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4" w:rsidRDefault="00C519D4">
      <w:pPr>
        <w:widowControl/>
        <w:rPr>
          <w:color w:val="000000"/>
          <w:sz w:val="23"/>
        </w:rPr>
        <w:sectPr w:rsidR="00C5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962B06" w:rsidRPr="00962B06" w:rsidRDefault="00962B06" w:rsidP="00962B06">
      <w:pPr>
        <w:widowControl/>
        <w:suppressAutoHyphens/>
        <w:jc w:val="right"/>
        <w:rPr>
          <w:b/>
          <w:color w:val="000000"/>
        </w:rPr>
      </w:pPr>
      <w:r w:rsidRPr="00962B06">
        <w:rPr>
          <w:b/>
          <w:color w:val="000000"/>
        </w:rPr>
        <w:lastRenderedPageBreak/>
        <w:t>DA 1</w:t>
      </w:r>
      <w:r w:rsidR="00E52006">
        <w:rPr>
          <w:b/>
          <w:color w:val="000000"/>
        </w:rPr>
        <w:t>6</w:t>
      </w:r>
      <w:r w:rsidRPr="00962B06">
        <w:rPr>
          <w:b/>
          <w:color w:val="000000"/>
        </w:rPr>
        <w:t>-</w:t>
      </w:r>
      <w:r w:rsidR="00676FF9">
        <w:rPr>
          <w:b/>
          <w:color w:val="000000"/>
        </w:rPr>
        <w:t>589</w:t>
      </w:r>
    </w:p>
    <w:p w:rsidR="00962B06" w:rsidRPr="00962B06" w:rsidRDefault="00962B06" w:rsidP="00962B06">
      <w:pPr>
        <w:widowControl/>
        <w:suppressAutoHyphens/>
        <w:spacing w:after="240"/>
        <w:jc w:val="right"/>
        <w:rPr>
          <w:b/>
          <w:color w:val="000000"/>
        </w:rPr>
      </w:pPr>
      <w:r w:rsidRPr="00962B06">
        <w:rPr>
          <w:b/>
          <w:color w:val="000000"/>
        </w:rPr>
        <w:t xml:space="preserve">Released:  </w:t>
      </w:r>
      <w:r w:rsidR="00E52006">
        <w:rPr>
          <w:b/>
          <w:color w:val="000000"/>
        </w:rPr>
        <w:t>May</w:t>
      </w:r>
      <w:r w:rsidR="008B1ED5">
        <w:rPr>
          <w:b/>
          <w:color w:val="000000"/>
        </w:rPr>
        <w:t xml:space="preserve"> 26</w:t>
      </w:r>
      <w:r w:rsidRPr="00962B06">
        <w:rPr>
          <w:b/>
          <w:color w:val="000000"/>
        </w:rPr>
        <w:t>, 201</w:t>
      </w:r>
      <w:r w:rsidR="00E52006">
        <w:rPr>
          <w:b/>
          <w:color w:val="000000"/>
        </w:rPr>
        <w:t>6</w:t>
      </w:r>
    </w:p>
    <w:p w:rsidR="00962B06" w:rsidRPr="00962B06" w:rsidRDefault="00962B06" w:rsidP="00962B06">
      <w:pPr>
        <w:widowControl/>
        <w:suppressAutoHyphens/>
        <w:jc w:val="center"/>
        <w:rPr>
          <w:b/>
          <w:szCs w:val="22"/>
        </w:rPr>
      </w:pPr>
      <w:r w:rsidRPr="00962B06">
        <w:rPr>
          <w:b/>
          <w:szCs w:val="22"/>
        </w:rPr>
        <w:t xml:space="preserve">DOMESTIC SECTION 214 APPLICATION GRANTED FOR THE TRANSFER OF CONTROL OF </w:t>
      </w:r>
      <w:r w:rsidR="00E52006">
        <w:rPr>
          <w:b/>
          <w:szCs w:val="22"/>
        </w:rPr>
        <w:t>SELECTEL, INC. TO COMPASS ATLANTIC INC.</w:t>
      </w:r>
      <w:r w:rsidR="007B0B83">
        <w:rPr>
          <w:b/>
          <w:szCs w:val="22"/>
        </w:rPr>
        <w:t xml:space="preserve"> </w:t>
      </w:r>
    </w:p>
    <w:p w:rsidR="00962B06" w:rsidRPr="00962B06" w:rsidRDefault="00962B06" w:rsidP="00962B06">
      <w:pPr>
        <w:widowControl/>
        <w:suppressAutoHyphens/>
        <w:jc w:val="center"/>
        <w:rPr>
          <w:b/>
          <w:color w:val="000000"/>
          <w:szCs w:val="22"/>
        </w:rPr>
      </w:pPr>
    </w:p>
    <w:p w:rsidR="00962B06" w:rsidRPr="00962B06" w:rsidRDefault="00962B06" w:rsidP="00962B06">
      <w:pPr>
        <w:widowControl/>
        <w:suppressAutoHyphens/>
        <w:spacing w:after="240"/>
        <w:jc w:val="center"/>
        <w:rPr>
          <w:b/>
          <w:color w:val="000000"/>
          <w:szCs w:val="22"/>
        </w:rPr>
      </w:pPr>
      <w:r w:rsidRPr="00962B06">
        <w:rPr>
          <w:b/>
          <w:color w:val="000000"/>
          <w:szCs w:val="22"/>
        </w:rPr>
        <w:t>WC Docket No. 1</w:t>
      </w:r>
      <w:r w:rsidR="007B0B83">
        <w:rPr>
          <w:b/>
          <w:color w:val="000000"/>
          <w:szCs w:val="22"/>
        </w:rPr>
        <w:t>5-</w:t>
      </w:r>
      <w:r w:rsidR="00E52006">
        <w:rPr>
          <w:b/>
          <w:color w:val="000000"/>
          <w:szCs w:val="22"/>
        </w:rPr>
        <w:t>8</w:t>
      </w:r>
    </w:p>
    <w:p w:rsidR="00962B06" w:rsidRPr="00962B06" w:rsidRDefault="009D4F92" w:rsidP="006539D4">
      <w:pPr>
        <w:widowControl/>
        <w:autoSpaceDE w:val="0"/>
        <w:autoSpaceDN w:val="0"/>
        <w:adjustRightInd w:val="0"/>
        <w:ind w:firstLine="720"/>
        <w:jc w:val="left"/>
        <w:rPr>
          <w:snapToGrid/>
          <w:kern w:val="0"/>
          <w:szCs w:val="22"/>
        </w:rPr>
      </w:pPr>
      <w:r w:rsidRPr="00A75279">
        <w:rPr>
          <w:szCs w:val="22"/>
        </w:rPr>
        <w:t xml:space="preserve">On </w:t>
      </w:r>
      <w:r>
        <w:rPr>
          <w:szCs w:val="22"/>
        </w:rPr>
        <w:t>December 12</w:t>
      </w:r>
      <w:r w:rsidRPr="00A75279">
        <w:rPr>
          <w:szCs w:val="22"/>
        </w:rPr>
        <w:t>,</w:t>
      </w:r>
      <w:r>
        <w:rPr>
          <w:szCs w:val="22"/>
        </w:rPr>
        <w:t xml:space="preserve"> 2014,</w:t>
      </w:r>
      <w:r w:rsidRPr="00A75279">
        <w:rPr>
          <w:szCs w:val="22"/>
        </w:rPr>
        <w:t xml:space="preserve"> </w:t>
      </w:r>
      <w:r>
        <w:rPr>
          <w:szCs w:val="22"/>
        </w:rPr>
        <w:t>Selectel, Inc. (Selectel), Matthew S. O’Flaherty, Teri L. O’Flaherty</w:t>
      </w:r>
      <w:r w:rsidR="00C25DD3">
        <w:rPr>
          <w:szCs w:val="22"/>
        </w:rPr>
        <w:t>,</w:t>
      </w:r>
      <w:r>
        <w:rPr>
          <w:szCs w:val="22"/>
        </w:rPr>
        <w:t xml:space="preserve"> Stacy Hergenrader and Compass Capital Inc. and Compass Atlantic Inc. (collectively, Applicants) filed an application pursuant to section 63.03 of the Commission’s rules to transfer control of S</w:t>
      </w:r>
      <w:r w:rsidRPr="00B40D77">
        <w:rPr>
          <w:szCs w:val="22"/>
        </w:rPr>
        <w:t xml:space="preserve">electel from </w:t>
      </w:r>
      <w:r>
        <w:rPr>
          <w:szCs w:val="22"/>
        </w:rPr>
        <w:t>M</w:t>
      </w:r>
      <w:r w:rsidRPr="00B40D77">
        <w:rPr>
          <w:szCs w:val="22"/>
        </w:rPr>
        <w:t xml:space="preserve">atthew </w:t>
      </w:r>
      <w:r>
        <w:rPr>
          <w:szCs w:val="22"/>
        </w:rPr>
        <w:t>S</w:t>
      </w:r>
      <w:r w:rsidRPr="00B40D77">
        <w:rPr>
          <w:szCs w:val="22"/>
        </w:rPr>
        <w:t>. O’</w:t>
      </w:r>
      <w:r>
        <w:rPr>
          <w:szCs w:val="22"/>
        </w:rPr>
        <w:t>F</w:t>
      </w:r>
      <w:r w:rsidRPr="00B40D77">
        <w:rPr>
          <w:szCs w:val="22"/>
        </w:rPr>
        <w:t xml:space="preserve">laherty, </w:t>
      </w:r>
      <w:r>
        <w:rPr>
          <w:szCs w:val="22"/>
        </w:rPr>
        <w:t>Teri L</w:t>
      </w:r>
      <w:r w:rsidRPr="00B40D77">
        <w:rPr>
          <w:szCs w:val="22"/>
        </w:rPr>
        <w:t>. O’</w:t>
      </w:r>
      <w:r>
        <w:rPr>
          <w:szCs w:val="22"/>
        </w:rPr>
        <w:t>F</w:t>
      </w:r>
      <w:r w:rsidRPr="00B40D77">
        <w:rPr>
          <w:szCs w:val="22"/>
        </w:rPr>
        <w:t>laherty</w:t>
      </w:r>
      <w:r>
        <w:rPr>
          <w:szCs w:val="22"/>
        </w:rPr>
        <w:t>,</w:t>
      </w:r>
      <w:r w:rsidRPr="00B40D77">
        <w:rPr>
          <w:szCs w:val="22"/>
        </w:rPr>
        <w:t xml:space="preserve"> and </w:t>
      </w:r>
      <w:r>
        <w:rPr>
          <w:szCs w:val="22"/>
        </w:rPr>
        <w:t>S</w:t>
      </w:r>
      <w:r w:rsidRPr="00B40D77">
        <w:rPr>
          <w:szCs w:val="22"/>
        </w:rPr>
        <w:t xml:space="preserve">tacy </w:t>
      </w:r>
      <w:r>
        <w:rPr>
          <w:szCs w:val="22"/>
        </w:rPr>
        <w:t>H</w:t>
      </w:r>
      <w:r w:rsidRPr="00B40D77">
        <w:rPr>
          <w:szCs w:val="22"/>
        </w:rPr>
        <w:t xml:space="preserve">ergenrader to </w:t>
      </w:r>
      <w:r>
        <w:rPr>
          <w:szCs w:val="22"/>
        </w:rPr>
        <w:t>C</w:t>
      </w:r>
      <w:r w:rsidRPr="00B40D77">
        <w:rPr>
          <w:szCs w:val="22"/>
        </w:rPr>
        <w:t xml:space="preserve">ompass </w:t>
      </w:r>
      <w:r>
        <w:rPr>
          <w:szCs w:val="22"/>
        </w:rPr>
        <w:t>C</w:t>
      </w:r>
      <w:r w:rsidRPr="00B40D77">
        <w:rPr>
          <w:szCs w:val="22"/>
        </w:rPr>
        <w:t>apital</w:t>
      </w:r>
      <w:r>
        <w:rPr>
          <w:szCs w:val="22"/>
        </w:rPr>
        <w:t xml:space="preserve"> </w:t>
      </w:r>
      <w:r w:rsidR="00C25DD3">
        <w:rPr>
          <w:szCs w:val="22"/>
        </w:rPr>
        <w:t xml:space="preserve">Inc. </w:t>
      </w:r>
      <w:r w:rsidRPr="00B40D77">
        <w:rPr>
          <w:szCs w:val="22"/>
        </w:rPr>
        <w:t xml:space="preserve">and </w:t>
      </w:r>
      <w:r>
        <w:rPr>
          <w:szCs w:val="22"/>
        </w:rPr>
        <w:t>C</w:t>
      </w:r>
      <w:r w:rsidRPr="00B40D77">
        <w:rPr>
          <w:szCs w:val="22"/>
        </w:rPr>
        <w:t xml:space="preserve">ompass </w:t>
      </w:r>
      <w:r>
        <w:rPr>
          <w:szCs w:val="22"/>
        </w:rPr>
        <w:t>A</w:t>
      </w:r>
      <w:r w:rsidRPr="00B40D77">
        <w:rPr>
          <w:szCs w:val="22"/>
        </w:rPr>
        <w:t>tlantic</w:t>
      </w:r>
      <w:r w:rsidR="00C25DD3">
        <w:rPr>
          <w:szCs w:val="22"/>
        </w:rPr>
        <w:t xml:space="preserve"> Inc</w:t>
      </w:r>
      <w:r>
        <w:rPr>
          <w:szCs w:val="22"/>
        </w:rPr>
        <w:t>.</w:t>
      </w:r>
      <w:r w:rsidR="007B0B83" w:rsidRPr="007B0B83">
        <w:rPr>
          <w:snapToGrid/>
          <w:kern w:val="0"/>
          <w:szCs w:val="22"/>
          <w:vertAlign w:val="superscript"/>
        </w:rPr>
        <w:footnoteReference w:id="1"/>
      </w:r>
      <w:r w:rsidR="007B0B83" w:rsidRPr="007B0B83">
        <w:rPr>
          <w:snapToGrid/>
          <w:kern w:val="0"/>
          <w:szCs w:val="22"/>
        </w:rPr>
        <w:t xml:space="preserve"> </w:t>
      </w:r>
      <w:r w:rsidR="007B0B83">
        <w:rPr>
          <w:snapToGrid/>
          <w:color w:val="231F20"/>
          <w:kern w:val="0"/>
          <w:szCs w:val="22"/>
        </w:rPr>
        <w:t xml:space="preserve"> </w:t>
      </w:r>
      <w:r w:rsidR="006539D4">
        <w:rPr>
          <w:snapToGrid/>
          <w:kern w:val="0"/>
          <w:szCs w:val="22"/>
        </w:rPr>
        <w:t xml:space="preserve">  </w:t>
      </w:r>
      <w:r w:rsidR="00962B06" w:rsidRPr="00962B06">
        <w:rPr>
          <w:szCs w:val="22"/>
        </w:rPr>
        <w:t xml:space="preserve">  </w:t>
      </w:r>
    </w:p>
    <w:p w:rsidR="00962B06" w:rsidRPr="00962B06" w:rsidRDefault="00962B06" w:rsidP="00962B06">
      <w:pPr>
        <w:ind w:firstLine="720"/>
        <w:rPr>
          <w:szCs w:val="22"/>
        </w:rPr>
      </w:pPr>
    </w:p>
    <w:p w:rsidR="00962B06" w:rsidRPr="00C25DD3" w:rsidRDefault="00962B06" w:rsidP="006539D4">
      <w:pPr>
        <w:ind w:firstLine="720"/>
        <w:jc w:val="left"/>
        <w:rPr>
          <w:snapToGrid/>
          <w:kern w:val="0"/>
          <w:szCs w:val="22"/>
        </w:rPr>
      </w:pPr>
      <w:r w:rsidRPr="00C25DD3">
        <w:rPr>
          <w:szCs w:val="22"/>
        </w:rPr>
        <w:t xml:space="preserve">On </w:t>
      </w:r>
      <w:r w:rsidR="003262F8" w:rsidRPr="00C25DD3">
        <w:rPr>
          <w:szCs w:val="22"/>
        </w:rPr>
        <w:t>J</w:t>
      </w:r>
      <w:r w:rsidR="00DE584A" w:rsidRPr="00C25DD3">
        <w:rPr>
          <w:szCs w:val="22"/>
        </w:rPr>
        <w:t>anuary 28,</w:t>
      </w:r>
      <w:r w:rsidR="003262F8" w:rsidRPr="00C25DD3">
        <w:rPr>
          <w:szCs w:val="22"/>
        </w:rPr>
        <w:t xml:space="preserve"> 2015</w:t>
      </w:r>
      <w:r w:rsidRPr="00C25DD3">
        <w:rPr>
          <w:szCs w:val="22"/>
        </w:rPr>
        <w:t>, the Wireline Competition Bureau (Bureau) released a Public Notice requesting comment on th</w:t>
      </w:r>
      <w:r w:rsidR="00811BE9" w:rsidRPr="00C25DD3">
        <w:rPr>
          <w:szCs w:val="22"/>
        </w:rPr>
        <w:t>e Application</w:t>
      </w:r>
      <w:r w:rsidRPr="00C25DD3">
        <w:rPr>
          <w:szCs w:val="22"/>
        </w:rPr>
        <w:t>.</w:t>
      </w:r>
      <w:r w:rsidRPr="00C25DD3">
        <w:rPr>
          <w:szCs w:val="22"/>
          <w:vertAlign w:val="superscript"/>
        </w:rPr>
        <w:footnoteReference w:id="2"/>
      </w:r>
      <w:r w:rsidRPr="00C25DD3">
        <w:rPr>
          <w:szCs w:val="22"/>
        </w:rPr>
        <w:t xml:space="preserve">  </w:t>
      </w:r>
      <w:r w:rsidR="003262F8" w:rsidRPr="00C25DD3">
        <w:rPr>
          <w:szCs w:val="22"/>
        </w:rPr>
        <w:t xml:space="preserve">On </w:t>
      </w:r>
      <w:r w:rsidR="0031424C" w:rsidRPr="00C25DD3">
        <w:rPr>
          <w:szCs w:val="22"/>
        </w:rPr>
        <w:t>February 11, 2015</w:t>
      </w:r>
      <w:r w:rsidR="003262F8" w:rsidRPr="00C25DD3">
        <w:rPr>
          <w:szCs w:val="22"/>
        </w:rPr>
        <w:t>, the Department of Justice, including the Federal Bureau of Investigation, with the concurrence of the U.S. Department of Homeland Security</w:t>
      </w:r>
      <w:r w:rsidR="00DE584A" w:rsidRPr="00C25DD3">
        <w:rPr>
          <w:szCs w:val="22"/>
        </w:rPr>
        <w:t xml:space="preserve"> and the Department of Defense</w:t>
      </w:r>
      <w:r w:rsidR="003262F8" w:rsidRPr="00C25DD3">
        <w:rPr>
          <w:szCs w:val="22"/>
        </w:rPr>
        <w:t xml:space="preserve"> (collectively, the Executive Branch Agencies), filed a letter requesting that the Commission defer action on this proceeding while they completed their review of any national security, law enforcement, and public safety issues.</w:t>
      </w:r>
      <w:r w:rsidR="003262F8" w:rsidRPr="00C25DD3">
        <w:rPr>
          <w:rStyle w:val="FootnoteReference"/>
          <w:szCs w:val="22"/>
        </w:rPr>
        <w:footnoteReference w:id="3"/>
      </w:r>
      <w:r w:rsidR="003262F8" w:rsidRPr="00C25DD3">
        <w:rPr>
          <w:szCs w:val="22"/>
        </w:rPr>
        <w:t xml:space="preserve">  </w:t>
      </w:r>
      <w:r w:rsidRPr="00C25DD3">
        <w:rPr>
          <w:color w:val="000000"/>
          <w:szCs w:val="22"/>
        </w:rPr>
        <w:t xml:space="preserve">We deferred action on the </w:t>
      </w:r>
      <w:r w:rsidR="00C25DD3">
        <w:rPr>
          <w:color w:val="000000"/>
          <w:szCs w:val="22"/>
        </w:rPr>
        <w:t>A</w:t>
      </w:r>
      <w:r w:rsidRPr="00C25DD3">
        <w:rPr>
          <w:color w:val="000000"/>
          <w:szCs w:val="22"/>
        </w:rPr>
        <w:t>pplication in response to the Executive Branch Agencies’ request.</w:t>
      </w:r>
      <w:r w:rsidRPr="00C25DD3">
        <w:rPr>
          <w:szCs w:val="22"/>
          <w:vertAlign w:val="superscript"/>
        </w:rPr>
        <w:footnoteReference w:id="4"/>
      </w:r>
      <w:r w:rsidRPr="00C25DD3">
        <w:rPr>
          <w:snapToGrid/>
          <w:kern w:val="0"/>
          <w:szCs w:val="22"/>
        </w:rPr>
        <w:t xml:space="preserve">   </w:t>
      </w:r>
      <w:r w:rsidR="00DE584A" w:rsidRPr="00C25DD3">
        <w:rPr>
          <w:snapToGrid/>
          <w:kern w:val="0"/>
          <w:szCs w:val="22"/>
        </w:rPr>
        <w:t>On May 25, 2016, the Executive Branch Agencies notified the Bureau that they withdraw their request to defer action.</w:t>
      </w:r>
      <w:r w:rsidR="0031424C" w:rsidRPr="00C25DD3">
        <w:rPr>
          <w:rStyle w:val="FootnoteReference"/>
          <w:snapToGrid/>
          <w:kern w:val="0"/>
          <w:szCs w:val="22"/>
        </w:rPr>
        <w:footnoteReference w:id="5"/>
      </w:r>
      <w:r w:rsidR="00DE584A" w:rsidRPr="00C25DD3">
        <w:rPr>
          <w:snapToGrid/>
          <w:kern w:val="0"/>
          <w:szCs w:val="22"/>
        </w:rPr>
        <w:t xml:space="preserve">  T</w:t>
      </w:r>
      <w:r w:rsidR="00DE584A" w:rsidRPr="00C25DD3">
        <w:rPr>
          <w:color w:val="212121"/>
          <w:szCs w:val="22"/>
        </w:rPr>
        <w:t xml:space="preserve">he Executive Branch Agencies state that, based on the information provided to them by the Applicants and their analysis of potential national security, law enforcement, and public safety issues, they have no objection to the </w:t>
      </w:r>
      <w:r w:rsidR="0031424C" w:rsidRPr="00C25DD3">
        <w:rPr>
          <w:color w:val="212121"/>
          <w:szCs w:val="22"/>
        </w:rPr>
        <w:t>A</w:t>
      </w:r>
      <w:r w:rsidR="00DE584A" w:rsidRPr="00C25DD3">
        <w:rPr>
          <w:color w:val="212121"/>
          <w:szCs w:val="22"/>
        </w:rPr>
        <w:t>pplication.</w:t>
      </w:r>
      <w:r w:rsidR="00DE584A" w:rsidRPr="00C25DD3">
        <w:rPr>
          <w:snapToGrid/>
          <w:kern w:val="0"/>
          <w:szCs w:val="22"/>
        </w:rPr>
        <w:t xml:space="preserve"> </w:t>
      </w:r>
    </w:p>
    <w:p w:rsidR="00962B06" w:rsidRPr="00C25DD3" w:rsidRDefault="00962B06" w:rsidP="00962B06">
      <w:pPr>
        <w:ind w:firstLine="720"/>
        <w:jc w:val="left"/>
        <w:rPr>
          <w:color w:val="000000"/>
          <w:szCs w:val="22"/>
        </w:rPr>
      </w:pPr>
    </w:p>
    <w:p w:rsidR="00962B06" w:rsidRPr="00C25DD3" w:rsidRDefault="00962B06" w:rsidP="008B1ED5">
      <w:pPr>
        <w:ind w:firstLine="720"/>
        <w:jc w:val="left"/>
        <w:rPr>
          <w:color w:val="000000"/>
          <w:szCs w:val="22"/>
        </w:rPr>
      </w:pPr>
      <w:bookmarkStart w:id="1" w:name="sp_999_1"/>
      <w:bookmarkStart w:id="2" w:name="SDU_1"/>
      <w:bookmarkStart w:id="3" w:name="SearchTerm"/>
      <w:bookmarkEnd w:id="1"/>
      <w:bookmarkEnd w:id="2"/>
      <w:r w:rsidRPr="00C25DD3">
        <w:rPr>
          <w:color w:val="000000"/>
          <w:szCs w:val="22"/>
        </w:rPr>
        <w:t>The Bureau finds, upon consideration of</w:t>
      </w:r>
      <w:r w:rsidR="00442A5B">
        <w:rPr>
          <w:color w:val="000000"/>
          <w:szCs w:val="22"/>
        </w:rPr>
        <w:t xml:space="preserve"> the record, that grant of the A</w:t>
      </w:r>
      <w:r w:rsidRPr="00C25DD3">
        <w:rPr>
          <w:color w:val="000000"/>
          <w:szCs w:val="22"/>
        </w:rPr>
        <w:t>pplication</w:t>
      </w:r>
      <w:bookmarkEnd w:id="3"/>
      <w:r w:rsidR="00442A5B">
        <w:rPr>
          <w:color w:val="000000"/>
          <w:szCs w:val="22"/>
        </w:rPr>
        <w:t xml:space="preserve"> </w:t>
      </w:r>
      <w:r w:rsidRPr="00C25DD3">
        <w:rPr>
          <w:color w:val="000000"/>
          <w:szCs w:val="22"/>
        </w:rPr>
        <w:t>will serve the public interest, convenience, and necessity.</w:t>
      </w:r>
      <w:r w:rsidR="008B1ED5" w:rsidRPr="00C25DD3">
        <w:rPr>
          <w:rStyle w:val="FootnoteReference"/>
          <w:szCs w:val="22"/>
        </w:rPr>
        <w:footnoteReference w:id="6"/>
      </w:r>
      <w:r w:rsidRPr="00C25DD3">
        <w:rPr>
          <w:color w:val="000000"/>
          <w:szCs w:val="22"/>
        </w:rPr>
        <w:t xml:space="preserve">  </w:t>
      </w:r>
      <w:r w:rsidRPr="00C25DD3">
        <w:rPr>
          <w:szCs w:val="22"/>
        </w:rPr>
        <w:t> </w:t>
      </w:r>
    </w:p>
    <w:p w:rsidR="00962B06" w:rsidRPr="00C25DD3" w:rsidRDefault="00962B06" w:rsidP="00962B06">
      <w:pPr>
        <w:ind w:firstLine="720"/>
        <w:jc w:val="left"/>
        <w:rPr>
          <w:color w:val="000000"/>
          <w:szCs w:val="22"/>
        </w:rPr>
      </w:pPr>
    </w:p>
    <w:p w:rsidR="00962B06" w:rsidRPr="00C25DD3" w:rsidRDefault="00962B06" w:rsidP="00962B06">
      <w:pPr>
        <w:ind w:firstLine="720"/>
        <w:jc w:val="left"/>
        <w:rPr>
          <w:color w:val="000000"/>
          <w:szCs w:val="22"/>
        </w:rPr>
      </w:pPr>
      <w:r w:rsidRPr="00C25DD3">
        <w:rPr>
          <w:color w:val="000000"/>
          <w:szCs w:val="22"/>
        </w:rPr>
        <w:t>Pursuant to section 1.103 of the Commission's rules, 47 C.F.R. § 1.103, the grant is effective upon release of this Public Notice.</w:t>
      </w:r>
      <w:bookmarkStart w:id="4" w:name="FN[FN11]"/>
      <w:bookmarkEnd w:id="4"/>
      <w:r w:rsidRPr="00C25DD3">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5" w:name="FN[FN12]"/>
      <w:bookmarkEnd w:id="5"/>
    </w:p>
    <w:p w:rsidR="00962B06" w:rsidRPr="00C25DD3" w:rsidRDefault="00962B06" w:rsidP="00962B06">
      <w:pPr>
        <w:ind w:firstLine="720"/>
        <w:jc w:val="left"/>
        <w:rPr>
          <w:color w:val="000000"/>
          <w:szCs w:val="22"/>
        </w:rPr>
      </w:pPr>
      <w:bookmarkStart w:id="6" w:name="sp_999_2"/>
      <w:bookmarkStart w:id="7" w:name="SDU_2"/>
      <w:bookmarkEnd w:id="6"/>
      <w:bookmarkEnd w:id="7"/>
    </w:p>
    <w:p w:rsidR="00C519D4" w:rsidRPr="00C25DD3" w:rsidRDefault="00962B06" w:rsidP="00BB2182">
      <w:pPr>
        <w:ind w:firstLine="720"/>
        <w:jc w:val="left"/>
        <w:rPr>
          <w:color w:val="000000"/>
          <w:szCs w:val="22"/>
        </w:rPr>
      </w:pPr>
      <w:r w:rsidRPr="00C25DD3">
        <w:rPr>
          <w:color w:val="000000"/>
          <w:szCs w:val="22"/>
        </w:rPr>
        <w:t xml:space="preserve">For further information, please contact </w:t>
      </w:r>
      <w:r w:rsidR="00E15246" w:rsidRPr="00C25DD3">
        <w:rPr>
          <w:color w:val="000000"/>
          <w:szCs w:val="22"/>
        </w:rPr>
        <w:t>Dennis Johnson</w:t>
      </w:r>
      <w:r w:rsidRPr="00C25DD3">
        <w:rPr>
          <w:color w:val="000000"/>
          <w:szCs w:val="22"/>
        </w:rPr>
        <w:t>, Wireline Competition Bureau, Competition Policy Division, (202) 418-</w:t>
      </w:r>
      <w:r w:rsidR="00E15246" w:rsidRPr="00C25DD3">
        <w:rPr>
          <w:color w:val="000000"/>
          <w:szCs w:val="22"/>
        </w:rPr>
        <w:t>0809</w:t>
      </w:r>
      <w:r w:rsidRPr="00C25DD3">
        <w:rPr>
          <w:color w:val="000000"/>
          <w:szCs w:val="22"/>
        </w:rPr>
        <w:t>.</w:t>
      </w:r>
    </w:p>
    <w:sectPr w:rsidR="00C519D4" w:rsidRPr="00C25DD3">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F" w:rsidRDefault="00A51FFF">
      <w:pPr>
        <w:spacing w:line="20" w:lineRule="exact"/>
      </w:pPr>
    </w:p>
  </w:endnote>
  <w:endnote w:type="continuationSeparator" w:id="0">
    <w:p w:rsidR="00A51FFF" w:rsidRDefault="00A51FFF">
      <w:r>
        <w:t xml:space="preserve"> </w:t>
      </w:r>
    </w:p>
  </w:endnote>
  <w:endnote w:type="continuationNotice" w:id="1">
    <w:p w:rsidR="00A51FFF" w:rsidRDefault="00A51F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BDA" w:rsidRDefault="003F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424">
      <w:rPr>
        <w:rStyle w:val="PageNumber"/>
        <w:noProof/>
      </w:rPr>
      <w:t>2</w:t>
    </w:r>
    <w:r>
      <w:rPr>
        <w:rStyle w:val="PageNumber"/>
      </w:rPr>
      <w:fldChar w:fldCharType="end"/>
    </w:r>
  </w:p>
  <w:p w:rsidR="003F5BDA" w:rsidRDefault="003F5BDA">
    <w:pPr>
      <w:pStyle w:val="Footer"/>
    </w:pPr>
  </w:p>
  <w:p w:rsidR="003F5BDA" w:rsidRDefault="003F5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F" w:rsidRDefault="00A51FFF">
      <w:r>
        <w:separator/>
      </w:r>
    </w:p>
  </w:footnote>
  <w:footnote w:type="continuationSeparator" w:id="0">
    <w:p w:rsidR="00A51FFF" w:rsidRDefault="00A51FFF">
      <w:r>
        <w:continuationSeparator/>
      </w:r>
    </w:p>
  </w:footnote>
  <w:footnote w:id="1">
    <w:p w:rsidR="007B0B83" w:rsidRPr="00DE584A" w:rsidRDefault="007B0B83" w:rsidP="007B0B83">
      <w:pPr>
        <w:pStyle w:val="FootnoteText"/>
      </w:pPr>
      <w:r w:rsidRPr="00BA3BDF">
        <w:rPr>
          <w:rStyle w:val="FootnoteReference"/>
        </w:rPr>
        <w:footnoteRef/>
      </w:r>
      <w:r w:rsidRPr="00BA3BDF">
        <w:t xml:space="preserve">  47 C.F.R § 63.03; </w:t>
      </w:r>
      <w:r w:rsidRPr="00BA3BDF">
        <w:rPr>
          <w:i/>
        </w:rPr>
        <w:t xml:space="preserve">see </w:t>
      </w:r>
      <w:r w:rsidRPr="00BA3BDF">
        <w:t>47 U.S.C. § 214</w:t>
      </w:r>
      <w:r w:rsidR="002864AB">
        <w:t xml:space="preserve">; </w:t>
      </w:r>
      <w:r w:rsidR="00DE584A">
        <w:rPr>
          <w:i/>
        </w:rPr>
        <w:t>Selectel, Inc. Application for Authorization Pursuant to Section 214 of the Communications Act of 1934, as Amended, for Assignment of Assets and/or Transfer of Control</w:t>
      </w:r>
      <w:r w:rsidR="002864AB">
        <w:t>, WC Do</w:t>
      </w:r>
      <w:r w:rsidR="00245958">
        <w:t>cket No. 15-</w:t>
      </w:r>
      <w:r w:rsidR="00DE584A">
        <w:t>8</w:t>
      </w:r>
      <w:r w:rsidR="00245958">
        <w:t xml:space="preserve"> (filed </w:t>
      </w:r>
      <w:r w:rsidR="00DE584A">
        <w:t>Dec. 12, 2014)</w:t>
      </w:r>
      <w:r w:rsidR="002864AB">
        <w:t xml:space="preserve"> (Application)</w:t>
      </w:r>
      <w:r w:rsidRPr="00BA3BDF">
        <w:t>.</w:t>
      </w:r>
      <w:r w:rsidR="003262F8">
        <w:t xml:space="preserve">  </w:t>
      </w:r>
      <w:r w:rsidR="00DE584A">
        <w:t xml:space="preserve">Applicants consummated the transaction on June 19, 2015.  </w:t>
      </w:r>
      <w:r w:rsidR="00DE584A" w:rsidRPr="00DE584A">
        <w:rPr>
          <w:color w:val="212121"/>
        </w:rPr>
        <w:t>A grant of the application will be</w:t>
      </w:r>
      <w:r w:rsidR="00DE584A" w:rsidRPr="00DE584A">
        <w:rPr>
          <w:rStyle w:val="copinpointicon"/>
          <w:color w:val="212121"/>
        </w:rPr>
        <w:t> </w:t>
      </w:r>
      <w:r w:rsidR="00DE584A" w:rsidRPr="00DE584A">
        <w:rPr>
          <w:rStyle w:val="cosearchterm"/>
          <w:bCs/>
          <w:color w:val="252525"/>
        </w:rPr>
        <w:t>without</w:t>
      </w:r>
      <w:r w:rsidR="00DE584A" w:rsidRPr="00DE584A">
        <w:rPr>
          <w:rStyle w:val="apple-converted-space"/>
          <w:color w:val="212121"/>
        </w:rPr>
        <w:t> </w:t>
      </w:r>
      <w:r w:rsidR="00DE584A" w:rsidRPr="00DE584A">
        <w:rPr>
          <w:rStyle w:val="cosearchterm"/>
          <w:bCs/>
          <w:color w:val="252525"/>
        </w:rPr>
        <w:t>prejudice</w:t>
      </w:r>
      <w:r w:rsidR="00DE584A" w:rsidRPr="00DE584A">
        <w:rPr>
          <w:rStyle w:val="apple-converted-space"/>
          <w:color w:val="212121"/>
        </w:rPr>
        <w:t> </w:t>
      </w:r>
      <w:r w:rsidR="00DE584A" w:rsidRPr="00DE584A">
        <w:rPr>
          <w:color w:val="212121"/>
        </w:rPr>
        <w:t>to any</w:t>
      </w:r>
      <w:r w:rsidR="00DE584A" w:rsidRPr="00DE584A">
        <w:rPr>
          <w:rStyle w:val="apple-converted-space"/>
          <w:color w:val="212121"/>
        </w:rPr>
        <w:t> </w:t>
      </w:r>
      <w:r w:rsidR="00DE584A" w:rsidRPr="00DE584A">
        <w:rPr>
          <w:rStyle w:val="cosearchterm"/>
          <w:bCs/>
          <w:color w:val="252525"/>
        </w:rPr>
        <w:t>enforcement</w:t>
      </w:r>
      <w:r w:rsidR="00DE584A" w:rsidRPr="00DE584A">
        <w:rPr>
          <w:rStyle w:val="apple-converted-space"/>
          <w:color w:val="212121"/>
        </w:rPr>
        <w:t> </w:t>
      </w:r>
      <w:r w:rsidR="00DE584A" w:rsidRPr="00DE584A">
        <w:rPr>
          <w:color w:val="212121"/>
        </w:rPr>
        <w:t>action by the Commission for non-compliance with the Act or the Commission's rules.</w:t>
      </w:r>
      <w:r w:rsidR="003262F8" w:rsidRPr="00DE584A">
        <w:rPr>
          <w:bCs/>
          <w:color w:val="231F20"/>
        </w:rPr>
        <w:t xml:space="preserve"> </w:t>
      </w:r>
      <w:r w:rsidR="003262F8" w:rsidRPr="00DE584A">
        <w:t xml:space="preserve">  </w:t>
      </w:r>
    </w:p>
  </w:footnote>
  <w:footnote w:id="2">
    <w:p w:rsidR="00962B06" w:rsidRDefault="00962B06" w:rsidP="00962B06">
      <w:pPr>
        <w:pStyle w:val="FootnoteText"/>
      </w:pPr>
      <w:r>
        <w:rPr>
          <w:rStyle w:val="FootnoteReference"/>
        </w:rPr>
        <w:footnoteRef/>
      </w:r>
      <w:r>
        <w:t xml:space="preserve"> </w:t>
      </w:r>
      <w:r w:rsidR="003262F8">
        <w:rPr>
          <w:i/>
        </w:rPr>
        <w:t xml:space="preserve">Domestic Section 214 Application Filed for the Transfer of Control of </w:t>
      </w:r>
      <w:r w:rsidR="00DE584A">
        <w:rPr>
          <w:i/>
        </w:rPr>
        <w:t>Selectel, Inc. to Compass Atlantic Inc.</w:t>
      </w:r>
      <w:r w:rsidR="003262F8">
        <w:t>, WC Docket No. 15-</w:t>
      </w:r>
      <w:r w:rsidR="00DE584A">
        <w:t>8</w:t>
      </w:r>
      <w:r w:rsidR="003262F8">
        <w:t xml:space="preserve">, Public Notice, </w:t>
      </w:r>
      <w:r w:rsidR="00DE584A">
        <w:t>30 FCC Rcd 598</w:t>
      </w:r>
      <w:r w:rsidR="003262F8">
        <w:t xml:space="preserve"> (</w:t>
      </w:r>
      <w:r w:rsidR="00DE584A">
        <w:t>WCB 2015)</w:t>
      </w:r>
      <w:r>
        <w:t>.</w:t>
      </w:r>
      <w:r>
        <w:rPr>
          <w:i/>
        </w:rPr>
        <w:t xml:space="preserve"> </w:t>
      </w:r>
    </w:p>
  </w:footnote>
  <w:footnote w:id="3">
    <w:p w:rsidR="003262F8" w:rsidRDefault="003262F8" w:rsidP="003262F8">
      <w:pPr>
        <w:pStyle w:val="FootnoteText"/>
      </w:pPr>
      <w:r>
        <w:rPr>
          <w:rStyle w:val="FootnoteReference"/>
        </w:rPr>
        <w:footnoteRef/>
      </w:r>
      <w:r>
        <w:t xml:space="preserve">  </w:t>
      </w:r>
      <w:r>
        <w:rPr>
          <w:i/>
        </w:rPr>
        <w:t>See</w:t>
      </w:r>
      <w:r>
        <w:t xml:space="preserve"> </w:t>
      </w:r>
      <w:r>
        <w:rPr>
          <w:rFonts w:ascii="Times New (W1)" w:hAnsi="Times New (W1)"/>
        </w:rPr>
        <w:t xml:space="preserve">Letter from </w:t>
      </w:r>
      <w:r w:rsidR="0031424C">
        <w:rPr>
          <w:rFonts w:ascii="Times New (W1)" w:hAnsi="Times New (W1)"/>
        </w:rPr>
        <w:t>Bermel R. Paz</w:t>
      </w:r>
      <w:r>
        <w:rPr>
          <w:rFonts w:ascii="Times New (W1)" w:hAnsi="Times New (W1)"/>
        </w:rPr>
        <w:t>, U.S. Department of Justice, to Marlene H. Dortch, FCC, WC</w:t>
      </w:r>
      <w:r>
        <w:t xml:space="preserve"> Docket No. 15-</w:t>
      </w:r>
      <w:r w:rsidR="0031424C">
        <w:t>8</w:t>
      </w:r>
      <w:r>
        <w:t xml:space="preserve"> </w:t>
      </w:r>
      <w:r>
        <w:rPr>
          <w:rFonts w:ascii="Times New (W1)" w:hAnsi="Times New (W1)"/>
        </w:rPr>
        <w:t xml:space="preserve">(filed </w:t>
      </w:r>
      <w:r w:rsidR="0031424C">
        <w:rPr>
          <w:rFonts w:ascii="Times New (W1)" w:hAnsi="Times New (W1)"/>
        </w:rPr>
        <w:t>Feb. 11, 2015</w:t>
      </w:r>
      <w:r>
        <w:rPr>
          <w:rFonts w:ascii="Times New (W1)" w:hAnsi="Times New (W1)"/>
        </w:rPr>
        <w:t>).</w:t>
      </w:r>
    </w:p>
  </w:footnote>
  <w:footnote w:id="4">
    <w:p w:rsidR="00962B06" w:rsidRDefault="00962B06" w:rsidP="00962B06">
      <w:pPr>
        <w:pStyle w:val="FootnoteText"/>
      </w:pPr>
      <w:r>
        <w:rPr>
          <w:rStyle w:val="FootnoteReference"/>
        </w:rPr>
        <w:footnoteRef/>
      </w:r>
      <w:r>
        <w:t xml:space="preserve"> </w:t>
      </w:r>
      <w:r w:rsidRPr="00BD7F40">
        <w:rPr>
          <w:i/>
        </w:rPr>
        <w:t>Notice of Removal of Domestic Section 214 Application from Streamlined Treatment</w:t>
      </w:r>
      <w:r>
        <w:t>, WC Docket No. 1</w:t>
      </w:r>
      <w:r w:rsidR="008B1ED5">
        <w:t>5-</w:t>
      </w:r>
      <w:r w:rsidR="00DE584A">
        <w:t>8</w:t>
      </w:r>
      <w:r>
        <w:t xml:space="preserve">, Public Notice, </w:t>
      </w:r>
      <w:r w:rsidR="00DE584A">
        <w:t>30 FCC Rcd 1815</w:t>
      </w:r>
      <w:r w:rsidR="006539D4">
        <w:t xml:space="preserve"> </w:t>
      </w:r>
      <w:r>
        <w:t>(</w:t>
      </w:r>
      <w:r w:rsidR="00DE584A">
        <w:t>WCB</w:t>
      </w:r>
      <w:r w:rsidR="008B1ED5">
        <w:t xml:space="preserve"> 2015</w:t>
      </w:r>
      <w:r>
        <w:t>).</w:t>
      </w:r>
    </w:p>
  </w:footnote>
  <w:footnote w:id="5">
    <w:p w:rsidR="0031424C" w:rsidRDefault="0031424C">
      <w:pPr>
        <w:pStyle w:val="FootnoteText"/>
      </w:pPr>
      <w:r>
        <w:rPr>
          <w:rStyle w:val="FootnoteReference"/>
        </w:rPr>
        <w:footnoteRef/>
      </w:r>
      <w:r>
        <w:t xml:space="preserve"> Letter from Bermel R. Paz, </w:t>
      </w:r>
      <w:r>
        <w:rPr>
          <w:rFonts w:ascii="Times New (W1)" w:hAnsi="Times New (W1)"/>
        </w:rPr>
        <w:t>U.S. Department of Justice, to Marlene H. Dortch, FCC, WC</w:t>
      </w:r>
      <w:r>
        <w:t xml:space="preserve"> Docket No. 15-8 </w:t>
      </w:r>
      <w:r>
        <w:rPr>
          <w:rFonts w:ascii="Times New (W1)" w:hAnsi="Times New (W1)"/>
        </w:rPr>
        <w:t>(filed May 25, 2016).</w:t>
      </w:r>
    </w:p>
  </w:footnote>
  <w:footnote w:id="6">
    <w:p w:rsidR="008B1ED5" w:rsidRPr="008B1ED5" w:rsidRDefault="008B1ED5">
      <w:pPr>
        <w:pStyle w:val="FootnoteText"/>
      </w:pPr>
      <w:r>
        <w:rPr>
          <w:rStyle w:val="FootnoteReference"/>
        </w:rPr>
        <w:footnoteRef/>
      </w:r>
      <w:r>
        <w:t xml:space="preserve"> </w:t>
      </w:r>
      <w:r>
        <w:rPr>
          <w:i/>
        </w:rPr>
        <w:t xml:space="preserve">See </w:t>
      </w:r>
      <w:r>
        <w:t>47 C.F.R. § 63.03(b).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A2" w:rsidRDefault="00AF3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A2" w:rsidRDefault="00AF3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F5BDA" w:rsidRPr="00FC365D" w:rsidRDefault="003F5BDA">
    <w:pPr>
      <w:suppressAutoHyphens/>
      <w:ind w:firstLine="1080"/>
      <w:rPr>
        <w:rFonts w:ascii="Arial" w:hAnsi="Arial" w:cs="Arial"/>
      </w:rPr>
    </w:pPr>
    <w:r w:rsidRPr="00FC365D">
      <w:rPr>
        <w:rFonts w:ascii="Arial" w:hAnsi="Arial" w:cs="Arial"/>
        <w:b/>
        <w:sz w:val="96"/>
      </w:rPr>
      <w:t>PUBLIC NOTICE</w:t>
    </w:r>
  </w:p>
  <w:p w:rsidR="003F5BDA" w:rsidRDefault="003F5BDA">
    <w:pPr>
      <w:suppressAutoHyphens/>
      <w:rPr>
        <w:rFonts w:ascii="Arial Narrow" w:hAnsi="Arial Narrow"/>
      </w:rPr>
    </w:pP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v:textbox>
            </v:shape>
          </w:pict>
        </mc:Fallback>
      </mc:AlternateContent>
    </w:r>
    <w:r>
      <w:rPr>
        <w:rFonts w:ascii="Arial Narrow" w:hAnsi="Arial Narrow"/>
        <w:b/>
      </w:rPr>
      <w:tab/>
    </w:r>
    <w:r>
      <w:rPr>
        <w:rFonts w:ascii="Arial Narrow" w:hAnsi="Arial Narrow"/>
        <w:b/>
      </w:rPr>
      <w:tab/>
      <w:t>Federal Communications Commission</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F5BDA" w:rsidRDefault="003F5BD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F5BDA" w:rsidRDefault="003F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867871"/>
    <w:multiLevelType w:val="hybridMultilevel"/>
    <w:tmpl w:val="BF0CE232"/>
    <w:lvl w:ilvl="0" w:tplc="DBDAB39C">
      <w:start w:val="1"/>
      <w:numFmt w:val="decimal"/>
      <w:lvlText w:val="%1."/>
      <w:lvlJc w:val="left"/>
      <w:pPr>
        <w:tabs>
          <w:tab w:val="num" w:pos="720"/>
        </w:tabs>
        <w:ind w:left="720" w:hanging="360"/>
      </w:pPr>
    </w:lvl>
    <w:lvl w:ilvl="1" w:tplc="DE201A04" w:tentative="1">
      <w:start w:val="1"/>
      <w:numFmt w:val="lowerLetter"/>
      <w:lvlText w:val="%2."/>
      <w:lvlJc w:val="left"/>
      <w:pPr>
        <w:tabs>
          <w:tab w:val="num" w:pos="1440"/>
        </w:tabs>
        <w:ind w:left="1440" w:hanging="360"/>
      </w:pPr>
    </w:lvl>
    <w:lvl w:ilvl="2" w:tplc="8FAE8102" w:tentative="1">
      <w:start w:val="1"/>
      <w:numFmt w:val="lowerRoman"/>
      <w:lvlText w:val="%3."/>
      <w:lvlJc w:val="right"/>
      <w:pPr>
        <w:tabs>
          <w:tab w:val="num" w:pos="2160"/>
        </w:tabs>
        <w:ind w:left="2160" w:hanging="180"/>
      </w:pPr>
    </w:lvl>
    <w:lvl w:ilvl="3" w:tplc="8EF4A986" w:tentative="1">
      <w:start w:val="1"/>
      <w:numFmt w:val="decimal"/>
      <w:lvlText w:val="%4."/>
      <w:lvlJc w:val="left"/>
      <w:pPr>
        <w:tabs>
          <w:tab w:val="num" w:pos="2880"/>
        </w:tabs>
        <w:ind w:left="2880" w:hanging="360"/>
      </w:pPr>
    </w:lvl>
    <w:lvl w:ilvl="4" w:tplc="F7425F02" w:tentative="1">
      <w:start w:val="1"/>
      <w:numFmt w:val="lowerLetter"/>
      <w:lvlText w:val="%5."/>
      <w:lvlJc w:val="left"/>
      <w:pPr>
        <w:tabs>
          <w:tab w:val="num" w:pos="3600"/>
        </w:tabs>
        <w:ind w:left="3600" w:hanging="360"/>
      </w:pPr>
    </w:lvl>
    <w:lvl w:ilvl="5" w:tplc="22E6122E" w:tentative="1">
      <w:start w:val="1"/>
      <w:numFmt w:val="lowerRoman"/>
      <w:lvlText w:val="%6."/>
      <w:lvlJc w:val="right"/>
      <w:pPr>
        <w:tabs>
          <w:tab w:val="num" w:pos="4320"/>
        </w:tabs>
        <w:ind w:left="4320" w:hanging="180"/>
      </w:pPr>
    </w:lvl>
    <w:lvl w:ilvl="6" w:tplc="C72436B8" w:tentative="1">
      <w:start w:val="1"/>
      <w:numFmt w:val="decimal"/>
      <w:lvlText w:val="%7."/>
      <w:lvlJc w:val="left"/>
      <w:pPr>
        <w:tabs>
          <w:tab w:val="num" w:pos="5040"/>
        </w:tabs>
        <w:ind w:left="5040" w:hanging="360"/>
      </w:pPr>
    </w:lvl>
    <w:lvl w:ilvl="7" w:tplc="B5C610A4" w:tentative="1">
      <w:start w:val="1"/>
      <w:numFmt w:val="lowerLetter"/>
      <w:lvlText w:val="%8."/>
      <w:lvlJc w:val="left"/>
      <w:pPr>
        <w:tabs>
          <w:tab w:val="num" w:pos="5760"/>
        </w:tabs>
        <w:ind w:left="5760" w:hanging="360"/>
      </w:pPr>
    </w:lvl>
    <w:lvl w:ilvl="8" w:tplc="DB3879EE"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2D6667"/>
    <w:multiLevelType w:val="hybridMultilevel"/>
    <w:tmpl w:val="55006EB2"/>
    <w:lvl w:ilvl="0" w:tplc="2C4A7FEA">
      <w:start w:val="1"/>
      <w:numFmt w:val="decimal"/>
      <w:lvlText w:val="%1."/>
      <w:lvlJc w:val="left"/>
      <w:pPr>
        <w:tabs>
          <w:tab w:val="num" w:pos="630"/>
        </w:tabs>
        <w:ind w:left="630" w:hanging="360"/>
      </w:pPr>
      <w:rPr>
        <w:b w:val="0"/>
      </w:rPr>
    </w:lvl>
    <w:lvl w:ilvl="1" w:tplc="987E7D9E" w:tentative="1">
      <w:start w:val="1"/>
      <w:numFmt w:val="lowerLetter"/>
      <w:lvlText w:val="%2."/>
      <w:lvlJc w:val="left"/>
      <w:pPr>
        <w:tabs>
          <w:tab w:val="num" w:pos="1350"/>
        </w:tabs>
        <w:ind w:left="1350" w:hanging="360"/>
      </w:pPr>
    </w:lvl>
    <w:lvl w:ilvl="2" w:tplc="BD9E0870" w:tentative="1">
      <w:start w:val="1"/>
      <w:numFmt w:val="lowerRoman"/>
      <w:lvlText w:val="%3."/>
      <w:lvlJc w:val="right"/>
      <w:pPr>
        <w:tabs>
          <w:tab w:val="num" w:pos="2070"/>
        </w:tabs>
        <w:ind w:left="2070" w:hanging="180"/>
      </w:pPr>
    </w:lvl>
    <w:lvl w:ilvl="3" w:tplc="348C48A8" w:tentative="1">
      <w:start w:val="1"/>
      <w:numFmt w:val="decimal"/>
      <w:lvlText w:val="%4."/>
      <w:lvlJc w:val="left"/>
      <w:pPr>
        <w:tabs>
          <w:tab w:val="num" w:pos="2790"/>
        </w:tabs>
        <w:ind w:left="2790" w:hanging="360"/>
      </w:pPr>
    </w:lvl>
    <w:lvl w:ilvl="4" w:tplc="EA86B0F6" w:tentative="1">
      <w:start w:val="1"/>
      <w:numFmt w:val="lowerLetter"/>
      <w:lvlText w:val="%5."/>
      <w:lvlJc w:val="left"/>
      <w:pPr>
        <w:tabs>
          <w:tab w:val="num" w:pos="3510"/>
        </w:tabs>
        <w:ind w:left="3510" w:hanging="360"/>
      </w:pPr>
    </w:lvl>
    <w:lvl w:ilvl="5" w:tplc="699AD8BA" w:tentative="1">
      <w:start w:val="1"/>
      <w:numFmt w:val="lowerRoman"/>
      <w:lvlText w:val="%6."/>
      <w:lvlJc w:val="right"/>
      <w:pPr>
        <w:tabs>
          <w:tab w:val="num" w:pos="4230"/>
        </w:tabs>
        <w:ind w:left="4230" w:hanging="180"/>
      </w:pPr>
    </w:lvl>
    <w:lvl w:ilvl="6" w:tplc="F14C9690" w:tentative="1">
      <w:start w:val="1"/>
      <w:numFmt w:val="decimal"/>
      <w:lvlText w:val="%7."/>
      <w:lvlJc w:val="left"/>
      <w:pPr>
        <w:tabs>
          <w:tab w:val="num" w:pos="4950"/>
        </w:tabs>
        <w:ind w:left="4950" w:hanging="360"/>
      </w:pPr>
    </w:lvl>
    <w:lvl w:ilvl="7" w:tplc="91A61AEA" w:tentative="1">
      <w:start w:val="1"/>
      <w:numFmt w:val="lowerLetter"/>
      <w:lvlText w:val="%8."/>
      <w:lvlJc w:val="left"/>
      <w:pPr>
        <w:tabs>
          <w:tab w:val="num" w:pos="5670"/>
        </w:tabs>
        <w:ind w:left="5670" w:hanging="360"/>
      </w:pPr>
    </w:lvl>
    <w:lvl w:ilvl="8" w:tplc="FF3C4CCA" w:tentative="1">
      <w:start w:val="1"/>
      <w:numFmt w:val="lowerRoman"/>
      <w:lvlText w:val="%9."/>
      <w:lvlJc w:val="right"/>
      <w:pPr>
        <w:tabs>
          <w:tab w:val="num" w:pos="6390"/>
        </w:tabs>
        <w:ind w:left="639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3DF0DF6"/>
    <w:multiLevelType w:val="hybridMultilevel"/>
    <w:tmpl w:val="79902C04"/>
    <w:lvl w:ilvl="0" w:tplc="01129018">
      <w:start w:val="1"/>
      <w:numFmt w:val="decimal"/>
      <w:lvlText w:val="%1."/>
      <w:lvlJc w:val="left"/>
      <w:pPr>
        <w:tabs>
          <w:tab w:val="num" w:pos="360"/>
        </w:tabs>
        <w:ind w:left="360" w:hanging="360"/>
      </w:pPr>
    </w:lvl>
    <w:lvl w:ilvl="1" w:tplc="73D89BFE" w:tentative="1">
      <w:start w:val="1"/>
      <w:numFmt w:val="lowerLetter"/>
      <w:lvlText w:val="%2."/>
      <w:lvlJc w:val="left"/>
      <w:pPr>
        <w:tabs>
          <w:tab w:val="num" w:pos="1080"/>
        </w:tabs>
        <w:ind w:left="1080" w:hanging="360"/>
      </w:pPr>
    </w:lvl>
    <w:lvl w:ilvl="2" w:tplc="F1889638" w:tentative="1">
      <w:start w:val="1"/>
      <w:numFmt w:val="lowerRoman"/>
      <w:lvlText w:val="%3."/>
      <w:lvlJc w:val="right"/>
      <w:pPr>
        <w:tabs>
          <w:tab w:val="num" w:pos="1800"/>
        </w:tabs>
        <w:ind w:left="1800" w:hanging="180"/>
      </w:pPr>
    </w:lvl>
    <w:lvl w:ilvl="3" w:tplc="7F2C260C" w:tentative="1">
      <w:start w:val="1"/>
      <w:numFmt w:val="decimal"/>
      <w:lvlText w:val="%4."/>
      <w:lvlJc w:val="left"/>
      <w:pPr>
        <w:tabs>
          <w:tab w:val="num" w:pos="2520"/>
        </w:tabs>
        <w:ind w:left="2520" w:hanging="360"/>
      </w:pPr>
    </w:lvl>
    <w:lvl w:ilvl="4" w:tplc="21B45D70" w:tentative="1">
      <w:start w:val="1"/>
      <w:numFmt w:val="lowerLetter"/>
      <w:lvlText w:val="%5."/>
      <w:lvlJc w:val="left"/>
      <w:pPr>
        <w:tabs>
          <w:tab w:val="num" w:pos="3240"/>
        </w:tabs>
        <w:ind w:left="3240" w:hanging="360"/>
      </w:pPr>
    </w:lvl>
    <w:lvl w:ilvl="5" w:tplc="E56E6646" w:tentative="1">
      <w:start w:val="1"/>
      <w:numFmt w:val="lowerRoman"/>
      <w:lvlText w:val="%6."/>
      <w:lvlJc w:val="right"/>
      <w:pPr>
        <w:tabs>
          <w:tab w:val="num" w:pos="3960"/>
        </w:tabs>
        <w:ind w:left="3960" w:hanging="180"/>
      </w:pPr>
    </w:lvl>
    <w:lvl w:ilvl="6" w:tplc="E6BA1B54" w:tentative="1">
      <w:start w:val="1"/>
      <w:numFmt w:val="decimal"/>
      <w:lvlText w:val="%7."/>
      <w:lvlJc w:val="left"/>
      <w:pPr>
        <w:tabs>
          <w:tab w:val="num" w:pos="4680"/>
        </w:tabs>
        <w:ind w:left="4680" w:hanging="360"/>
      </w:pPr>
    </w:lvl>
    <w:lvl w:ilvl="7" w:tplc="BEB48A40" w:tentative="1">
      <w:start w:val="1"/>
      <w:numFmt w:val="lowerLetter"/>
      <w:lvlText w:val="%8."/>
      <w:lvlJc w:val="left"/>
      <w:pPr>
        <w:tabs>
          <w:tab w:val="num" w:pos="5400"/>
        </w:tabs>
        <w:ind w:left="5400" w:hanging="360"/>
      </w:pPr>
    </w:lvl>
    <w:lvl w:ilvl="8" w:tplc="29BEE896" w:tentative="1">
      <w:start w:val="1"/>
      <w:numFmt w:val="lowerRoman"/>
      <w:lvlText w:val="%9."/>
      <w:lvlJc w:val="right"/>
      <w:pPr>
        <w:tabs>
          <w:tab w:val="num" w:pos="6120"/>
        </w:tabs>
        <w:ind w:left="6120" w:hanging="180"/>
      </w:pPr>
    </w:lvl>
  </w:abstractNum>
  <w:abstractNum w:abstractNumId="13">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7"/>
  </w:num>
  <w:num w:numId="31">
    <w:abstractNumId w:val="13"/>
  </w:num>
  <w:num w:numId="32">
    <w:abstractNumId w:val="9"/>
  </w:num>
  <w:num w:numId="33">
    <w:abstractNumId w:val="12"/>
  </w:num>
  <w:num w:numId="34">
    <w:abstractNumId w:val="2"/>
  </w:num>
  <w:num w:numId="35">
    <w:abstractNumId w:val="10"/>
  </w:num>
  <w:num w:numId="36">
    <w:abstractNumId w:val="8"/>
  </w:num>
  <w:num w:numId="37">
    <w:abstractNumId w:val="5"/>
  </w:num>
  <w:num w:numId="38">
    <w:abstractNumId w:val="6"/>
  </w:num>
  <w:num w:numId="39">
    <w:abstractNumId w:val="15"/>
  </w:num>
  <w:num w:numId="40">
    <w:abstractNumId w:val="1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4"/>
    <w:rsid w:val="00070AA3"/>
    <w:rsid w:val="00072E51"/>
    <w:rsid w:val="000F6F61"/>
    <w:rsid w:val="0011184A"/>
    <w:rsid w:val="001313DF"/>
    <w:rsid w:val="001502AB"/>
    <w:rsid w:val="001741A2"/>
    <w:rsid w:val="00193AC3"/>
    <w:rsid w:val="00193AD9"/>
    <w:rsid w:val="001A2900"/>
    <w:rsid w:val="001D3B79"/>
    <w:rsid w:val="001E0491"/>
    <w:rsid w:val="001E2194"/>
    <w:rsid w:val="001F35A7"/>
    <w:rsid w:val="002021D9"/>
    <w:rsid w:val="002031AA"/>
    <w:rsid w:val="002332AE"/>
    <w:rsid w:val="00240FE7"/>
    <w:rsid w:val="00245958"/>
    <w:rsid w:val="0025758D"/>
    <w:rsid w:val="002660CA"/>
    <w:rsid w:val="002713ED"/>
    <w:rsid w:val="00274BFF"/>
    <w:rsid w:val="00280C79"/>
    <w:rsid w:val="002864AB"/>
    <w:rsid w:val="002A190A"/>
    <w:rsid w:val="002F1DB3"/>
    <w:rsid w:val="0031424C"/>
    <w:rsid w:val="003262F8"/>
    <w:rsid w:val="00332A75"/>
    <w:rsid w:val="00337F45"/>
    <w:rsid w:val="00386CC8"/>
    <w:rsid w:val="003A6F7F"/>
    <w:rsid w:val="003B0DA1"/>
    <w:rsid w:val="003F5BDA"/>
    <w:rsid w:val="003F65D3"/>
    <w:rsid w:val="0042036A"/>
    <w:rsid w:val="004307A1"/>
    <w:rsid w:val="00431FEE"/>
    <w:rsid w:val="004329A8"/>
    <w:rsid w:val="0043525F"/>
    <w:rsid w:val="00442A5B"/>
    <w:rsid w:val="0046465E"/>
    <w:rsid w:val="00482113"/>
    <w:rsid w:val="0048479A"/>
    <w:rsid w:val="004A430F"/>
    <w:rsid w:val="004E3E49"/>
    <w:rsid w:val="0051444D"/>
    <w:rsid w:val="00516A52"/>
    <w:rsid w:val="0055115C"/>
    <w:rsid w:val="00561368"/>
    <w:rsid w:val="00582863"/>
    <w:rsid w:val="005A034B"/>
    <w:rsid w:val="005B45F7"/>
    <w:rsid w:val="005C2E3A"/>
    <w:rsid w:val="005C699D"/>
    <w:rsid w:val="005D06B7"/>
    <w:rsid w:val="005D65C6"/>
    <w:rsid w:val="00613D3A"/>
    <w:rsid w:val="006539D4"/>
    <w:rsid w:val="00662087"/>
    <w:rsid w:val="00676FF9"/>
    <w:rsid w:val="006A1653"/>
    <w:rsid w:val="006B306A"/>
    <w:rsid w:val="006E1B37"/>
    <w:rsid w:val="006E676D"/>
    <w:rsid w:val="006F03B1"/>
    <w:rsid w:val="00737A33"/>
    <w:rsid w:val="00753D9B"/>
    <w:rsid w:val="00766E9D"/>
    <w:rsid w:val="00790772"/>
    <w:rsid w:val="00792D42"/>
    <w:rsid w:val="007B0B83"/>
    <w:rsid w:val="007C516C"/>
    <w:rsid w:val="007D7028"/>
    <w:rsid w:val="00811BE9"/>
    <w:rsid w:val="00811DEC"/>
    <w:rsid w:val="008156B7"/>
    <w:rsid w:val="00832582"/>
    <w:rsid w:val="00861A39"/>
    <w:rsid w:val="00882966"/>
    <w:rsid w:val="008926F3"/>
    <w:rsid w:val="008B1ED5"/>
    <w:rsid w:val="008D10DE"/>
    <w:rsid w:val="008F0F3A"/>
    <w:rsid w:val="009228DB"/>
    <w:rsid w:val="00923B0D"/>
    <w:rsid w:val="00962B06"/>
    <w:rsid w:val="00976A0D"/>
    <w:rsid w:val="009C18B5"/>
    <w:rsid w:val="009D4F92"/>
    <w:rsid w:val="009D575C"/>
    <w:rsid w:val="00A03AFB"/>
    <w:rsid w:val="00A053DD"/>
    <w:rsid w:val="00A51FFF"/>
    <w:rsid w:val="00A54227"/>
    <w:rsid w:val="00AB3613"/>
    <w:rsid w:val="00AC4D23"/>
    <w:rsid w:val="00AD00CB"/>
    <w:rsid w:val="00AD15CC"/>
    <w:rsid w:val="00AE5BD8"/>
    <w:rsid w:val="00AF3BA2"/>
    <w:rsid w:val="00B07540"/>
    <w:rsid w:val="00B27B33"/>
    <w:rsid w:val="00B4654A"/>
    <w:rsid w:val="00B62906"/>
    <w:rsid w:val="00B90FC6"/>
    <w:rsid w:val="00B92219"/>
    <w:rsid w:val="00B96B1D"/>
    <w:rsid w:val="00BB2182"/>
    <w:rsid w:val="00BB5ACF"/>
    <w:rsid w:val="00BD28C4"/>
    <w:rsid w:val="00BD7F40"/>
    <w:rsid w:val="00BF72C0"/>
    <w:rsid w:val="00C0202D"/>
    <w:rsid w:val="00C17424"/>
    <w:rsid w:val="00C17675"/>
    <w:rsid w:val="00C25DD3"/>
    <w:rsid w:val="00C30043"/>
    <w:rsid w:val="00C519D4"/>
    <w:rsid w:val="00C54A49"/>
    <w:rsid w:val="00C627C4"/>
    <w:rsid w:val="00C63F47"/>
    <w:rsid w:val="00C65CB5"/>
    <w:rsid w:val="00C713CC"/>
    <w:rsid w:val="00C85D84"/>
    <w:rsid w:val="00C922CA"/>
    <w:rsid w:val="00CA2B5D"/>
    <w:rsid w:val="00CB77F1"/>
    <w:rsid w:val="00CD208C"/>
    <w:rsid w:val="00CE1B11"/>
    <w:rsid w:val="00D002F7"/>
    <w:rsid w:val="00D1029A"/>
    <w:rsid w:val="00D2187C"/>
    <w:rsid w:val="00D62A9F"/>
    <w:rsid w:val="00DE584A"/>
    <w:rsid w:val="00E00BB1"/>
    <w:rsid w:val="00E073A7"/>
    <w:rsid w:val="00E15246"/>
    <w:rsid w:val="00E52006"/>
    <w:rsid w:val="00E6043D"/>
    <w:rsid w:val="00E60CA9"/>
    <w:rsid w:val="00E65229"/>
    <w:rsid w:val="00E815C0"/>
    <w:rsid w:val="00E85381"/>
    <w:rsid w:val="00E90E75"/>
    <w:rsid w:val="00E95A59"/>
    <w:rsid w:val="00EB7B82"/>
    <w:rsid w:val="00EE199A"/>
    <w:rsid w:val="00F0706E"/>
    <w:rsid w:val="00F10037"/>
    <w:rsid w:val="00F41498"/>
    <w:rsid w:val="00F90C6E"/>
    <w:rsid w:val="00FA022E"/>
    <w:rsid w:val="00FA4A1D"/>
    <w:rsid w:val="00FA56B2"/>
    <w:rsid w:val="00FB2FE2"/>
    <w:rsid w:val="00FC3214"/>
    <w:rsid w:val="00FC365D"/>
    <w:rsid w:val="00FD2C22"/>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 w:type="character" w:customStyle="1" w:styleId="copinpointicon">
    <w:name w:val="co_pinpointicon"/>
    <w:basedOn w:val="DefaultParagraphFont"/>
    <w:rsid w:val="00DE584A"/>
  </w:style>
  <w:style w:type="character" w:customStyle="1" w:styleId="cosearchterm">
    <w:name w:val="co_searchterm"/>
    <w:basedOn w:val="DefaultParagraphFont"/>
    <w:rsid w:val="00DE5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 w:type="character" w:customStyle="1" w:styleId="copinpointicon">
    <w:name w:val="co_pinpointicon"/>
    <w:basedOn w:val="DefaultParagraphFont"/>
    <w:rsid w:val="00DE584A"/>
  </w:style>
  <w:style w:type="character" w:customStyle="1" w:styleId="cosearchterm">
    <w:name w:val="co_searchterm"/>
    <w:basedOn w:val="DefaultParagraphFont"/>
    <w:rsid w:val="00DE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CharactersWithSpaces>
  <SharedDoc>false</SharedDoc>
  <HyperlinkBase> </HyperlinkBase>
  <HLinks>
    <vt:vector size="12" baseType="variant">
      <vt:variant>
        <vt:i4>6553695</vt:i4>
      </vt:variant>
      <vt:variant>
        <vt:i4>3</vt:i4>
      </vt:variant>
      <vt:variant>
        <vt:i4>0</vt:i4>
      </vt:variant>
      <vt:variant>
        <vt:i4>5</vt:i4>
      </vt:variant>
      <vt:variant>
        <vt:lpwstr>mailto:fccebaccess@fcc.gov</vt:lpwstr>
      </vt:variant>
      <vt:variant>
        <vt:lpwstr/>
      </vt: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2011-05-23T21:27:00Z</cp:lastPrinted>
  <dcterms:created xsi:type="dcterms:W3CDTF">2016-05-26T18:42:00Z</dcterms:created>
  <dcterms:modified xsi:type="dcterms:W3CDTF">2016-05-26T18:42:00Z</dcterms:modified>
  <cp:category> </cp:category>
  <cp:contentStatus> </cp:contentStatus>
</cp:coreProperties>
</file>