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94A72" w14:textId="77777777" w:rsidR="00F84BCA" w:rsidRPr="001009B7" w:rsidRDefault="00F84BCA" w:rsidP="00F84BCA">
      <w:pPr>
        <w:jc w:val="center"/>
        <w:rPr>
          <w:b/>
          <w:szCs w:val="22"/>
        </w:rPr>
      </w:pPr>
      <w:bookmarkStart w:id="0" w:name="_GoBack"/>
      <w:bookmarkEnd w:id="0"/>
      <w:r w:rsidRPr="001009B7">
        <w:rPr>
          <w:b/>
          <w:kern w:val="0"/>
          <w:szCs w:val="22"/>
        </w:rPr>
        <w:t>Before</w:t>
      </w:r>
      <w:r w:rsidRPr="001009B7">
        <w:rPr>
          <w:b/>
          <w:szCs w:val="22"/>
        </w:rPr>
        <w:t xml:space="preserve"> the</w:t>
      </w:r>
    </w:p>
    <w:p w14:paraId="3E29EF73" w14:textId="77777777" w:rsidR="00F84BCA" w:rsidRPr="001009B7" w:rsidRDefault="00F84BCA" w:rsidP="00F84BCA">
      <w:pPr>
        <w:pStyle w:val="StyleBoldCentered"/>
        <w:rPr>
          <w:rFonts w:ascii="Times New Roman" w:hAnsi="Times New Roman"/>
        </w:rPr>
      </w:pPr>
      <w:r w:rsidRPr="001009B7">
        <w:rPr>
          <w:rFonts w:ascii="Times New Roman" w:hAnsi="Times New Roman"/>
        </w:rPr>
        <w:t>F</w:t>
      </w:r>
      <w:r w:rsidRPr="001009B7">
        <w:rPr>
          <w:rFonts w:ascii="Times New Roman" w:hAnsi="Times New Roman"/>
          <w:caps w:val="0"/>
        </w:rPr>
        <w:t>ederal Communications Commission</w:t>
      </w:r>
    </w:p>
    <w:p w14:paraId="69D3F3B4" w14:textId="5A06C85E" w:rsidR="00F84BCA" w:rsidRPr="001009B7" w:rsidRDefault="00F84BCA" w:rsidP="00F84BCA">
      <w:pPr>
        <w:pStyle w:val="StyleBoldCentered"/>
        <w:rPr>
          <w:rFonts w:ascii="Times New Roman" w:hAnsi="Times New Roman"/>
        </w:rPr>
      </w:pPr>
      <w:r w:rsidRPr="001009B7">
        <w:rPr>
          <w:rFonts w:ascii="Times New Roman" w:hAnsi="Times New Roman"/>
          <w:caps w:val="0"/>
        </w:rPr>
        <w:t>Washington, DC 20554</w:t>
      </w:r>
    </w:p>
    <w:p w14:paraId="033933EF" w14:textId="77777777" w:rsidR="00F84BCA" w:rsidRPr="001009B7" w:rsidRDefault="00F84BCA" w:rsidP="00F84BCA">
      <w:pPr>
        <w:rPr>
          <w:szCs w:val="22"/>
        </w:rPr>
      </w:pPr>
    </w:p>
    <w:tbl>
      <w:tblPr>
        <w:tblW w:w="0" w:type="auto"/>
        <w:tblLayout w:type="fixed"/>
        <w:tblLook w:val="0000" w:firstRow="0" w:lastRow="0" w:firstColumn="0" w:lastColumn="0" w:noHBand="0" w:noVBand="0"/>
      </w:tblPr>
      <w:tblGrid>
        <w:gridCol w:w="4698"/>
        <w:gridCol w:w="630"/>
        <w:gridCol w:w="4248"/>
      </w:tblGrid>
      <w:tr w:rsidR="00ED5746" w:rsidRPr="001009B7" w14:paraId="092E4E3A" w14:textId="77777777" w:rsidTr="005124C7">
        <w:tc>
          <w:tcPr>
            <w:tcW w:w="4698" w:type="dxa"/>
          </w:tcPr>
          <w:p w14:paraId="69708E7F" w14:textId="77777777" w:rsidR="00ED5746" w:rsidRPr="001009B7" w:rsidRDefault="00ED5746" w:rsidP="005124C7">
            <w:pPr>
              <w:tabs>
                <w:tab w:val="center" w:pos="4680"/>
              </w:tabs>
              <w:suppressAutoHyphens/>
              <w:rPr>
                <w:spacing w:val="-2"/>
                <w:szCs w:val="22"/>
              </w:rPr>
            </w:pPr>
            <w:r w:rsidRPr="001009B7">
              <w:rPr>
                <w:spacing w:val="-2"/>
                <w:szCs w:val="22"/>
              </w:rPr>
              <w:t>In the Matter of</w:t>
            </w:r>
          </w:p>
          <w:p w14:paraId="1E177E1F" w14:textId="77777777" w:rsidR="00ED5746" w:rsidRPr="001009B7" w:rsidRDefault="00ED5746" w:rsidP="005124C7">
            <w:pPr>
              <w:tabs>
                <w:tab w:val="left" w:pos="360"/>
                <w:tab w:val="center" w:pos="4680"/>
                <w:tab w:val="right" w:leader="dot" w:pos="9360"/>
              </w:tabs>
              <w:suppressAutoHyphens/>
              <w:ind w:left="360" w:right="720" w:hanging="360"/>
              <w:rPr>
                <w:spacing w:val="-2"/>
                <w:szCs w:val="22"/>
              </w:rPr>
            </w:pPr>
          </w:p>
          <w:p w14:paraId="055596A3" w14:textId="72A026C6" w:rsidR="00ED5746" w:rsidRPr="001009B7" w:rsidRDefault="001009B7" w:rsidP="00AA4B16">
            <w:pPr>
              <w:autoSpaceDE w:val="0"/>
              <w:autoSpaceDN w:val="0"/>
              <w:adjustRightInd w:val="0"/>
              <w:rPr>
                <w:szCs w:val="22"/>
              </w:rPr>
            </w:pPr>
            <w:r w:rsidRPr="001009B7">
              <w:rPr>
                <w:rFonts w:eastAsiaTheme="minorHAnsi"/>
                <w:color w:val="000000" w:themeColor="text1"/>
                <w:spacing w:val="-2"/>
                <w:szCs w:val="22"/>
              </w:rPr>
              <w:t>Icom America, Inc.</w:t>
            </w:r>
          </w:p>
        </w:tc>
        <w:tc>
          <w:tcPr>
            <w:tcW w:w="630" w:type="dxa"/>
          </w:tcPr>
          <w:p w14:paraId="4E626BFF" w14:textId="77777777" w:rsidR="00ED5746" w:rsidRPr="001009B7" w:rsidRDefault="00ED5746" w:rsidP="005124C7">
            <w:pPr>
              <w:tabs>
                <w:tab w:val="center" w:pos="4680"/>
              </w:tabs>
              <w:suppressAutoHyphens/>
              <w:rPr>
                <w:b/>
                <w:spacing w:val="-2"/>
                <w:szCs w:val="22"/>
              </w:rPr>
            </w:pPr>
            <w:r w:rsidRPr="001009B7">
              <w:rPr>
                <w:b/>
                <w:spacing w:val="-2"/>
                <w:szCs w:val="22"/>
              </w:rPr>
              <w:t>)</w:t>
            </w:r>
          </w:p>
          <w:p w14:paraId="30D6019C" w14:textId="77777777" w:rsidR="00ED5746" w:rsidRPr="001009B7" w:rsidRDefault="00ED5746" w:rsidP="005124C7">
            <w:pPr>
              <w:tabs>
                <w:tab w:val="center" w:pos="4680"/>
              </w:tabs>
              <w:suppressAutoHyphens/>
              <w:rPr>
                <w:b/>
                <w:spacing w:val="-2"/>
                <w:szCs w:val="22"/>
              </w:rPr>
            </w:pPr>
            <w:r w:rsidRPr="001009B7">
              <w:rPr>
                <w:b/>
                <w:spacing w:val="-2"/>
                <w:szCs w:val="22"/>
              </w:rPr>
              <w:t>)</w:t>
            </w:r>
          </w:p>
          <w:p w14:paraId="1D088DB3" w14:textId="77777777" w:rsidR="00ED5746" w:rsidRPr="001009B7" w:rsidRDefault="00ED5746" w:rsidP="005124C7">
            <w:pPr>
              <w:tabs>
                <w:tab w:val="center" w:pos="4680"/>
              </w:tabs>
              <w:suppressAutoHyphens/>
              <w:rPr>
                <w:b/>
                <w:spacing w:val="-2"/>
                <w:szCs w:val="22"/>
              </w:rPr>
            </w:pPr>
            <w:r w:rsidRPr="001009B7">
              <w:rPr>
                <w:b/>
                <w:spacing w:val="-2"/>
                <w:szCs w:val="22"/>
              </w:rPr>
              <w:t>)</w:t>
            </w:r>
          </w:p>
          <w:p w14:paraId="6C30BF33" w14:textId="77777777" w:rsidR="00ED5746" w:rsidRPr="001009B7" w:rsidRDefault="00ED5746" w:rsidP="005124C7">
            <w:pPr>
              <w:tabs>
                <w:tab w:val="center" w:pos="4680"/>
              </w:tabs>
              <w:suppressAutoHyphens/>
              <w:rPr>
                <w:b/>
                <w:spacing w:val="-2"/>
                <w:szCs w:val="22"/>
              </w:rPr>
            </w:pPr>
            <w:r w:rsidRPr="001009B7">
              <w:rPr>
                <w:b/>
                <w:spacing w:val="-2"/>
                <w:szCs w:val="22"/>
              </w:rPr>
              <w:t>)</w:t>
            </w:r>
          </w:p>
          <w:p w14:paraId="25240A0E" w14:textId="77777777" w:rsidR="00ED5746" w:rsidRPr="001009B7" w:rsidRDefault="00ED5746" w:rsidP="005124C7">
            <w:pPr>
              <w:tabs>
                <w:tab w:val="center" w:pos="4680"/>
              </w:tabs>
              <w:suppressAutoHyphens/>
              <w:rPr>
                <w:b/>
                <w:spacing w:val="-2"/>
                <w:szCs w:val="22"/>
              </w:rPr>
            </w:pPr>
            <w:r w:rsidRPr="001009B7">
              <w:rPr>
                <w:b/>
                <w:spacing w:val="-2"/>
                <w:szCs w:val="22"/>
              </w:rPr>
              <w:t>)</w:t>
            </w:r>
          </w:p>
          <w:p w14:paraId="72A27E98" w14:textId="77777777" w:rsidR="00ED5746" w:rsidRPr="001009B7" w:rsidRDefault="00ED5746" w:rsidP="005124C7">
            <w:pPr>
              <w:tabs>
                <w:tab w:val="center" w:pos="4680"/>
              </w:tabs>
              <w:suppressAutoHyphens/>
              <w:rPr>
                <w:b/>
                <w:spacing w:val="-2"/>
                <w:szCs w:val="22"/>
              </w:rPr>
            </w:pPr>
            <w:r w:rsidRPr="001009B7">
              <w:rPr>
                <w:b/>
                <w:spacing w:val="-2"/>
                <w:szCs w:val="22"/>
              </w:rPr>
              <w:t>)</w:t>
            </w:r>
          </w:p>
          <w:p w14:paraId="5EDF804F" w14:textId="77777777" w:rsidR="00ED5746" w:rsidRPr="001009B7" w:rsidRDefault="00ED5746" w:rsidP="005124C7">
            <w:pPr>
              <w:tabs>
                <w:tab w:val="center" w:pos="4680"/>
              </w:tabs>
              <w:suppressAutoHyphens/>
              <w:rPr>
                <w:b/>
                <w:spacing w:val="-2"/>
                <w:szCs w:val="22"/>
              </w:rPr>
            </w:pPr>
            <w:r w:rsidRPr="001009B7">
              <w:rPr>
                <w:b/>
                <w:spacing w:val="-2"/>
                <w:szCs w:val="22"/>
              </w:rPr>
              <w:t>)</w:t>
            </w:r>
          </w:p>
          <w:p w14:paraId="693E72AD" w14:textId="0302AFE7" w:rsidR="00ED5746" w:rsidRPr="001009B7" w:rsidRDefault="00ED5746" w:rsidP="005124C7">
            <w:pPr>
              <w:tabs>
                <w:tab w:val="center" w:pos="4680"/>
              </w:tabs>
              <w:suppressAutoHyphens/>
              <w:rPr>
                <w:b/>
                <w:spacing w:val="-2"/>
                <w:szCs w:val="22"/>
              </w:rPr>
            </w:pPr>
          </w:p>
        </w:tc>
        <w:tc>
          <w:tcPr>
            <w:tcW w:w="4248" w:type="dxa"/>
          </w:tcPr>
          <w:p w14:paraId="05719545" w14:textId="77777777" w:rsidR="00E44AC6" w:rsidRPr="001009B7" w:rsidRDefault="00E44AC6" w:rsidP="005124C7">
            <w:pPr>
              <w:tabs>
                <w:tab w:val="center" w:pos="4680"/>
              </w:tabs>
              <w:suppressAutoHyphens/>
              <w:ind w:left="432"/>
              <w:rPr>
                <w:spacing w:val="-2"/>
                <w:szCs w:val="22"/>
              </w:rPr>
            </w:pPr>
          </w:p>
          <w:p w14:paraId="71783AD3" w14:textId="77777777" w:rsidR="00E44AC6" w:rsidRPr="001009B7" w:rsidRDefault="00E44AC6" w:rsidP="005124C7">
            <w:pPr>
              <w:tabs>
                <w:tab w:val="center" w:pos="4680"/>
              </w:tabs>
              <w:suppressAutoHyphens/>
              <w:ind w:left="432"/>
              <w:rPr>
                <w:spacing w:val="-2"/>
                <w:szCs w:val="22"/>
              </w:rPr>
            </w:pPr>
          </w:p>
          <w:p w14:paraId="1886EDF4" w14:textId="77777777" w:rsidR="001009B7" w:rsidRPr="001009B7" w:rsidRDefault="001009B7" w:rsidP="001009B7">
            <w:pPr>
              <w:tabs>
                <w:tab w:val="center" w:pos="4680"/>
              </w:tabs>
              <w:suppressAutoHyphens/>
              <w:ind w:left="432"/>
              <w:rPr>
                <w:spacing w:val="-2"/>
                <w:szCs w:val="22"/>
              </w:rPr>
            </w:pPr>
            <w:r w:rsidRPr="001009B7">
              <w:rPr>
                <w:rFonts w:eastAsiaTheme="minorHAnsi"/>
                <w:spacing w:val="-2"/>
                <w:szCs w:val="22"/>
              </w:rPr>
              <w:t>File No.:  EB-SED-14-00017535</w:t>
            </w:r>
          </w:p>
          <w:p w14:paraId="0B637745" w14:textId="69C27F37" w:rsidR="001009B7" w:rsidRPr="001009B7" w:rsidRDefault="001009B7" w:rsidP="001009B7">
            <w:pPr>
              <w:ind w:left="432"/>
              <w:rPr>
                <w:spacing w:val="-2"/>
                <w:szCs w:val="22"/>
              </w:rPr>
            </w:pPr>
            <w:r w:rsidRPr="001009B7">
              <w:rPr>
                <w:rFonts w:eastAsiaTheme="minorHAnsi"/>
                <w:spacing w:val="-2"/>
                <w:szCs w:val="22"/>
              </w:rPr>
              <w:t xml:space="preserve">Acct. No.:  </w:t>
            </w:r>
            <w:r w:rsidR="00756B5B" w:rsidRPr="00282AE2">
              <w:rPr>
                <w:szCs w:val="22"/>
              </w:rPr>
              <w:t>201632100006</w:t>
            </w:r>
          </w:p>
          <w:p w14:paraId="1DACCC82" w14:textId="01E34C71" w:rsidR="00ED5746" w:rsidRPr="001009B7" w:rsidRDefault="001009B7" w:rsidP="001009B7">
            <w:pPr>
              <w:tabs>
                <w:tab w:val="center" w:pos="4680"/>
              </w:tabs>
              <w:suppressAutoHyphens/>
              <w:ind w:left="432"/>
              <w:rPr>
                <w:snapToGrid/>
                <w:spacing w:val="-2"/>
                <w:szCs w:val="22"/>
              </w:rPr>
            </w:pPr>
            <w:r w:rsidRPr="001009B7">
              <w:rPr>
                <w:rFonts w:eastAsiaTheme="minorHAnsi"/>
                <w:szCs w:val="22"/>
              </w:rPr>
              <w:t>FRN:  0005855366</w:t>
            </w:r>
          </w:p>
        </w:tc>
      </w:tr>
    </w:tbl>
    <w:p w14:paraId="378D8910" w14:textId="115C29C1" w:rsidR="00F84BCA" w:rsidRPr="001009B7" w:rsidRDefault="00F84BCA" w:rsidP="00AA4B16">
      <w:pPr>
        <w:jc w:val="center"/>
        <w:outlineLvl w:val="0"/>
        <w:rPr>
          <w:b/>
          <w:szCs w:val="22"/>
        </w:rPr>
      </w:pPr>
      <w:r w:rsidRPr="001009B7">
        <w:rPr>
          <w:b/>
          <w:szCs w:val="22"/>
        </w:rPr>
        <w:t>ORDER</w:t>
      </w:r>
    </w:p>
    <w:p w14:paraId="4BD00AA5" w14:textId="77777777" w:rsidR="00F84BCA" w:rsidRPr="001009B7" w:rsidRDefault="00F84BCA" w:rsidP="00AA4B16">
      <w:pPr>
        <w:tabs>
          <w:tab w:val="left" w:pos="-720"/>
        </w:tabs>
        <w:suppressAutoHyphens/>
        <w:spacing w:line="227" w:lineRule="auto"/>
        <w:rPr>
          <w:spacing w:val="-2"/>
          <w:szCs w:val="22"/>
        </w:rPr>
      </w:pPr>
    </w:p>
    <w:p w14:paraId="073541FF" w14:textId="43B802CC" w:rsidR="00F84BCA" w:rsidRPr="001009B7" w:rsidRDefault="00F84BCA" w:rsidP="00F84BCA">
      <w:pPr>
        <w:tabs>
          <w:tab w:val="left" w:pos="720"/>
          <w:tab w:val="right" w:pos="9360"/>
        </w:tabs>
        <w:suppressAutoHyphens/>
        <w:spacing w:line="227" w:lineRule="auto"/>
        <w:rPr>
          <w:spacing w:val="-2"/>
          <w:szCs w:val="22"/>
        </w:rPr>
      </w:pPr>
      <w:r w:rsidRPr="001009B7">
        <w:rPr>
          <w:b/>
          <w:spacing w:val="-2"/>
          <w:szCs w:val="22"/>
        </w:rPr>
        <w:t xml:space="preserve">Adopted:  </w:t>
      </w:r>
      <w:r w:rsidR="006866C8">
        <w:rPr>
          <w:b/>
          <w:spacing w:val="-2"/>
          <w:szCs w:val="22"/>
        </w:rPr>
        <w:t>June 21</w:t>
      </w:r>
      <w:r w:rsidR="00A9084A">
        <w:rPr>
          <w:b/>
          <w:spacing w:val="-2"/>
          <w:szCs w:val="22"/>
        </w:rPr>
        <w:t>, 2016</w:t>
      </w:r>
      <w:r w:rsidRPr="001009B7">
        <w:rPr>
          <w:b/>
          <w:spacing w:val="-2"/>
          <w:szCs w:val="22"/>
        </w:rPr>
        <w:tab/>
        <w:t xml:space="preserve">Released:  </w:t>
      </w:r>
      <w:r w:rsidR="006866C8">
        <w:rPr>
          <w:b/>
          <w:spacing w:val="-2"/>
          <w:szCs w:val="22"/>
        </w:rPr>
        <w:t>June 21</w:t>
      </w:r>
      <w:r w:rsidR="00A9084A">
        <w:rPr>
          <w:b/>
          <w:spacing w:val="-2"/>
          <w:szCs w:val="22"/>
        </w:rPr>
        <w:t>, 2016</w:t>
      </w:r>
    </w:p>
    <w:p w14:paraId="21319640" w14:textId="77777777" w:rsidR="00F84BCA" w:rsidRPr="001009B7" w:rsidRDefault="00F84BCA" w:rsidP="00F84BCA">
      <w:pPr>
        <w:rPr>
          <w:szCs w:val="22"/>
        </w:rPr>
      </w:pPr>
    </w:p>
    <w:p w14:paraId="065DDB16" w14:textId="4B258A26" w:rsidR="00F84BCA" w:rsidRPr="001009B7" w:rsidRDefault="00D42D5D" w:rsidP="00F84BCA">
      <w:pPr>
        <w:rPr>
          <w:spacing w:val="-2"/>
          <w:szCs w:val="22"/>
        </w:rPr>
      </w:pPr>
      <w:r w:rsidRPr="001009B7">
        <w:rPr>
          <w:spacing w:val="-2"/>
          <w:szCs w:val="22"/>
        </w:rPr>
        <w:t xml:space="preserve">By the </w:t>
      </w:r>
      <w:r w:rsidR="00F84BCA" w:rsidRPr="001009B7">
        <w:rPr>
          <w:spacing w:val="-2"/>
          <w:szCs w:val="22"/>
        </w:rPr>
        <w:t>Chief, Enforcement Bureau:</w:t>
      </w:r>
    </w:p>
    <w:p w14:paraId="59AA998E" w14:textId="77777777" w:rsidR="00F84BCA" w:rsidRPr="001009B7" w:rsidRDefault="00F84BCA" w:rsidP="00F84BCA">
      <w:pPr>
        <w:rPr>
          <w:szCs w:val="22"/>
        </w:rPr>
      </w:pPr>
    </w:p>
    <w:p w14:paraId="00D1D021" w14:textId="1F429499" w:rsidR="00F84BCA" w:rsidRPr="001009B7" w:rsidRDefault="00B277A4" w:rsidP="00F66D35">
      <w:pPr>
        <w:pStyle w:val="ParaNum0"/>
        <w:numPr>
          <w:ilvl w:val="0"/>
          <w:numId w:val="4"/>
        </w:numPr>
        <w:tabs>
          <w:tab w:val="clear" w:pos="1080"/>
        </w:tabs>
        <w:rPr>
          <w:color w:val="000000"/>
          <w:szCs w:val="22"/>
        </w:rPr>
      </w:pPr>
      <w:r w:rsidRPr="001009B7">
        <w:rPr>
          <w:szCs w:val="22"/>
        </w:rPr>
        <w:t>T</w:t>
      </w:r>
      <w:r w:rsidR="00F84BCA" w:rsidRPr="001009B7">
        <w:rPr>
          <w:szCs w:val="22"/>
        </w:rPr>
        <w:t xml:space="preserve">he Enforcement Bureau (Bureau) </w:t>
      </w:r>
      <w:r w:rsidRPr="001009B7">
        <w:rPr>
          <w:szCs w:val="22"/>
        </w:rPr>
        <w:t>of the Federal Communications Commission has entered into a Consent Decree to resolve its investigation into whether</w:t>
      </w:r>
      <w:r w:rsidR="00E87831" w:rsidRPr="001009B7">
        <w:rPr>
          <w:szCs w:val="22"/>
        </w:rPr>
        <w:t xml:space="preserve"> </w:t>
      </w:r>
      <w:r w:rsidR="007A36D0" w:rsidRPr="002673F1">
        <w:t>Icom America, Inc.,</w:t>
      </w:r>
      <w:r w:rsidR="007A36D0" w:rsidRPr="00981F23">
        <w:t xml:space="preserve"> </w:t>
      </w:r>
      <w:r w:rsidR="007A36D0">
        <w:t>(Icom</w:t>
      </w:r>
      <w:r w:rsidR="007A36D0" w:rsidRPr="00981F23">
        <w:t>)</w:t>
      </w:r>
      <w:r w:rsidR="007A36D0" w:rsidRPr="001009B7">
        <w:rPr>
          <w:szCs w:val="22"/>
        </w:rPr>
        <w:t xml:space="preserve"> </w:t>
      </w:r>
      <w:r w:rsidR="007A36D0">
        <w:rPr>
          <w:szCs w:val="22"/>
        </w:rPr>
        <w:t xml:space="preserve">imported and sold marine radios in the United States that did not </w:t>
      </w:r>
      <w:r w:rsidR="007E7447">
        <w:rPr>
          <w:szCs w:val="22"/>
        </w:rPr>
        <w:t>include</w:t>
      </w:r>
      <w:r w:rsidR="007E7447" w:rsidRPr="00681C6A">
        <w:t xml:space="preserve"> all the </w:t>
      </w:r>
      <w:r w:rsidR="00B27507">
        <w:rPr>
          <w:szCs w:val="22"/>
        </w:rPr>
        <w:t xml:space="preserve">public safety </w:t>
      </w:r>
      <w:r w:rsidR="007E7447">
        <w:rPr>
          <w:szCs w:val="22"/>
        </w:rPr>
        <w:t>features required by</w:t>
      </w:r>
      <w:r w:rsidR="007E7447" w:rsidRPr="00681C6A">
        <w:t xml:space="preserve"> </w:t>
      </w:r>
      <w:r w:rsidR="00900C7E" w:rsidRPr="0090587C">
        <w:rPr>
          <w:color w:val="000000"/>
          <w:szCs w:val="22"/>
        </w:rPr>
        <w:t xml:space="preserve">the </w:t>
      </w:r>
      <w:r w:rsidR="00900C7E" w:rsidRPr="00681C6A">
        <w:t>Commission’s</w:t>
      </w:r>
      <w:r w:rsidR="00900C7E" w:rsidRPr="0090587C">
        <w:rPr>
          <w:color w:val="000000"/>
          <w:szCs w:val="22"/>
        </w:rPr>
        <w:t xml:space="preserve"> </w:t>
      </w:r>
      <w:r w:rsidR="00900C7E">
        <w:rPr>
          <w:color w:val="000000"/>
          <w:szCs w:val="22"/>
        </w:rPr>
        <w:t>r</w:t>
      </w:r>
      <w:r w:rsidR="00900C7E" w:rsidRPr="0090587C">
        <w:rPr>
          <w:color w:val="000000"/>
          <w:szCs w:val="22"/>
        </w:rPr>
        <w:t>ules</w:t>
      </w:r>
      <w:r w:rsidR="00E67E56">
        <w:rPr>
          <w:color w:val="000000"/>
          <w:szCs w:val="22"/>
        </w:rPr>
        <w:t>.</w:t>
      </w:r>
      <w:r w:rsidR="00E87831" w:rsidRPr="001009B7">
        <w:rPr>
          <w:szCs w:val="22"/>
        </w:rPr>
        <w:t xml:space="preserve">  </w:t>
      </w:r>
      <w:r w:rsidR="007A36D0">
        <w:rPr>
          <w:color w:val="000000"/>
        </w:rPr>
        <w:t>T</w:t>
      </w:r>
      <w:r w:rsidR="008C537C">
        <w:rPr>
          <w:color w:val="000000"/>
        </w:rPr>
        <w:t>h</w:t>
      </w:r>
      <w:r w:rsidR="001C3C01">
        <w:rPr>
          <w:color w:val="000000"/>
        </w:rPr>
        <w:t>e</w:t>
      </w:r>
      <w:r w:rsidR="007A36D0">
        <w:rPr>
          <w:color w:val="000000"/>
        </w:rPr>
        <w:t xml:space="preserve"> </w:t>
      </w:r>
      <w:r w:rsidR="00B27507">
        <w:rPr>
          <w:color w:val="000000"/>
        </w:rPr>
        <w:t>r</w:t>
      </w:r>
      <w:r w:rsidR="007A36D0">
        <w:rPr>
          <w:color w:val="000000"/>
        </w:rPr>
        <w:t xml:space="preserve">ules </w:t>
      </w:r>
      <w:r w:rsidR="008C537C">
        <w:rPr>
          <w:color w:val="000000"/>
        </w:rPr>
        <w:t>mandate</w:t>
      </w:r>
      <w:r w:rsidR="007A36D0">
        <w:rPr>
          <w:color w:val="000000"/>
        </w:rPr>
        <w:t xml:space="preserve"> that</w:t>
      </w:r>
      <w:r w:rsidR="008C537C">
        <w:rPr>
          <w:color w:val="000000"/>
        </w:rPr>
        <w:t xml:space="preserve"> these</w:t>
      </w:r>
      <w:r w:rsidR="007A36D0">
        <w:rPr>
          <w:color w:val="000000"/>
        </w:rPr>
        <w:t xml:space="preserve"> </w:t>
      </w:r>
      <w:r w:rsidR="00113BDA">
        <w:rPr>
          <w:color w:val="000000"/>
        </w:rPr>
        <w:t>marine radios include</w:t>
      </w:r>
      <w:r w:rsidR="00113BDA" w:rsidRPr="00681C6A">
        <w:rPr>
          <w:color w:val="000000"/>
        </w:rPr>
        <w:t xml:space="preserve"> the </w:t>
      </w:r>
      <w:r w:rsidR="007A36D0" w:rsidRPr="002673F1">
        <w:t>full range of f</w:t>
      </w:r>
      <w:r w:rsidR="00E67E56">
        <w:t>eatures</w:t>
      </w:r>
      <w:r w:rsidR="00113BDA">
        <w:t xml:space="preserve"> re</w:t>
      </w:r>
      <w:r w:rsidR="00900C7E">
        <w:t xml:space="preserve">commended </w:t>
      </w:r>
      <w:r w:rsidR="00113BDA">
        <w:t>by</w:t>
      </w:r>
      <w:r w:rsidR="00113BDA" w:rsidRPr="00401A52">
        <w:rPr>
          <w:color w:val="000000"/>
        </w:rPr>
        <w:t xml:space="preserve"> </w:t>
      </w:r>
      <w:r w:rsidR="00900C7E">
        <w:rPr>
          <w:color w:val="000000"/>
        </w:rPr>
        <w:t xml:space="preserve">the Radiocommunication Sector of the International Telecommunication Union </w:t>
      </w:r>
      <w:r w:rsidR="00113BDA" w:rsidRPr="00401A52">
        <w:rPr>
          <w:color w:val="000000"/>
        </w:rPr>
        <w:t xml:space="preserve">to </w:t>
      </w:r>
      <w:r w:rsidR="00113BDA">
        <w:t xml:space="preserve">enhance emergency and </w:t>
      </w:r>
      <w:r w:rsidR="007E7447">
        <w:t>safety-of-life</w:t>
      </w:r>
      <w:r w:rsidR="00113BDA">
        <w:t xml:space="preserve"> communications </w:t>
      </w:r>
      <w:r w:rsidR="007E7447">
        <w:t xml:space="preserve">from and </w:t>
      </w:r>
      <w:r w:rsidR="00113BDA">
        <w:t>between maritime vessels.</w:t>
      </w:r>
      <w:r w:rsidR="0063686D">
        <w:rPr>
          <w:szCs w:val="22"/>
        </w:rPr>
        <w:t xml:space="preserve">  To settle this matter, Icom admits that</w:t>
      </w:r>
      <w:r w:rsidR="007E7447">
        <w:rPr>
          <w:szCs w:val="22"/>
        </w:rPr>
        <w:t>, by failing to include these features,</w:t>
      </w:r>
      <w:r w:rsidR="0063686D">
        <w:rPr>
          <w:szCs w:val="22"/>
        </w:rPr>
        <w:t xml:space="preserve"> its radios did not </w:t>
      </w:r>
      <w:r w:rsidR="007E7447">
        <w:rPr>
          <w:szCs w:val="22"/>
        </w:rPr>
        <w:t xml:space="preserve">comply with the </w:t>
      </w:r>
      <w:r w:rsidR="00B27507">
        <w:rPr>
          <w:szCs w:val="22"/>
        </w:rPr>
        <w:t>Commission’s r</w:t>
      </w:r>
      <w:r w:rsidR="007E7447">
        <w:rPr>
          <w:szCs w:val="22"/>
        </w:rPr>
        <w:t>ules</w:t>
      </w:r>
      <w:r w:rsidR="0063686D">
        <w:rPr>
          <w:szCs w:val="22"/>
        </w:rPr>
        <w:t xml:space="preserve"> </w:t>
      </w:r>
      <w:r w:rsidR="007E7447">
        <w:rPr>
          <w:szCs w:val="22"/>
        </w:rPr>
        <w:t>and agrees to</w:t>
      </w:r>
      <w:r w:rsidR="0063686D">
        <w:rPr>
          <w:szCs w:val="22"/>
        </w:rPr>
        <w:t xml:space="preserve"> pay a $20,000 civil penalty</w:t>
      </w:r>
      <w:r w:rsidR="00E67E56">
        <w:rPr>
          <w:szCs w:val="22"/>
        </w:rPr>
        <w:t xml:space="preserve"> and implement a compliance plan to prevent future violations</w:t>
      </w:r>
      <w:r w:rsidR="007A36D0">
        <w:rPr>
          <w:szCs w:val="22"/>
        </w:rPr>
        <w:t>.</w:t>
      </w:r>
      <w:r w:rsidR="00F84BCA" w:rsidRPr="001009B7">
        <w:rPr>
          <w:szCs w:val="22"/>
        </w:rPr>
        <w:t xml:space="preserve"> </w:t>
      </w:r>
    </w:p>
    <w:p w14:paraId="0C2A38EA" w14:textId="584B86ED" w:rsidR="00B277A4" w:rsidRPr="001009B7" w:rsidRDefault="00F84BCA" w:rsidP="00F66D35">
      <w:pPr>
        <w:pStyle w:val="ParaNum0"/>
        <w:numPr>
          <w:ilvl w:val="0"/>
          <w:numId w:val="4"/>
        </w:numPr>
        <w:tabs>
          <w:tab w:val="clear" w:pos="1080"/>
          <w:tab w:val="left" w:pos="1440"/>
        </w:tabs>
        <w:rPr>
          <w:szCs w:val="22"/>
        </w:rPr>
      </w:pPr>
      <w:r w:rsidRPr="001009B7">
        <w:rPr>
          <w:szCs w:val="22"/>
        </w:rPr>
        <w:t>After reviewing the terms of the Consent Decree and evaluating the facts before us, we find that the public interest would be served by adopting the Consent Decree and terminating the referenced investigation</w:t>
      </w:r>
      <w:r w:rsidR="00B277A4" w:rsidRPr="001009B7">
        <w:rPr>
          <w:szCs w:val="22"/>
        </w:rPr>
        <w:t xml:space="preserve"> regarding </w:t>
      </w:r>
      <w:r w:rsidR="007A36D0">
        <w:rPr>
          <w:szCs w:val="22"/>
        </w:rPr>
        <w:t>Icom</w:t>
      </w:r>
      <w:r w:rsidR="00B277A4" w:rsidRPr="001009B7">
        <w:rPr>
          <w:szCs w:val="22"/>
        </w:rPr>
        <w:t>’s compliance with</w:t>
      </w:r>
      <w:r w:rsidR="007A36D0">
        <w:rPr>
          <w:szCs w:val="22"/>
        </w:rPr>
        <w:t xml:space="preserve"> the requirements for marine radios in </w:t>
      </w:r>
      <w:r w:rsidR="007A36D0" w:rsidRPr="00797D5B">
        <w:rPr>
          <w:szCs w:val="22"/>
        </w:rPr>
        <w:t>Section</w:t>
      </w:r>
      <w:r w:rsidR="007A36D0">
        <w:rPr>
          <w:szCs w:val="22"/>
        </w:rPr>
        <w:t> </w:t>
      </w:r>
      <w:r w:rsidR="007A36D0" w:rsidRPr="00797D5B">
        <w:rPr>
          <w:szCs w:val="22"/>
        </w:rPr>
        <w:t xml:space="preserve">302(b) of the </w:t>
      </w:r>
      <w:r w:rsidR="007A36D0" w:rsidRPr="0090587C">
        <w:rPr>
          <w:szCs w:val="22"/>
        </w:rPr>
        <w:t>Communications Act of 1934, as amended</w:t>
      </w:r>
      <w:r w:rsidR="007A36D0">
        <w:rPr>
          <w:szCs w:val="22"/>
        </w:rPr>
        <w:t xml:space="preserve"> (Act)</w:t>
      </w:r>
      <w:r w:rsidR="007A36D0" w:rsidRPr="0090587C">
        <w:rPr>
          <w:rStyle w:val="FootnoteReference"/>
          <w:szCs w:val="22"/>
        </w:rPr>
        <w:footnoteReference w:id="2"/>
      </w:r>
      <w:r w:rsidR="007A36D0" w:rsidRPr="0090587C">
        <w:rPr>
          <w:szCs w:val="22"/>
        </w:rPr>
        <w:t xml:space="preserve"> and </w:t>
      </w:r>
      <w:r w:rsidR="007A36D0" w:rsidRPr="0090587C">
        <w:rPr>
          <w:color w:val="000000"/>
          <w:szCs w:val="22"/>
        </w:rPr>
        <w:t xml:space="preserve">Sections 80.225(a)(4) and 80.1101(c)(2)(ii) of the </w:t>
      </w:r>
      <w:r w:rsidR="00B27507" w:rsidRPr="00681C6A">
        <w:rPr>
          <w:color w:val="000000"/>
        </w:rPr>
        <w:t>Commission’s</w:t>
      </w:r>
      <w:r w:rsidR="00B27507">
        <w:rPr>
          <w:color w:val="000000"/>
          <w:szCs w:val="22"/>
        </w:rPr>
        <w:t xml:space="preserve"> rules</w:t>
      </w:r>
      <w:r w:rsidR="007A36D0">
        <w:rPr>
          <w:color w:val="000000"/>
          <w:szCs w:val="22"/>
        </w:rPr>
        <w:t>.</w:t>
      </w:r>
      <w:r w:rsidR="007A36D0" w:rsidRPr="0090587C">
        <w:rPr>
          <w:rStyle w:val="FootnoteReference"/>
          <w:szCs w:val="22"/>
        </w:rPr>
        <w:footnoteReference w:id="3"/>
      </w:r>
      <w:r w:rsidR="007A36D0" w:rsidRPr="0090587C">
        <w:rPr>
          <w:szCs w:val="22"/>
        </w:rPr>
        <w:t xml:space="preserve"> </w:t>
      </w:r>
      <w:r w:rsidR="00B277A4" w:rsidRPr="001009B7">
        <w:rPr>
          <w:szCs w:val="22"/>
        </w:rPr>
        <w:t xml:space="preserve"> </w:t>
      </w:r>
    </w:p>
    <w:p w14:paraId="4AD621F4" w14:textId="142E4974" w:rsidR="00F84BCA" w:rsidRPr="001009B7" w:rsidRDefault="00357044" w:rsidP="00F66D35">
      <w:pPr>
        <w:pStyle w:val="ParaNum0"/>
        <w:numPr>
          <w:ilvl w:val="0"/>
          <w:numId w:val="4"/>
        </w:numPr>
        <w:tabs>
          <w:tab w:val="clear" w:pos="1080"/>
          <w:tab w:val="left" w:pos="1440"/>
        </w:tabs>
        <w:rPr>
          <w:szCs w:val="22"/>
        </w:rPr>
      </w:pPr>
      <w:r w:rsidRPr="001009B7">
        <w:rPr>
          <w:szCs w:val="22"/>
        </w:rPr>
        <w:t xml:space="preserve">In the absence of material new evidence relating to this matter, we do not set for hearing the question of </w:t>
      </w:r>
      <w:r w:rsidR="007A36D0">
        <w:rPr>
          <w:szCs w:val="22"/>
        </w:rPr>
        <w:t>Icom</w:t>
      </w:r>
      <w:r w:rsidRPr="001009B7">
        <w:rPr>
          <w:szCs w:val="22"/>
        </w:rPr>
        <w:t>’s basic qualifications to hold or obtain an</w:t>
      </w:r>
      <w:r w:rsidR="00F74D07" w:rsidRPr="001009B7">
        <w:rPr>
          <w:szCs w:val="22"/>
        </w:rPr>
        <w:t>y</w:t>
      </w:r>
      <w:r w:rsidRPr="001009B7">
        <w:rPr>
          <w:szCs w:val="22"/>
        </w:rPr>
        <w:t xml:space="preserve"> Commission license or authorization.</w:t>
      </w:r>
      <w:r w:rsidRPr="001009B7">
        <w:rPr>
          <w:rStyle w:val="FootnoteReference"/>
          <w:sz w:val="22"/>
          <w:szCs w:val="22"/>
        </w:rPr>
        <w:footnoteReference w:id="4"/>
      </w:r>
    </w:p>
    <w:p w14:paraId="13E174C8" w14:textId="3826EF3B" w:rsidR="00F84BCA" w:rsidRPr="001009B7" w:rsidRDefault="00F84BCA" w:rsidP="00F66D35">
      <w:pPr>
        <w:pStyle w:val="ParaNum0"/>
        <w:numPr>
          <w:ilvl w:val="0"/>
          <w:numId w:val="4"/>
        </w:numPr>
        <w:tabs>
          <w:tab w:val="clear" w:pos="1080"/>
          <w:tab w:val="left" w:pos="1440"/>
        </w:tabs>
        <w:rPr>
          <w:szCs w:val="22"/>
        </w:rPr>
      </w:pPr>
      <w:r w:rsidRPr="001009B7">
        <w:rPr>
          <w:szCs w:val="22"/>
        </w:rPr>
        <w:t xml:space="preserve">Accordingly, </w:t>
      </w:r>
      <w:r w:rsidRPr="001009B7">
        <w:rPr>
          <w:b/>
          <w:szCs w:val="22"/>
        </w:rPr>
        <w:t xml:space="preserve">IT IS ORDERED </w:t>
      </w:r>
      <w:r w:rsidRPr="001009B7">
        <w:rPr>
          <w:szCs w:val="22"/>
        </w:rPr>
        <w:t>that, pursuant to Section</w:t>
      </w:r>
      <w:r w:rsidR="00B75912" w:rsidRPr="001009B7">
        <w:rPr>
          <w:szCs w:val="22"/>
        </w:rPr>
        <w:t xml:space="preserve"> 4(i)</w:t>
      </w:r>
      <w:r w:rsidR="00782791" w:rsidRPr="001009B7">
        <w:rPr>
          <w:szCs w:val="22"/>
        </w:rPr>
        <w:t xml:space="preserve"> </w:t>
      </w:r>
      <w:r w:rsidR="009632A6" w:rsidRPr="001009B7">
        <w:rPr>
          <w:szCs w:val="22"/>
        </w:rPr>
        <w:t>of the Act</w:t>
      </w:r>
      <w:r w:rsidR="009632A6" w:rsidRPr="001009B7">
        <w:rPr>
          <w:rStyle w:val="FootnoteReference"/>
          <w:sz w:val="22"/>
          <w:szCs w:val="22"/>
        </w:rPr>
        <w:footnoteReference w:id="5"/>
      </w:r>
      <w:r w:rsidRPr="001009B7">
        <w:rPr>
          <w:szCs w:val="22"/>
        </w:rPr>
        <w:t xml:space="preserve"> and the authority delegated by Sections 0.1</w:t>
      </w:r>
      <w:r w:rsidR="0051080A" w:rsidRPr="001009B7">
        <w:rPr>
          <w:szCs w:val="22"/>
        </w:rPr>
        <w:t xml:space="preserve">11 and 0.311 of the </w:t>
      </w:r>
      <w:r w:rsidR="00B27507">
        <w:rPr>
          <w:szCs w:val="22"/>
        </w:rPr>
        <w:t>Commission’s r</w:t>
      </w:r>
      <w:r w:rsidR="009632A6" w:rsidRPr="001009B7">
        <w:rPr>
          <w:szCs w:val="22"/>
        </w:rPr>
        <w:t>ules,</w:t>
      </w:r>
      <w:r w:rsidR="009632A6" w:rsidRPr="001009B7">
        <w:rPr>
          <w:rStyle w:val="FootnoteReference"/>
          <w:sz w:val="22"/>
          <w:szCs w:val="22"/>
        </w:rPr>
        <w:footnoteReference w:id="6"/>
      </w:r>
      <w:r w:rsidRPr="001009B7">
        <w:rPr>
          <w:szCs w:val="22"/>
        </w:rPr>
        <w:t xml:space="preserve"> the attached Consent Decree </w:t>
      </w:r>
      <w:r w:rsidRPr="001009B7">
        <w:rPr>
          <w:b/>
          <w:szCs w:val="22"/>
        </w:rPr>
        <w:t>IS ADOPTED</w:t>
      </w:r>
      <w:r w:rsidR="00B87679" w:rsidRPr="001009B7">
        <w:rPr>
          <w:b/>
          <w:szCs w:val="22"/>
        </w:rPr>
        <w:t xml:space="preserve"> </w:t>
      </w:r>
      <w:r w:rsidR="00B87679" w:rsidRPr="001009B7">
        <w:rPr>
          <w:szCs w:val="22"/>
        </w:rPr>
        <w:t xml:space="preserve">and </w:t>
      </w:r>
      <w:r w:rsidR="00433E5E" w:rsidRPr="001009B7">
        <w:rPr>
          <w:szCs w:val="22"/>
        </w:rPr>
        <w:t>its terms incorporated by</w:t>
      </w:r>
      <w:r w:rsidR="00B87679" w:rsidRPr="001009B7">
        <w:rPr>
          <w:szCs w:val="22"/>
        </w:rPr>
        <w:t xml:space="preserve"> reference</w:t>
      </w:r>
      <w:r w:rsidRPr="001009B7">
        <w:rPr>
          <w:szCs w:val="22"/>
        </w:rPr>
        <w:t>.</w:t>
      </w:r>
    </w:p>
    <w:p w14:paraId="4B49E470" w14:textId="4EC85B6B" w:rsidR="00F84BCA" w:rsidRPr="001009B7" w:rsidRDefault="00F84BCA" w:rsidP="00F66D35">
      <w:pPr>
        <w:pStyle w:val="ParaNum0"/>
        <w:keepNext/>
        <w:keepLines/>
        <w:numPr>
          <w:ilvl w:val="0"/>
          <w:numId w:val="4"/>
        </w:numPr>
        <w:tabs>
          <w:tab w:val="clear" w:pos="1080"/>
          <w:tab w:val="left" w:pos="1440"/>
        </w:tabs>
        <w:rPr>
          <w:b/>
          <w:szCs w:val="22"/>
        </w:rPr>
      </w:pPr>
      <w:r w:rsidRPr="001009B7">
        <w:rPr>
          <w:b/>
          <w:szCs w:val="22"/>
        </w:rPr>
        <w:lastRenderedPageBreak/>
        <w:t>IT IS FURTHER ORDERED</w:t>
      </w:r>
      <w:r w:rsidRPr="001009B7">
        <w:rPr>
          <w:szCs w:val="22"/>
        </w:rPr>
        <w:t xml:space="preserve"> that the above-captioned matter </w:t>
      </w:r>
      <w:r w:rsidRPr="001009B7">
        <w:rPr>
          <w:b/>
          <w:szCs w:val="22"/>
        </w:rPr>
        <w:t>IS TERMINATED</w:t>
      </w:r>
      <w:r w:rsidR="00782791" w:rsidRPr="001009B7">
        <w:rPr>
          <w:b/>
          <w:szCs w:val="22"/>
        </w:rPr>
        <w:t xml:space="preserve"> </w:t>
      </w:r>
      <w:r w:rsidR="00DF465C" w:rsidRPr="001009B7">
        <w:rPr>
          <w:szCs w:val="22"/>
        </w:rPr>
        <w:t>in accordance with the terms of the attached Consent Decree</w:t>
      </w:r>
      <w:r w:rsidRPr="001009B7">
        <w:rPr>
          <w:szCs w:val="22"/>
        </w:rPr>
        <w:t>.</w:t>
      </w:r>
    </w:p>
    <w:p w14:paraId="215A29F1" w14:textId="2808EF1C" w:rsidR="00F84BCA" w:rsidRPr="001009B7" w:rsidRDefault="00F84BCA" w:rsidP="00F66D35">
      <w:pPr>
        <w:pStyle w:val="ParaNum0"/>
        <w:keepNext/>
        <w:keepLines/>
        <w:widowControl/>
        <w:numPr>
          <w:ilvl w:val="0"/>
          <w:numId w:val="4"/>
        </w:numPr>
        <w:tabs>
          <w:tab w:val="clear" w:pos="1080"/>
          <w:tab w:val="left" w:pos="1440"/>
        </w:tabs>
        <w:rPr>
          <w:szCs w:val="22"/>
        </w:rPr>
      </w:pPr>
      <w:r w:rsidRPr="001009B7">
        <w:rPr>
          <w:b/>
          <w:szCs w:val="22"/>
        </w:rPr>
        <w:t>IT IS FURTHER ORDERED</w:t>
      </w:r>
      <w:r w:rsidRPr="001009B7">
        <w:rPr>
          <w:szCs w:val="22"/>
        </w:rPr>
        <w:t xml:space="preserve"> that a copy of this Order and Consent Decree </w:t>
      </w:r>
      <w:r w:rsidR="00D84548" w:rsidRPr="001009B7">
        <w:rPr>
          <w:color w:val="000000" w:themeColor="text1"/>
          <w:szCs w:val="22"/>
        </w:rPr>
        <w:t xml:space="preserve">shall be sent by first class mail and certified mail, return receipt requested, to </w:t>
      </w:r>
      <w:r w:rsidR="007A36D0" w:rsidRPr="00DB4740">
        <w:t>Mr. Hiroshi Nakaoka, President, Icom America, Inc., 12421 Willows Road, N.E., Kirkland, WA 98034, and to Alan S. Tilles, Esq., Counsel for Icom America, Inc., Shulman Rogers Gandal Pordy &amp; Ecker, 12505 Park Potomac Avenue, 6th Floor, Potomac, MD 20854</w:t>
      </w:r>
      <w:r w:rsidR="007A36D0" w:rsidRPr="00981F23">
        <w:t>.</w:t>
      </w:r>
    </w:p>
    <w:p w14:paraId="1B07C337" w14:textId="77777777" w:rsidR="00F84BCA" w:rsidRPr="001009B7" w:rsidRDefault="00F84BCA" w:rsidP="00F84BCA">
      <w:pPr>
        <w:pStyle w:val="ParaNum0"/>
        <w:numPr>
          <w:ilvl w:val="0"/>
          <w:numId w:val="0"/>
        </w:numPr>
        <w:tabs>
          <w:tab w:val="left" w:pos="1440"/>
        </w:tabs>
        <w:spacing w:after="240"/>
        <w:ind w:left="720"/>
        <w:rPr>
          <w:b/>
          <w:szCs w:val="22"/>
        </w:rPr>
      </w:pPr>
    </w:p>
    <w:p w14:paraId="13D8E575" w14:textId="77777777" w:rsidR="00F84BCA" w:rsidRPr="001009B7" w:rsidRDefault="00F84BCA" w:rsidP="00F84BCA">
      <w:pPr>
        <w:outlineLvl w:val="0"/>
        <w:rPr>
          <w:szCs w:val="22"/>
          <w:lang w:val="fr-FR"/>
        </w:rPr>
      </w:pPr>
      <w:r w:rsidRPr="001009B7">
        <w:rPr>
          <w:szCs w:val="22"/>
          <w:lang w:val="fr-FR"/>
        </w:rPr>
        <w:tab/>
      </w:r>
      <w:r w:rsidRPr="001009B7">
        <w:rPr>
          <w:szCs w:val="22"/>
          <w:lang w:val="fr-FR"/>
        </w:rPr>
        <w:tab/>
      </w:r>
      <w:r w:rsidRPr="001009B7">
        <w:rPr>
          <w:szCs w:val="22"/>
          <w:lang w:val="fr-FR"/>
        </w:rPr>
        <w:tab/>
      </w:r>
      <w:r w:rsidRPr="001009B7">
        <w:rPr>
          <w:szCs w:val="22"/>
          <w:lang w:val="fr-FR"/>
        </w:rPr>
        <w:tab/>
      </w:r>
      <w:r w:rsidRPr="001009B7">
        <w:rPr>
          <w:szCs w:val="22"/>
          <w:lang w:val="fr-FR"/>
        </w:rPr>
        <w:tab/>
        <w:t>FEDERAL COMMUNICATIONS COMMISSION</w:t>
      </w:r>
    </w:p>
    <w:p w14:paraId="02E77021" w14:textId="77777777" w:rsidR="00F84BCA" w:rsidRPr="001009B7" w:rsidRDefault="00F84BCA" w:rsidP="00F84BCA">
      <w:pPr>
        <w:rPr>
          <w:szCs w:val="22"/>
          <w:lang w:val="fr-FR"/>
        </w:rPr>
      </w:pPr>
    </w:p>
    <w:p w14:paraId="03C5656E" w14:textId="77777777" w:rsidR="00F84BCA" w:rsidRPr="001009B7" w:rsidRDefault="00F84BCA" w:rsidP="00F84BCA">
      <w:pPr>
        <w:rPr>
          <w:szCs w:val="22"/>
          <w:lang w:val="fr-FR"/>
        </w:rPr>
      </w:pPr>
    </w:p>
    <w:p w14:paraId="46D0CC5C" w14:textId="77777777" w:rsidR="00F84BCA" w:rsidRPr="001009B7" w:rsidRDefault="00F84BCA" w:rsidP="00F84BCA">
      <w:pPr>
        <w:rPr>
          <w:szCs w:val="22"/>
          <w:lang w:val="fr-FR"/>
        </w:rPr>
      </w:pPr>
      <w:r w:rsidRPr="001009B7">
        <w:rPr>
          <w:szCs w:val="22"/>
          <w:lang w:val="fr-FR"/>
        </w:rPr>
        <w:tab/>
      </w:r>
      <w:r w:rsidRPr="001009B7">
        <w:rPr>
          <w:szCs w:val="22"/>
          <w:lang w:val="fr-FR"/>
        </w:rPr>
        <w:tab/>
      </w:r>
      <w:r w:rsidRPr="001009B7">
        <w:rPr>
          <w:szCs w:val="22"/>
          <w:lang w:val="fr-FR"/>
        </w:rPr>
        <w:tab/>
      </w:r>
      <w:r w:rsidRPr="001009B7">
        <w:rPr>
          <w:szCs w:val="22"/>
          <w:lang w:val="fr-FR"/>
        </w:rPr>
        <w:tab/>
      </w:r>
      <w:r w:rsidRPr="001009B7">
        <w:rPr>
          <w:szCs w:val="22"/>
          <w:lang w:val="fr-FR"/>
        </w:rPr>
        <w:tab/>
      </w:r>
    </w:p>
    <w:p w14:paraId="533CB404" w14:textId="77777777" w:rsidR="00F84BCA" w:rsidRPr="001009B7" w:rsidRDefault="00F84BCA" w:rsidP="00F84BCA">
      <w:pPr>
        <w:outlineLvl w:val="0"/>
        <w:rPr>
          <w:szCs w:val="22"/>
          <w:lang w:val="fr-FR"/>
        </w:rPr>
      </w:pPr>
    </w:p>
    <w:p w14:paraId="5AD2E467" w14:textId="19976C46" w:rsidR="00F84BCA" w:rsidRPr="001009B7" w:rsidRDefault="00F84BCA" w:rsidP="00F84BCA">
      <w:pPr>
        <w:outlineLvl w:val="0"/>
        <w:rPr>
          <w:szCs w:val="22"/>
          <w:lang w:val="fr-FR"/>
        </w:rPr>
      </w:pPr>
      <w:r w:rsidRPr="001009B7">
        <w:rPr>
          <w:szCs w:val="22"/>
          <w:lang w:val="fr-FR"/>
        </w:rPr>
        <w:tab/>
      </w:r>
      <w:r w:rsidRPr="001009B7">
        <w:rPr>
          <w:szCs w:val="22"/>
          <w:lang w:val="fr-FR"/>
        </w:rPr>
        <w:tab/>
      </w:r>
      <w:r w:rsidRPr="001009B7">
        <w:rPr>
          <w:szCs w:val="22"/>
          <w:lang w:val="fr-FR"/>
        </w:rPr>
        <w:tab/>
      </w:r>
      <w:r w:rsidRPr="001009B7">
        <w:rPr>
          <w:szCs w:val="22"/>
          <w:lang w:val="fr-FR"/>
        </w:rPr>
        <w:tab/>
      </w:r>
      <w:r w:rsidRPr="001009B7">
        <w:rPr>
          <w:szCs w:val="22"/>
          <w:lang w:val="fr-FR"/>
        </w:rPr>
        <w:tab/>
        <w:t>Travis LeBlanc</w:t>
      </w:r>
      <w:r w:rsidR="007A36D0">
        <w:rPr>
          <w:szCs w:val="22"/>
          <w:lang w:val="fr-FR"/>
        </w:rPr>
        <w:t xml:space="preserve"> </w:t>
      </w:r>
    </w:p>
    <w:p w14:paraId="24F40FCB" w14:textId="61216F87" w:rsidR="00D84548" w:rsidRPr="001009B7" w:rsidRDefault="006811F1" w:rsidP="00F84BCA">
      <w:pPr>
        <w:outlineLvl w:val="0"/>
        <w:rPr>
          <w:szCs w:val="22"/>
        </w:rPr>
      </w:pPr>
      <w:r w:rsidRPr="001009B7">
        <w:rPr>
          <w:szCs w:val="22"/>
          <w:lang w:val="fr-FR"/>
        </w:rPr>
        <w:tab/>
      </w:r>
      <w:r w:rsidRPr="001009B7">
        <w:rPr>
          <w:szCs w:val="22"/>
          <w:lang w:val="fr-FR"/>
        </w:rPr>
        <w:tab/>
      </w:r>
      <w:r w:rsidRPr="001009B7">
        <w:rPr>
          <w:szCs w:val="22"/>
          <w:lang w:val="fr-FR"/>
        </w:rPr>
        <w:tab/>
      </w:r>
      <w:r w:rsidRPr="001009B7">
        <w:rPr>
          <w:szCs w:val="22"/>
          <w:lang w:val="fr-FR"/>
        </w:rPr>
        <w:tab/>
      </w:r>
      <w:r w:rsidRPr="001009B7">
        <w:rPr>
          <w:szCs w:val="22"/>
          <w:lang w:val="fr-FR"/>
        </w:rPr>
        <w:tab/>
      </w:r>
      <w:r w:rsidR="00F84BCA" w:rsidRPr="001009B7">
        <w:rPr>
          <w:szCs w:val="22"/>
        </w:rPr>
        <w:t>Chief</w:t>
      </w:r>
      <w:r w:rsidR="00EF1C44" w:rsidRPr="001009B7">
        <w:rPr>
          <w:szCs w:val="22"/>
        </w:rPr>
        <w:t xml:space="preserve"> </w:t>
      </w:r>
    </w:p>
    <w:p w14:paraId="67913349" w14:textId="7B992155" w:rsidR="00F84BCA" w:rsidRDefault="00F84BCA" w:rsidP="00D23E19">
      <w:pPr>
        <w:ind w:left="2880" w:firstLine="720"/>
        <w:outlineLvl w:val="0"/>
        <w:rPr>
          <w:szCs w:val="22"/>
        </w:rPr>
      </w:pPr>
      <w:r w:rsidRPr="001009B7">
        <w:rPr>
          <w:szCs w:val="22"/>
        </w:rPr>
        <w:t>Enforcement Bureau</w:t>
      </w:r>
    </w:p>
    <w:p w14:paraId="2788B897" w14:textId="77777777" w:rsidR="005E795C" w:rsidRPr="001009B7" w:rsidRDefault="005E795C" w:rsidP="005E795C">
      <w:pPr>
        <w:jc w:val="both"/>
        <w:outlineLvl w:val="0"/>
        <w:rPr>
          <w:szCs w:val="22"/>
        </w:rPr>
      </w:pPr>
    </w:p>
    <w:p w14:paraId="486958A0" w14:textId="1A3BF7B7" w:rsidR="005E795C" w:rsidRDefault="005E795C">
      <w:pPr>
        <w:widowControl/>
        <w:rPr>
          <w:szCs w:val="22"/>
        </w:rPr>
      </w:pPr>
      <w:r>
        <w:rPr>
          <w:szCs w:val="22"/>
        </w:rPr>
        <w:br w:type="page"/>
      </w:r>
    </w:p>
    <w:p w14:paraId="659D5872" w14:textId="77777777" w:rsidR="0039627B" w:rsidRDefault="0039627B" w:rsidP="005E795C">
      <w:pPr>
        <w:jc w:val="center"/>
        <w:rPr>
          <w:b/>
          <w:szCs w:val="22"/>
        </w:rPr>
        <w:sectPr w:rsidR="0039627B" w:rsidSect="005E795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95" w:right="1440" w:bottom="720" w:left="1440" w:header="720" w:footer="720" w:gutter="0"/>
          <w:pgNumType w:start="1"/>
          <w:cols w:space="720"/>
          <w:noEndnote/>
          <w:titlePg/>
          <w:docGrid w:linePitch="299"/>
        </w:sectPr>
      </w:pPr>
    </w:p>
    <w:p w14:paraId="13D1C60F" w14:textId="3895CB19" w:rsidR="005E795C" w:rsidRPr="00874EC5" w:rsidRDefault="005E795C" w:rsidP="005E795C">
      <w:pPr>
        <w:jc w:val="center"/>
        <w:rPr>
          <w:b/>
          <w:szCs w:val="22"/>
        </w:rPr>
      </w:pPr>
      <w:r w:rsidRPr="00874EC5">
        <w:rPr>
          <w:b/>
          <w:szCs w:val="22"/>
        </w:rPr>
        <w:t>Before</w:t>
      </w:r>
      <w:r w:rsidRPr="00DE0928">
        <w:rPr>
          <w:b/>
          <w:szCs w:val="22"/>
        </w:rPr>
        <w:t xml:space="preserve"> the</w:t>
      </w:r>
    </w:p>
    <w:p w14:paraId="71A7F1DB" w14:textId="77777777" w:rsidR="005E795C" w:rsidRPr="00874EC5" w:rsidRDefault="005E795C" w:rsidP="005E795C">
      <w:pPr>
        <w:pStyle w:val="StyleBoldCentered"/>
        <w:rPr>
          <w:rFonts w:ascii="Times New Roman" w:hAnsi="Times New Roman"/>
        </w:rPr>
      </w:pPr>
      <w:r w:rsidRPr="00874EC5">
        <w:rPr>
          <w:rFonts w:ascii="Times New Roman" w:hAnsi="Times New Roman"/>
        </w:rPr>
        <w:t>F</w:t>
      </w:r>
      <w:r w:rsidRPr="00874EC5">
        <w:rPr>
          <w:rFonts w:ascii="Times New Roman" w:hAnsi="Times New Roman"/>
          <w:caps w:val="0"/>
        </w:rPr>
        <w:t>ederal Communications Commission</w:t>
      </w:r>
    </w:p>
    <w:p w14:paraId="52F6588B" w14:textId="77777777" w:rsidR="005E795C" w:rsidRPr="00874EC5" w:rsidRDefault="005E795C" w:rsidP="005E795C">
      <w:pPr>
        <w:pStyle w:val="StyleBoldCentered"/>
        <w:rPr>
          <w:rFonts w:ascii="Times New Roman" w:hAnsi="Times New Roman"/>
        </w:rPr>
      </w:pPr>
      <w:r w:rsidRPr="00874EC5">
        <w:rPr>
          <w:rFonts w:ascii="Times New Roman" w:hAnsi="Times New Roman"/>
          <w:caps w:val="0"/>
        </w:rPr>
        <w:t>Washington, DC 20554</w:t>
      </w:r>
    </w:p>
    <w:p w14:paraId="4FAF9B3F" w14:textId="77777777" w:rsidR="005E795C" w:rsidRPr="00DE0928" w:rsidRDefault="005E795C" w:rsidP="005E795C">
      <w:pPr>
        <w:rPr>
          <w:szCs w:val="22"/>
        </w:rPr>
      </w:pPr>
    </w:p>
    <w:tbl>
      <w:tblPr>
        <w:tblW w:w="9576" w:type="dxa"/>
        <w:tblLayout w:type="fixed"/>
        <w:tblLook w:val="0000" w:firstRow="0" w:lastRow="0" w:firstColumn="0" w:lastColumn="0" w:noHBand="0" w:noVBand="0"/>
      </w:tblPr>
      <w:tblGrid>
        <w:gridCol w:w="4698"/>
        <w:gridCol w:w="630"/>
        <w:gridCol w:w="4248"/>
      </w:tblGrid>
      <w:tr w:rsidR="005E795C" w:rsidRPr="00874EC5" w14:paraId="4006924E" w14:textId="77777777" w:rsidTr="00BF6ADE">
        <w:trPr>
          <w:trHeight w:val="2043"/>
        </w:trPr>
        <w:tc>
          <w:tcPr>
            <w:tcW w:w="4698" w:type="dxa"/>
          </w:tcPr>
          <w:p w14:paraId="1EE3960E" w14:textId="77777777" w:rsidR="005E795C" w:rsidRPr="00DE0928" w:rsidRDefault="005E795C" w:rsidP="00BF6ADE">
            <w:pPr>
              <w:tabs>
                <w:tab w:val="center" w:pos="4680"/>
              </w:tabs>
              <w:suppressAutoHyphens/>
              <w:rPr>
                <w:spacing w:val="-2"/>
                <w:szCs w:val="22"/>
              </w:rPr>
            </w:pPr>
            <w:r w:rsidRPr="00874EC5">
              <w:rPr>
                <w:rFonts w:eastAsiaTheme="minorHAnsi"/>
                <w:spacing w:val="-2"/>
                <w:szCs w:val="22"/>
              </w:rPr>
              <w:t>In the Matter of</w:t>
            </w:r>
          </w:p>
          <w:p w14:paraId="1C006C95" w14:textId="77777777" w:rsidR="005E795C" w:rsidRPr="00874EC5" w:rsidRDefault="005E795C" w:rsidP="00BF6ADE">
            <w:pPr>
              <w:tabs>
                <w:tab w:val="center" w:pos="4680"/>
              </w:tabs>
              <w:suppressAutoHyphens/>
              <w:rPr>
                <w:spacing w:val="-2"/>
                <w:szCs w:val="22"/>
              </w:rPr>
            </w:pPr>
          </w:p>
          <w:p w14:paraId="57524D45" w14:textId="77777777" w:rsidR="005E795C" w:rsidRPr="00DE0928" w:rsidRDefault="005E795C" w:rsidP="00BF6ADE">
            <w:pPr>
              <w:tabs>
                <w:tab w:val="center" w:pos="4680"/>
              </w:tabs>
              <w:suppressAutoHyphens/>
              <w:rPr>
                <w:spacing w:val="-2"/>
                <w:szCs w:val="22"/>
              </w:rPr>
            </w:pPr>
            <w:r w:rsidRPr="00874EC5">
              <w:rPr>
                <w:rFonts w:eastAsiaTheme="minorHAnsi"/>
                <w:color w:val="000000" w:themeColor="text1"/>
                <w:spacing w:val="-2"/>
                <w:szCs w:val="22"/>
              </w:rPr>
              <w:t>Icom America, Inc.</w:t>
            </w:r>
          </w:p>
        </w:tc>
        <w:tc>
          <w:tcPr>
            <w:tcW w:w="630" w:type="dxa"/>
          </w:tcPr>
          <w:p w14:paraId="0B6B324D" w14:textId="77777777" w:rsidR="005E795C" w:rsidRPr="00DE0928" w:rsidRDefault="005E795C" w:rsidP="00BF6ADE">
            <w:pPr>
              <w:tabs>
                <w:tab w:val="center" w:pos="4680"/>
              </w:tabs>
              <w:suppressAutoHyphens/>
              <w:rPr>
                <w:b/>
                <w:spacing w:val="-2"/>
                <w:szCs w:val="22"/>
              </w:rPr>
            </w:pPr>
            <w:r w:rsidRPr="00874EC5">
              <w:rPr>
                <w:rFonts w:eastAsiaTheme="minorHAnsi"/>
                <w:b/>
                <w:spacing w:val="-2"/>
                <w:szCs w:val="22"/>
              </w:rPr>
              <w:t>)</w:t>
            </w:r>
          </w:p>
          <w:p w14:paraId="2A756C78" w14:textId="77777777" w:rsidR="005E795C" w:rsidRPr="00DE0928" w:rsidRDefault="005E795C" w:rsidP="00BF6ADE">
            <w:pPr>
              <w:tabs>
                <w:tab w:val="center" w:pos="4680"/>
              </w:tabs>
              <w:suppressAutoHyphens/>
              <w:rPr>
                <w:b/>
                <w:spacing w:val="-2"/>
                <w:szCs w:val="22"/>
              </w:rPr>
            </w:pPr>
            <w:r w:rsidRPr="00874EC5">
              <w:rPr>
                <w:rFonts w:eastAsiaTheme="minorHAnsi"/>
                <w:b/>
                <w:spacing w:val="-2"/>
                <w:szCs w:val="22"/>
              </w:rPr>
              <w:t>)</w:t>
            </w:r>
          </w:p>
          <w:p w14:paraId="75CF0FC8" w14:textId="77777777" w:rsidR="005E795C" w:rsidRPr="00DE0928" w:rsidRDefault="005E795C" w:rsidP="00BF6ADE">
            <w:pPr>
              <w:tabs>
                <w:tab w:val="center" w:pos="4680"/>
              </w:tabs>
              <w:suppressAutoHyphens/>
              <w:rPr>
                <w:b/>
                <w:spacing w:val="-2"/>
                <w:szCs w:val="22"/>
              </w:rPr>
            </w:pPr>
            <w:r w:rsidRPr="00874EC5">
              <w:rPr>
                <w:rFonts w:eastAsiaTheme="minorHAnsi"/>
                <w:b/>
                <w:spacing w:val="-2"/>
                <w:szCs w:val="22"/>
              </w:rPr>
              <w:t>)</w:t>
            </w:r>
          </w:p>
          <w:p w14:paraId="239D63D8" w14:textId="77777777" w:rsidR="005E795C" w:rsidRPr="00DE0928" w:rsidRDefault="005E795C" w:rsidP="00BF6ADE">
            <w:pPr>
              <w:tabs>
                <w:tab w:val="center" w:pos="4680"/>
              </w:tabs>
              <w:suppressAutoHyphens/>
              <w:rPr>
                <w:b/>
                <w:spacing w:val="-2"/>
                <w:szCs w:val="22"/>
              </w:rPr>
            </w:pPr>
            <w:r w:rsidRPr="00874EC5">
              <w:rPr>
                <w:rFonts w:eastAsiaTheme="minorHAnsi"/>
                <w:b/>
                <w:spacing w:val="-2"/>
                <w:szCs w:val="22"/>
              </w:rPr>
              <w:t>)</w:t>
            </w:r>
          </w:p>
          <w:p w14:paraId="680C166E" w14:textId="77777777" w:rsidR="005E795C" w:rsidRPr="00DE0928" w:rsidRDefault="005E795C" w:rsidP="00BF6ADE">
            <w:pPr>
              <w:tabs>
                <w:tab w:val="center" w:pos="4680"/>
              </w:tabs>
              <w:suppressAutoHyphens/>
              <w:rPr>
                <w:b/>
                <w:spacing w:val="-2"/>
                <w:szCs w:val="22"/>
              </w:rPr>
            </w:pPr>
            <w:r w:rsidRPr="00874EC5">
              <w:rPr>
                <w:rFonts w:eastAsiaTheme="minorHAnsi"/>
                <w:b/>
                <w:spacing w:val="-2"/>
                <w:szCs w:val="22"/>
              </w:rPr>
              <w:t>)</w:t>
            </w:r>
          </w:p>
          <w:p w14:paraId="32C5664F" w14:textId="77777777" w:rsidR="005E795C" w:rsidRPr="00DE0928" w:rsidRDefault="005E795C" w:rsidP="00BF6ADE">
            <w:pPr>
              <w:tabs>
                <w:tab w:val="center" w:pos="4680"/>
              </w:tabs>
              <w:suppressAutoHyphens/>
              <w:rPr>
                <w:b/>
                <w:spacing w:val="-2"/>
                <w:szCs w:val="22"/>
              </w:rPr>
            </w:pPr>
            <w:r w:rsidRPr="00874EC5">
              <w:rPr>
                <w:rFonts w:eastAsiaTheme="minorHAnsi"/>
                <w:b/>
                <w:spacing w:val="-2"/>
                <w:szCs w:val="22"/>
              </w:rPr>
              <w:t>)</w:t>
            </w:r>
          </w:p>
          <w:p w14:paraId="59F2B133" w14:textId="77777777" w:rsidR="005E795C" w:rsidRPr="00DE0928" w:rsidRDefault="005E795C" w:rsidP="00BF6ADE">
            <w:pPr>
              <w:tabs>
                <w:tab w:val="center" w:pos="4680"/>
              </w:tabs>
              <w:suppressAutoHyphens/>
              <w:rPr>
                <w:b/>
                <w:spacing w:val="-2"/>
                <w:szCs w:val="22"/>
              </w:rPr>
            </w:pPr>
            <w:r w:rsidRPr="00874EC5">
              <w:rPr>
                <w:rFonts w:eastAsiaTheme="minorHAnsi"/>
                <w:b/>
                <w:spacing w:val="-2"/>
                <w:szCs w:val="22"/>
              </w:rPr>
              <w:t>)</w:t>
            </w:r>
          </w:p>
          <w:p w14:paraId="4E84DCD3" w14:textId="77777777" w:rsidR="005E795C" w:rsidRPr="00874EC5" w:rsidRDefault="005E795C" w:rsidP="00BF6ADE">
            <w:pPr>
              <w:tabs>
                <w:tab w:val="center" w:pos="4680"/>
              </w:tabs>
              <w:suppressAutoHyphens/>
              <w:rPr>
                <w:spacing w:val="-2"/>
                <w:szCs w:val="22"/>
              </w:rPr>
            </w:pPr>
          </w:p>
        </w:tc>
        <w:tc>
          <w:tcPr>
            <w:tcW w:w="4248" w:type="dxa"/>
          </w:tcPr>
          <w:p w14:paraId="5A1868B0" w14:textId="77777777" w:rsidR="005E795C" w:rsidRPr="00874EC5" w:rsidRDefault="005E795C" w:rsidP="00BF6ADE">
            <w:pPr>
              <w:tabs>
                <w:tab w:val="center" w:pos="4680"/>
              </w:tabs>
              <w:suppressAutoHyphens/>
              <w:ind w:left="432"/>
              <w:rPr>
                <w:spacing w:val="-2"/>
                <w:szCs w:val="22"/>
              </w:rPr>
            </w:pPr>
          </w:p>
          <w:p w14:paraId="75750033" w14:textId="77777777" w:rsidR="005E795C" w:rsidRPr="00874EC5" w:rsidRDefault="005E795C" w:rsidP="00BF6ADE">
            <w:pPr>
              <w:tabs>
                <w:tab w:val="center" w:pos="4680"/>
              </w:tabs>
              <w:suppressAutoHyphens/>
              <w:ind w:left="432"/>
              <w:rPr>
                <w:spacing w:val="-2"/>
                <w:szCs w:val="22"/>
              </w:rPr>
            </w:pPr>
          </w:p>
          <w:p w14:paraId="2495A3AF" w14:textId="77777777" w:rsidR="005E795C" w:rsidRPr="00DE0928" w:rsidRDefault="005E795C" w:rsidP="00BF6ADE">
            <w:pPr>
              <w:tabs>
                <w:tab w:val="center" w:pos="4680"/>
              </w:tabs>
              <w:suppressAutoHyphens/>
              <w:ind w:left="432"/>
              <w:rPr>
                <w:spacing w:val="-2"/>
                <w:szCs w:val="22"/>
              </w:rPr>
            </w:pPr>
            <w:r w:rsidRPr="00874EC5">
              <w:rPr>
                <w:rFonts w:eastAsiaTheme="minorHAnsi"/>
                <w:spacing w:val="-2"/>
                <w:szCs w:val="22"/>
              </w:rPr>
              <w:t>File No.:  EB-SED-14-00017535</w:t>
            </w:r>
          </w:p>
          <w:p w14:paraId="1BB52D7E" w14:textId="77777777" w:rsidR="005E795C" w:rsidRPr="00DE0928" w:rsidRDefault="005E795C" w:rsidP="00BF6ADE">
            <w:pPr>
              <w:ind w:left="432"/>
              <w:rPr>
                <w:spacing w:val="-2"/>
                <w:szCs w:val="22"/>
              </w:rPr>
            </w:pPr>
            <w:r w:rsidRPr="00874EC5">
              <w:rPr>
                <w:rFonts w:eastAsiaTheme="minorHAnsi"/>
                <w:spacing w:val="-2"/>
                <w:szCs w:val="22"/>
              </w:rPr>
              <w:t xml:space="preserve">Acct. No.:  </w:t>
            </w:r>
            <w:r w:rsidRPr="00282AE2">
              <w:rPr>
                <w:szCs w:val="22"/>
              </w:rPr>
              <w:t>201632100006</w:t>
            </w:r>
            <w:r w:rsidRPr="004A6A0B" w:rsidDel="004A6A0B">
              <w:rPr>
                <w:rFonts w:eastAsiaTheme="minorHAnsi"/>
                <w:spacing w:val="-2"/>
                <w:szCs w:val="22"/>
                <w:highlight w:val="yellow"/>
              </w:rPr>
              <w:t xml:space="preserve"> </w:t>
            </w:r>
          </w:p>
          <w:p w14:paraId="109F081A" w14:textId="77777777" w:rsidR="005E795C" w:rsidRPr="00DE0928" w:rsidRDefault="005E795C" w:rsidP="00BF6ADE">
            <w:pPr>
              <w:tabs>
                <w:tab w:val="center" w:pos="4680"/>
              </w:tabs>
              <w:suppressAutoHyphens/>
              <w:ind w:left="432"/>
              <w:rPr>
                <w:spacing w:val="-2"/>
                <w:szCs w:val="22"/>
              </w:rPr>
            </w:pPr>
            <w:r w:rsidRPr="00874EC5">
              <w:rPr>
                <w:rFonts w:eastAsiaTheme="minorHAnsi"/>
                <w:szCs w:val="22"/>
              </w:rPr>
              <w:t>FRN:  0005855366</w:t>
            </w:r>
          </w:p>
        </w:tc>
      </w:tr>
    </w:tbl>
    <w:p w14:paraId="57279167" w14:textId="77777777" w:rsidR="005E795C" w:rsidRPr="00874EC5" w:rsidRDefault="005E795C" w:rsidP="005E795C">
      <w:pPr>
        <w:pStyle w:val="StyleBoldCentered"/>
        <w:rPr>
          <w:rFonts w:ascii="Times New Roman" w:hAnsi="Times New Roman"/>
        </w:rPr>
      </w:pPr>
      <w:r w:rsidRPr="00874EC5">
        <w:rPr>
          <w:rFonts w:ascii="Times New Roman" w:hAnsi="Times New Roman"/>
        </w:rPr>
        <w:t>CONSENT DECREE</w:t>
      </w:r>
    </w:p>
    <w:p w14:paraId="2401F8CE" w14:textId="77777777" w:rsidR="005E795C" w:rsidRPr="00874EC5" w:rsidRDefault="005E795C" w:rsidP="005E795C">
      <w:pPr>
        <w:pStyle w:val="StyleBoldCentered"/>
        <w:rPr>
          <w:rFonts w:ascii="Times New Roman" w:hAnsi="Times New Roman"/>
        </w:rPr>
      </w:pPr>
    </w:p>
    <w:p w14:paraId="7AB2CF40" w14:textId="77777777" w:rsidR="005E795C" w:rsidRPr="00874EC5" w:rsidRDefault="005E795C" w:rsidP="005E795C">
      <w:pPr>
        <w:pStyle w:val="ParaNum0"/>
        <w:widowControl/>
        <w:rPr>
          <w:szCs w:val="22"/>
        </w:rPr>
      </w:pPr>
      <w:r w:rsidRPr="00DE0928">
        <w:rPr>
          <w:szCs w:val="22"/>
        </w:rPr>
        <w:t xml:space="preserve">The Enforcement Bureau of the Federal </w:t>
      </w:r>
      <w:r w:rsidRPr="00874EC5">
        <w:rPr>
          <w:szCs w:val="22"/>
        </w:rPr>
        <w:t xml:space="preserve">Communications Commission and </w:t>
      </w:r>
      <w:r w:rsidRPr="00874EC5">
        <w:rPr>
          <w:color w:val="000000" w:themeColor="text1"/>
          <w:spacing w:val="-2"/>
          <w:szCs w:val="22"/>
        </w:rPr>
        <w:t>Icom America, Inc. (Icom)</w:t>
      </w:r>
      <w:r w:rsidRPr="00874EC5">
        <w:rPr>
          <w:szCs w:val="22"/>
        </w:rPr>
        <w:t>,</w:t>
      </w:r>
      <w:r w:rsidRPr="00DE0928">
        <w:rPr>
          <w:szCs w:val="22"/>
        </w:rPr>
        <w:t xml:space="preserve"> by their authorized representatives, hereby enter into this Consent Decree for the purpose of terminating the </w:t>
      </w:r>
      <w:r w:rsidRPr="00874EC5">
        <w:rPr>
          <w:szCs w:val="22"/>
        </w:rPr>
        <w:t xml:space="preserve">Enforcement Bureau’s investigation into whether </w:t>
      </w:r>
      <w:r w:rsidRPr="00874EC5">
        <w:rPr>
          <w:color w:val="000000" w:themeColor="text1"/>
          <w:spacing w:val="-2"/>
          <w:szCs w:val="22"/>
        </w:rPr>
        <w:t xml:space="preserve">Icom </w:t>
      </w:r>
      <w:r w:rsidRPr="00874EC5">
        <w:rPr>
          <w:szCs w:val="22"/>
        </w:rPr>
        <w:t>violated Section 302(b) of the Communications Act of 1934, as amended</w:t>
      </w:r>
      <w:r w:rsidRPr="00874EC5">
        <w:rPr>
          <w:rStyle w:val="FootnoteReference"/>
          <w:sz w:val="22"/>
          <w:szCs w:val="22"/>
        </w:rPr>
        <w:footnoteReference w:id="7"/>
      </w:r>
      <w:r w:rsidRPr="00DE0928">
        <w:rPr>
          <w:szCs w:val="22"/>
        </w:rPr>
        <w:t xml:space="preserve"> and </w:t>
      </w:r>
      <w:r w:rsidRPr="00874EC5">
        <w:rPr>
          <w:color w:val="000000"/>
          <w:szCs w:val="22"/>
        </w:rPr>
        <w:t>Sections 80.225(a)(4) and 80.1101(c)(2)(ii) of the Commission’s rules</w:t>
      </w:r>
      <w:r w:rsidRPr="00874EC5">
        <w:rPr>
          <w:rStyle w:val="FootnoteReference"/>
          <w:sz w:val="22"/>
          <w:szCs w:val="22"/>
        </w:rPr>
        <w:footnoteReference w:id="8"/>
      </w:r>
      <w:r w:rsidRPr="00DE0928">
        <w:rPr>
          <w:color w:val="000000"/>
          <w:szCs w:val="22"/>
        </w:rPr>
        <w:t xml:space="preserve"> </w:t>
      </w:r>
      <w:r w:rsidRPr="00874EC5">
        <w:rPr>
          <w:szCs w:val="22"/>
        </w:rPr>
        <w:t xml:space="preserve">in connection with importing and selling a noncompliant marine radio.  </w:t>
      </w:r>
    </w:p>
    <w:p w14:paraId="38C5B0FA" w14:textId="77777777" w:rsidR="005E795C" w:rsidRPr="00874EC5" w:rsidRDefault="005E795C" w:rsidP="005E795C">
      <w:pPr>
        <w:pStyle w:val="Heading1"/>
        <w:widowControl/>
        <w:rPr>
          <w:rFonts w:ascii="Times New Roman" w:hAnsi="Times New Roman"/>
          <w:szCs w:val="22"/>
        </w:rPr>
      </w:pPr>
      <w:r w:rsidRPr="00874EC5">
        <w:rPr>
          <w:rFonts w:ascii="Times New Roman" w:hAnsi="Times New Roman"/>
          <w:szCs w:val="22"/>
        </w:rPr>
        <w:t>DEFINITIONS</w:t>
      </w:r>
    </w:p>
    <w:p w14:paraId="132341DC" w14:textId="77777777" w:rsidR="005E795C" w:rsidRPr="00874EC5" w:rsidRDefault="005E795C" w:rsidP="005E795C">
      <w:pPr>
        <w:pStyle w:val="ParaNum0"/>
        <w:widowControl/>
        <w:rPr>
          <w:szCs w:val="22"/>
        </w:rPr>
      </w:pPr>
      <w:r w:rsidRPr="00DE0928">
        <w:rPr>
          <w:szCs w:val="22"/>
        </w:rPr>
        <w:t>For the purposes of this Consent Decree, the following de</w:t>
      </w:r>
      <w:r w:rsidRPr="00874EC5">
        <w:rPr>
          <w:szCs w:val="22"/>
        </w:rPr>
        <w:t>finitions shall apply:</w:t>
      </w:r>
    </w:p>
    <w:p w14:paraId="4AA262FF" w14:textId="77777777" w:rsidR="005E795C" w:rsidRPr="00DE0928" w:rsidRDefault="005E795C" w:rsidP="00F66D35">
      <w:pPr>
        <w:widowControl/>
        <w:numPr>
          <w:ilvl w:val="0"/>
          <w:numId w:val="5"/>
        </w:numPr>
        <w:tabs>
          <w:tab w:val="clear" w:pos="1224"/>
        </w:tabs>
        <w:spacing w:after="120"/>
        <w:ind w:left="1890"/>
        <w:rPr>
          <w:szCs w:val="22"/>
        </w:rPr>
      </w:pPr>
      <w:r w:rsidRPr="00874EC5">
        <w:rPr>
          <w:szCs w:val="22"/>
        </w:rPr>
        <w:t>“Act”</w:t>
      </w:r>
      <w:r w:rsidRPr="00874EC5">
        <w:rPr>
          <w:rStyle w:val="ParanumChar0"/>
          <w:szCs w:val="22"/>
        </w:rPr>
        <w:t xml:space="preserve"> </w:t>
      </w:r>
      <w:r w:rsidRPr="00874EC5">
        <w:rPr>
          <w:szCs w:val="22"/>
        </w:rPr>
        <w:t>means the Communications Act of 1934, as amended.</w:t>
      </w:r>
      <w:r w:rsidRPr="00874EC5">
        <w:rPr>
          <w:rStyle w:val="FootnoteReference"/>
          <w:sz w:val="22"/>
          <w:szCs w:val="22"/>
        </w:rPr>
        <w:footnoteReference w:id="9"/>
      </w:r>
    </w:p>
    <w:p w14:paraId="52BCB4D1" w14:textId="77777777" w:rsidR="005E795C" w:rsidRPr="00874EC5" w:rsidRDefault="005E795C" w:rsidP="00F66D35">
      <w:pPr>
        <w:widowControl/>
        <w:numPr>
          <w:ilvl w:val="0"/>
          <w:numId w:val="5"/>
        </w:numPr>
        <w:tabs>
          <w:tab w:val="clear" w:pos="1224"/>
        </w:tabs>
        <w:spacing w:after="120"/>
        <w:ind w:left="1890"/>
        <w:rPr>
          <w:szCs w:val="22"/>
        </w:rPr>
      </w:pPr>
      <w:r w:rsidRPr="00874EC5">
        <w:rPr>
          <w:szCs w:val="22"/>
        </w:rPr>
        <w:t>“Adopting Order” means an order of the Bureau adopting the terms of this Consent Decree without change, addition, deletion, or modification.</w:t>
      </w:r>
    </w:p>
    <w:p w14:paraId="2C718A26" w14:textId="77777777" w:rsidR="005E795C" w:rsidRPr="00874EC5" w:rsidRDefault="005E795C" w:rsidP="00F66D35">
      <w:pPr>
        <w:widowControl/>
        <w:numPr>
          <w:ilvl w:val="0"/>
          <w:numId w:val="5"/>
        </w:numPr>
        <w:tabs>
          <w:tab w:val="clear" w:pos="1224"/>
        </w:tabs>
        <w:spacing w:after="120"/>
        <w:ind w:left="1890"/>
        <w:rPr>
          <w:szCs w:val="22"/>
        </w:rPr>
      </w:pPr>
      <w:r w:rsidRPr="00874EC5">
        <w:rPr>
          <w:szCs w:val="22"/>
        </w:rPr>
        <w:t>“Bureau” means the Enforcement Bureau of the Federal Communications Commission.</w:t>
      </w:r>
    </w:p>
    <w:p w14:paraId="1ACD8D94" w14:textId="77777777" w:rsidR="005E795C" w:rsidRPr="00874EC5" w:rsidRDefault="005E795C" w:rsidP="00F66D35">
      <w:pPr>
        <w:widowControl/>
        <w:numPr>
          <w:ilvl w:val="0"/>
          <w:numId w:val="5"/>
        </w:numPr>
        <w:tabs>
          <w:tab w:val="clear" w:pos="1224"/>
        </w:tabs>
        <w:spacing w:after="120"/>
        <w:ind w:left="1890"/>
        <w:rPr>
          <w:szCs w:val="22"/>
        </w:rPr>
      </w:pPr>
      <w:r w:rsidRPr="00874EC5">
        <w:rPr>
          <w:szCs w:val="22"/>
        </w:rPr>
        <w:t>“Commission” and “FCC” mean the Federal Communications Commission and all of its bureaus and offices.</w:t>
      </w:r>
    </w:p>
    <w:p w14:paraId="5ABD1BF7" w14:textId="77777777" w:rsidR="005E795C" w:rsidRPr="00874EC5" w:rsidRDefault="005E795C" w:rsidP="00F66D35">
      <w:pPr>
        <w:widowControl/>
        <w:numPr>
          <w:ilvl w:val="0"/>
          <w:numId w:val="5"/>
        </w:numPr>
        <w:tabs>
          <w:tab w:val="clear" w:pos="1224"/>
        </w:tabs>
        <w:spacing w:after="120"/>
        <w:ind w:left="1890"/>
        <w:rPr>
          <w:szCs w:val="22"/>
        </w:rPr>
      </w:pPr>
      <w:r w:rsidRPr="00874EC5">
        <w:rPr>
          <w:szCs w:val="22"/>
        </w:rPr>
        <w:t>“Communications Laws” means collectively, the Act, the Rules, and the published and promulgated orders and decisions of the Commission to which Icom is subject by virtue of its business activities, including but not limited to the Maritime Services Rules.</w:t>
      </w:r>
    </w:p>
    <w:p w14:paraId="23E6AB39" w14:textId="77777777" w:rsidR="005E795C" w:rsidRPr="00874EC5" w:rsidRDefault="005E795C" w:rsidP="00F66D35">
      <w:pPr>
        <w:widowControl/>
        <w:numPr>
          <w:ilvl w:val="0"/>
          <w:numId w:val="5"/>
        </w:numPr>
        <w:tabs>
          <w:tab w:val="clear" w:pos="1224"/>
        </w:tabs>
        <w:spacing w:after="120"/>
        <w:ind w:left="1890"/>
        <w:rPr>
          <w:szCs w:val="22"/>
        </w:rPr>
      </w:pPr>
      <w:r w:rsidRPr="00874EC5">
        <w:rPr>
          <w:szCs w:val="22"/>
        </w:rPr>
        <w:t xml:space="preserve">“Compliance Plan” means the compliance obligations, program, and procedures described in this Consent Decree at paragraph </w:t>
      </w:r>
      <w:r>
        <w:rPr>
          <w:szCs w:val="22"/>
        </w:rPr>
        <w:t>11</w:t>
      </w:r>
      <w:r w:rsidRPr="00DE0928">
        <w:rPr>
          <w:szCs w:val="22"/>
        </w:rPr>
        <w:t>.</w:t>
      </w:r>
    </w:p>
    <w:p w14:paraId="63437109" w14:textId="77777777" w:rsidR="005E795C" w:rsidRPr="00874EC5" w:rsidRDefault="005E795C" w:rsidP="00F66D35">
      <w:pPr>
        <w:widowControl/>
        <w:numPr>
          <w:ilvl w:val="0"/>
          <w:numId w:val="5"/>
        </w:numPr>
        <w:tabs>
          <w:tab w:val="clear" w:pos="1224"/>
        </w:tabs>
        <w:spacing w:after="120"/>
        <w:ind w:left="1890"/>
        <w:rPr>
          <w:szCs w:val="22"/>
        </w:rPr>
      </w:pPr>
      <w:r w:rsidRPr="00874EC5">
        <w:rPr>
          <w:szCs w:val="22"/>
        </w:rPr>
        <w:t>“Covered Employees” means all employees and agents of Icom who perform, or supervise, oversee, or manage the performance of, duties that relate to Icom’s responsibilities under the Communications Laws, including the Maritime Services Rules.</w:t>
      </w:r>
    </w:p>
    <w:p w14:paraId="2D54637A" w14:textId="77777777" w:rsidR="005E795C" w:rsidRDefault="005E795C" w:rsidP="00F66D35">
      <w:pPr>
        <w:widowControl/>
        <w:numPr>
          <w:ilvl w:val="0"/>
          <w:numId w:val="5"/>
        </w:numPr>
        <w:tabs>
          <w:tab w:val="clear" w:pos="1224"/>
        </w:tabs>
        <w:spacing w:after="120"/>
        <w:ind w:left="1890"/>
        <w:rPr>
          <w:szCs w:val="22"/>
        </w:rPr>
      </w:pPr>
      <w:r w:rsidRPr="00874EC5">
        <w:rPr>
          <w:szCs w:val="22"/>
        </w:rPr>
        <w:t>“Effective Date” means the date by which both the Bureau and Icom have signed the Consent Decree.</w:t>
      </w:r>
    </w:p>
    <w:p w14:paraId="197906CE" w14:textId="77777777" w:rsidR="005E795C" w:rsidRPr="00874EC5" w:rsidRDefault="005E795C" w:rsidP="00F66D35">
      <w:pPr>
        <w:widowControl/>
        <w:numPr>
          <w:ilvl w:val="0"/>
          <w:numId w:val="5"/>
        </w:numPr>
        <w:tabs>
          <w:tab w:val="clear" w:pos="1224"/>
        </w:tabs>
        <w:spacing w:after="120"/>
        <w:ind w:left="1890"/>
        <w:rPr>
          <w:szCs w:val="22"/>
        </w:rPr>
      </w:pPr>
      <w:r w:rsidRPr="00874EC5">
        <w:rPr>
          <w:szCs w:val="22"/>
        </w:rPr>
        <w:t>“Icom” or</w:t>
      </w:r>
      <w:r w:rsidRPr="00874EC5">
        <w:rPr>
          <w:i/>
          <w:szCs w:val="22"/>
        </w:rPr>
        <w:t xml:space="preserve"> “</w:t>
      </w:r>
      <w:r w:rsidRPr="00874EC5">
        <w:rPr>
          <w:szCs w:val="22"/>
        </w:rPr>
        <w:t xml:space="preserve">Company” means </w:t>
      </w:r>
      <w:r w:rsidRPr="00874EC5">
        <w:rPr>
          <w:color w:val="000000" w:themeColor="text1"/>
          <w:spacing w:val="-2"/>
          <w:szCs w:val="22"/>
        </w:rPr>
        <w:t xml:space="preserve">Icom America, Inc. </w:t>
      </w:r>
      <w:r w:rsidRPr="00874EC5">
        <w:rPr>
          <w:szCs w:val="22"/>
        </w:rPr>
        <w:t>and its affiliates, subsidiaries, predecessors-in-interest, and successors-in-interest.</w:t>
      </w:r>
    </w:p>
    <w:p w14:paraId="5306CB40" w14:textId="77777777" w:rsidR="005E795C" w:rsidRPr="00874EC5" w:rsidRDefault="005E795C" w:rsidP="00F66D35">
      <w:pPr>
        <w:widowControl/>
        <w:numPr>
          <w:ilvl w:val="0"/>
          <w:numId w:val="5"/>
        </w:numPr>
        <w:tabs>
          <w:tab w:val="clear" w:pos="1224"/>
        </w:tabs>
        <w:spacing w:after="120"/>
        <w:ind w:left="1890"/>
        <w:rPr>
          <w:szCs w:val="22"/>
        </w:rPr>
      </w:pPr>
      <w:r w:rsidRPr="00874EC5">
        <w:rPr>
          <w:szCs w:val="22"/>
        </w:rPr>
        <w:t xml:space="preserve">“Investigation” means the investigation commenced by the Bureau in </w:t>
      </w:r>
      <w:r w:rsidRPr="00874EC5">
        <w:rPr>
          <w:spacing w:val="-2"/>
          <w:szCs w:val="22"/>
        </w:rPr>
        <w:t xml:space="preserve">EB-SED-14-00017535 </w:t>
      </w:r>
      <w:r w:rsidRPr="00874EC5">
        <w:rPr>
          <w:szCs w:val="22"/>
        </w:rPr>
        <w:t>regarding whether Icom violated the Maritime Services Rules.</w:t>
      </w:r>
    </w:p>
    <w:p w14:paraId="46B03BDA" w14:textId="77777777" w:rsidR="005E795C" w:rsidRPr="00DE0928" w:rsidRDefault="005E795C" w:rsidP="00F66D35">
      <w:pPr>
        <w:widowControl/>
        <w:numPr>
          <w:ilvl w:val="0"/>
          <w:numId w:val="5"/>
        </w:numPr>
        <w:tabs>
          <w:tab w:val="clear" w:pos="1224"/>
        </w:tabs>
        <w:spacing w:after="120"/>
        <w:ind w:left="1890"/>
        <w:rPr>
          <w:szCs w:val="22"/>
        </w:rPr>
      </w:pPr>
      <w:r w:rsidRPr="00874EC5">
        <w:rPr>
          <w:szCs w:val="22"/>
        </w:rPr>
        <w:t>“LOI” means the Letter of Inquiry issued by the Bureau to Icom on June 30, 2015 in connect with the Investigation.</w:t>
      </w:r>
      <w:r w:rsidRPr="00874EC5">
        <w:rPr>
          <w:rStyle w:val="FootnoteReference"/>
          <w:sz w:val="22"/>
          <w:szCs w:val="22"/>
        </w:rPr>
        <w:footnoteReference w:id="10"/>
      </w:r>
    </w:p>
    <w:p w14:paraId="71F4FFB8" w14:textId="77777777" w:rsidR="005E795C" w:rsidRPr="00874EC5" w:rsidRDefault="005E795C" w:rsidP="00F66D35">
      <w:pPr>
        <w:widowControl/>
        <w:numPr>
          <w:ilvl w:val="0"/>
          <w:numId w:val="5"/>
        </w:numPr>
        <w:tabs>
          <w:tab w:val="clear" w:pos="1224"/>
        </w:tabs>
        <w:spacing w:after="120"/>
        <w:ind w:left="1890"/>
        <w:rPr>
          <w:szCs w:val="22"/>
        </w:rPr>
      </w:pPr>
      <w:r w:rsidRPr="00DE0928">
        <w:rPr>
          <w:szCs w:val="22"/>
        </w:rPr>
        <w:t>“</w:t>
      </w:r>
      <w:r w:rsidRPr="00874EC5">
        <w:rPr>
          <w:szCs w:val="22"/>
        </w:rPr>
        <w:t>Maritime Services Rules” means Section 302(b) of the Act</w:t>
      </w:r>
      <w:r w:rsidRPr="00874EC5">
        <w:rPr>
          <w:rStyle w:val="FootnoteReference"/>
          <w:sz w:val="22"/>
          <w:szCs w:val="22"/>
        </w:rPr>
        <w:footnoteReference w:id="11"/>
      </w:r>
      <w:r w:rsidRPr="00DE0928">
        <w:rPr>
          <w:szCs w:val="22"/>
        </w:rPr>
        <w:t xml:space="preserve"> and </w:t>
      </w:r>
      <w:r w:rsidRPr="00874EC5">
        <w:rPr>
          <w:color w:val="000000"/>
          <w:szCs w:val="22"/>
        </w:rPr>
        <w:t>Sections 80.225(a)(2), 80.225(a)(4) and 80.1101(c)(2)(ii) of the Commission’s rules</w:t>
      </w:r>
      <w:r w:rsidRPr="00874EC5">
        <w:rPr>
          <w:rStyle w:val="FootnoteReference"/>
          <w:sz w:val="22"/>
          <w:szCs w:val="22"/>
        </w:rPr>
        <w:footnoteReference w:id="12"/>
      </w:r>
      <w:r w:rsidRPr="00DE0928">
        <w:rPr>
          <w:color w:val="000000"/>
          <w:szCs w:val="22"/>
        </w:rPr>
        <w:t xml:space="preserve"> </w:t>
      </w:r>
      <w:r w:rsidRPr="00DE0928">
        <w:rPr>
          <w:szCs w:val="22"/>
        </w:rPr>
        <w:t xml:space="preserve">and other provisions of the Act, the Rules, and Commission orders related to </w:t>
      </w:r>
      <w:r w:rsidRPr="00874EC5">
        <w:rPr>
          <w:szCs w:val="22"/>
        </w:rPr>
        <w:t xml:space="preserve">the manufacture, importation, or sale of marine radios.  </w:t>
      </w:r>
    </w:p>
    <w:p w14:paraId="5F033AC4" w14:textId="77777777" w:rsidR="005E795C" w:rsidRPr="00874EC5" w:rsidRDefault="005E795C" w:rsidP="00F66D35">
      <w:pPr>
        <w:widowControl/>
        <w:numPr>
          <w:ilvl w:val="0"/>
          <w:numId w:val="5"/>
        </w:numPr>
        <w:tabs>
          <w:tab w:val="clear" w:pos="1224"/>
        </w:tabs>
        <w:spacing w:after="120"/>
        <w:ind w:left="1890"/>
        <w:rPr>
          <w:szCs w:val="22"/>
        </w:rPr>
      </w:pPr>
      <w:r w:rsidRPr="00874EC5">
        <w:rPr>
          <w:szCs w:val="22"/>
        </w:rPr>
        <w:t>“Operating Procedures” means the standard internal operating procedures and compliance policies established by Icom to implement the Compliance Plan.</w:t>
      </w:r>
    </w:p>
    <w:p w14:paraId="19F25409" w14:textId="77777777" w:rsidR="005E795C" w:rsidRPr="00874EC5" w:rsidRDefault="005E795C" w:rsidP="00F66D35">
      <w:pPr>
        <w:widowControl/>
        <w:numPr>
          <w:ilvl w:val="0"/>
          <w:numId w:val="5"/>
        </w:numPr>
        <w:tabs>
          <w:tab w:val="clear" w:pos="1224"/>
        </w:tabs>
        <w:spacing w:after="120"/>
        <w:ind w:left="1890"/>
        <w:rPr>
          <w:szCs w:val="22"/>
        </w:rPr>
      </w:pPr>
      <w:r w:rsidRPr="00874EC5">
        <w:rPr>
          <w:szCs w:val="22"/>
        </w:rPr>
        <w:t>“Parties” means Icom and the Bureau, each of which is a “Party.”</w:t>
      </w:r>
    </w:p>
    <w:p w14:paraId="008EA727" w14:textId="77777777" w:rsidR="005E795C" w:rsidRPr="00987ED1" w:rsidRDefault="005E795C" w:rsidP="00F66D35">
      <w:pPr>
        <w:widowControl/>
        <w:numPr>
          <w:ilvl w:val="0"/>
          <w:numId w:val="5"/>
        </w:numPr>
        <w:tabs>
          <w:tab w:val="clear" w:pos="1224"/>
        </w:tabs>
        <w:spacing w:after="120"/>
        <w:ind w:left="1890"/>
        <w:rPr>
          <w:szCs w:val="22"/>
        </w:rPr>
      </w:pPr>
      <w:r w:rsidRPr="00874EC5">
        <w:rPr>
          <w:szCs w:val="22"/>
        </w:rPr>
        <w:t>“Rules” means the Commission’s regulations found in Title 47 of the Code of Federal Regulations.</w:t>
      </w:r>
    </w:p>
    <w:p w14:paraId="7BAF3A63" w14:textId="77777777" w:rsidR="005E795C" w:rsidRPr="00874EC5" w:rsidRDefault="005E795C" w:rsidP="005E795C">
      <w:pPr>
        <w:pStyle w:val="Heading1"/>
        <w:widowControl/>
        <w:rPr>
          <w:rFonts w:ascii="Times New Roman" w:hAnsi="Times New Roman"/>
          <w:szCs w:val="22"/>
        </w:rPr>
      </w:pPr>
      <w:r w:rsidRPr="00874EC5">
        <w:rPr>
          <w:rFonts w:ascii="Times New Roman" w:hAnsi="Times New Roman"/>
          <w:szCs w:val="22"/>
        </w:rPr>
        <w:t>BACKGROUND</w:t>
      </w:r>
    </w:p>
    <w:p w14:paraId="0C5FE327" w14:textId="77777777" w:rsidR="005E795C" w:rsidRDefault="005E795C" w:rsidP="005E795C">
      <w:pPr>
        <w:pStyle w:val="ParaNum0"/>
        <w:widowControl/>
        <w:rPr>
          <w:szCs w:val="22"/>
        </w:rPr>
      </w:pPr>
      <w:r w:rsidRPr="00DE0928">
        <w:rPr>
          <w:szCs w:val="22"/>
        </w:rPr>
        <w:t>Section 302 of the Act authorizes the Commission to promulgate reasonable regulations to minimize harmful interference by equipment that emits radio frequency energy.</w:t>
      </w:r>
      <w:r w:rsidRPr="00DE0928">
        <w:rPr>
          <w:rStyle w:val="FootnoteReference"/>
          <w:sz w:val="22"/>
          <w:szCs w:val="22"/>
        </w:rPr>
        <w:footnoteReference w:id="13"/>
      </w:r>
      <w:r w:rsidRPr="00DE0928">
        <w:rPr>
          <w:szCs w:val="22"/>
        </w:rPr>
        <w:t xml:space="preserve">  Specifically, Section 302(b) of the Act provides that “[n]o person shall manufacture, import, sell, offer for sale, or ship devices or home electronic</w:t>
      </w:r>
      <w:r w:rsidRPr="00874EC5">
        <w:rPr>
          <w:szCs w:val="22"/>
        </w:rPr>
        <w:t xml:space="preserve"> equipment and systems, or use devices, which fail to comply with regulations promulgated pursuant to this section.”</w:t>
      </w:r>
      <w:r w:rsidRPr="00DE0928">
        <w:rPr>
          <w:rStyle w:val="FootnoteReference"/>
          <w:sz w:val="22"/>
          <w:szCs w:val="22"/>
        </w:rPr>
        <w:footnoteReference w:id="14"/>
      </w:r>
      <w:r w:rsidRPr="00DE0928">
        <w:rPr>
          <w:szCs w:val="22"/>
        </w:rPr>
        <w:t xml:space="preserve">  With regard to marine radios, the Mar</w:t>
      </w:r>
      <w:r w:rsidRPr="00874EC5">
        <w:rPr>
          <w:szCs w:val="22"/>
        </w:rPr>
        <w:t xml:space="preserve">itime Services Rules, among other things, prohibit, after January 1, 2013, the manufacture, importation, sale or installation of non-portable </w:t>
      </w:r>
      <w:r w:rsidRPr="00874EC5">
        <w:t>digital selective calling (DSC)</w:t>
      </w:r>
      <w:r w:rsidRPr="00DE0928">
        <w:rPr>
          <w:szCs w:val="22"/>
        </w:rPr>
        <w:t xml:space="preserve"> equipment that does not </w:t>
      </w:r>
      <w:r>
        <w:rPr>
          <w:szCs w:val="22"/>
        </w:rPr>
        <w:t xml:space="preserve">include all the features specified in International Telecommunication Union Radiocommunication Sector (ITU-R) Recommendation </w:t>
      </w:r>
      <w:r w:rsidRPr="00874EC5">
        <w:rPr>
          <w:szCs w:val="22"/>
        </w:rPr>
        <w:t>M.493-13 (ITU-R M.493-13).</w:t>
      </w:r>
      <w:r w:rsidRPr="00874EC5">
        <w:rPr>
          <w:rStyle w:val="FootnoteReference"/>
          <w:sz w:val="22"/>
          <w:szCs w:val="22"/>
        </w:rPr>
        <w:footnoteReference w:id="15"/>
      </w:r>
      <w:r w:rsidRPr="00DE0928">
        <w:rPr>
          <w:szCs w:val="22"/>
        </w:rPr>
        <w:t xml:space="preserve">  </w:t>
      </w:r>
    </w:p>
    <w:p w14:paraId="5599FF7F" w14:textId="77777777" w:rsidR="005E795C" w:rsidRPr="00874EC5" w:rsidRDefault="005E795C" w:rsidP="005E795C">
      <w:pPr>
        <w:pStyle w:val="ParaNum0"/>
        <w:widowControl/>
        <w:rPr>
          <w:szCs w:val="22"/>
        </w:rPr>
      </w:pPr>
      <w:r w:rsidRPr="00B649B0">
        <w:rPr>
          <w:szCs w:val="22"/>
        </w:rPr>
        <w:t xml:space="preserve">The </w:t>
      </w:r>
      <w:r>
        <w:rPr>
          <w:szCs w:val="22"/>
        </w:rPr>
        <w:t xml:space="preserve">policy underlying the Maritime Services Rules is to require that marine radios incorporate the most current internationally-accepted features for providing </w:t>
      </w:r>
      <w:r w:rsidRPr="00B649B0">
        <w:rPr>
          <w:szCs w:val="22"/>
        </w:rPr>
        <w:t>emergency communications from and between maritime vessels</w:t>
      </w:r>
      <w:r>
        <w:rPr>
          <w:szCs w:val="22"/>
        </w:rPr>
        <w:t xml:space="preserve">.  In this case, the Maritime Service Rules radios are required to provide the following features that were incorporated by reference to ITU-R M.493-13:  (1) a timer indicating the time that has elapsed since a call was received; (2) if no acknowledgement is requested, the option to send a duplicate DSC message without the need to re-enter the message text; and (3) if an acknowledgement is requested, the option to re-send a duplicate DSC message without the need to re-enter the message text.  </w:t>
      </w:r>
      <w:r>
        <w:rPr>
          <w:color w:val="000000"/>
          <w:szCs w:val="22"/>
        </w:rPr>
        <w:t xml:space="preserve">  </w:t>
      </w:r>
      <w:r w:rsidRPr="00874EC5">
        <w:rPr>
          <w:szCs w:val="22"/>
        </w:rPr>
        <w:t xml:space="preserve">  </w:t>
      </w:r>
    </w:p>
    <w:p w14:paraId="0FEB8B0C" w14:textId="77777777" w:rsidR="005E795C" w:rsidRPr="00A24C61" w:rsidRDefault="005E795C" w:rsidP="005E795C">
      <w:pPr>
        <w:pStyle w:val="ParaNum0"/>
        <w:widowControl/>
        <w:rPr>
          <w:szCs w:val="22"/>
        </w:rPr>
      </w:pPr>
      <w:bookmarkStart w:id="1" w:name="_Ref450642912"/>
      <w:r w:rsidRPr="00A24C61">
        <w:rPr>
          <w:szCs w:val="22"/>
        </w:rPr>
        <w:t xml:space="preserve">In October 2014, the Wireless Telecommunications Bureau referred a complaint to the Enforcement Bureau for investigation and possible enforcement action concerning Icom’s marketing, after January 1, 2013, of a marine radio, model IC-M412 (FCC ID: AFJ305400) that did not comply with </w:t>
      </w:r>
      <w:r>
        <w:rPr>
          <w:szCs w:val="22"/>
        </w:rPr>
        <w:t xml:space="preserve">the Maritime Services Rules and </w:t>
      </w:r>
      <w:r w:rsidRPr="00A24C61">
        <w:rPr>
          <w:szCs w:val="22"/>
        </w:rPr>
        <w:t xml:space="preserve">the revised </w:t>
      </w:r>
      <w:r>
        <w:rPr>
          <w:szCs w:val="22"/>
        </w:rPr>
        <w:t>standard</w:t>
      </w:r>
      <w:r w:rsidRPr="00A24C61">
        <w:rPr>
          <w:szCs w:val="22"/>
        </w:rPr>
        <w:t xml:space="preserve">.  The Enforcement Bureau sent the LOI, and </w:t>
      </w:r>
      <w:r w:rsidRPr="00A24C61">
        <w:rPr>
          <w:color w:val="000000"/>
          <w:szCs w:val="22"/>
        </w:rPr>
        <w:t>Icom responded on July 30, 2015.</w:t>
      </w:r>
      <w:r w:rsidRPr="00874EC5">
        <w:rPr>
          <w:rStyle w:val="FootnoteReference"/>
          <w:sz w:val="22"/>
          <w:szCs w:val="22"/>
        </w:rPr>
        <w:footnoteReference w:id="16"/>
      </w:r>
      <w:r w:rsidRPr="00A24C61">
        <w:rPr>
          <w:color w:val="000000"/>
          <w:szCs w:val="22"/>
        </w:rPr>
        <w:t xml:space="preserve">  In its LOI Response and subsequent correspondence, Icom argued that </w:t>
      </w:r>
      <w:r w:rsidRPr="00A24C61">
        <w:rPr>
          <w:szCs w:val="22"/>
        </w:rPr>
        <w:t>the wording of Section 80.225(a)(4) was vague, in that it appeared to Icom that manufacturers could comply with either ITU-R M.493-13 or IEC 62238, but admitted that the marine radio did not comply with various aspects of ITU-R M.493-13.</w:t>
      </w:r>
      <w:r w:rsidRPr="00874EC5">
        <w:rPr>
          <w:rStyle w:val="FootnoteReference"/>
          <w:sz w:val="22"/>
          <w:szCs w:val="22"/>
        </w:rPr>
        <w:footnoteReference w:id="17"/>
      </w:r>
      <w:r w:rsidRPr="00A24C61">
        <w:rPr>
          <w:szCs w:val="22"/>
        </w:rPr>
        <w:t xml:space="preserve"> </w:t>
      </w:r>
      <w:r w:rsidRPr="00A24C61">
        <w:rPr>
          <w:color w:val="000000"/>
          <w:szCs w:val="22"/>
        </w:rPr>
        <w:t xml:space="preserve"> Icom also admitted that it continued manufacturing, importing and marketing the noncompliant marine radio until June 22, 2015.</w:t>
      </w:r>
      <w:r w:rsidRPr="00874EC5">
        <w:rPr>
          <w:rStyle w:val="FootnoteReference"/>
          <w:sz w:val="22"/>
          <w:szCs w:val="22"/>
        </w:rPr>
        <w:footnoteReference w:id="18"/>
      </w:r>
      <w:r w:rsidRPr="00A24C61">
        <w:rPr>
          <w:color w:val="000000"/>
          <w:szCs w:val="22"/>
        </w:rPr>
        <w:t xml:space="preserve">  </w:t>
      </w:r>
      <w:r w:rsidRPr="00A24C61">
        <w:rPr>
          <w:spacing w:val="-2"/>
          <w:szCs w:val="22"/>
        </w:rPr>
        <w:t>Before receiving the LOI, however, Icom discontinued marketing the model.</w:t>
      </w:r>
      <w:r w:rsidRPr="00874EC5">
        <w:rPr>
          <w:rStyle w:val="FootnoteReference"/>
          <w:spacing w:val="-2"/>
          <w:sz w:val="22"/>
          <w:szCs w:val="22"/>
        </w:rPr>
        <w:footnoteReference w:id="19"/>
      </w:r>
      <w:r w:rsidRPr="00A24C61">
        <w:rPr>
          <w:spacing w:val="-2"/>
          <w:szCs w:val="22"/>
        </w:rPr>
        <w:t xml:space="preserve">  </w:t>
      </w:r>
      <w:bookmarkEnd w:id="1"/>
      <w:r w:rsidRPr="00A24C61">
        <w:rPr>
          <w:spacing w:val="-2"/>
          <w:szCs w:val="22"/>
        </w:rPr>
        <w:t xml:space="preserve">  </w:t>
      </w:r>
    </w:p>
    <w:p w14:paraId="5A421204" w14:textId="77777777" w:rsidR="005E795C" w:rsidRPr="00874EC5" w:rsidRDefault="005E795C" w:rsidP="005E795C">
      <w:pPr>
        <w:pStyle w:val="Heading1"/>
        <w:widowControl/>
        <w:rPr>
          <w:rFonts w:ascii="Times New Roman" w:hAnsi="Times New Roman"/>
          <w:szCs w:val="22"/>
        </w:rPr>
      </w:pPr>
      <w:bookmarkStart w:id="2" w:name="FN[FN18]"/>
      <w:bookmarkEnd w:id="2"/>
      <w:r w:rsidRPr="00874EC5">
        <w:rPr>
          <w:rFonts w:ascii="Times New Roman" w:hAnsi="Times New Roman"/>
          <w:szCs w:val="22"/>
        </w:rPr>
        <w:t>TERMS OF AGREEMENT</w:t>
      </w:r>
    </w:p>
    <w:p w14:paraId="33BA084F" w14:textId="77777777" w:rsidR="005E795C" w:rsidRPr="00874EC5" w:rsidRDefault="005E795C" w:rsidP="005E795C">
      <w:pPr>
        <w:pStyle w:val="ParaNum0"/>
        <w:widowControl/>
        <w:rPr>
          <w:szCs w:val="22"/>
        </w:rPr>
      </w:pPr>
      <w:r w:rsidRPr="00DE0928">
        <w:rPr>
          <w:b/>
          <w:szCs w:val="22"/>
          <w:u w:val="single"/>
        </w:rPr>
        <w:t>Adopting Order</w:t>
      </w:r>
      <w:r w:rsidRPr="00874EC5">
        <w:rPr>
          <w:szCs w:val="22"/>
        </w:rPr>
        <w:t>.  The provisions of this Consent Decree shall be incorporated by the Bureau in an Adopting Order.</w:t>
      </w:r>
    </w:p>
    <w:p w14:paraId="02DD84E9" w14:textId="77777777" w:rsidR="005E795C" w:rsidRPr="00874EC5" w:rsidRDefault="005E795C" w:rsidP="005E795C">
      <w:pPr>
        <w:pStyle w:val="ParaNum0"/>
        <w:widowControl/>
        <w:rPr>
          <w:szCs w:val="22"/>
        </w:rPr>
      </w:pPr>
      <w:r w:rsidRPr="00874EC5">
        <w:rPr>
          <w:b/>
          <w:szCs w:val="22"/>
          <w:u w:val="single"/>
        </w:rPr>
        <w:t>Jurisdiction</w:t>
      </w:r>
      <w:r w:rsidRPr="00874EC5">
        <w:rPr>
          <w:szCs w:val="22"/>
        </w:rPr>
        <w:t>.  Icom agrees that the Bureau has jurisdiction over it and the matters contained in this Consent Decree and has the authority to enter into and adopt this Consent Decree.</w:t>
      </w:r>
    </w:p>
    <w:p w14:paraId="074099B1" w14:textId="77777777" w:rsidR="005E795C" w:rsidRPr="00874EC5" w:rsidRDefault="005E795C" w:rsidP="005E795C">
      <w:pPr>
        <w:pStyle w:val="ParaNum0"/>
        <w:widowControl/>
        <w:rPr>
          <w:szCs w:val="22"/>
        </w:rPr>
      </w:pPr>
      <w:r w:rsidRPr="00874EC5">
        <w:rPr>
          <w:b/>
          <w:szCs w:val="22"/>
          <w:u w:val="single"/>
        </w:rPr>
        <w:t>Effective Date; Violations</w:t>
      </w:r>
      <w:r w:rsidRPr="00874EC5">
        <w:rPr>
          <w:szCs w:val="22"/>
        </w:rPr>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14:paraId="5454D3E0" w14:textId="77777777" w:rsidR="005E795C" w:rsidRPr="00DE0928" w:rsidRDefault="005E795C" w:rsidP="005E795C">
      <w:pPr>
        <w:pStyle w:val="ParaNum0"/>
        <w:widowControl/>
        <w:rPr>
          <w:szCs w:val="22"/>
        </w:rPr>
      </w:pPr>
      <w:bookmarkStart w:id="3" w:name="_Ref450641272"/>
      <w:r w:rsidRPr="00874EC5">
        <w:rPr>
          <w:b/>
          <w:szCs w:val="22"/>
          <w:u w:val="single"/>
        </w:rPr>
        <w:t>Termination of Investigation</w:t>
      </w:r>
      <w:r w:rsidRPr="00874EC5">
        <w:rPr>
          <w:szCs w:val="22"/>
        </w:rPr>
        <w:t>.  In express reliance on the covenants and representations in this Consent Decree and to avoid further expenditure of public resources, the Bureau agrees to terminate the Investigation.  In consideration for the termination of the Investigation, Icom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Icom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Icom’s basic qualifications to be a Commission licensee or hold Commission licenses or authorizations.</w:t>
      </w:r>
      <w:r w:rsidRPr="00874EC5">
        <w:rPr>
          <w:rStyle w:val="FootnoteReference"/>
          <w:sz w:val="22"/>
          <w:szCs w:val="22"/>
        </w:rPr>
        <w:footnoteReference w:id="20"/>
      </w:r>
      <w:bookmarkEnd w:id="3"/>
    </w:p>
    <w:p w14:paraId="5551082A" w14:textId="77777777" w:rsidR="005E795C" w:rsidRPr="00874EC5" w:rsidRDefault="005E795C" w:rsidP="005E795C">
      <w:pPr>
        <w:pStyle w:val="ParaNum0"/>
        <w:widowControl/>
        <w:rPr>
          <w:szCs w:val="22"/>
        </w:rPr>
      </w:pPr>
      <w:r w:rsidRPr="00874EC5">
        <w:rPr>
          <w:b/>
          <w:szCs w:val="22"/>
          <w:u w:val="single"/>
        </w:rPr>
        <w:t>Admission of Liability</w:t>
      </w:r>
      <w:r w:rsidRPr="00874EC5">
        <w:rPr>
          <w:szCs w:val="22"/>
        </w:rPr>
        <w:t xml:space="preserve">.  Icom admits for the purpose of this Consent Decree and for Commission civil enforcement purposes, and in express reliance on the provisions of paragraph </w:t>
      </w:r>
      <w:r>
        <w:rPr>
          <w:szCs w:val="22"/>
        </w:rPr>
        <w:t>8</w:t>
      </w:r>
      <w:r w:rsidRPr="00DE0928">
        <w:rPr>
          <w:szCs w:val="22"/>
        </w:rPr>
        <w:t xml:space="preserve"> herein,</w:t>
      </w:r>
      <w:r w:rsidRPr="00874EC5">
        <w:rPr>
          <w:szCs w:val="22"/>
        </w:rPr>
        <w:t xml:space="preserve"> that its actions in paragraph </w:t>
      </w:r>
      <w:r>
        <w:rPr>
          <w:szCs w:val="22"/>
        </w:rPr>
        <w:t>4</w:t>
      </w:r>
      <w:r w:rsidRPr="00DE0928">
        <w:rPr>
          <w:szCs w:val="22"/>
        </w:rPr>
        <w:t xml:space="preserve"> violated the</w:t>
      </w:r>
      <w:r w:rsidRPr="00874EC5">
        <w:rPr>
          <w:i/>
          <w:szCs w:val="22"/>
        </w:rPr>
        <w:t xml:space="preserve"> </w:t>
      </w:r>
      <w:r w:rsidRPr="00874EC5">
        <w:rPr>
          <w:szCs w:val="22"/>
        </w:rPr>
        <w:t xml:space="preserve">Maritime Services Rules.  </w:t>
      </w:r>
    </w:p>
    <w:p w14:paraId="20B30EF9" w14:textId="77777777" w:rsidR="005E795C" w:rsidRPr="00874EC5" w:rsidRDefault="005E795C" w:rsidP="005E795C">
      <w:pPr>
        <w:pStyle w:val="ParaNum0"/>
        <w:widowControl/>
        <w:rPr>
          <w:szCs w:val="22"/>
        </w:rPr>
      </w:pPr>
      <w:bookmarkStart w:id="4" w:name="_Ref379202869"/>
      <w:r w:rsidRPr="00874EC5">
        <w:rPr>
          <w:b/>
          <w:szCs w:val="22"/>
          <w:u w:val="single"/>
        </w:rPr>
        <w:t>Compliance Officer</w:t>
      </w:r>
      <w:r w:rsidRPr="00874EC5">
        <w:rPr>
          <w:szCs w:val="22"/>
        </w:rPr>
        <w:t>.  Within sixty (60) calendar days after the Effective Date, Icom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Icom complies with the terms and conditions of the Compliance Plan and this Consent Decree.  In addition to the general knowledge of the Communications Laws necessary to discharge his or her duties under this Consent Decree, the Compliance Officer shall have specific knowledge of the Maritime Services Rules prior to assuming his/her duties.</w:t>
      </w:r>
      <w:bookmarkEnd w:id="4"/>
    </w:p>
    <w:p w14:paraId="10522686" w14:textId="77777777" w:rsidR="005E795C" w:rsidRPr="00874EC5" w:rsidRDefault="005E795C" w:rsidP="005E795C">
      <w:pPr>
        <w:pStyle w:val="ParaNum0"/>
        <w:widowControl/>
        <w:rPr>
          <w:szCs w:val="22"/>
        </w:rPr>
      </w:pPr>
      <w:bookmarkStart w:id="5" w:name="_Ref357521857"/>
      <w:r w:rsidRPr="00874EC5">
        <w:rPr>
          <w:b/>
          <w:szCs w:val="22"/>
          <w:u w:val="single"/>
        </w:rPr>
        <w:t>Compliance Plan</w:t>
      </w:r>
      <w:r w:rsidRPr="00874EC5">
        <w:rPr>
          <w:szCs w:val="22"/>
        </w:rPr>
        <w:t>.  For purposes of settling the matters set forth herein, Icom agrees that it shall, within ninety (90) calendar days after the Effective Date, develop and implement a Compliance Plan designed to ensure future compliance with the Communications Laws and with the terms and conditions of this Consent Decree.  With respect to the Maritime Services Rules, Icom will implement, at a minimum, the following procedures:</w:t>
      </w:r>
      <w:bookmarkEnd w:id="5"/>
    </w:p>
    <w:p w14:paraId="3A9CA1C5" w14:textId="77777777" w:rsidR="005E795C" w:rsidRPr="00874EC5" w:rsidRDefault="005E795C" w:rsidP="00F66D35">
      <w:pPr>
        <w:widowControl/>
        <w:numPr>
          <w:ilvl w:val="0"/>
          <w:numId w:val="6"/>
        </w:numPr>
        <w:tabs>
          <w:tab w:val="clear" w:pos="1656"/>
        </w:tabs>
        <w:spacing w:after="120"/>
        <w:ind w:left="1886"/>
        <w:rPr>
          <w:szCs w:val="22"/>
        </w:rPr>
      </w:pPr>
      <w:r w:rsidRPr="00874EC5">
        <w:rPr>
          <w:b/>
          <w:szCs w:val="22"/>
          <w:u w:val="single"/>
        </w:rPr>
        <w:t>Operating Procedures</w:t>
      </w:r>
      <w:r w:rsidRPr="00874EC5">
        <w:rPr>
          <w:szCs w:val="22"/>
        </w:rPr>
        <w:t>.  Within ninety (90) calendar days after the Effective Date, Icom shall establish Operating Procedures that all Covered Employees must follow to help ensure Icom’s compliance with the Maritime Services Rules.  Icom’s Operating Procedures shall include internal procedures and policies specifically designed to ensure that its marine radios comply with the applicable international standard required by the Maritime Services Rules.  Icom shall also develop a Compliance Checklist that describes the steps that a Covered Employee must follow to ensure compliance with the Maritime Services Rules.</w:t>
      </w:r>
    </w:p>
    <w:p w14:paraId="25F6DA29" w14:textId="77777777" w:rsidR="005E795C" w:rsidRPr="00874EC5" w:rsidRDefault="005E795C" w:rsidP="00F66D35">
      <w:pPr>
        <w:widowControl/>
        <w:numPr>
          <w:ilvl w:val="0"/>
          <w:numId w:val="6"/>
        </w:numPr>
        <w:tabs>
          <w:tab w:val="clear" w:pos="1656"/>
        </w:tabs>
        <w:spacing w:after="120"/>
        <w:ind w:left="1886"/>
        <w:rPr>
          <w:szCs w:val="22"/>
        </w:rPr>
      </w:pPr>
      <w:r w:rsidRPr="00874EC5">
        <w:rPr>
          <w:b/>
          <w:szCs w:val="22"/>
          <w:u w:val="single"/>
        </w:rPr>
        <w:t>Compliance Manual</w:t>
      </w:r>
      <w:r w:rsidRPr="00874EC5">
        <w:rPr>
          <w:szCs w:val="22"/>
        </w:rPr>
        <w:t>.  Within ninety (90) calendar days after the Effective Date, the Compliance Officer shall develop and distribute a Compliance Manual to all Covered Employees.  The Compliance Manual shall explain the Maritime Services Rules and set forth the Operating Procedures that Covered Employees shall follow to help ensure Icom’s compliance with the Maritime Services Rules.  Icom shall periodically review and revise the Compliance Manual as necessary to ensure that the information set forth therein remains current and accurate.  Icom shall distribute any revisions to the Compliance Manual promptly to all Covered Employees.</w:t>
      </w:r>
    </w:p>
    <w:p w14:paraId="0A1C1756" w14:textId="77777777" w:rsidR="005E795C" w:rsidRPr="00874EC5" w:rsidRDefault="005E795C" w:rsidP="00F66D35">
      <w:pPr>
        <w:widowControl/>
        <w:numPr>
          <w:ilvl w:val="0"/>
          <w:numId w:val="6"/>
        </w:numPr>
        <w:tabs>
          <w:tab w:val="clear" w:pos="1656"/>
        </w:tabs>
        <w:spacing w:after="120"/>
        <w:ind w:left="1886"/>
        <w:rPr>
          <w:szCs w:val="22"/>
        </w:rPr>
      </w:pPr>
      <w:r w:rsidRPr="00874EC5">
        <w:rPr>
          <w:b/>
          <w:szCs w:val="22"/>
          <w:u w:val="single"/>
        </w:rPr>
        <w:t>Compliance Training Program</w:t>
      </w:r>
      <w:r w:rsidRPr="00874EC5">
        <w:rPr>
          <w:szCs w:val="22"/>
        </w:rPr>
        <w:t xml:space="preserve">.  Icom shall establish and implement a Compliance Training Program on compliance with the Maritime Services Rules and the Operating Procedures.  As part of the Compliance Training Program, Covered Employees shall be advised of Icom’s obligation to report any noncompliance with the Maritime Services Rules under paragraph </w:t>
      </w:r>
      <w:r>
        <w:rPr>
          <w:szCs w:val="22"/>
        </w:rPr>
        <w:t>12</w:t>
      </w:r>
      <w:r w:rsidRPr="00DE0928">
        <w:rPr>
          <w:szCs w:val="22"/>
        </w:rPr>
        <w:t xml:space="preserve"> </w:t>
      </w:r>
      <w:r w:rsidRPr="00874EC5">
        <w:rPr>
          <w:szCs w:val="22"/>
        </w:rPr>
        <w:t>of this Consent Decree and shall be instructed on how to disclose noncompliance to the Compliance Officer.  All Covered Employees shall be trained pursuant to the Compliance Training Program within ninety (90) calendar days after the Effective Date, except that any person who becomes a Covered Employee at any time after the initial Compliance Training Program shall be trained within thirty (30) calendar days after the date such person becomes a Covered Employee.  Icom shall repeat compliance training on an annual basis, and shall periodically review and revise the Compliance Training Program as necessary to ensure that it remains current and complete and to enhance its effectiveness.</w:t>
      </w:r>
    </w:p>
    <w:p w14:paraId="72B7F9CF" w14:textId="77777777" w:rsidR="005E795C" w:rsidRPr="00874EC5" w:rsidRDefault="005E795C" w:rsidP="005E795C">
      <w:pPr>
        <w:pStyle w:val="ParaNum0"/>
        <w:widowControl/>
        <w:rPr>
          <w:szCs w:val="22"/>
        </w:rPr>
      </w:pPr>
      <w:bookmarkStart w:id="6" w:name="_Ref321323028"/>
      <w:r w:rsidRPr="00874EC5">
        <w:rPr>
          <w:b/>
          <w:szCs w:val="22"/>
          <w:u w:val="single"/>
        </w:rPr>
        <w:t>Reporting Noncompliance</w:t>
      </w:r>
      <w:r w:rsidRPr="00874EC5">
        <w:rPr>
          <w:szCs w:val="22"/>
        </w:rPr>
        <w:t>.  Icom shall report any noncompliance with the Maritime Services Rules and with the terms and conditions of this Consent Decree within fifteen (15) calendar days after discovery by the Compliance Officer or Covered Employee of such noncompliance.  Such reports shall include a detailed explanation of:  (i) each instance of noncompliance; (ii) the steps that Icom has taken or will take to remedy such noncompliance; (iii) the schedule on which such remedial actions will be taken; and (iv) the steps that the Icom has taken or will take to prevent the recurrence of any such noncompliance.  All reports of noncompliance shall be submitted to Chief, Spectrum Enforcement Division, Enforcement Bureau, Federal Communications Commission, 445 12th Street, S.W., Washington, DC 20554, with a copy submitted electronically to Jennifer Burton at jennifer.burton@fcc.gov, Gabriel Collazo at gabriel.collazo@fcc.gov, and Neal McNeil at neal.mcneil@fcc.gov.</w:t>
      </w:r>
      <w:bookmarkEnd w:id="6"/>
    </w:p>
    <w:p w14:paraId="16F7638D" w14:textId="77777777" w:rsidR="005E795C" w:rsidRPr="00874EC5" w:rsidRDefault="005E795C" w:rsidP="005E795C">
      <w:pPr>
        <w:pStyle w:val="ParaNum0"/>
        <w:keepNext/>
        <w:widowControl/>
        <w:rPr>
          <w:caps/>
          <w:szCs w:val="22"/>
        </w:rPr>
      </w:pPr>
      <w:bookmarkStart w:id="7" w:name="_Ref379202892"/>
      <w:bookmarkStart w:id="8" w:name="_Ref450641794"/>
      <w:r w:rsidRPr="00874EC5">
        <w:rPr>
          <w:b/>
          <w:szCs w:val="22"/>
          <w:u w:val="single"/>
        </w:rPr>
        <w:t>Compliance Reports</w:t>
      </w:r>
      <w:r w:rsidRPr="00874EC5">
        <w:rPr>
          <w:szCs w:val="22"/>
        </w:rPr>
        <w:t>.  Icom shall file compliance reports with the Commission one hundred twenty (120) calendar days after the Effective Date, twelve (12) months after the Effective Date, twenty-four (24) months after the Effective Date, and thirty-six (36) months after the Effective Date.</w:t>
      </w:r>
      <w:bookmarkEnd w:id="7"/>
      <w:r w:rsidRPr="00874EC5">
        <w:rPr>
          <w:szCs w:val="22"/>
        </w:rPr>
        <w:t xml:space="preserve">  </w:t>
      </w:r>
      <w:bookmarkEnd w:id="8"/>
    </w:p>
    <w:p w14:paraId="2BB2DAB0" w14:textId="77777777" w:rsidR="005E795C" w:rsidRPr="00874EC5" w:rsidRDefault="005E795C" w:rsidP="00F66D35">
      <w:pPr>
        <w:widowControl/>
        <w:numPr>
          <w:ilvl w:val="0"/>
          <w:numId w:val="7"/>
        </w:numPr>
        <w:tabs>
          <w:tab w:val="clear" w:pos="1782"/>
        </w:tabs>
        <w:spacing w:after="120"/>
        <w:ind w:left="1886"/>
        <w:rPr>
          <w:szCs w:val="22"/>
        </w:rPr>
      </w:pPr>
      <w:r w:rsidRPr="00874EC5">
        <w:rPr>
          <w:szCs w:val="22"/>
        </w:rPr>
        <w:t xml:space="preserve">Each Compliance Report shall include a detailed description of Icom’s efforts during the relevant period to comply with the terms and conditions of this Consent Decree and the Maritime Services Rules.  In addition, each Compliance Report shall include a certification by the Compliance Officer, as an agent of and on behalf of Icom, stating that the Compliance Officer has personal knowledge that Icom: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Pr>
          <w:szCs w:val="22"/>
        </w:rPr>
        <w:t>12</w:t>
      </w:r>
      <w:r w:rsidRPr="00DE0928">
        <w:rPr>
          <w:b/>
          <w:szCs w:val="22"/>
        </w:rPr>
        <w:t xml:space="preserve"> </w:t>
      </w:r>
      <w:r w:rsidRPr="00874EC5">
        <w:rPr>
          <w:szCs w:val="22"/>
        </w:rPr>
        <w:t>of this Consent Decree.</w:t>
      </w:r>
    </w:p>
    <w:p w14:paraId="077C49D6" w14:textId="77777777" w:rsidR="005E795C" w:rsidRPr="00DE0928" w:rsidRDefault="005E795C" w:rsidP="00F66D35">
      <w:pPr>
        <w:widowControl/>
        <w:numPr>
          <w:ilvl w:val="0"/>
          <w:numId w:val="7"/>
        </w:numPr>
        <w:tabs>
          <w:tab w:val="clear" w:pos="1782"/>
        </w:tabs>
        <w:spacing w:after="120"/>
        <w:ind w:left="1886"/>
        <w:rPr>
          <w:szCs w:val="22"/>
        </w:rPr>
      </w:pPr>
      <w:r w:rsidRPr="00874EC5">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874EC5">
        <w:rPr>
          <w:rStyle w:val="FootnoteReference"/>
          <w:sz w:val="22"/>
          <w:szCs w:val="22"/>
        </w:rPr>
        <w:footnoteReference w:id="21"/>
      </w:r>
    </w:p>
    <w:p w14:paraId="46295D8D" w14:textId="77777777" w:rsidR="005E795C" w:rsidRPr="00874EC5" w:rsidRDefault="005E795C" w:rsidP="00F66D35">
      <w:pPr>
        <w:widowControl/>
        <w:numPr>
          <w:ilvl w:val="0"/>
          <w:numId w:val="7"/>
        </w:numPr>
        <w:tabs>
          <w:tab w:val="clear" w:pos="1782"/>
        </w:tabs>
        <w:spacing w:after="120"/>
        <w:ind w:left="1886"/>
        <w:rPr>
          <w:szCs w:val="22"/>
        </w:rPr>
      </w:pPr>
      <w:r w:rsidRPr="00874EC5">
        <w:rPr>
          <w:szCs w:val="22"/>
        </w:rPr>
        <w:t>If the Compliance Officer cannot provide the requisite certification, the Compliance Officer, as an agent of and on behalf of Icom, shall provide the Commission with a detailed explanation of the reason(s) why and describe fully:  (i) each instance of noncompliance; (ii) the steps that Icom has taken or will take to remedy such noncompliance, including the schedule on which proposed remedial actions will be taken; and (iii) the steps that Icom has taken or will take to prevent the recurrence of any such noncompliance, including the schedule on which such preventive action will be taken.</w:t>
      </w:r>
    </w:p>
    <w:p w14:paraId="3BF6B6A6" w14:textId="77777777" w:rsidR="005E795C" w:rsidRPr="00874EC5" w:rsidRDefault="005E795C" w:rsidP="00F66D35">
      <w:pPr>
        <w:widowControl/>
        <w:numPr>
          <w:ilvl w:val="0"/>
          <w:numId w:val="7"/>
        </w:numPr>
        <w:tabs>
          <w:tab w:val="clear" w:pos="1782"/>
        </w:tabs>
        <w:spacing w:after="120"/>
        <w:ind w:left="1886" w:hanging="450"/>
        <w:rPr>
          <w:szCs w:val="22"/>
        </w:rPr>
      </w:pPr>
      <w:r w:rsidRPr="00874EC5">
        <w:rPr>
          <w:szCs w:val="22"/>
        </w:rPr>
        <w:t>All Compliance Reports shall be submitted to Chief, Spectrum Enforcement Division, Enforcement Bureau, Federal Communications Commission, 445 12th Street, S.W., Washington, DC 20554, with a copy submitted electronically to Jennifer Burton at jennifer.burton@fcc.gov, Gabriel</w:t>
      </w:r>
      <w:r>
        <w:rPr>
          <w:szCs w:val="22"/>
        </w:rPr>
        <w:t xml:space="preserve"> </w:t>
      </w:r>
      <w:r w:rsidRPr="00874EC5">
        <w:rPr>
          <w:szCs w:val="22"/>
        </w:rPr>
        <w:t>Collazo at gabriel.collazo@fcc.gov, and Neal McNeal at neal.mcneil@fcc.gov.</w:t>
      </w:r>
    </w:p>
    <w:p w14:paraId="02C9E2A3" w14:textId="77777777" w:rsidR="005E795C" w:rsidRPr="00874EC5" w:rsidRDefault="005E795C" w:rsidP="005E795C">
      <w:pPr>
        <w:pStyle w:val="ParaNum0"/>
        <w:widowControl/>
        <w:rPr>
          <w:szCs w:val="22"/>
        </w:rPr>
      </w:pPr>
      <w:r w:rsidRPr="00874EC5">
        <w:rPr>
          <w:b/>
          <w:szCs w:val="22"/>
          <w:u w:val="single"/>
        </w:rPr>
        <w:t>Termination Date</w:t>
      </w:r>
      <w:r w:rsidRPr="00874EC5">
        <w:rPr>
          <w:szCs w:val="22"/>
        </w:rPr>
        <w:t xml:space="preserve">. </w:t>
      </w:r>
      <w:r w:rsidRPr="00874EC5">
        <w:rPr>
          <w:b/>
          <w:szCs w:val="22"/>
        </w:rPr>
        <w:t xml:space="preserve"> </w:t>
      </w:r>
      <w:r w:rsidRPr="00874EC5">
        <w:rPr>
          <w:szCs w:val="22"/>
        </w:rPr>
        <w:t xml:space="preserve">Unless stated otherwise, the requirements set forth in paragraphs </w:t>
      </w:r>
      <w:r>
        <w:rPr>
          <w:szCs w:val="22"/>
        </w:rPr>
        <w:t>10</w:t>
      </w:r>
      <w:r w:rsidRPr="00DE0928">
        <w:rPr>
          <w:szCs w:val="22"/>
        </w:rPr>
        <w:t xml:space="preserve"> through </w:t>
      </w:r>
      <w:r>
        <w:rPr>
          <w:szCs w:val="22"/>
        </w:rPr>
        <w:t>13</w:t>
      </w:r>
      <w:r w:rsidRPr="00DE0928">
        <w:rPr>
          <w:szCs w:val="22"/>
        </w:rPr>
        <w:t xml:space="preserve"> </w:t>
      </w:r>
      <w:r w:rsidRPr="00874EC5">
        <w:rPr>
          <w:szCs w:val="22"/>
        </w:rPr>
        <w:t xml:space="preserve">of this Consent Decree shall expire thirty-six (36) months after the Effective Date.  </w:t>
      </w:r>
    </w:p>
    <w:p w14:paraId="16084303" w14:textId="77777777" w:rsidR="005E795C" w:rsidRPr="00874EC5" w:rsidRDefault="005E795C" w:rsidP="005E795C">
      <w:pPr>
        <w:pStyle w:val="ParaNum0"/>
        <w:widowControl/>
        <w:rPr>
          <w:szCs w:val="22"/>
        </w:rPr>
      </w:pPr>
      <w:bookmarkStart w:id="9" w:name="_Ref357521957"/>
      <w:r w:rsidRPr="00874EC5">
        <w:rPr>
          <w:b/>
          <w:szCs w:val="22"/>
          <w:u w:val="single"/>
        </w:rPr>
        <w:t>Civil Penalty</w:t>
      </w:r>
      <w:r w:rsidRPr="00874EC5">
        <w:rPr>
          <w:szCs w:val="22"/>
        </w:rPr>
        <w:t>.  Icom will pay a civil penalty to the United States Treasury in the amount of twenty thousand dollars ($20,000) within thirty (30) calendar days of the Effective Date.  Icom shall send electronic notification of payment to Jennifer Burton at jennifer.burton@fcc.gov, Gabriel Collazo at gabriel.collazo@fcc.gov, Neal McNeil at neal.mcneil@fcc.gov, and Samantha Peoples at Sam.Peoples@fcc.gov on the date said payment is made.  The payment must be made by check or similar instrument, wire transfer, or credit card, and must include the Account Number and FRN referenced above.  Regardless of the form of payment, a completed FCC Form 159 (Remittance Advice) must be submitted.</w:t>
      </w:r>
      <w:r w:rsidRPr="00874EC5">
        <w:rPr>
          <w:rStyle w:val="FootnoteReference"/>
          <w:sz w:val="22"/>
          <w:szCs w:val="22"/>
        </w:rPr>
        <w:footnoteReference w:id="22"/>
      </w:r>
      <w:r w:rsidRPr="00DE0928">
        <w:rPr>
          <w:szCs w:val="22"/>
        </w:rPr>
        <w:t xml:space="preserve">  When completing the FCC Form 159, enter the Account Number in block number 23A (call sign/other ID) and enter the letters “FORF” in block number 24A (payment type code).  Below are additional instructions </w:t>
      </w:r>
      <w:r w:rsidRPr="00874EC5">
        <w:rPr>
          <w:szCs w:val="22"/>
        </w:rPr>
        <w:t>that should be followed based on the form of payment selected:</w:t>
      </w:r>
    </w:p>
    <w:bookmarkEnd w:id="9"/>
    <w:p w14:paraId="55FF7B9E" w14:textId="77777777" w:rsidR="005E795C" w:rsidRPr="00874EC5" w:rsidRDefault="005E795C" w:rsidP="00F66D35">
      <w:pPr>
        <w:pStyle w:val="ParaNum0"/>
        <w:widowControl/>
        <w:numPr>
          <w:ilvl w:val="0"/>
          <w:numId w:val="8"/>
        </w:numPr>
        <w:rPr>
          <w:rFonts w:eastAsia="MS Mincho"/>
          <w:szCs w:val="22"/>
        </w:rPr>
      </w:pPr>
      <w:r w:rsidRPr="00874EC5">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874EC5">
        <w:rPr>
          <w:rFonts w:eastAsia="MS Mincho"/>
          <w:szCs w:val="22"/>
        </w:rPr>
        <w:noBreakHyphen/>
        <w:t>MO</w:t>
      </w:r>
      <w:r w:rsidRPr="00874EC5">
        <w:rPr>
          <w:rFonts w:eastAsia="MS Mincho"/>
          <w:szCs w:val="22"/>
        </w:rPr>
        <w:noBreakHyphen/>
        <w:t>C2</w:t>
      </w:r>
      <w:r w:rsidRPr="00874EC5">
        <w:rPr>
          <w:rFonts w:eastAsia="MS Mincho"/>
          <w:szCs w:val="22"/>
        </w:rPr>
        <w:noBreakHyphen/>
        <w:t>GL, 1005 Convention Plaza, St. Louis, MO 63101.</w:t>
      </w:r>
    </w:p>
    <w:p w14:paraId="45364FB7" w14:textId="77777777" w:rsidR="005E795C" w:rsidRPr="00874EC5" w:rsidRDefault="005E795C" w:rsidP="00F66D35">
      <w:pPr>
        <w:pStyle w:val="ParaNum0"/>
        <w:widowControl/>
        <w:numPr>
          <w:ilvl w:val="0"/>
          <w:numId w:val="8"/>
        </w:numPr>
        <w:rPr>
          <w:rFonts w:eastAsia="MS Mincho"/>
          <w:szCs w:val="22"/>
        </w:rPr>
      </w:pPr>
      <w:r w:rsidRPr="00874EC5">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4F9CE7DC" w14:textId="77777777" w:rsidR="005E795C" w:rsidRPr="00874EC5" w:rsidRDefault="005E795C" w:rsidP="00F66D35">
      <w:pPr>
        <w:pStyle w:val="ParaNum0"/>
        <w:widowControl/>
        <w:numPr>
          <w:ilvl w:val="0"/>
          <w:numId w:val="8"/>
        </w:numPr>
        <w:rPr>
          <w:rFonts w:eastAsia="MS Mincho"/>
          <w:szCs w:val="22"/>
        </w:rPr>
      </w:pPr>
      <w:r w:rsidRPr="00874EC5">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5177CE98" w14:textId="77777777" w:rsidR="005E795C" w:rsidRPr="00874EC5" w:rsidRDefault="005E795C" w:rsidP="005E795C">
      <w:pPr>
        <w:widowControl/>
        <w:spacing w:after="120"/>
        <w:rPr>
          <w:rFonts w:eastAsia="MS Mincho"/>
          <w:szCs w:val="22"/>
        </w:rPr>
      </w:pPr>
      <w:r w:rsidRPr="00874EC5">
        <w:rPr>
          <w:rFonts w:eastAsia="MS Mincho"/>
          <w:szCs w:val="22"/>
        </w:rPr>
        <w:t>Questions regarding payment procedures should be addressed to the Financial Operations Group Help Desk by phone, 1-877-480-3201, or by e-mail, ARINQUIRIES@fcc.gov.</w:t>
      </w:r>
    </w:p>
    <w:p w14:paraId="7C3D77BB" w14:textId="77777777" w:rsidR="005E795C" w:rsidRPr="00874EC5" w:rsidRDefault="005E795C" w:rsidP="005E795C">
      <w:pPr>
        <w:pStyle w:val="ParaNum0"/>
        <w:widowControl/>
        <w:rPr>
          <w:szCs w:val="22"/>
        </w:rPr>
      </w:pPr>
      <w:r w:rsidRPr="00874EC5">
        <w:rPr>
          <w:b/>
          <w:szCs w:val="22"/>
          <w:u w:val="single"/>
        </w:rPr>
        <w:t>Waivers</w:t>
      </w:r>
      <w:r w:rsidRPr="00874EC5">
        <w:rPr>
          <w:szCs w:val="22"/>
        </w:rPr>
        <w:t xml:space="preserve">.  As of the Effective Date, Icom waives any and all rights it may have to seek administrative or judicial reconsideration, review, appeal or stay, or to otherwise challenge or contest the validity of this Consent Decree and the Adopting Order.  Icom shall retain the right to challenge Commission interpretation of the Consent Decree or any terms contained herein.  If either Party (or the United States on behalf of the Commission) brings a judicial action to enforce the terms of the Consent Decree or the Adopting Order, neither Icom nor the Commission shall contest the validity of the Consent Decree or the Adopting Order, and Icom shall waive any statutory right to a trial </w:t>
      </w:r>
      <w:r w:rsidRPr="00874EC5">
        <w:rPr>
          <w:i/>
          <w:szCs w:val="22"/>
        </w:rPr>
        <w:t>de novo</w:t>
      </w:r>
      <w:r w:rsidRPr="00874EC5">
        <w:rPr>
          <w:szCs w:val="22"/>
        </w:rPr>
        <w:t>.  Icom hereby agrees to waive any claims it may otherwise have under the Equal Access to Justice Act</w:t>
      </w:r>
      <w:r w:rsidRPr="00874EC5">
        <w:rPr>
          <w:rStyle w:val="FootnoteReference"/>
          <w:sz w:val="22"/>
          <w:szCs w:val="22"/>
        </w:rPr>
        <w:footnoteReference w:id="23"/>
      </w:r>
      <w:r w:rsidRPr="00DE0928">
        <w:rPr>
          <w:szCs w:val="22"/>
        </w:rPr>
        <w:t xml:space="preserve"> relating to the matters addressed in this Consent Decree.</w:t>
      </w:r>
    </w:p>
    <w:p w14:paraId="5D272AF5" w14:textId="77777777" w:rsidR="005E795C" w:rsidRPr="00874EC5" w:rsidRDefault="005E795C" w:rsidP="005E795C">
      <w:pPr>
        <w:pStyle w:val="ParaNum0"/>
        <w:widowControl/>
        <w:rPr>
          <w:szCs w:val="22"/>
        </w:rPr>
      </w:pPr>
      <w:r w:rsidRPr="00874EC5">
        <w:rPr>
          <w:b/>
          <w:szCs w:val="22"/>
          <w:u w:val="single"/>
        </w:rPr>
        <w:t>Severability</w:t>
      </w:r>
      <w:r w:rsidRPr="00874EC5">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42A7D3BE" w14:textId="77777777" w:rsidR="005E795C" w:rsidRPr="00874EC5" w:rsidRDefault="005E795C" w:rsidP="005E795C">
      <w:pPr>
        <w:pStyle w:val="ParaNum0"/>
        <w:widowControl/>
        <w:rPr>
          <w:szCs w:val="22"/>
        </w:rPr>
      </w:pPr>
      <w:r w:rsidRPr="00874EC5">
        <w:rPr>
          <w:b/>
          <w:szCs w:val="22"/>
          <w:u w:val="single"/>
        </w:rPr>
        <w:t>Invalidity</w:t>
      </w:r>
      <w:r w:rsidRPr="00874EC5">
        <w:rPr>
          <w:szCs w:val="22"/>
        </w:rPr>
        <w:t>.  In the event that this Consent Decree in its entirety is rendered invalid by any court of competent jurisdiction, it shall become null and void and may not be used in any manner in any legal proceeding.</w:t>
      </w:r>
    </w:p>
    <w:p w14:paraId="3B72F897" w14:textId="77777777" w:rsidR="005E795C" w:rsidRPr="00874EC5" w:rsidRDefault="005E795C" w:rsidP="005E795C">
      <w:pPr>
        <w:pStyle w:val="ParaNum0"/>
        <w:widowControl/>
        <w:rPr>
          <w:szCs w:val="22"/>
        </w:rPr>
      </w:pPr>
      <w:r w:rsidRPr="00874EC5">
        <w:rPr>
          <w:b/>
          <w:szCs w:val="22"/>
          <w:u w:val="single"/>
        </w:rPr>
        <w:t>Subsequent Rule or Order</w:t>
      </w:r>
      <w:r w:rsidRPr="00874EC5">
        <w:rPr>
          <w:szCs w:val="22"/>
        </w:rPr>
        <w:t>.  The Parties agree that if any provision of the Consent Decree conflicts with any subsequent Rule or Order adopted by the Commission (except an Order specifically intended to revise the terms of this Consent Decree to which Icom does not expressly consent) that provision will be superseded by such Rule or Order.</w:t>
      </w:r>
    </w:p>
    <w:p w14:paraId="44B78728" w14:textId="77777777" w:rsidR="005E795C" w:rsidRPr="00874EC5" w:rsidRDefault="005E795C" w:rsidP="005E795C">
      <w:pPr>
        <w:pStyle w:val="ParaNum0"/>
        <w:widowControl/>
        <w:rPr>
          <w:szCs w:val="22"/>
        </w:rPr>
      </w:pPr>
      <w:r w:rsidRPr="00874EC5">
        <w:rPr>
          <w:b/>
          <w:szCs w:val="22"/>
          <w:u w:val="single"/>
        </w:rPr>
        <w:t>Successors and Assigns</w:t>
      </w:r>
      <w:r w:rsidRPr="00874EC5">
        <w:rPr>
          <w:szCs w:val="22"/>
        </w:rPr>
        <w:t>.  Icom agrees that the provisions of this Consent Decree shall be binding on its successors, assigns, and transferees.</w:t>
      </w:r>
    </w:p>
    <w:p w14:paraId="4FC8DC40" w14:textId="77777777" w:rsidR="005E795C" w:rsidRPr="00874EC5" w:rsidRDefault="005E795C" w:rsidP="005E795C">
      <w:pPr>
        <w:pStyle w:val="ParaNum0"/>
        <w:widowControl/>
        <w:rPr>
          <w:szCs w:val="22"/>
        </w:rPr>
      </w:pPr>
      <w:r w:rsidRPr="00874EC5">
        <w:rPr>
          <w:b/>
          <w:szCs w:val="22"/>
          <w:u w:val="single"/>
        </w:rPr>
        <w:t>Final Settlement</w:t>
      </w:r>
      <w:r w:rsidRPr="00874EC5">
        <w:rPr>
          <w:szCs w:val="22"/>
        </w:rPr>
        <w:t xml:space="preserve">.  The Parties agree and acknowledge that this Consent Decree shall constitute a final settlement between the Parties with respect to the Investigation.  </w:t>
      </w:r>
    </w:p>
    <w:p w14:paraId="67B67178" w14:textId="77777777" w:rsidR="005E795C" w:rsidRPr="00874EC5" w:rsidRDefault="005E795C" w:rsidP="005E795C">
      <w:pPr>
        <w:pStyle w:val="ParaNum0"/>
        <w:widowControl/>
        <w:rPr>
          <w:szCs w:val="22"/>
        </w:rPr>
      </w:pPr>
      <w:r w:rsidRPr="00874EC5">
        <w:rPr>
          <w:b/>
          <w:szCs w:val="22"/>
          <w:u w:val="single"/>
        </w:rPr>
        <w:t>Modifications</w:t>
      </w:r>
      <w:r w:rsidRPr="00874EC5">
        <w:rPr>
          <w:szCs w:val="22"/>
        </w:rPr>
        <w:t>.  This Consent Decree cannot be modified without the advance written consent of both Parties.</w:t>
      </w:r>
    </w:p>
    <w:p w14:paraId="5D2BE9D9" w14:textId="77777777" w:rsidR="005E795C" w:rsidRPr="00874EC5" w:rsidRDefault="005E795C" w:rsidP="005E795C">
      <w:pPr>
        <w:pStyle w:val="ParaNum0"/>
        <w:widowControl/>
        <w:rPr>
          <w:szCs w:val="22"/>
        </w:rPr>
      </w:pPr>
      <w:r w:rsidRPr="00874EC5">
        <w:rPr>
          <w:b/>
          <w:szCs w:val="22"/>
          <w:u w:val="single"/>
        </w:rPr>
        <w:t>Paragraph Headings</w:t>
      </w:r>
      <w:r w:rsidRPr="00874EC5">
        <w:rPr>
          <w:szCs w:val="22"/>
        </w:rPr>
        <w:t>.  The headings of the paragraphs in this Consent Decree are inserted for convenience only and are not intended to affect the meaning or interpretation of this Consent Decree.</w:t>
      </w:r>
    </w:p>
    <w:p w14:paraId="78B72131" w14:textId="77777777" w:rsidR="005E795C" w:rsidRPr="00874EC5" w:rsidRDefault="005E795C" w:rsidP="005E795C">
      <w:pPr>
        <w:pStyle w:val="ParaNum0"/>
        <w:widowControl/>
        <w:rPr>
          <w:szCs w:val="22"/>
        </w:rPr>
      </w:pPr>
      <w:r w:rsidRPr="00874EC5">
        <w:rPr>
          <w:b/>
          <w:szCs w:val="22"/>
          <w:u w:val="single"/>
        </w:rPr>
        <w:t>Authorized Representative</w:t>
      </w:r>
      <w:r w:rsidRPr="00874EC5">
        <w:rPr>
          <w:szCs w:val="22"/>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24813C34" w14:textId="77777777" w:rsidR="005E795C" w:rsidRPr="00874EC5" w:rsidRDefault="005E795C" w:rsidP="005E795C">
      <w:pPr>
        <w:pStyle w:val="ParaNum0"/>
        <w:keepNext/>
        <w:keepLines/>
        <w:widowControl/>
        <w:rPr>
          <w:szCs w:val="22"/>
        </w:rPr>
      </w:pPr>
      <w:r w:rsidRPr="00874EC5">
        <w:rPr>
          <w:b/>
          <w:szCs w:val="22"/>
          <w:u w:val="single"/>
        </w:rPr>
        <w:t>Counterparts</w:t>
      </w:r>
      <w:r w:rsidRPr="00874EC5">
        <w:rPr>
          <w:szCs w:val="22"/>
        </w:rPr>
        <w:t>.  This Consent Decree may be signed in counterpart (including electronically or by facsimile).  Each counterpart, when executed and delivered, shall be an original, and all of the counterparts together shall constitute one and the same fully executed instrument.</w:t>
      </w:r>
    </w:p>
    <w:p w14:paraId="0CEF63D8" w14:textId="77777777" w:rsidR="005E795C" w:rsidRPr="00874EC5" w:rsidRDefault="005E795C" w:rsidP="005E795C">
      <w:pPr>
        <w:keepNext/>
        <w:keepLines/>
        <w:rPr>
          <w:szCs w:val="22"/>
        </w:rPr>
      </w:pPr>
    </w:p>
    <w:p w14:paraId="56D61DD9" w14:textId="77777777" w:rsidR="005E795C" w:rsidRPr="00874EC5" w:rsidRDefault="005E795C" w:rsidP="005E795C">
      <w:pPr>
        <w:keepNext/>
        <w:keepLines/>
        <w:rPr>
          <w:szCs w:val="22"/>
        </w:rPr>
      </w:pPr>
    </w:p>
    <w:p w14:paraId="6F43F980" w14:textId="77777777" w:rsidR="005E795C" w:rsidRPr="00874EC5" w:rsidRDefault="005E795C" w:rsidP="005E795C">
      <w:pPr>
        <w:keepNext/>
        <w:keepLines/>
        <w:rPr>
          <w:szCs w:val="22"/>
        </w:rPr>
      </w:pPr>
      <w:r w:rsidRPr="00874EC5">
        <w:rPr>
          <w:szCs w:val="22"/>
        </w:rPr>
        <w:t>________________________________</w:t>
      </w:r>
    </w:p>
    <w:p w14:paraId="1DC7A461" w14:textId="77777777" w:rsidR="005E795C" w:rsidRDefault="005E795C" w:rsidP="005E795C">
      <w:pPr>
        <w:keepNext/>
        <w:keepLines/>
        <w:rPr>
          <w:szCs w:val="22"/>
        </w:rPr>
      </w:pPr>
      <w:r>
        <w:rPr>
          <w:szCs w:val="22"/>
        </w:rPr>
        <w:t>Travis LeBlanc</w:t>
      </w:r>
    </w:p>
    <w:p w14:paraId="0EF9E0E7" w14:textId="77777777" w:rsidR="005E795C" w:rsidRPr="00874EC5" w:rsidRDefault="005E795C" w:rsidP="005E795C">
      <w:pPr>
        <w:keepNext/>
        <w:keepLines/>
        <w:rPr>
          <w:szCs w:val="22"/>
        </w:rPr>
      </w:pPr>
      <w:r>
        <w:rPr>
          <w:szCs w:val="22"/>
        </w:rPr>
        <w:t>Chief</w:t>
      </w:r>
    </w:p>
    <w:p w14:paraId="2335B238" w14:textId="77777777" w:rsidR="005E795C" w:rsidRPr="00874EC5" w:rsidRDefault="005E795C" w:rsidP="005E795C">
      <w:pPr>
        <w:keepNext/>
        <w:keepLines/>
        <w:rPr>
          <w:szCs w:val="22"/>
        </w:rPr>
      </w:pPr>
      <w:r w:rsidRPr="00874EC5">
        <w:rPr>
          <w:szCs w:val="22"/>
        </w:rPr>
        <w:t>Enforcement Bureau</w:t>
      </w:r>
    </w:p>
    <w:p w14:paraId="5E02DFF0" w14:textId="77777777" w:rsidR="005E795C" w:rsidRPr="00874EC5" w:rsidRDefault="005E795C" w:rsidP="005E795C">
      <w:pPr>
        <w:keepNext/>
        <w:keepLines/>
        <w:rPr>
          <w:szCs w:val="22"/>
        </w:rPr>
      </w:pPr>
    </w:p>
    <w:p w14:paraId="2F55F2F9" w14:textId="77777777" w:rsidR="005E795C" w:rsidRPr="00874EC5" w:rsidRDefault="005E795C" w:rsidP="005E795C">
      <w:pPr>
        <w:keepNext/>
        <w:keepLines/>
        <w:rPr>
          <w:szCs w:val="22"/>
        </w:rPr>
      </w:pPr>
    </w:p>
    <w:p w14:paraId="0F570CCE" w14:textId="77777777" w:rsidR="005E795C" w:rsidRPr="00874EC5" w:rsidRDefault="005E795C" w:rsidP="005E795C">
      <w:pPr>
        <w:keepNext/>
        <w:keepLines/>
        <w:rPr>
          <w:szCs w:val="22"/>
        </w:rPr>
      </w:pPr>
      <w:r w:rsidRPr="00874EC5">
        <w:rPr>
          <w:szCs w:val="22"/>
        </w:rPr>
        <w:t>________________________________</w:t>
      </w:r>
    </w:p>
    <w:p w14:paraId="19930637" w14:textId="77777777" w:rsidR="005E795C" w:rsidRPr="00874EC5" w:rsidRDefault="005E795C" w:rsidP="005E795C">
      <w:pPr>
        <w:keepNext/>
        <w:keepLines/>
        <w:rPr>
          <w:szCs w:val="22"/>
        </w:rPr>
      </w:pPr>
      <w:r w:rsidRPr="00874EC5">
        <w:rPr>
          <w:szCs w:val="22"/>
        </w:rPr>
        <w:t>Date</w:t>
      </w:r>
    </w:p>
    <w:p w14:paraId="38623B7B" w14:textId="77777777" w:rsidR="005E795C" w:rsidRPr="00874EC5" w:rsidRDefault="005E795C" w:rsidP="005E795C">
      <w:pPr>
        <w:keepNext/>
        <w:keepLines/>
        <w:rPr>
          <w:szCs w:val="22"/>
        </w:rPr>
      </w:pPr>
    </w:p>
    <w:p w14:paraId="2B90ACCF" w14:textId="77777777" w:rsidR="005E795C" w:rsidRPr="00874EC5" w:rsidRDefault="005E795C" w:rsidP="005E795C">
      <w:pPr>
        <w:keepLines/>
        <w:rPr>
          <w:szCs w:val="22"/>
        </w:rPr>
      </w:pPr>
    </w:p>
    <w:p w14:paraId="684253D8" w14:textId="77777777" w:rsidR="005E795C" w:rsidRPr="00874EC5" w:rsidRDefault="005E795C" w:rsidP="005E795C">
      <w:pPr>
        <w:keepLines/>
        <w:rPr>
          <w:szCs w:val="22"/>
        </w:rPr>
      </w:pPr>
    </w:p>
    <w:p w14:paraId="53976CB8" w14:textId="77777777" w:rsidR="005E795C" w:rsidRPr="00874EC5" w:rsidRDefault="005E795C" w:rsidP="005E795C">
      <w:pPr>
        <w:keepLines/>
        <w:rPr>
          <w:szCs w:val="22"/>
        </w:rPr>
      </w:pPr>
      <w:r w:rsidRPr="00874EC5">
        <w:rPr>
          <w:szCs w:val="22"/>
        </w:rPr>
        <w:t>________________________________</w:t>
      </w:r>
    </w:p>
    <w:p w14:paraId="7332B438" w14:textId="77777777" w:rsidR="005E795C" w:rsidRDefault="005E795C" w:rsidP="005E795C">
      <w:pPr>
        <w:keepLines/>
      </w:pPr>
      <w:r w:rsidRPr="00DB4740">
        <w:t xml:space="preserve">Hiroshi Nakaoka, </w:t>
      </w:r>
    </w:p>
    <w:p w14:paraId="7B38BF54" w14:textId="77777777" w:rsidR="005E795C" w:rsidRDefault="005E795C" w:rsidP="005E795C">
      <w:pPr>
        <w:keepLines/>
      </w:pPr>
      <w:r w:rsidRPr="00DB4740">
        <w:t>President</w:t>
      </w:r>
    </w:p>
    <w:p w14:paraId="4B10E470" w14:textId="77777777" w:rsidR="005E795C" w:rsidRPr="00874EC5" w:rsidRDefault="005E795C" w:rsidP="005E795C">
      <w:pPr>
        <w:keepLines/>
        <w:rPr>
          <w:szCs w:val="22"/>
        </w:rPr>
      </w:pPr>
      <w:r w:rsidRPr="00874EC5">
        <w:rPr>
          <w:color w:val="000000" w:themeColor="text1"/>
          <w:spacing w:val="-2"/>
          <w:szCs w:val="22"/>
        </w:rPr>
        <w:t>Icom America, Inc.</w:t>
      </w:r>
    </w:p>
    <w:p w14:paraId="62187E51" w14:textId="77777777" w:rsidR="005E795C" w:rsidRPr="00874EC5" w:rsidRDefault="005E795C" w:rsidP="005E795C">
      <w:pPr>
        <w:keepLines/>
        <w:rPr>
          <w:szCs w:val="22"/>
        </w:rPr>
      </w:pPr>
    </w:p>
    <w:p w14:paraId="60B2DD43" w14:textId="77777777" w:rsidR="005E795C" w:rsidRPr="00874EC5" w:rsidRDefault="005E795C" w:rsidP="005E795C">
      <w:pPr>
        <w:keepLines/>
        <w:rPr>
          <w:szCs w:val="22"/>
        </w:rPr>
      </w:pPr>
      <w:r w:rsidRPr="00874EC5">
        <w:rPr>
          <w:szCs w:val="22"/>
        </w:rPr>
        <w:t>________________________________</w:t>
      </w:r>
    </w:p>
    <w:p w14:paraId="48DF4C80" w14:textId="77777777" w:rsidR="005E795C" w:rsidRDefault="005E795C" w:rsidP="005E795C">
      <w:pPr>
        <w:keepLines/>
        <w:rPr>
          <w:szCs w:val="22"/>
        </w:rPr>
      </w:pPr>
      <w:r w:rsidRPr="00874EC5">
        <w:rPr>
          <w:szCs w:val="22"/>
        </w:rPr>
        <w:t>Date</w:t>
      </w:r>
    </w:p>
    <w:p w14:paraId="39869953" w14:textId="77777777" w:rsidR="005E795C" w:rsidRPr="00874EC5" w:rsidRDefault="005E795C" w:rsidP="005E795C">
      <w:pPr>
        <w:keepLines/>
        <w:rPr>
          <w:szCs w:val="22"/>
        </w:rPr>
      </w:pPr>
    </w:p>
    <w:p w14:paraId="099AD45E" w14:textId="77777777" w:rsidR="00412FC5" w:rsidRPr="001009B7" w:rsidRDefault="00412FC5" w:rsidP="00CF77B7">
      <w:pPr>
        <w:rPr>
          <w:szCs w:val="22"/>
        </w:rPr>
      </w:pPr>
    </w:p>
    <w:sectPr w:rsidR="00412FC5" w:rsidRPr="001009B7" w:rsidSect="0039627B">
      <w:endnotePr>
        <w:numFmt w:val="decimal"/>
      </w:endnotePr>
      <w:type w:val="continuous"/>
      <w:pgSz w:w="12240" w:h="15840"/>
      <w:pgMar w:top="1095"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C7B15" w14:textId="77777777" w:rsidR="0042521C" w:rsidRDefault="0042521C">
      <w:pPr>
        <w:spacing w:line="20" w:lineRule="exact"/>
      </w:pPr>
    </w:p>
  </w:endnote>
  <w:endnote w:type="continuationSeparator" w:id="0">
    <w:p w14:paraId="1074753F" w14:textId="77777777" w:rsidR="0042521C" w:rsidRDefault="0042521C">
      <w:r>
        <w:t xml:space="preserve"> </w:t>
      </w:r>
    </w:p>
  </w:endnote>
  <w:endnote w:type="continuationNotice" w:id="1">
    <w:p w14:paraId="6BD8D7C2" w14:textId="77777777" w:rsidR="0042521C" w:rsidRDefault="004252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628B7" w14:textId="77777777" w:rsidR="00676723" w:rsidRDefault="00404B01" w:rsidP="0055614C">
    <w:pPr>
      <w:pStyle w:val="Footer"/>
      <w:framePr w:wrap="around" w:vAnchor="text" w:hAnchor="margin" w:xAlign="center" w:y="1"/>
    </w:pPr>
    <w:r>
      <w:fldChar w:fldCharType="begin"/>
    </w:r>
    <w:r w:rsidR="00676723">
      <w:instrText xml:space="preserve">PAGE  </w:instrText>
    </w:r>
    <w:r>
      <w:fldChar w:fldCharType="end"/>
    </w:r>
  </w:p>
  <w:p w14:paraId="7524B73D" w14:textId="77777777" w:rsidR="00676723" w:rsidRDefault="00676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3AEEE" w14:textId="77777777" w:rsidR="00676723" w:rsidRPr="007B3BDA" w:rsidRDefault="00404B01" w:rsidP="005E795C">
    <w:pPr>
      <w:pStyle w:val="Footer"/>
      <w:framePr w:wrap="around" w:vAnchor="text" w:hAnchor="page" w:x="6049" w:y="1"/>
    </w:pPr>
    <w:r w:rsidRPr="007B3BDA">
      <w:fldChar w:fldCharType="begin"/>
    </w:r>
    <w:r w:rsidR="00676723" w:rsidRPr="007B3BDA">
      <w:instrText xml:space="preserve">PAGE  </w:instrText>
    </w:r>
    <w:r w:rsidRPr="007B3BDA">
      <w:fldChar w:fldCharType="separate"/>
    </w:r>
    <w:r w:rsidR="00C9772A">
      <w:rPr>
        <w:noProof/>
      </w:rPr>
      <w:t>7</w:t>
    </w:r>
    <w:r w:rsidRPr="007B3BDA">
      <w:fldChar w:fldCharType="end"/>
    </w:r>
  </w:p>
  <w:p w14:paraId="4EDAD4C0" w14:textId="77777777" w:rsidR="00676723" w:rsidRPr="007B3BDA" w:rsidRDefault="00676723">
    <w:pPr>
      <w:suppressAutoHyphens/>
      <w:spacing w:line="227" w:lineRule="auto"/>
    </w:pPr>
  </w:p>
  <w:p w14:paraId="3C209FFE" w14:textId="77777777" w:rsidR="00676723" w:rsidRPr="007B3BDA" w:rsidRDefault="006767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CAA94" w14:textId="77777777" w:rsidR="00676723" w:rsidRDefault="0067672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D11A8" w14:textId="77777777" w:rsidR="0042521C" w:rsidRDefault="0042521C">
      <w:pPr>
        <w:rPr>
          <w:noProof/>
        </w:rPr>
      </w:pPr>
      <w:r>
        <w:rPr>
          <w:noProof/>
        </w:rPr>
        <w:separator/>
      </w:r>
    </w:p>
  </w:footnote>
  <w:footnote w:type="continuationSeparator" w:id="0">
    <w:p w14:paraId="3428CD0D" w14:textId="77777777" w:rsidR="0042521C" w:rsidRDefault="0042521C">
      <w:pPr>
        <w:rPr>
          <w:sz w:val="20"/>
        </w:rPr>
      </w:pPr>
      <w:r>
        <w:rPr>
          <w:sz w:val="20"/>
        </w:rPr>
        <w:t xml:space="preserve">(Continued from previous page)  </w:t>
      </w:r>
      <w:r>
        <w:rPr>
          <w:sz w:val="20"/>
        </w:rPr>
        <w:separator/>
      </w:r>
    </w:p>
  </w:footnote>
  <w:footnote w:type="continuationNotice" w:id="1">
    <w:p w14:paraId="29434A71" w14:textId="77777777" w:rsidR="0042521C" w:rsidRDefault="0042521C">
      <w:pPr>
        <w:rPr>
          <w:sz w:val="20"/>
        </w:rPr>
      </w:pPr>
      <w:r>
        <w:rPr>
          <w:sz w:val="20"/>
        </w:rPr>
        <w:t>(continued….)</w:t>
      </w:r>
    </w:p>
  </w:footnote>
  <w:footnote w:id="2">
    <w:p w14:paraId="4BCE5BE2" w14:textId="77777777" w:rsidR="007A36D0" w:rsidRDefault="007A36D0" w:rsidP="007A36D0">
      <w:pPr>
        <w:pStyle w:val="FootnoteText"/>
      </w:pPr>
      <w:r>
        <w:rPr>
          <w:rStyle w:val="FootnoteReference"/>
        </w:rPr>
        <w:footnoteRef/>
      </w:r>
      <w:r>
        <w:t xml:space="preserve"> 47 U.S.C. </w:t>
      </w:r>
      <w:r w:rsidRPr="001B63BB">
        <w:rPr>
          <w:szCs w:val="22"/>
        </w:rPr>
        <w:t>§</w:t>
      </w:r>
      <w:r>
        <w:rPr>
          <w:szCs w:val="22"/>
        </w:rPr>
        <w:t xml:space="preserve"> </w:t>
      </w:r>
      <w:r w:rsidRPr="00B858BF">
        <w:t>302a(b)</w:t>
      </w:r>
      <w:r>
        <w:t xml:space="preserve">.  </w:t>
      </w:r>
    </w:p>
  </w:footnote>
  <w:footnote w:id="3">
    <w:p w14:paraId="46A7BFF9" w14:textId="77777777" w:rsidR="007A36D0" w:rsidRDefault="007A36D0" w:rsidP="007A36D0">
      <w:pPr>
        <w:pStyle w:val="FootnoteText"/>
      </w:pPr>
      <w:r>
        <w:rPr>
          <w:rStyle w:val="FootnoteReference"/>
        </w:rPr>
        <w:footnoteRef/>
      </w:r>
      <w:r>
        <w:t xml:space="preserve"> </w:t>
      </w:r>
      <w:r>
        <w:rPr>
          <w:color w:val="000000"/>
          <w:szCs w:val="22"/>
        </w:rPr>
        <w:t xml:space="preserve">47 CFR </w:t>
      </w:r>
      <w:r w:rsidRPr="001B63BB">
        <w:rPr>
          <w:szCs w:val="22"/>
        </w:rPr>
        <w:t>§§</w:t>
      </w:r>
      <w:r>
        <w:rPr>
          <w:szCs w:val="22"/>
        </w:rPr>
        <w:t xml:space="preserve"> </w:t>
      </w:r>
      <w:r w:rsidRPr="00A225EB">
        <w:rPr>
          <w:color w:val="000000"/>
          <w:szCs w:val="22"/>
        </w:rPr>
        <w:t>80.225(a)(4)</w:t>
      </w:r>
      <w:r>
        <w:rPr>
          <w:color w:val="000000"/>
          <w:szCs w:val="22"/>
        </w:rPr>
        <w:t xml:space="preserve">, 80.1101(c)(2)(ii).  </w:t>
      </w:r>
    </w:p>
  </w:footnote>
  <w:footnote w:id="4">
    <w:p w14:paraId="3BDD7136" w14:textId="34F68ED1" w:rsidR="00357044" w:rsidRPr="00F74D07" w:rsidRDefault="00357044">
      <w:pPr>
        <w:pStyle w:val="FootnoteText"/>
      </w:pPr>
      <w:r>
        <w:rPr>
          <w:rStyle w:val="FootnoteReference"/>
        </w:rPr>
        <w:footnoteRef/>
      </w:r>
      <w:r>
        <w:t xml:space="preserve"> </w:t>
      </w:r>
      <w:r>
        <w:rPr>
          <w:i/>
        </w:rPr>
        <w:t xml:space="preserve">See </w:t>
      </w:r>
      <w:r w:rsidR="005E4B8D">
        <w:t>47 CFR</w:t>
      </w:r>
      <w:r>
        <w:t xml:space="preserve"> </w:t>
      </w:r>
      <w:r w:rsidR="00F74D07">
        <w:t>§ 1.93(b).</w:t>
      </w:r>
    </w:p>
  </w:footnote>
  <w:footnote w:id="5">
    <w:p w14:paraId="268A1611" w14:textId="52BA5C86" w:rsidR="009632A6" w:rsidRPr="00D84548" w:rsidRDefault="009632A6">
      <w:pPr>
        <w:pStyle w:val="FootnoteText"/>
      </w:pPr>
      <w:r w:rsidRPr="00D84548">
        <w:rPr>
          <w:rStyle w:val="FootnoteReference"/>
        </w:rPr>
        <w:footnoteRef/>
      </w:r>
      <w:r w:rsidRPr="00D84548">
        <w:t xml:space="preserve"> </w:t>
      </w:r>
      <w:r w:rsidRPr="00D84548">
        <w:rPr>
          <w:szCs w:val="22"/>
        </w:rPr>
        <w:t>47 U.S.C. § 154(i).</w:t>
      </w:r>
    </w:p>
  </w:footnote>
  <w:footnote w:id="6">
    <w:p w14:paraId="1A7D599A" w14:textId="65519F00" w:rsidR="009632A6" w:rsidRDefault="009632A6">
      <w:pPr>
        <w:pStyle w:val="FootnoteText"/>
      </w:pPr>
      <w:r w:rsidRPr="00D84548">
        <w:rPr>
          <w:rStyle w:val="FootnoteReference"/>
        </w:rPr>
        <w:footnoteRef/>
      </w:r>
      <w:r w:rsidRPr="00D84548">
        <w:t xml:space="preserve"> </w:t>
      </w:r>
      <w:r w:rsidR="005E4B8D">
        <w:rPr>
          <w:szCs w:val="22"/>
        </w:rPr>
        <w:t>47 CFR</w:t>
      </w:r>
      <w:r w:rsidRPr="00D84548">
        <w:rPr>
          <w:szCs w:val="22"/>
        </w:rPr>
        <w:t xml:space="preserve"> §§ 0.111, 0.311.</w:t>
      </w:r>
    </w:p>
  </w:footnote>
  <w:footnote w:id="7">
    <w:p w14:paraId="7BB4E249" w14:textId="77777777" w:rsidR="005E795C" w:rsidRDefault="005E795C" w:rsidP="005E795C">
      <w:pPr>
        <w:pStyle w:val="FootnoteText"/>
      </w:pPr>
      <w:r>
        <w:rPr>
          <w:rStyle w:val="FootnoteReference"/>
        </w:rPr>
        <w:footnoteRef/>
      </w:r>
      <w:r>
        <w:t xml:space="preserve"> 47 U.S.C. </w:t>
      </w:r>
      <w:r w:rsidRPr="001B63BB">
        <w:rPr>
          <w:szCs w:val="22"/>
        </w:rPr>
        <w:t>§</w:t>
      </w:r>
      <w:r>
        <w:rPr>
          <w:szCs w:val="22"/>
        </w:rPr>
        <w:t xml:space="preserve"> </w:t>
      </w:r>
      <w:r w:rsidRPr="00B858BF">
        <w:t>302a(b)</w:t>
      </w:r>
      <w:r>
        <w:t xml:space="preserve">.  </w:t>
      </w:r>
    </w:p>
  </w:footnote>
  <w:footnote w:id="8">
    <w:p w14:paraId="655A0241" w14:textId="77777777" w:rsidR="005E795C" w:rsidRDefault="005E795C" w:rsidP="005E795C">
      <w:pPr>
        <w:pStyle w:val="FootnoteText"/>
      </w:pPr>
      <w:r>
        <w:rPr>
          <w:rStyle w:val="FootnoteReference"/>
        </w:rPr>
        <w:footnoteRef/>
      </w:r>
      <w:r>
        <w:t xml:space="preserve"> </w:t>
      </w:r>
      <w:r>
        <w:rPr>
          <w:color w:val="000000"/>
          <w:szCs w:val="22"/>
        </w:rPr>
        <w:t xml:space="preserve">47 CFR </w:t>
      </w:r>
      <w:r w:rsidRPr="001B63BB">
        <w:rPr>
          <w:szCs w:val="22"/>
        </w:rPr>
        <w:t>§§</w:t>
      </w:r>
      <w:r>
        <w:rPr>
          <w:szCs w:val="22"/>
        </w:rPr>
        <w:t xml:space="preserve"> </w:t>
      </w:r>
      <w:r w:rsidRPr="00A225EB">
        <w:rPr>
          <w:color w:val="000000"/>
          <w:szCs w:val="22"/>
        </w:rPr>
        <w:t>80.225(a)(4)</w:t>
      </w:r>
      <w:r>
        <w:rPr>
          <w:color w:val="000000"/>
          <w:szCs w:val="22"/>
        </w:rPr>
        <w:t xml:space="preserve">, 80.1101(c)(2)(ii).  </w:t>
      </w:r>
    </w:p>
  </w:footnote>
  <w:footnote w:id="9">
    <w:p w14:paraId="49155BA4" w14:textId="77777777" w:rsidR="005E795C" w:rsidRDefault="005E795C" w:rsidP="005E795C">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0">
    <w:p w14:paraId="53698F39" w14:textId="77777777" w:rsidR="005E795C" w:rsidRDefault="005E795C" w:rsidP="005E795C">
      <w:pPr>
        <w:pStyle w:val="FootnoteText"/>
      </w:pPr>
      <w:r>
        <w:rPr>
          <w:rStyle w:val="FootnoteReference"/>
        </w:rPr>
        <w:footnoteRef/>
      </w:r>
      <w:r>
        <w:t xml:space="preserve"> </w:t>
      </w:r>
      <w:r>
        <w:rPr>
          <w:i/>
        </w:rPr>
        <w:t xml:space="preserve">See </w:t>
      </w:r>
      <w:r>
        <w:t>Letter from Bruce D. Jacobs, Chief, Spectrum Enforcement Division, FCC Enforcement Bureau, to Icom America, Inc. (June 30, 2015) (on file in EB-SED-14-</w:t>
      </w:r>
      <w:r>
        <w:rPr>
          <w:bCs/>
        </w:rPr>
        <w:t xml:space="preserve">00017535).  </w:t>
      </w:r>
    </w:p>
  </w:footnote>
  <w:footnote w:id="11">
    <w:p w14:paraId="13A86616" w14:textId="77777777" w:rsidR="005E795C" w:rsidRDefault="005E795C" w:rsidP="005E795C">
      <w:pPr>
        <w:pStyle w:val="FootnoteText"/>
      </w:pPr>
      <w:r>
        <w:rPr>
          <w:rStyle w:val="FootnoteReference"/>
        </w:rPr>
        <w:footnoteRef/>
      </w:r>
      <w:r>
        <w:t xml:space="preserve"> 47 U.S.C. </w:t>
      </w:r>
      <w:r w:rsidRPr="001B63BB">
        <w:rPr>
          <w:szCs w:val="22"/>
        </w:rPr>
        <w:t>§</w:t>
      </w:r>
      <w:r>
        <w:rPr>
          <w:szCs w:val="22"/>
        </w:rPr>
        <w:t xml:space="preserve"> </w:t>
      </w:r>
      <w:r w:rsidRPr="00B858BF">
        <w:t>302a(b)</w:t>
      </w:r>
      <w:r>
        <w:t xml:space="preserve">.  </w:t>
      </w:r>
    </w:p>
  </w:footnote>
  <w:footnote w:id="12">
    <w:p w14:paraId="3E610E71" w14:textId="77777777" w:rsidR="005E795C" w:rsidRDefault="005E795C" w:rsidP="005E795C">
      <w:pPr>
        <w:pStyle w:val="FootnoteText"/>
      </w:pPr>
      <w:r>
        <w:rPr>
          <w:rStyle w:val="FootnoteReference"/>
        </w:rPr>
        <w:footnoteRef/>
      </w:r>
      <w:r>
        <w:t xml:space="preserve"> </w:t>
      </w:r>
      <w:r>
        <w:rPr>
          <w:color w:val="000000"/>
          <w:szCs w:val="22"/>
        </w:rPr>
        <w:t xml:space="preserve">47 CFR </w:t>
      </w:r>
      <w:r w:rsidRPr="001B63BB">
        <w:rPr>
          <w:szCs w:val="22"/>
        </w:rPr>
        <w:t>§§</w:t>
      </w:r>
      <w:r>
        <w:rPr>
          <w:szCs w:val="22"/>
        </w:rPr>
        <w:t xml:space="preserve"> 80.225(a)(2), </w:t>
      </w:r>
      <w:r w:rsidRPr="00A225EB">
        <w:rPr>
          <w:color w:val="000000"/>
          <w:szCs w:val="22"/>
        </w:rPr>
        <w:t>80.225(a)(4)</w:t>
      </w:r>
      <w:r>
        <w:rPr>
          <w:color w:val="000000"/>
          <w:szCs w:val="22"/>
        </w:rPr>
        <w:t xml:space="preserve">, 80.1101(c)(2)(ii).  </w:t>
      </w:r>
    </w:p>
  </w:footnote>
  <w:footnote w:id="13">
    <w:p w14:paraId="2C73E496" w14:textId="77777777" w:rsidR="005E795C" w:rsidRDefault="005E795C" w:rsidP="005E795C">
      <w:pPr>
        <w:pStyle w:val="FootnoteText"/>
      </w:pPr>
      <w:r>
        <w:rPr>
          <w:rStyle w:val="FootnoteReference"/>
        </w:rPr>
        <w:footnoteRef/>
      </w:r>
      <w:r>
        <w:t xml:space="preserve"> 47 U.S.C. § 302a.</w:t>
      </w:r>
    </w:p>
  </w:footnote>
  <w:footnote w:id="14">
    <w:p w14:paraId="751518AB" w14:textId="77777777" w:rsidR="005E795C" w:rsidRDefault="005E795C" w:rsidP="005E795C">
      <w:pPr>
        <w:pStyle w:val="FootnoteText"/>
      </w:pPr>
      <w:r>
        <w:rPr>
          <w:rStyle w:val="FootnoteReference"/>
        </w:rPr>
        <w:footnoteRef/>
      </w:r>
      <w:r>
        <w:t xml:space="preserve"> </w:t>
      </w:r>
      <w:r>
        <w:rPr>
          <w:rFonts w:eastAsia="Batang"/>
          <w:i/>
        </w:rPr>
        <w:t>Id</w:t>
      </w:r>
      <w:r>
        <w:rPr>
          <w:rFonts w:eastAsia="Batang"/>
        </w:rPr>
        <w:t>.</w:t>
      </w:r>
      <w:r>
        <w:t xml:space="preserve"> § 302a(b).</w:t>
      </w:r>
    </w:p>
  </w:footnote>
  <w:footnote w:id="15">
    <w:p w14:paraId="45605194" w14:textId="77777777" w:rsidR="005E795C" w:rsidRDefault="005E795C" w:rsidP="005E795C">
      <w:pPr>
        <w:pStyle w:val="FootnoteText"/>
      </w:pPr>
      <w:r>
        <w:rPr>
          <w:rStyle w:val="FootnoteReference"/>
        </w:rPr>
        <w:footnoteRef/>
      </w:r>
      <w:r>
        <w:t xml:space="preserve"> </w:t>
      </w:r>
      <w:r w:rsidRPr="003D05DD">
        <w:rPr>
          <w:i/>
        </w:rPr>
        <w:t>See</w:t>
      </w:r>
      <w:r w:rsidRPr="003D05DD">
        <w:t xml:space="preserve"> 47 CFR § 80.225(a)(4).</w:t>
      </w:r>
      <w:r>
        <w:t xml:space="preserve">  </w:t>
      </w:r>
      <w:r w:rsidRPr="00D60F54">
        <w:rPr>
          <w:i/>
        </w:rPr>
        <w:t>See</w:t>
      </w:r>
      <w:r w:rsidRPr="00D60F54">
        <w:t xml:space="preserve"> </w:t>
      </w:r>
      <w:r w:rsidRPr="00D60F54">
        <w:rPr>
          <w:i/>
        </w:rPr>
        <w:t>Wireless Telecommunications Bureau Clarifies and Temporarily Waives Requirements for Maritime Digital Selective Calling Equipment</w:t>
      </w:r>
      <w:r w:rsidRPr="00D60F54">
        <w:t>, Public Notice,</w:t>
      </w:r>
      <w:r>
        <w:t xml:space="preserve"> 26 FCC Rcd 16782 (WTB MD 2011) (</w:t>
      </w:r>
      <w:r w:rsidRPr="003D05DD">
        <w:t>grant</w:t>
      </w:r>
      <w:r>
        <w:t>ing</w:t>
      </w:r>
      <w:r w:rsidRPr="003D05DD">
        <w:t xml:space="preserve"> a waiver until January</w:t>
      </w:r>
      <w:r>
        <w:t> </w:t>
      </w:r>
      <w:r w:rsidRPr="003D05DD">
        <w:t>1, 2013</w:t>
      </w:r>
      <w:r>
        <w:t xml:space="preserve"> </w:t>
      </w:r>
      <w:r w:rsidRPr="003D05DD">
        <w:t>to allow the continued manufacture, importation, marketing and installation of existing non-portable DSC devices that do not comply with the new standard, provided that the devices comply with ITU-R M.493-11</w:t>
      </w:r>
      <w:r>
        <w:t xml:space="preserve">). </w:t>
      </w:r>
    </w:p>
  </w:footnote>
  <w:footnote w:id="16">
    <w:p w14:paraId="1B26858A" w14:textId="77777777" w:rsidR="005E795C" w:rsidRDefault="005E795C" w:rsidP="005E795C">
      <w:pPr>
        <w:pStyle w:val="FootnoteText"/>
      </w:pPr>
      <w:r>
        <w:rPr>
          <w:rStyle w:val="FootnoteReference"/>
        </w:rPr>
        <w:footnoteRef/>
      </w:r>
      <w:r>
        <w:t xml:space="preserve"> </w:t>
      </w:r>
      <w:r>
        <w:rPr>
          <w:i/>
        </w:rPr>
        <w:t xml:space="preserve">See </w:t>
      </w:r>
      <w:r>
        <w:t>Letter from Alan S. Tilles, Esq., Shulman Rogers, Counsel for Icom America, Inc., to Bruce D. Jacobs, Chief, Spectrum enforcement Division, Spectrum Enforcement Division, FCC Enforcement Bureau (Jul. 30, 2015) (on file in EB-SED-</w:t>
      </w:r>
      <w:r w:rsidRPr="00C42E4D">
        <w:t>14-00017535</w:t>
      </w:r>
      <w:r>
        <w:t>) (LOI Response)</w:t>
      </w:r>
      <w:r>
        <w:rPr>
          <w:bCs/>
        </w:rPr>
        <w:t xml:space="preserve">.  </w:t>
      </w:r>
    </w:p>
  </w:footnote>
  <w:footnote w:id="17">
    <w:p w14:paraId="2FDDD2C1" w14:textId="77777777" w:rsidR="005E795C" w:rsidRDefault="005E795C" w:rsidP="005E795C">
      <w:pPr>
        <w:pStyle w:val="FootnoteText"/>
      </w:pPr>
      <w:r>
        <w:rPr>
          <w:rStyle w:val="FootnoteReference"/>
        </w:rPr>
        <w:footnoteRef/>
      </w:r>
      <w:r>
        <w:t xml:space="preserve"> </w:t>
      </w:r>
      <w:r>
        <w:rPr>
          <w:i/>
        </w:rPr>
        <w:t xml:space="preserve">See </w:t>
      </w:r>
      <w:r>
        <w:t xml:space="preserve">LOI Response at 5-7.  </w:t>
      </w:r>
    </w:p>
  </w:footnote>
  <w:footnote w:id="18">
    <w:p w14:paraId="6BEB04DC" w14:textId="77777777" w:rsidR="005E795C" w:rsidRPr="00D552CB" w:rsidRDefault="005E795C" w:rsidP="005E795C">
      <w:pPr>
        <w:pStyle w:val="FootnoteText"/>
      </w:pPr>
      <w:r>
        <w:rPr>
          <w:rStyle w:val="FootnoteReference"/>
        </w:rPr>
        <w:footnoteRef/>
      </w:r>
      <w:r>
        <w:t xml:space="preserve"> </w:t>
      </w:r>
      <w:r>
        <w:rPr>
          <w:i/>
        </w:rPr>
        <w:t xml:space="preserve">See </w:t>
      </w:r>
      <w:r>
        <w:t xml:space="preserve">LOI Response at 3.  </w:t>
      </w:r>
    </w:p>
  </w:footnote>
  <w:footnote w:id="19">
    <w:p w14:paraId="32266874" w14:textId="77777777" w:rsidR="005E795C" w:rsidRDefault="005E795C" w:rsidP="005E795C">
      <w:pPr>
        <w:pStyle w:val="FootnoteText"/>
      </w:pPr>
      <w:r>
        <w:rPr>
          <w:rStyle w:val="FootnoteReference"/>
        </w:rPr>
        <w:footnoteRef/>
      </w:r>
      <w:r>
        <w:t xml:space="preserve"> </w:t>
      </w:r>
      <w:r>
        <w:rPr>
          <w:i/>
        </w:rPr>
        <w:t xml:space="preserve">See </w:t>
      </w:r>
      <w:r>
        <w:t>LOI Response at 3.</w:t>
      </w:r>
    </w:p>
  </w:footnote>
  <w:footnote w:id="20">
    <w:p w14:paraId="0681FFCA" w14:textId="77777777" w:rsidR="005E795C" w:rsidRDefault="005E795C" w:rsidP="005E795C">
      <w:pPr>
        <w:pStyle w:val="FootnoteText"/>
      </w:pPr>
      <w:r>
        <w:rPr>
          <w:rStyle w:val="FootnoteReference"/>
        </w:rPr>
        <w:footnoteRef/>
      </w:r>
      <w:r>
        <w:t xml:space="preserve"> </w:t>
      </w:r>
      <w:r w:rsidRPr="00C566EC">
        <w:rPr>
          <w:i/>
        </w:rPr>
        <w:t>See</w:t>
      </w:r>
      <w:r>
        <w:t xml:space="preserve"> 47 § CFR 1.93(b).</w:t>
      </w:r>
    </w:p>
  </w:footnote>
  <w:footnote w:id="21">
    <w:p w14:paraId="443E8D19" w14:textId="77777777" w:rsidR="005E795C" w:rsidRDefault="005E795C" w:rsidP="005E795C">
      <w:pPr>
        <w:pStyle w:val="FootnoteText"/>
      </w:pPr>
      <w:r w:rsidRPr="00A07FCB">
        <w:rPr>
          <w:rStyle w:val="FootnoteReference"/>
        </w:rPr>
        <w:footnoteRef/>
      </w:r>
      <w:r w:rsidRPr="00A07FCB">
        <w:t xml:space="preserve"> 47 CFR § 1.16.</w:t>
      </w:r>
    </w:p>
  </w:footnote>
  <w:footnote w:id="22">
    <w:p w14:paraId="2EB7D213" w14:textId="77777777" w:rsidR="005E795C" w:rsidRPr="00042447" w:rsidRDefault="005E795C" w:rsidP="005E795C">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23">
    <w:p w14:paraId="5D02DC25" w14:textId="77777777" w:rsidR="005E795C" w:rsidRDefault="005E795C" w:rsidP="005E795C">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CCB57" w14:textId="77777777" w:rsidR="00C9772A" w:rsidRDefault="00C97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2DC13" w14:textId="53E1C048" w:rsidR="00C438ED" w:rsidRDefault="00C438ED" w:rsidP="00C438ED">
    <w:pPr>
      <w:tabs>
        <w:tab w:val="center" w:pos="4680"/>
        <w:tab w:val="right" w:pos="9360"/>
      </w:tabs>
    </w:pPr>
    <w:r>
      <w:rPr>
        <w:noProof/>
      </w:rPr>
      <mc:AlternateContent>
        <mc:Choice Requires="wps">
          <w:drawing>
            <wp:anchor distT="0" distB="0" distL="114300" distR="114300" simplePos="0" relativeHeight="251659264" behindDoc="1" locked="0" layoutInCell="0" allowOverlap="1" wp14:anchorId="6ACF0103" wp14:editId="2F294792">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9D2044"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Pr>
        <w:b/>
      </w:rPr>
      <w:tab/>
      <w:t>Federal Communications Commission</w:t>
    </w:r>
    <w:r>
      <w:rPr>
        <w:b/>
      </w:rPr>
      <w:tab/>
    </w:r>
    <w:r>
      <w:rPr>
        <w:b/>
        <w:spacing w:val="-2"/>
      </w:rPr>
      <w:t xml:space="preserve">DA </w:t>
    </w:r>
    <w:r w:rsidR="005E6700">
      <w:rPr>
        <w:b/>
        <w:spacing w:val="-2"/>
      </w:rPr>
      <w:t>16-597</w:t>
    </w:r>
  </w:p>
  <w:p w14:paraId="259FC37F" w14:textId="2BC773B8" w:rsidR="00676723" w:rsidRPr="00C438ED" w:rsidRDefault="00676723" w:rsidP="00F66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A2A7" w14:textId="77777777" w:rsidR="00F66D35" w:rsidRDefault="00F66D35" w:rsidP="00F66D35">
    <w:pPr>
      <w:tabs>
        <w:tab w:val="center" w:pos="4680"/>
        <w:tab w:val="right" w:pos="9360"/>
      </w:tabs>
    </w:pPr>
    <w:r>
      <w:rPr>
        <w:noProof/>
      </w:rPr>
      <mc:AlternateContent>
        <mc:Choice Requires="wps">
          <w:drawing>
            <wp:anchor distT="0" distB="0" distL="114300" distR="114300" simplePos="0" relativeHeight="251661312" behindDoc="1" locked="0" layoutInCell="0" allowOverlap="1" wp14:anchorId="235EAAC6" wp14:editId="01CA3A10">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92537A"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DgGoTI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Pr>
        <w:b/>
      </w:rPr>
      <w:tab/>
      <w:t>Federal Communications Commission</w:t>
    </w:r>
    <w:r>
      <w:rPr>
        <w:b/>
      </w:rPr>
      <w:tab/>
    </w:r>
    <w:r>
      <w:rPr>
        <w:b/>
        <w:spacing w:val="-2"/>
      </w:rPr>
      <w:t>DA 16-597</w:t>
    </w:r>
  </w:p>
  <w:p w14:paraId="01033C44" w14:textId="77777777" w:rsidR="002E4C64" w:rsidRDefault="002E4C64" w:rsidP="00F66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7E0"/>
    <w:multiLevelType w:val="hybridMultilevel"/>
    <w:tmpl w:val="3F0E4976"/>
    <w:lvl w:ilvl="0" w:tplc="17CC65FC">
      <w:start w:val="1"/>
      <w:numFmt w:val="lowerLetter"/>
      <w:lvlText w:val="(%1)"/>
      <w:lvlJc w:val="left"/>
      <w:pPr>
        <w:tabs>
          <w:tab w:val="num" w:pos="1782"/>
        </w:tabs>
        <w:ind w:left="1782" w:hanging="432"/>
      </w:pPr>
      <w:rPr>
        <w:rFonts w:cs="Times New Roman" w:hint="default"/>
        <w:b w:val="0"/>
        <w:i w:val="0"/>
        <w:sz w:val="22"/>
        <w:szCs w:val="22"/>
      </w:rPr>
    </w:lvl>
    <w:lvl w:ilvl="1" w:tplc="CD3626DE" w:tentative="1">
      <w:start w:val="1"/>
      <w:numFmt w:val="lowerLetter"/>
      <w:lvlText w:val="%2."/>
      <w:lvlJc w:val="left"/>
      <w:pPr>
        <w:tabs>
          <w:tab w:val="num" w:pos="288"/>
        </w:tabs>
        <w:ind w:left="288" w:hanging="360"/>
      </w:pPr>
      <w:rPr>
        <w:rFonts w:cs="Times New Roman"/>
      </w:rPr>
    </w:lvl>
    <w:lvl w:ilvl="2" w:tplc="83F2473E" w:tentative="1">
      <w:start w:val="1"/>
      <w:numFmt w:val="lowerRoman"/>
      <w:lvlText w:val="%3."/>
      <w:lvlJc w:val="right"/>
      <w:pPr>
        <w:tabs>
          <w:tab w:val="num" w:pos="1008"/>
        </w:tabs>
        <w:ind w:left="1008" w:hanging="180"/>
      </w:pPr>
      <w:rPr>
        <w:rFonts w:cs="Times New Roman"/>
      </w:rPr>
    </w:lvl>
    <w:lvl w:ilvl="3" w:tplc="6A6C23AC" w:tentative="1">
      <w:start w:val="1"/>
      <w:numFmt w:val="decimal"/>
      <w:lvlText w:val="%4."/>
      <w:lvlJc w:val="left"/>
      <w:pPr>
        <w:tabs>
          <w:tab w:val="num" w:pos="1728"/>
        </w:tabs>
        <w:ind w:left="1728" w:hanging="360"/>
      </w:pPr>
      <w:rPr>
        <w:rFonts w:cs="Times New Roman"/>
      </w:rPr>
    </w:lvl>
    <w:lvl w:ilvl="4" w:tplc="00D68264" w:tentative="1">
      <w:start w:val="1"/>
      <w:numFmt w:val="lowerLetter"/>
      <w:lvlText w:val="%5."/>
      <w:lvlJc w:val="left"/>
      <w:pPr>
        <w:tabs>
          <w:tab w:val="num" w:pos="2448"/>
        </w:tabs>
        <w:ind w:left="2448" w:hanging="360"/>
      </w:pPr>
      <w:rPr>
        <w:rFonts w:cs="Times New Roman"/>
      </w:rPr>
    </w:lvl>
    <w:lvl w:ilvl="5" w:tplc="BB5EBFD2" w:tentative="1">
      <w:start w:val="1"/>
      <w:numFmt w:val="lowerRoman"/>
      <w:lvlText w:val="%6."/>
      <w:lvlJc w:val="right"/>
      <w:pPr>
        <w:tabs>
          <w:tab w:val="num" w:pos="3168"/>
        </w:tabs>
        <w:ind w:left="3168" w:hanging="180"/>
      </w:pPr>
      <w:rPr>
        <w:rFonts w:cs="Times New Roman"/>
      </w:rPr>
    </w:lvl>
    <w:lvl w:ilvl="6" w:tplc="787816C2" w:tentative="1">
      <w:start w:val="1"/>
      <w:numFmt w:val="decimal"/>
      <w:lvlText w:val="%7."/>
      <w:lvlJc w:val="left"/>
      <w:pPr>
        <w:tabs>
          <w:tab w:val="num" w:pos="3888"/>
        </w:tabs>
        <w:ind w:left="3888" w:hanging="360"/>
      </w:pPr>
      <w:rPr>
        <w:rFonts w:cs="Times New Roman"/>
      </w:rPr>
    </w:lvl>
    <w:lvl w:ilvl="7" w:tplc="61347178" w:tentative="1">
      <w:start w:val="1"/>
      <w:numFmt w:val="lowerLetter"/>
      <w:lvlText w:val="%8."/>
      <w:lvlJc w:val="left"/>
      <w:pPr>
        <w:tabs>
          <w:tab w:val="num" w:pos="4608"/>
        </w:tabs>
        <w:ind w:left="4608" w:hanging="360"/>
      </w:pPr>
      <w:rPr>
        <w:rFonts w:cs="Times New Roman"/>
      </w:rPr>
    </w:lvl>
    <w:lvl w:ilvl="8" w:tplc="9F90FE9C" w:tentative="1">
      <w:start w:val="1"/>
      <w:numFmt w:val="lowerRoman"/>
      <w:lvlText w:val="%9."/>
      <w:lvlJc w:val="right"/>
      <w:pPr>
        <w:tabs>
          <w:tab w:val="num" w:pos="5328"/>
        </w:tabs>
        <w:ind w:left="5328" w:hanging="180"/>
      </w:pPr>
      <w:rPr>
        <w:rFonts w:cs="Times New Roman"/>
      </w:rPr>
    </w:lvl>
  </w:abstractNum>
  <w:abstractNum w:abstractNumId="1">
    <w:nsid w:val="0E480176"/>
    <w:multiLevelType w:val="hybridMultilevel"/>
    <w:tmpl w:val="D6A06226"/>
    <w:lvl w:ilvl="0" w:tplc="2988BA5A">
      <w:start w:val="1"/>
      <w:numFmt w:val="lowerLetter"/>
      <w:lvlText w:val="(%1)"/>
      <w:lvlJc w:val="left"/>
      <w:pPr>
        <w:tabs>
          <w:tab w:val="num" w:pos="1224"/>
        </w:tabs>
        <w:ind w:left="1224" w:hanging="432"/>
      </w:pPr>
      <w:rPr>
        <w:rFonts w:cs="Times New Roman" w:hint="default"/>
        <w:b w:val="0"/>
        <w:i w:val="0"/>
        <w:sz w:val="22"/>
        <w:szCs w:val="22"/>
      </w:rPr>
    </w:lvl>
    <w:lvl w:ilvl="1" w:tplc="9B1E72A0">
      <w:start w:val="1"/>
      <w:numFmt w:val="lowerLetter"/>
      <w:lvlText w:val="%2."/>
      <w:lvlJc w:val="left"/>
      <w:pPr>
        <w:tabs>
          <w:tab w:val="num" w:pos="1440"/>
        </w:tabs>
        <w:ind w:left="1440" w:hanging="360"/>
      </w:pPr>
      <w:rPr>
        <w:rFonts w:cs="Times New Roman"/>
      </w:rPr>
    </w:lvl>
    <w:lvl w:ilvl="2" w:tplc="E52C655C">
      <w:start w:val="1"/>
      <w:numFmt w:val="lowerRoman"/>
      <w:lvlText w:val="%3."/>
      <w:lvlJc w:val="right"/>
      <w:pPr>
        <w:tabs>
          <w:tab w:val="num" w:pos="2160"/>
        </w:tabs>
        <w:ind w:left="2160" w:hanging="180"/>
      </w:pPr>
      <w:rPr>
        <w:rFonts w:cs="Times New Roman"/>
      </w:rPr>
    </w:lvl>
    <w:lvl w:ilvl="3" w:tplc="FA7AAC14">
      <w:start w:val="3"/>
      <w:numFmt w:val="decimal"/>
      <w:lvlText w:val="%4."/>
      <w:lvlJc w:val="left"/>
      <w:pPr>
        <w:tabs>
          <w:tab w:val="num" w:pos="2880"/>
        </w:tabs>
        <w:ind w:left="2880" w:hanging="360"/>
      </w:pPr>
      <w:rPr>
        <w:rFonts w:cs="Times New Roman" w:hint="default"/>
      </w:rPr>
    </w:lvl>
    <w:lvl w:ilvl="4" w:tplc="00540CA2" w:tentative="1">
      <w:start w:val="1"/>
      <w:numFmt w:val="lowerLetter"/>
      <w:lvlText w:val="%5."/>
      <w:lvlJc w:val="left"/>
      <w:pPr>
        <w:tabs>
          <w:tab w:val="num" w:pos="3600"/>
        </w:tabs>
        <w:ind w:left="3600" w:hanging="360"/>
      </w:pPr>
      <w:rPr>
        <w:rFonts w:cs="Times New Roman"/>
      </w:rPr>
    </w:lvl>
    <w:lvl w:ilvl="5" w:tplc="2896901C" w:tentative="1">
      <w:start w:val="1"/>
      <w:numFmt w:val="lowerRoman"/>
      <w:lvlText w:val="%6."/>
      <w:lvlJc w:val="right"/>
      <w:pPr>
        <w:tabs>
          <w:tab w:val="num" w:pos="4320"/>
        </w:tabs>
        <w:ind w:left="4320" w:hanging="180"/>
      </w:pPr>
      <w:rPr>
        <w:rFonts w:cs="Times New Roman"/>
      </w:rPr>
    </w:lvl>
    <w:lvl w:ilvl="6" w:tplc="FBC69D78" w:tentative="1">
      <w:start w:val="1"/>
      <w:numFmt w:val="decimal"/>
      <w:lvlText w:val="%7."/>
      <w:lvlJc w:val="left"/>
      <w:pPr>
        <w:tabs>
          <w:tab w:val="num" w:pos="5040"/>
        </w:tabs>
        <w:ind w:left="5040" w:hanging="360"/>
      </w:pPr>
      <w:rPr>
        <w:rFonts w:cs="Times New Roman"/>
      </w:rPr>
    </w:lvl>
    <w:lvl w:ilvl="7" w:tplc="B0F09702" w:tentative="1">
      <w:start w:val="1"/>
      <w:numFmt w:val="lowerLetter"/>
      <w:lvlText w:val="%8."/>
      <w:lvlJc w:val="left"/>
      <w:pPr>
        <w:tabs>
          <w:tab w:val="num" w:pos="5760"/>
        </w:tabs>
        <w:ind w:left="5760" w:hanging="360"/>
      </w:pPr>
      <w:rPr>
        <w:rFonts w:cs="Times New Roman"/>
      </w:rPr>
    </w:lvl>
    <w:lvl w:ilvl="8" w:tplc="A5986A52" w:tentative="1">
      <w:start w:val="1"/>
      <w:numFmt w:val="lowerRoman"/>
      <w:lvlText w:val="%9."/>
      <w:lvlJc w:val="right"/>
      <w:pPr>
        <w:tabs>
          <w:tab w:val="num" w:pos="6480"/>
        </w:tabs>
        <w:ind w:left="6480" w:hanging="180"/>
      </w:pPr>
      <w:rPr>
        <w:rFonts w:cs="Times New Roman"/>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317876BA"/>
    <w:multiLevelType w:val="hybridMultilevel"/>
    <w:tmpl w:val="40100EC4"/>
    <w:lvl w:ilvl="0" w:tplc="3A1A70A4">
      <w:start w:val="1"/>
      <w:numFmt w:val="bullet"/>
      <w:lvlText w:val=""/>
      <w:lvlJc w:val="left"/>
      <w:pPr>
        <w:ind w:left="1080" w:hanging="360"/>
      </w:pPr>
      <w:rPr>
        <w:rFonts w:ascii="Symbol" w:hAnsi="Symbol" w:hint="default"/>
        <w:b w:val="0"/>
        <w:i w:val="0"/>
        <w:sz w:val="22"/>
      </w:rPr>
    </w:lvl>
    <w:lvl w:ilvl="1" w:tplc="E182D264" w:tentative="1">
      <w:start w:val="1"/>
      <w:numFmt w:val="lowerLetter"/>
      <w:lvlText w:val="%2."/>
      <w:lvlJc w:val="left"/>
      <w:pPr>
        <w:ind w:left="1800" w:hanging="360"/>
      </w:pPr>
    </w:lvl>
    <w:lvl w:ilvl="2" w:tplc="C040E6B2" w:tentative="1">
      <w:start w:val="1"/>
      <w:numFmt w:val="lowerRoman"/>
      <w:lvlText w:val="%3."/>
      <w:lvlJc w:val="right"/>
      <w:pPr>
        <w:ind w:left="2520" w:hanging="180"/>
      </w:pPr>
    </w:lvl>
    <w:lvl w:ilvl="3" w:tplc="F6105A54" w:tentative="1">
      <w:start w:val="1"/>
      <w:numFmt w:val="decimal"/>
      <w:lvlText w:val="%4."/>
      <w:lvlJc w:val="left"/>
      <w:pPr>
        <w:ind w:left="3240" w:hanging="360"/>
      </w:pPr>
    </w:lvl>
    <w:lvl w:ilvl="4" w:tplc="B914E07C" w:tentative="1">
      <w:start w:val="1"/>
      <w:numFmt w:val="lowerLetter"/>
      <w:lvlText w:val="%5."/>
      <w:lvlJc w:val="left"/>
      <w:pPr>
        <w:ind w:left="3960" w:hanging="360"/>
      </w:pPr>
    </w:lvl>
    <w:lvl w:ilvl="5" w:tplc="A490CC5E" w:tentative="1">
      <w:start w:val="1"/>
      <w:numFmt w:val="lowerRoman"/>
      <w:lvlText w:val="%6."/>
      <w:lvlJc w:val="right"/>
      <w:pPr>
        <w:ind w:left="4680" w:hanging="180"/>
      </w:pPr>
    </w:lvl>
    <w:lvl w:ilvl="6" w:tplc="D736B242" w:tentative="1">
      <w:start w:val="1"/>
      <w:numFmt w:val="decimal"/>
      <w:lvlText w:val="%7."/>
      <w:lvlJc w:val="left"/>
      <w:pPr>
        <w:ind w:left="5400" w:hanging="360"/>
      </w:pPr>
    </w:lvl>
    <w:lvl w:ilvl="7" w:tplc="FF4CC1F6" w:tentative="1">
      <w:start w:val="1"/>
      <w:numFmt w:val="lowerLetter"/>
      <w:lvlText w:val="%8."/>
      <w:lvlJc w:val="left"/>
      <w:pPr>
        <w:ind w:left="6120" w:hanging="360"/>
      </w:pPr>
    </w:lvl>
    <w:lvl w:ilvl="8" w:tplc="95CAF35A" w:tentative="1">
      <w:start w:val="1"/>
      <w:numFmt w:val="lowerRoman"/>
      <w:lvlText w:val="%9."/>
      <w:lvlJc w:val="right"/>
      <w:pPr>
        <w:ind w:left="6840" w:hanging="180"/>
      </w:pPr>
    </w:lvl>
  </w:abstractNum>
  <w:abstractNum w:abstractNumId="4">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7">
    <w:nsid w:val="76253019"/>
    <w:multiLevelType w:val="hybridMultilevel"/>
    <w:tmpl w:val="A3068D84"/>
    <w:lvl w:ilvl="0" w:tplc="D2549B82">
      <w:start w:val="1"/>
      <w:numFmt w:val="lowerLetter"/>
      <w:lvlText w:val="(%1)"/>
      <w:lvlJc w:val="left"/>
      <w:pPr>
        <w:tabs>
          <w:tab w:val="num" w:pos="1656"/>
        </w:tabs>
        <w:ind w:left="1656" w:hanging="432"/>
      </w:pPr>
      <w:rPr>
        <w:rFonts w:cs="Times New Roman" w:hint="default"/>
        <w:b w:val="0"/>
        <w:i w:val="0"/>
        <w:sz w:val="22"/>
        <w:szCs w:val="22"/>
      </w:rPr>
    </w:lvl>
    <w:lvl w:ilvl="1" w:tplc="57909CA8" w:tentative="1">
      <w:start w:val="1"/>
      <w:numFmt w:val="lowerLetter"/>
      <w:lvlText w:val="%2."/>
      <w:lvlJc w:val="left"/>
      <w:pPr>
        <w:tabs>
          <w:tab w:val="num" w:pos="1872"/>
        </w:tabs>
        <w:ind w:left="1872" w:hanging="360"/>
      </w:pPr>
      <w:rPr>
        <w:rFonts w:cs="Times New Roman"/>
      </w:rPr>
    </w:lvl>
    <w:lvl w:ilvl="2" w:tplc="4B14AE02" w:tentative="1">
      <w:start w:val="1"/>
      <w:numFmt w:val="lowerRoman"/>
      <w:lvlText w:val="%3."/>
      <w:lvlJc w:val="right"/>
      <w:pPr>
        <w:tabs>
          <w:tab w:val="num" w:pos="2592"/>
        </w:tabs>
        <w:ind w:left="2592" w:hanging="180"/>
      </w:pPr>
      <w:rPr>
        <w:rFonts w:cs="Times New Roman"/>
      </w:rPr>
    </w:lvl>
    <w:lvl w:ilvl="3" w:tplc="22A0B770" w:tentative="1">
      <w:start w:val="1"/>
      <w:numFmt w:val="decimal"/>
      <w:lvlText w:val="%4."/>
      <w:lvlJc w:val="left"/>
      <w:pPr>
        <w:tabs>
          <w:tab w:val="num" w:pos="3312"/>
        </w:tabs>
        <w:ind w:left="3312" w:hanging="360"/>
      </w:pPr>
      <w:rPr>
        <w:rFonts w:cs="Times New Roman"/>
      </w:rPr>
    </w:lvl>
    <w:lvl w:ilvl="4" w:tplc="F018547A" w:tentative="1">
      <w:start w:val="1"/>
      <w:numFmt w:val="lowerLetter"/>
      <w:lvlText w:val="%5."/>
      <w:lvlJc w:val="left"/>
      <w:pPr>
        <w:tabs>
          <w:tab w:val="num" w:pos="4032"/>
        </w:tabs>
        <w:ind w:left="4032" w:hanging="360"/>
      </w:pPr>
      <w:rPr>
        <w:rFonts w:cs="Times New Roman"/>
      </w:rPr>
    </w:lvl>
    <w:lvl w:ilvl="5" w:tplc="54084A30" w:tentative="1">
      <w:start w:val="1"/>
      <w:numFmt w:val="lowerRoman"/>
      <w:lvlText w:val="%6."/>
      <w:lvlJc w:val="right"/>
      <w:pPr>
        <w:tabs>
          <w:tab w:val="num" w:pos="4752"/>
        </w:tabs>
        <w:ind w:left="4752" w:hanging="180"/>
      </w:pPr>
      <w:rPr>
        <w:rFonts w:cs="Times New Roman"/>
      </w:rPr>
    </w:lvl>
    <w:lvl w:ilvl="6" w:tplc="7166E3FE" w:tentative="1">
      <w:start w:val="1"/>
      <w:numFmt w:val="decimal"/>
      <w:lvlText w:val="%7."/>
      <w:lvlJc w:val="left"/>
      <w:pPr>
        <w:tabs>
          <w:tab w:val="num" w:pos="5472"/>
        </w:tabs>
        <w:ind w:left="5472" w:hanging="360"/>
      </w:pPr>
      <w:rPr>
        <w:rFonts w:cs="Times New Roman"/>
      </w:rPr>
    </w:lvl>
    <w:lvl w:ilvl="7" w:tplc="1270ABFE" w:tentative="1">
      <w:start w:val="1"/>
      <w:numFmt w:val="lowerLetter"/>
      <w:lvlText w:val="%8."/>
      <w:lvlJc w:val="left"/>
      <w:pPr>
        <w:tabs>
          <w:tab w:val="num" w:pos="6192"/>
        </w:tabs>
        <w:ind w:left="6192" w:hanging="360"/>
      </w:pPr>
      <w:rPr>
        <w:rFonts w:cs="Times New Roman"/>
      </w:rPr>
    </w:lvl>
    <w:lvl w:ilvl="8" w:tplc="D3645092" w:tentative="1">
      <w:start w:val="1"/>
      <w:numFmt w:val="lowerRoman"/>
      <w:lvlText w:val="%9."/>
      <w:lvlJc w:val="right"/>
      <w:pPr>
        <w:tabs>
          <w:tab w:val="num" w:pos="6912"/>
        </w:tabs>
        <w:ind w:left="6912" w:hanging="180"/>
      </w:pPr>
      <w:rPr>
        <w:rFonts w:cs="Times New Roman"/>
      </w:rPr>
    </w:lvl>
  </w:abstractNum>
  <w:num w:numId="1">
    <w:abstractNumId w:val="6"/>
  </w:num>
  <w:num w:numId="2">
    <w:abstractNumId w:val="2"/>
  </w:num>
  <w:num w:numId="3">
    <w:abstractNumId w:val="5"/>
  </w:num>
  <w:num w:numId="4">
    <w:abstractNumId w:val="4"/>
  </w:num>
  <w:num w:numId="5">
    <w:abstractNumId w:val="1"/>
  </w:num>
  <w:num w:numId="6">
    <w:abstractNumId w:val="7"/>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46D1"/>
    <w:rsid w:val="0000611F"/>
    <w:rsid w:val="00010E77"/>
    <w:rsid w:val="0001137C"/>
    <w:rsid w:val="00012135"/>
    <w:rsid w:val="00013878"/>
    <w:rsid w:val="000156B8"/>
    <w:rsid w:val="00020F52"/>
    <w:rsid w:val="000239E2"/>
    <w:rsid w:val="00023CBD"/>
    <w:rsid w:val="00032EB3"/>
    <w:rsid w:val="00036039"/>
    <w:rsid w:val="00036EBB"/>
    <w:rsid w:val="00037506"/>
    <w:rsid w:val="00037F90"/>
    <w:rsid w:val="000409A7"/>
    <w:rsid w:val="00041FA4"/>
    <w:rsid w:val="00043776"/>
    <w:rsid w:val="00044329"/>
    <w:rsid w:val="000474B4"/>
    <w:rsid w:val="000510A7"/>
    <w:rsid w:val="00051D08"/>
    <w:rsid w:val="000546E3"/>
    <w:rsid w:val="00060B19"/>
    <w:rsid w:val="00060E3B"/>
    <w:rsid w:val="00064FCE"/>
    <w:rsid w:val="00077556"/>
    <w:rsid w:val="00080528"/>
    <w:rsid w:val="000812CD"/>
    <w:rsid w:val="00084844"/>
    <w:rsid w:val="000875BF"/>
    <w:rsid w:val="00093012"/>
    <w:rsid w:val="00094FF2"/>
    <w:rsid w:val="00096D8C"/>
    <w:rsid w:val="000A1DBA"/>
    <w:rsid w:val="000A69D0"/>
    <w:rsid w:val="000A747B"/>
    <w:rsid w:val="000A78D2"/>
    <w:rsid w:val="000B076B"/>
    <w:rsid w:val="000B4C5A"/>
    <w:rsid w:val="000C0B65"/>
    <w:rsid w:val="000C3C46"/>
    <w:rsid w:val="000C4982"/>
    <w:rsid w:val="000C5E7E"/>
    <w:rsid w:val="000D2CE7"/>
    <w:rsid w:val="000D2FF2"/>
    <w:rsid w:val="000D4423"/>
    <w:rsid w:val="000E156D"/>
    <w:rsid w:val="000E1A32"/>
    <w:rsid w:val="000E3D42"/>
    <w:rsid w:val="000E57DB"/>
    <w:rsid w:val="000E5FE3"/>
    <w:rsid w:val="000F1739"/>
    <w:rsid w:val="000F2290"/>
    <w:rsid w:val="000F5AE0"/>
    <w:rsid w:val="000F71E7"/>
    <w:rsid w:val="001009B7"/>
    <w:rsid w:val="00104AE7"/>
    <w:rsid w:val="00107438"/>
    <w:rsid w:val="00111B57"/>
    <w:rsid w:val="001130D9"/>
    <w:rsid w:val="00113BDA"/>
    <w:rsid w:val="001163D2"/>
    <w:rsid w:val="00121D58"/>
    <w:rsid w:val="00122BD5"/>
    <w:rsid w:val="00122F40"/>
    <w:rsid w:val="00123544"/>
    <w:rsid w:val="00123DC5"/>
    <w:rsid w:val="001251A4"/>
    <w:rsid w:val="0012535E"/>
    <w:rsid w:val="00130E75"/>
    <w:rsid w:val="00131135"/>
    <w:rsid w:val="0013481A"/>
    <w:rsid w:val="0013545C"/>
    <w:rsid w:val="00150039"/>
    <w:rsid w:val="00151AF8"/>
    <w:rsid w:val="00152144"/>
    <w:rsid w:val="0015292D"/>
    <w:rsid w:val="00152E7C"/>
    <w:rsid w:val="001569B9"/>
    <w:rsid w:val="00161F7D"/>
    <w:rsid w:val="00163419"/>
    <w:rsid w:val="00164854"/>
    <w:rsid w:val="001659BF"/>
    <w:rsid w:val="001664A0"/>
    <w:rsid w:val="0017171A"/>
    <w:rsid w:val="00172BF5"/>
    <w:rsid w:val="00174F9E"/>
    <w:rsid w:val="00176197"/>
    <w:rsid w:val="0017677C"/>
    <w:rsid w:val="00180D54"/>
    <w:rsid w:val="00182E46"/>
    <w:rsid w:val="001850F1"/>
    <w:rsid w:val="001877EB"/>
    <w:rsid w:val="00193512"/>
    <w:rsid w:val="001955C8"/>
    <w:rsid w:val="00196CFD"/>
    <w:rsid w:val="001A5074"/>
    <w:rsid w:val="001A6AEF"/>
    <w:rsid w:val="001A7A02"/>
    <w:rsid w:val="001B4BAE"/>
    <w:rsid w:val="001C3C01"/>
    <w:rsid w:val="001C50A9"/>
    <w:rsid w:val="001C7762"/>
    <w:rsid w:val="001D10CF"/>
    <w:rsid w:val="001D63ED"/>
    <w:rsid w:val="001D6BCF"/>
    <w:rsid w:val="001E01CA"/>
    <w:rsid w:val="001E7454"/>
    <w:rsid w:val="001F0CA8"/>
    <w:rsid w:val="001F11C8"/>
    <w:rsid w:val="001F1433"/>
    <w:rsid w:val="001F278E"/>
    <w:rsid w:val="001F2BAB"/>
    <w:rsid w:val="001F660E"/>
    <w:rsid w:val="00202B90"/>
    <w:rsid w:val="0020707F"/>
    <w:rsid w:val="0021043C"/>
    <w:rsid w:val="0021060B"/>
    <w:rsid w:val="00211D92"/>
    <w:rsid w:val="00211EE2"/>
    <w:rsid w:val="00221D7C"/>
    <w:rsid w:val="00223374"/>
    <w:rsid w:val="00231522"/>
    <w:rsid w:val="002352DC"/>
    <w:rsid w:val="00236FC2"/>
    <w:rsid w:val="00237F53"/>
    <w:rsid w:val="00240F56"/>
    <w:rsid w:val="00243018"/>
    <w:rsid w:val="002551FD"/>
    <w:rsid w:val="002626EB"/>
    <w:rsid w:val="002645F4"/>
    <w:rsid w:val="00273B9A"/>
    <w:rsid w:val="00276796"/>
    <w:rsid w:val="00276DAE"/>
    <w:rsid w:val="00277598"/>
    <w:rsid w:val="00277F32"/>
    <w:rsid w:val="00284E12"/>
    <w:rsid w:val="00285017"/>
    <w:rsid w:val="00287BA4"/>
    <w:rsid w:val="00291DFD"/>
    <w:rsid w:val="0029201C"/>
    <w:rsid w:val="00295C0F"/>
    <w:rsid w:val="002A1D20"/>
    <w:rsid w:val="002A2D2E"/>
    <w:rsid w:val="002B22CB"/>
    <w:rsid w:val="002B2AA5"/>
    <w:rsid w:val="002B3194"/>
    <w:rsid w:val="002B4338"/>
    <w:rsid w:val="002B518C"/>
    <w:rsid w:val="002C0646"/>
    <w:rsid w:val="002C1403"/>
    <w:rsid w:val="002C30EE"/>
    <w:rsid w:val="002C5DE7"/>
    <w:rsid w:val="002C67F6"/>
    <w:rsid w:val="002D2357"/>
    <w:rsid w:val="002E4C64"/>
    <w:rsid w:val="002E5543"/>
    <w:rsid w:val="002F0F20"/>
    <w:rsid w:val="002F7BE9"/>
    <w:rsid w:val="0030082F"/>
    <w:rsid w:val="003016ED"/>
    <w:rsid w:val="00302BBF"/>
    <w:rsid w:val="00320448"/>
    <w:rsid w:val="00320BE0"/>
    <w:rsid w:val="00327A56"/>
    <w:rsid w:val="00331532"/>
    <w:rsid w:val="003317A6"/>
    <w:rsid w:val="00334F59"/>
    <w:rsid w:val="00340918"/>
    <w:rsid w:val="00343749"/>
    <w:rsid w:val="00343B8B"/>
    <w:rsid w:val="003447A3"/>
    <w:rsid w:val="003504B7"/>
    <w:rsid w:val="00351188"/>
    <w:rsid w:val="00351C94"/>
    <w:rsid w:val="00352167"/>
    <w:rsid w:val="00355126"/>
    <w:rsid w:val="00357044"/>
    <w:rsid w:val="00357963"/>
    <w:rsid w:val="00357FDE"/>
    <w:rsid w:val="00361141"/>
    <w:rsid w:val="003628A3"/>
    <w:rsid w:val="00367050"/>
    <w:rsid w:val="00367F93"/>
    <w:rsid w:val="00376EB5"/>
    <w:rsid w:val="0038137F"/>
    <w:rsid w:val="003820CD"/>
    <w:rsid w:val="00382212"/>
    <w:rsid w:val="00383733"/>
    <w:rsid w:val="003869A9"/>
    <w:rsid w:val="00386C09"/>
    <w:rsid w:val="00387DC6"/>
    <w:rsid w:val="00393892"/>
    <w:rsid w:val="00395BCD"/>
    <w:rsid w:val="0039627B"/>
    <w:rsid w:val="00397DF7"/>
    <w:rsid w:val="003A0A67"/>
    <w:rsid w:val="003A0CEB"/>
    <w:rsid w:val="003A10AC"/>
    <w:rsid w:val="003A1CBF"/>
    <w:rsid w:val="003A24DA"/>
    <w:rsid w:val="003A2932"/>
    <w:rsid w:val="003A398D"/>
    <w:rsid w:val="003A45E5"/>
    <w:rsid w:val="003A4AB4"/>
    <w:rsid w:val="003A764B"/>
    <w:rsid w:val="003B0550"/>
    <w:rsid w:val="003B0648"/>
    <w:rsid w:val="003B1CF4"/>
    <w:rsid w:val="003B5217"/>
    <w:rsid w:val="003B694F"/>
    <w:rsid w:val="003B6F58"/>
    <w:rsid w:val="003C4209"/>
    <w:rsid w:val="003C6DEB"/>
    <w:rsid w:val="003D49D5"/>
    <w:rsid w:val="003D6601"/>
    <w:rsid w:val="003F1126"/>
    <w:rsid w:val="003F171C"/>
    <w:rsid w:val="004008FF"/>
    <w:rsid w:val="00400BCE"/>
    <w:rsid w:val="00401A52"/>
    <w:rsid w:val="00404B01"/>
    <w:rsid w:val="0041095B"/>
    <w:rsid w:val="00412FC5"/>
    <w:rsid w:val="00414A07"/>
    <w:rsid w:val="00414BD8"/>
    <w:rsid w:val="00414F00"/>
    <w:rsid w:val="004172DB"/>
    <w:rsid w:val="00422276"/>
    <w:rsid w:val="004242F1"/>
    <w:rsid w:val="0042521C"/>
    <w:rsid w:val="00433E5E"/>
    <w:rsid w:val="00434575"/>
    <w:rsid w:val="004348F7"/>
    <w:rsid w:val="004359DD"/>
    <w:rsid w:val="00435FB8"/>
    <w:rsid w:val="004409D9"/>
    <w:rsid w:val="00445A00"/>
    <w:rsid w:val="004479E5"/>
    <w:rsid w:val="00450242"/>
    <w:rsid w:val="00451B0F"/>
    <w:rsid w:val="00452FFD"/>
    <w:rsid w:val="00463506"/>
    <w:rsid w:val="0046402A"/>
    <w:rsid w:val="004655CB"/>
    <w:rsid w:val="00465FD1"/>
    <w:rsid w:val="00471DDB"/>
    <w:rsid w:val="004737E2"/>
    <w:rsid w:val="00484691"/>
    <w:rsid w:val="00486ADC"/>
    <w:rsid w:val="00490FA1"/>
    <w:rsid w:val="00491CAC"/>
    <w:rsid w:val="00492284"/>
    <w:rsid w:val="0049610C"/>
    <w:rsid w:val="004A1DD7"/>
    <w:rsid w:val="004A25AB"/>
    <w:rsid w:val="004A296D"/>
    <w:rsid w:val="004A4478"/>
    <w:rsid w:val="004A55DF"/>
    <w:rsid w:val="004B441D"/>
    <w:rsid w:val="004B5795"/>
    <w:rsid w:val="004B5871"/>
    <w:rsid w:val="004C2EE3"/>
    <w:rsid w:val="004C693C"/>
    <w:rsid w:val="004C6AC5"/>
    <w:rsid w:val="004C7120"/>
    <w:rsid w:val="004C7963"/>
    <w:rsid w:val="004C7F69"/>
    <w:rsid w:val="004D14D2"/>
    <w:rsid w:val="004D1DB2"/>
    <w:rsid w:val="004E2022"/>
    <w:rsid w:val="004E347E"/>
    <w:rsid w:val="004E4A22"/>
    <w:rsid w:val="004E5936"/>
    <w:rsid w:val="004F3A1A"/>
    <w:rsid w:val="004F4B62"/>
    <w:rsid w:val="004F5449"/>
    <w:rsid w:val="004F5E64"/>
    <w:rsid w:val="004F5E89"/>
    <w:rsid w:val="0050401D"/>
    <w:rsid w:val="005050D6"/>
    <w:rsid w:val="0051080A"/>
    <w:rsid w:val="00511968"/>
    <w:rsid w:val="0051245D"/>
    <w:rsid w:val="005124C7"/>
    <w:rsid w:val="005124D9"/>
    <w:rsid w:val="005145CB"/>
    <w:rsid w:val="00520B1C"/>
    <w:rsid w:val="00522A30"/>
    <w:rsid w:val="00525103"/>
    <w:rsid w:val="00526103"/>
    <w:rsid w:val="0052710C"/>
    <w:rsid w:val="005278FD"/>
    <w:rsid w:val="005404E4"/>
    <w:rsid w:val="00540959"/>
    <w:rsid w:val="00541786"/>
    <w:rsid w:val="005419E0"/>
    <w:rsid w:val="00541F03"/>
    <w:rsid w:val="00547171"/>
    <w:rsid w:val="005508BF"/>
    <w:rsid w:val="00551532"/>
    <w:rsid w:val="0055614C"/>
    <w:rsid w:val="0055639D"/>
    <w:rsid w:val="00556D54"/>
    <w:rsid w:val="005579D5"/>
    <w:rsid w:val="00561D23"/>
    <w:rsid w:val="005626D4"/>
    <w:rsid w:val="005645B1"/>
    <w:rsid w:val="00566077"/>
    <w:rsid w:val="00567FCE"/>
    <w:rsid w:val="00572218"/>
    <w:rsid w:val="00572A65"/>
    <w:rsid w:val="005742F2"/>
    <w:rsid w:val="005776BD"/>
    <w:rsid w:val="00582969"/>
    <w:rsid w:val="00586385"/>
    <w:rsid w:val="00592C4C"/>
    <w:rsid w:val="00597DF3"/>
    <w:rsid w:val="005A2A94"/>
    <w:rsid w:val="005B3200"/>
    <w:rsid w:val="005B364E"/>
    <w:rsid w:val="005B431A"/>
    <w:rsid w:val="005B4565"/>
    <w:rsid w:val="005B76E1"/>
    <w:rsid w:val="005B77EC"/>
    <w:rsid w:val="005C11B2"/>
    <w:rsid w:val="005C3D6F"/>
    <w:rsid w:val="005C7E8A"/>
    <w:rsid w:val="005D0017"/>
    <w:rsid w:val="005D3EF6"/>
    <w:rsid w:val="005E221D"/>
    <w:rsid w:val="005E2EA3"/>
    <w:rsid w:val="005E31E1"/>
    <w:rsid w:val="005E4B8D"/>
    <w:rsid w:val="005E6700"/>
    <w:rsid w:val="005E7899"/>
    <w:rsid w:val="005E795C"/>
    <w:rsid w:val="005F3A0D"/>
    <w:rsid w:val="005F54A4"/>
    <w:rsid w:val="005F558B"/>
    <w:rsid w:val="005F615D"/>
    <w:rsid w:val="00602329"/>
    <w:rsid w:val="00603931"/>
    <w:rsid w:val="00605A3F"/>
    <w:rsid w:val="00606FF6"/>
    <w:rsid w:val="00607BA5"/>
    <w:rsid w:val="00607BF9"/>
    <w:rsid w:val="006100EB"/>
    <w:rsid w:val="006108AD"/>
    <w:rsid w:val="00611BC3"/>
    <w:rsid w:val="00611E7C"/>
    <w:rsid w:val="00612B4D"/>
    <w:rsid w:val="006225BE"/>
    <w:rsid w:val="00624FD7"/>
    <w:rsid w:val="00626EB6"/>
    <w:rsid w:val="0063094A"/>
    <w:rsid w:val="006313E2"/>
    <w:rsid w:val="0063686D"/>
    <w:rsid w:val="006520A5"/>
    <w:rsid w:val="006554F4"/>
    <w:rsid w:val="00655D03"/>
    <w:rsid w:val="006561B9"/>
    <w:rsid w:val="00661747"/>
    <w:rsid w:val="006663EC"/>
    <w:rsid w:val="00671673"/>
    <w:rsid w:val="0067516C"/>
    <w:rsid w:val="00675F97"/>
    <w:rsid w:val="00676723"/>
    <w:rsid w:val="00676AA1"/>
    <w:rsid w:val="006776B4"/>
    <w:rsid w:val="006811E0"/>
    <w:rsid w:val="006811F1"/>
    <w:rsid w:val="00681C6A"/>
    <w:rsid w:val="00683EA2"/>
    <w:rsid w:val="00683F84"/>
    <w:rsid w:val="006866C8"/>
    <w:rsid w:val="00686A51"/>
    <w:rsid w:val="00696E22"/>
    <w:rsid w:val="006A05CA"/>
    <w:rsid w:val="006A1C87"/>
    <w:rsid w:val="006A2A50"/>
    <w:rsid w:val="006A3260"/>
    <w:rsid w:val="006A331D"/>
    <w:rsid w:val="006A581E"/>
    <w:rsid w:val="006A6A81"/>
    <w:rsid w:val="006B43A3"/>
    <w:rsid w:val="006B6017"/>
    <w:rsid w:val="006C1944"/>
    <w:rsid w:val="006D015E"/>
    <w:rsid w:val="006D023F"/>
    <w:rsid w:val="006D2DF3"/>
    <w:rsid w:val="006D6923"/>
    <w:rsid w:val="006E2824"/>
    <w:rsid w:val="006E2904"/>
    <w:rsid w:val="006E2AC7"/>
    <w:rsid w:val="006E4326"/>
    <w:rsid w:val="006E4A96"/>
    <w:rsid w:val="006E6CFC"/>
    <w:rsid w:val="006F35AB"/>
    <w:rsid w:val="006F6AE9"/>
    <w:rsid w:val="006F7393"/>
    <w:rsid w:val="0070224F"/>
    <w:rsid w:val="0070289F"/>
    <w:rsid w:val="007056EB"/>
    <w:rsid w:val="0070589D"/>
    <w:rsid w:val="007115F7"/>
    <w:rsid w:val="00714014"/>
    <w:rsid w:val="0071473B"/>
    <w:rsid w:val="00722CD3"/>
    <w:rsid w:val="00725C20"/>
    <w:rsid w:val="0072645F"/>
    <w:rsid w:val="007279D7"/>
    <w:rsid w:val="00733B04"/>
    <w:rsid w:val="00736852"/>
    <w:rsid w:val="007447A7"/>
    <w:rsid w:val="0074605C"/>
    <w:rsid w:val="007511CA"/>
    <w:rsid w:val="0075516F"/>
    <w:rsid w:val="00756B5B"/>
    <w:rsid w:val="007570F2"/>
    <w:rsid w:val="00763ED6"/>
    <w:rsid w:val="00764026"/>
    <w:rsid w:val="007661E4"/>
    <w:rsid w:val="00775907"/>
    <w:rsid w:val="0077592C"/>
    <w:rsid w:val="007772F5"/>
    <w:rsid w:val="00782791"/>
    <w:rsid w:val="00785675"/>
    <w:rsid w:val="00785689"/>
    <w:rsid w:val="00785DDD"/>
    <w:rsid w:val="00785EA8"/>
    <w:rsid w:val="007875C0"/>
    <w:rsid w:val="00790CBB"/>
    <w:rsid w:val="007916AE"/>
    <w:rsid w:val="00792CB1"/>
    <w:rsid w:val="00793ABE"/>
    <w:rsid w:val="0079527C"/>
    <w:rsid w:val="00795338"/>
    <w:rsid w:val="007953B5"/>
    <w:rsid w:val="0079587C"/>
    <w:rsid w:val="0079754B"/>
    <w:rsid w:val="007A1E6D"/>
    <w:rsid w:val="007A247C"/>
    <w:rsid w:val="007A36D0"/>
    <w:rsid w:val="007A7BA1"/>
    <w:rsid w:val="007B0C25"/>
    <w:rsid w:val="007B37B7"/>
    <w:rsid w:val="007B3BDA"/>
    <w:rsid w:val="007B4F15"/>
    <w:rsid w:val="007B4F9B"/>
    <w:rsid w:val="007C4B67"/>
    <w:rsid w:val="007C6255"/>
    <w:rsid w:val="007D3344"/>
    <w:rsid w:val="007D3BC9"/>
    <w:rsid w:val="007E10BA"/>
    <w:rsid w:val="007E1B57"/>
    <w:rsid w:val="007E2BD7"/>
    <w:rsid w:val="007E2D92"/>
    <w:rsid w:val="007E460A"/>
    <w:rsid w:val="007E7447"/>
    <w:rsid w:val="007F25D2"/>
    <w:rsid w:val="008044E4"/>
    <w:rsid w:val="00805856"/>
    <w:rsid w:val="008067EA"/>
    <w:rsid w:val="00811D58"/>
    <w:rsid w:val="008128B3"/>
    <w:rsid w:val="00815E84"/>
    <w:rsid w:val="008217DF"/>
    <w:rsid w:val="00822CE0"/>
    <w:rsid w:val="00823DB9"/>
    <w:rsid w:val="00824015"/>
    <w:rsid w:val="0082410C"/>
    <w:rsid w:val="0082670C"/>
    <w:rsid w:val="0082735A"/>
    <w:rsid w:val="00831C59"/>
    <w:rsid w:val="008346E7"/>
    <w:rsid w:val="00841AB1"/>
    <w:rsid w:val="00844998"/>
    <w:rsid w:val="008472AC"/>
    <w:rsid w:val="00850DBC"/>
    <w:rsid w:val="008511B9"/>
    <w:rsid w:val="00852F69"/>
    <w:rsid w:val="00860B3E"/>
    <w:rsid w:val="008644A6"/>
    <w:rsid w:val="008650E1"/>
    <w:rsid w:val="0086518D"/>
    <w:rsid w:val="00867B1A"/>
    <w:rsid w:val="00880BA8"/>
    <w:rsid w:val="00881DA6"/>
    <w:rsid w:val="00883302"/>
    <w:rsid w:val="00890101"/>
    <w:rsid w:val="008947F4"/>
    <w:rsid w:val="00895CEA"/>
    <w:rsid w:val="00897120"/>
    <w:rsid w:val="008A0994"/>
    <w:rsid w:val="008A1228"/>
    <w:rsid w:val="008A267C"/>
    <w:rsid w:val="008A37FE"/>
    <w:rsid w:val="008A5341"/>
    <w:rsid w:val="008A7EA5"/>
    <w:rsid w:val="008C14DE"/>
    <w:rsid w:val="008C28C1"/>
    <w:rsid w:val="008C2D54"/>
    <w:rsid w:val="008C4282"/>
    <w:rsid w:val="008C537C"/>
    <w:rsid w:val="008D046F"/>
    <w:rsid w:val="008D27F6"/>
    <w:rsid w:val="008D579C"/>
    <w:rsid w:val="008D66A7"/>
    <w:rsid w:val="008E08DB"/>
    <w:rsid w:val="008F546F"/>
    <w:rsid w:val="008F5609"/>
    <w:rsid w:val="008F6354"/>
    <w:rsid w:val="009000B2"/>
    <w:rsid w:val="00900C7E"/>
    <w:rsid w:val="00903487"/>
    <w:rsid w:val="00903E19"/>
    <w:rsid w:val="009052A4"/>
    <w:rsid w:val="009102C4"/>
    <w:rsid w:val="00910F04"/>
    <w:rsid w:val="00911882"/>
    <w:rsid w:val="00912507"/>
    <w:rsid w:val="00912A4B"/>
    <w:rsid w:val="00917CD4"/>
    <w:rsid w:val="00921803"/>
    <w:rsid w:val="0092218F"/>
    <w:rsid w:val="00922F5C"/>
    <w:rsid w:val="00925EC6"/>
    <w:rsid w:val="00926503"/>
    <w:rsid w:val="0092745B"/>
    <w:rsid w:val="00931485"/>
    <w:rsid w:val="009317FB"/>
    <w:rsid w:val="009319F8"/>
    <w:rsid w:val="009332A1"/>
    <w:rsid w:val="0093490E"/>
    <w:rsid w:val="00935E3A"/>
    <w:rsid w:val="0094240B"/>
    <w:rsid w:val="00943560"/>
    <w:rsid w:val="00950EB7"/>
    <w:rsid w:val="00956027"/>
    <w:rsid w:val="00956337"/>
    <w:rsid w:val="00962945"/>
    <w:rsid w:val="009632A6"/>
    <w:rsid w:val="00964237"/>
    <w:rsid w:val="00966371"/>
    <w:rsid w:val="009676BC"/>
    <w:rsid w:val="00970C6B"/>
    <w:rsid w:val="009711A2"/>
    <w:rsid w:val="0097256B"/>
    <w:rsid w:val="009741B1"/>
    <w:rsid w:val="00975449"/>
    <w:rsid w:val="00976233"/>
    <w:rsid w:val="0097651C"/>
    <w:rsid w:val="00981C93"/>
    <w:rsid w:val="0098449D"/>
    <w:rsid w:val="00987FB6"/>
    <w:rsid w:val="0099140B"/>
    <w:rsid w:val="00992F4D"/>
    <w:rsid w:val="009942A1"/>
    <w:rsid w:val="009A40C2"/>
    <w:rsid w:val="009A4C16"/>
    <w:rsid w:val="009A7EE4"/>
    <w:rsid w:val="009B5A50"/>
    <w:rsid w:val="009D332B"/>
    <w:rsid w:val="009D66D5"/>
    <w:rsid w:val="009D7B14"/>
    <w:rsid w:val="009E2677"/>
    <w:rsid w:val="009E4E15"/>
    <w:rsid w:val="009E58C9"/>
    <w:rsid w:val="009E5BD6"/>
    <w:rsid w:val="009F04D5"/>
    <w:rsid w:val="009F286B"/>
    <w:rsid w:val="009F3A92"/>
    <w:rsid w:val="009F77E2"/>
    <w:rsid w:val="009F7C04"/>
    <w:rsid w:val="00A00B66"/>
    <w:rsid w:val="00A027EA"/>
    <w:rsid w:val="00A03DB3"/>
    <w:rsid w:val="00A05473"/>
    <w:rsid w:val="00A06315"/>
    <w:rsid w:val="00A0704F"/>
    <w:rsid w:val="00A12F28"/>
    <w:rsid w:val="00A16466"/>
    <w:rsid w:val="00A17A3B"/>
    <w:rsid w:val="00A20FF3"/>
    <w:rsid w:val="00A214C3"/>
    <w:rsid w:val="00A23AF4"/>
    <w:rsid w:val="00A27ACB"/>
    <w:rsid w:val="00A35CE8"/>
    <w:rsid w:val="00A3732E"/>
    <w:rsid w:val="00A453E0"/>
    <w:rsid w:val="00A45F4F"/>
    <w:rsid w:val="00A4658E"/>
    <w:rsid w:val="00A5227B"/>
    <w:rsid w:val="00A5729D"/>
    <w:rsid w:val="00A57B31"/>
    <w:rsid w:val="00A600A9"/>
    <w:rsid w:val="00A60258"/>
    <w:rsid w:val="00A606BF"/>
    <w:rsid w:val="00A6117C"/>
    <w:rsid w:val="00A61AB5"/>
    <w:rsid w:val="00A61ED7"/>
    <w:rsid w:val="00A66336"/>
    <w:rsid w:val="00A669A9"/>
    <w:rsid w:val="00A74DB8"/>
    <w:rsid w:val="00A77D25"/>
    <w:rsid w:val="00A81E40"/>
    <w:rsid w:val="00A82494"/>
    <w:rsid w:val="00A87C06"/>
    <w:rsid w:val="00A9084A"/>
    <w:rsid w:val="00A936BB"/>
    <w:rsid w:val="00A95282"/>
    <w:rsid w:val="00A96A5E"/>
    <w:rsid w:val="00AA2600"/>
    <w:rsid w:val="00AA4B16"/>
    <w:rsid w:val="00AA55B7"/>
    <w:rsid w:val="00AA5B9E"/>
    <w:rsid w:val="00AA7463"/>
    <w:rsid w:val="00AA7622"/>
    <w:rsid w:val="00AB2407"/>
    <w:rsid w:val="00AB2C10"/>
    <w:rsid w:val="00AB39F3"/>
    <w:rsid w:val="00AB4688"/>
    <w:rsid w:val="00AB4CF8"/>
    <w:rsid w:val="00AB53DF"/>
    <w:rsid w:val="00AC12AD"/>
    <w:rsid w:val="00AC2247"/>
    <w:rsid w:val="00AC3D20"/>
    <w:rsid w:val="00AC5A7C"/>
    <w:rsid w:val="00AD010D"/>
    <w:rsid w:val="00AD0ADA"/>
    <w:rsid w:val="00AD3587"/>
    <w:rsid w:val="00AD6C34"/>
    <w:rsid w:val="00AE1D47"/>
    <w:rsid w:val="00AE27F8"/>
    <w:rsid w:val="00AE43B7"/>
    <w:rsid w:val="00AE4DB3"/>
    <w:rsid w:val="00AE4E54"/>
    <w:rsid w:val="00AF03D6"/>
    <w:rsid w:val="00AF6522"/>
    <w:rsid w:val="00AF7DAD"/>
    <w:rsid w:val="00B00166"/>
    <w:rsid w:val="00B02DC2"/>
    <w:rsid w:val="00B02FB8"/>
    <w:rsid w:val="00B07321"/>
    <w:rsid w:val="00B07E5C"/>
    <w:rsid w:val="00B10576"/>
    <w:rsid w:val="00B13350"/>
    <w:rsid w:val="00B141B4"/>
    <w:rsid w:val="00B14FAF"/>
    <w:rsid w:val="00B15877"/>
    <w:rsid w:val="00B1792B"/>
    <w:rsid w:val="00B211FD"/>
    <w:rsid w:val="00B239D9"/>
    <w:rsid w:val="00B27507"/>
    <w:rsid w:val="00B277A4"/>
    <w:rsid w:val="00B302CB"/>
    <w:rsid w:val="00B32157"/>
    <w:rsid w:val="00B44A4F"/>
    <w:rsid w:val="00B47311"/>
    <w:rsid w:val="00B508D0"/>
    <w:rsid w:val="00B517BE"/>
    <w:rsid w:val="00B5414A"/>
    <w:rsid w:val="00B64EC5"/>
    <w:rsid w:val="00B65EF8"/>
    <w:rsid w:val="00B66445"/>
    <w:rsid w:val="00B66F5A"/>
    <w:rsid w:val="00B67077"/>
    <w:rsid w:val="00B75912"/>
    <w:rsid w:val="00B761CF"/>
    <w:rsid w:val="00B80DF6"/>
    <w:rsid w:val="00B811F7"/>
    <w:rsid w:val="00B816A7"/>
    <w:rsid w:val="00B84E6C"/>
    <w:rsid w:val="00B860D7"/>
    <w:rsid w:val="00B87679"/>
    <w:rsid w:val="00BA3B91"/>
    <w:rsid w:val="00BA5DC6"/>
    <w:rsid w:val="00BA6196"/>
    <w:rsid w:val="00BA7F12"/>
    <w:rsid w:val="00BB0606"/>
    <w:rsid w:val="00BB0C03"/>
    <w:rsid w:val="00BB365A"/>
    <w:rsid w:val="00BB5512"/>
    <w:rsid w:val="00BC2CFF"/>
    <w:rsid w:val="00BC5D56"/>
    <w:rsid w:val="00BC68DF"/>
    <w:rsid w:val="00BC6D8C"/>
    <w:rsid w:val="00BC76F9"/>
    <w:rsid w:val="00BD129C"/>
    <w:rsid w:val="00BD24F4"/>
    <w:rsid w:val="00BE2581"/>
    <w:rsid w:val="00BE2B2B"/>
    <w:rsid w:val="00BE56B5"/>
    <w:rsid w:val="00BE73DC"/>
    <w:rsid w:val="00BE7722"/>
    <w:rsid w:val="00BF0234"/>
    <w:rsid w:val="00BF06EA"/>
    <w:rsid w:val="00BF1EEC"/>
    <w:rsid w:val="00C02FA9"/>
    <w:rsid w:val="00C04D36"/>
    <w:rsid w:val="00C06E84"/>
    <w:rsid w:val="00C10ADD"/>
    <w:rsid w:val="00C218DC"/>
    <w:rsid w:val="00C26F5F"/>
    <w:rsid w:val="00C34006"/>
    <w:rsid w:val="00C4174C"/>
    <w:rsid w:val="00C426B1"/>
    <w:rsid w:val="00C438ED"/>
    <w:rsid w:val="00C447D2"/>
    <w:rsid w:val="00C473A8"/>
    <w:rsid w:val="00C47A0C"/>
    <w:rsid w:val="00C518D0"/>
    <w:rsid w:val="00C523B9"/>
    <w:rsid w:val="00C52CF8"/>
    <w:rsid w:val="00C6071D"/>
    <w:rsid w:val="00C612AC"/>
    <w:rsid w:val="00C67932"/>
    <w:rsid w:val="00C700F9"/>
    <w:rsid w:val="00C713BD"/>
    <w:rsid w:val="00C7579F"/>
    <w:rsid w:val="00C76BB9"/>
    <w:rsid w:val="00C85DCF"/>
    <w:rsid w:val="00C909F1"/>
    <w:rsid w:val="00C90D6A"/>
    <w:rsid w:val="00C9246B"/>
    <w:rsid w:val="00C92F97"/>
    <w:rsid w:val="00C93A14"/>
    <w:rsid w:val="00C95D80"/>
    <w:rsid w:val="00C9772A"/>
    <w:rsid w:val="00CA21C0"/>
    <w:rsid w:val="00CA247E"/>
    <w:rsid w:val="00CA7078"/>
    <w:rsid w:val="00CB260B"/>
    <w:rsid w:val="00CB51FE"/>
    <w:rsid w:val="00CC2691"/>
    <w:rsid w:val="00CC28B3"/>
    <w:rsid w:val="00CC4A43"/>
    <w:rsid w:val="00CC532C"/>
    <w:rsid w:val="00CC596B"/>
    <w:rsid w:val="00CC72B6"/>
    <w:rsid w:val="00CC746A"/>
    <w:rsid w:val="00CD0180"/>
    <w:rsid w:val="00CD2C9B"/>
    <w:rsid w:val="00CD45F8"/>
    <w:rsid w:val="00CE1849"/>
    <w:rsid w:val="00CE1A0C"/>
    <w:rsid w:val="00CE428F"/>
    <w:rsid w:val="00CE632C"/>
    <w:rsid w:val="00CE76C6"/>
    <w:rsid w:val="00CF1C0F"/>
    <w:rsid w:val="00CF2F47"/>
    <w:rsid w:val="00CF77B7"/>
    <w:rsid w:val="00D0218D"/>
    <w:rsid w:val="00D03AD8"/>
    <w:rsid w:val="00D046D2"/>
    <w:rsid w:val="00D05A77"/>
    <w:rsid w:val="00D1069B"/>
    <w:rsid w:val="00D10745"/>
    <w:rsid w:val="00D15C14"/>
    <w:rsid w:val="00D23E19"/>
    <w:rsid w:val="00D257FE"/>
    <w:rsid w:val="00D25C5E"/>
    <w:rsid w:val="00D25ED7"/>
    <w:rsid w:val="00D26289"/>
    <w:rsid w:val="00D3032A"/>
    <w:rsid w:val="00D31663"/>
    <w:rsid w:val="00D34498"/>
    <w:rsid w:val="00D34844"/>
    <w:rsid w:val="00D3490E"/>
    <w:rsid w:val="00D35731"/>
    <w:rsid w:val="00D377A5"/>
    <w:rsid w:val="00D42D5D"/>
    <w:rsid w:val="00D44790"/>
    <w:rsid w:val="00D52151"/>
    <w:rsid w:val="00D52555"/>
    <w:rsid w:val="00D55448"/>
    <w:rsid w:val="00D5619D"/>
    <w:rsid w:val="00D56630"/>
    <w:rsid w:val="00D630D3"/>
    <w:rsid w:val="00D67F84"/>
    <w:rsid w:val="00D704AA"/>
    <w:rsid w:val="00D70822"/>
    <w:rsid w:val="00D71CDA"/>
    <w:rsid w:val="00D81FA0"/>
    <w:rsid w:val="00D82EB7"/>
    <w:rsid w:val="00D83129"/>
    <w:rsid w:val="00D84548"/>
    <w:rsid w:val="00D86532"/>
    <w:rsid w:val="00D91240"/>
    <w:rsid w:val="00D943A2"/>
    <w:rsid w:val="00D95AC5"/>
    <w:rsid w:val="00D95C94"/>
    <w:rsid w:val="00D9774A"/>
    <w:rsid w:val="00D978A8"/>
    <w:rsid w:val="00D97B34"/>
    <w:rsid w:val="00DA2529"/>
    <w:rsid w:val="00DA2BA0"/>
    <w:rsid w:val="00DA2CFF"/>
    <w:rsid w:val="00DA2DB9"/>
    <w:rsid w:val="00DA7E2A"/>
    <w:rsid w:val="00DB0422"/>
    <w:rsid w:val="00DB130A"/>
    <w:rsid w:val="00DB4740"/>
    <w:rsid w:val="00DB4B14"/>
    <w:rsid w:val="00DB5B28"/>
    <w:rsid w:val="00DC10A1"/>
    <w:rsid w:val="00DC1BFB"/>
    <w:rsid w:val="00DC5271"/>
    <w:rsid w:val="00DC5DD8"/>
    <w:rsid w:val="00DC655F"/>
    <w:rsid w:val="00DC6E68"/>
    <w:rsid w:val="00DC6EB4"/>
    <w:rsid w:val="00DD0B59"/>
    <w:rsid w:val="00DD1CEE"/>
    <w:rsid w:val="00DD6824"/>
    <w:rsid w:val="00DD7967"/>
    <w:rsid w:val="00DD7DE0"/>
    <w:rsid w:val="00DD7EBD"/>
    <w:rsid w:val="00DE0817"/>
    <w:rsid w:val="00DE0C2F"/>
    <w:rsid w:val="00DE31E5"/>
    <w:rsid w:val="00DE704A"/>
    <w:rsid w:val="00DE7126"/>
    <w:rsid w:val="00DF05A3"/>
    <w:rsid w:val="00DF1C0C"/>
    <w:rsid w:val="00DF4504"/>
    <w:rsid w:val="00DF465C"/>
    <w:rsid w:val="00DF47DF"/>
    <w:rsid w:val="00DF5AF8"/>
    <w:rsid w:val="00DF5C09"/>
    <w:rsid w:val="00DF62B6"/>
    <w:rsid w:val="00DF7138"/>
    <w:rsid w:val="00E03633"/>
    <w:rsid w:val="00E037E1"/>
    <w:rsid w:val="00E069F9"/>
    <w:rsid w:val="00E07225"/>
    <w:rsid w:val="00E141AE"/>
    <w:rsid w:val="00E211FE"/>
    <w:rsid w:val="00E32005"/>
    <w:rsid w:val="00E3204A"/>
    <w:rsid w:val="00E3378C"/>
    <w:rsid w:val="00E35272"/>
    <w:rsid w:val="00E41B30"/>
    <w:rsid w:val="00E421F8"/>
    <w:rsid w:val="00E440DF"/>
    <w:rsid w:val="00E44AC6"/>
    <w:rsid w:val="00E465A8"/>
    <w:rsid w:val="00E470AD"/>
    <w:rsid w:val="00E52DC7"/>
    <w:rsid w:val="00E5409F"/>
    <w:rsid w:val="00E54C87"/>
    <w:rsid w:val="00E63070"/>
    <w:rsid w:val="00E67E56"/>
    <w:rsid w:val="00E70486"/>
    <w:rsid w:val="00E73616"/>
    <w:rsid w:val="00E76A80"/>
    <w:rsid w:val="00E76AE5"/>
    <w:rsid w:val="00E77AE8"/>
    <w:rsid w:val="00E828C5"/>
    <w:rsid w:val="00E843BC"/>
    <w:rsid w:val="00E87831"/>
    <w:rsid w:val="00E93679"/>
    <w:rsid w:val="00E94865"/>
    <w:rsid w:val="00E95C94"/>
    <w:rsid w:val="00EA1A3D"/>
    <w:rsid w:val="00EA21F8"/>
    <w:rsid w:val="00EA296C"/>
    <w:rsid w:val="00EA367A"/>
    <w:rsid w:val="00EB0F91"/>
    <w:rsid w:val="00EB1673"/>
    <w:rsid w:val="00EB2E40"/>
    <w:rsid w:val="00EB356C"/>
    <w:rsid w:val="00EB6225"/>
    <w:rsid w:val="00EB752D"/>
    <w:rsid w:val="00EC5684"/>
    <w:rsid w:val="00EC58BD"/>
    <w:rsid w:val="00EC663A"/>
    <w:rsid w:val="00EC767E"/>
    <w:rsid w:val="00ED1A85"/>
    <w:rsid w:val="00ED48FF"/>
    <w:rsid w:val="00ED5746"/>
    <w:rsid w:val="00ED64B0"/>
    <w:rsid w:val="00EE0C8E"/>
    <w:rsid w:val="00EE6488"/>
    <w:rsid w:val="00EF1C44"/>
    <w:rsid w:val="00EF28F5"/>
    <w:rsid w:val="00EF3095"/>
    <w:rsid w:val="00EF4CF7"/>
    <w:rsid w:val="00EF7F44"/>
    <w:rsid w:val="00F021FA"/>
    <w:rsid w:val="00F038E2"/>
    <w:rsid w:val="00F125D4"/>
    <w:rsid w:val="00F162E3"/>
    <w:rsid w:val="00F240C3"/>
    <w:rsid w:val="00F24FF8"/>
    <w:rsid w:val="00F360F9"/>
    <w:rsid w:val="00F361E6"/>
    <w:rsid w:val="00F3638F"/>
    <w:rsid w:val="00F3676D"/>
    <w:rsid w:val="00F442BB"/>
    <w:rsid w:val="00F44F3A"/>
    <w:rsid w:val="00F62E97"/>
    <w:rsid w:val="00F6366D"/>
    <w:rsid w:val="00F64209"/>
    <w:rsid w:val="00F6525C"/>
    <w:rsid w:val="00F65CE9"/>
    <w:rsid w:val="00F66D35"/>
    <w:rsid w:val="00F70E6D"/>
    <w:rsid w:val="00F71F68"/>
    <w:rsid w:val="00F723E4"/>
    <w:rsid w:val="00F74D07"/>
    <w:rsid w:val="00F80663"/>
    <w:rsid w:val="00F810BC"/>
    <w:rsid w:val="00F82C43"/>
    <w:rsid w:val="00F84126"/>
    <w:rsid w:val="00F84BCA"/>
    <w:rsid w:val="00F85EA2"/>
    <w:rsid w:val="00F87A23"/>
    <w:rsid w:val="00F90847"/>
    <w:rsid w:val="00F92977"/>
    <w:rsid w:val="00F9306A"/>
    <w:rsid w:val="00F931E1"/>
    <w:rsid w:val="00F93BF5"/>
    <w:rsid w:val="00F95B76"/>
    <w:rsid w:val="00F9709E"/>
    <w:rsid w:val="00FA17D3"/>
    <w:rsid w:val="00FA2727"/>
    <w:rsid w:val="00FA3550"/>
    <w:rsid w:val="00FB0DE7"/>
    <w:rsid w:val="00FB0E8A"/>
    <w:rsid w:val="00FB2F25"/>
    <w:rsid w:val="00FB57F6"/>
    <w:rsid w:val="00FB627B"/>
    <w:rsid w:val="00FB7136"/>
    <w:rsid w:val="00FB79FD"/>
    <w:rsid w:val="00FC1B2D"/>
    <w:rsid w:val="00FC2E88"/>
    <w:rsid w:val="00FC521A"/>
    <w:rsid w:val="00FC6D19"/>
    <w:rsid w:val="00FD2F8B"/>
    <w:rsid w:val="00FD32B6"/>
    <w:rsid w:val="00FD5FA7"/>
    <w:rsid w:val="00FE0139"/>
    <w:rsid w:val="00FE177C"/>
    <w:rsid w:val="00FE1E94"/>
    <w:rsid w:val="00FE44B4"/>
    <w:rsid w:val="00FE5FC5"/>
    <w:rsid w:val="00FE6A5A"/>
    <w:rsid w:val="00FE7172"/>
    <w:rsid w:val="00FF001A"/>
    <w:rsid w:val="00FF0162"/>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link w:val="Heading1Char"/>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2"/>
      </w:numPr>
      <w:spacing w:after="120"/>
      <w:outlineLvl w:val="1"/>
    </w:pPr>
    <w:rPr>
      <w:b/>
    </w:rPr>
  </w:style>
  <w:style w:type="paragraph" w:styleId="Heading3">
    <w:name w:val="heading 3"/>
    <w:basedOn w:val="Normal"/>
    <w:next w:val="ParaNum0"/>
    <w:qFormat/>
    <w:rsid w:val="009E58C9"/>
    <w:pPr>
      <w:keepNext/>
      <w:numPr>
        <w:ilvl w:val="2"/>
        <w:numId w:val="2"/>
      </w:numPr>
      <w:tabs>
        <w:tab w:val="left" w:pos="2160"/>
      </w:tabs>
      <w:spacing w:after="120"/>
      <w:outlineLvl w:val="2"/>
    </w:pPr>
    <w:rPr>
      <w:b/>
    </w:rPr>
  </w:style>
  <w:style w:type="paragraph" w:styleId="Heading4">
    <w:name w:val="heading 4"/>
    <w:basedOn w:val="Normal"/>
    <w:next w:val="ParaNum0"/>
    <w:qFormat/>
    <w:rsid w:val="009E58C9"/>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2"/>
      </w:numPr>
      <w:tabs>
        <w:tab w:val="left" w:pos="4320"/>
      </w:tabs>
      <w:spacing w:after="120"/>
      <w:outlineLvl w:val="5"/>
    </w:pPr>
    <w:rPr>
      <w:b/>
    </w:rPr>
  </w:style>
  <w:style w:type="paragraph" w:styleId="Heading7">
    <w:name w:val="heading 7"/>
    <w:basedOn w:val="Normal"/>
    <w:next w:val="ParaNum0"/>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1"/>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F66D35"/>
    <w:pPr>
      <w:tabs>
        <w:tab w:val="center" w:pos="4680"/>
        <w:tab w:val="right" w:pos="9360"/>
      </w:tabs>
    </w:pPr>
    <w:rPr>
      <w:b/>
    </w:rPr>
  </w:style>
  <w:style w:type="paragraph" w:styleId="Footer">
    <w:name w:val="footer"/>
    <w:basedOn w:val="Normal"/>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F66D35"/>
    <w:rPr>
      <w:b/>
      <w:snapToGrid w:val="0"/>
      <w:kern w:val="28"/>
      <w:sz w:val="22"/>
    </w:rPr>
  </w:style>
  <w:style w:type="character" w:customStyle="1" w:styleId="Heading1Char">
    <w:name w:val="Heading 1 Char"/>
    <w:basedOn w:val="DefaultParagraphFont"/>
    <w:link w:val="Heading1"/>
    <w:locked/>
    <w:rsid w:val="005E795C"/>
    <w:rPr>
      <w:rFonts w:ascii="Times New Roman Bold" w:hAnsi="Times New Roman Bold"/>
      <w:b/>
      <w:caps/>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link w:val="Heading1Char"/>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2"/>
      </w:numPr>
      <w:spacing w:after="120"/>
      <w:outlineLvl w:val="1"/>
    </w:pPr>
    <w:rPr>
      <w:b/>
    </w:rPr>
  </w:style>
  <w:style w:type="paragraph" w:styleId="Heading3">
    <w:name w:val="heading 3"/>
    <w:basedOn w:val="Normal"/>
    <w:next w:val="ParaNum0"/>
    <w:qFormat/>
    <w:rsid w:val="009E58C9"/>
    <w:pPr>
      <w:keepNext/>
      <w:numPr>
        <w:ilvl w:val="2"/>
        <w:numId w:val="2"/>
      </w:numPr>
      <w:tabs>
        <w:tab w:val="left" w:pos="2160"/>
      </w:tabs>
      <w:spacing w:after="120"/>
      <w:outlineLvl w:val="2"/>
    </w:pPr>
    <w:rPr>
      <w:b/>
    </w:rPr>
  </w:style>
  <w:style w:type="paragraph" w:styleId="Heading4">
    <w:name w:val="heading 4"/>
    <w:basedOn w:val="Normal"/>
    <w:next w:val="ParaNum0"/>
    <w:qFormat/>
    <w:rsid w:val="009E58C9"/>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2"/>
      </w:numPr>
      <w:tabs>
        <w:tab w:val="left" w:pos="4320"/>
      </w:tabs>
      <w:spacing w:after="120"/>
      <w:outlineLvl w:val="5"/>
    </w:pPr>
    <w:rPr>
      <w:b/>
    </w:rPr>
  </w:style>
  <w:style w:type="paragraph" w:styleId="Heading7">
    <w:name w:val="heading 7"/>
    <w:basedOn w:val="Normal"/>
    <w:next w:val="ParaNum0"/>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1"/>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F66D35"/>
    <w:pPr>
      <w:tabs>
        <w:tab w:val="center" w:pos="4680"/>
        <w:tab w:val="right" w:pos="9360"/>
      </w:tabs>
    </w:pPr>
    <w:rPr>
      <w:b/>
    </w:rPr>
  </w:style>
  <w:style w:type="paragraph" w:styleId="Footer">
    <w:name w:val="footer"/>
    <w:basedOn w:val="Normal"/>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F66D35"/>
    <w:rPr>
      <w:b/>
      <w:snapToGrid w:val="0"/>
      <w:kern w:val="28"/>
      <w:sz w:val="22"/>
    </w:rPr>
  </w:style>
  <w:style w:type="character" w:customStyle="1" w:styleId="Heading1Char">
    <w:name w:val="Heading 1 Char"/>
    <w:basedOn w:val="DefaultParagraphFont"/>
    <w:link w:val="Heading1"/>
    <w:locked/>
    <w:rsid w:val="005E795C"/>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71">
      <w:bodyDiv w:val="1"/>
      <w:marLeft w:val="0"/>
      <w:marRight w:val="0"/>
      <w:marTop w:val="0"/>
      <w:marBottom w:val="0"/>
      <w:divBdr>
        <w:top w:val="none" w:sz="0" w:space="0" w:color="auto"/>
        <w:left w:val="none" w:sz="0" w:space="0" w:color="auto"/>
        <w:bottom w:val="none" w:sz="0" w:space="0" w:color="auto"/>
        <w:right w:val="none" w:sz="0" w:space="0" w:color="auto"/>
      </w:divBdr>
    </w:div>
    <w:div w:id="170678610">
      <w:bodyDiv w:val="1"/>
      <w:marLeft w:val="0"/>
      <w:marRight w:val="0"/>
      <w:marTop w:val="0"/>
      <w:marBottom w:val="0"/>
      <w:divBdr>
        <w:top w:val="none" w:sz="0" w:space="0" w:color="auto"/>
        <w:left w:val="none" w:sz="0" w:space="0" w:color="auto"/>
        <w:bottom w:val="none" w:sz="0" w:space="0" w:color="auto"/>
        <w:right w:val="none" w:sz="0" w:space="0" w:color="auto"/>
      </w:divBdr>
    </w:div>
    <w:div w:id="800423260">
      <w:bodyDiv w:val="1"/>
      <w:marLeft w:val="0"/>
      <w:marRight w:val="0"/>
      <w:marTop w:val="0"/>
      <w:marBottom w:val="0"/>
      <w:divBdr>
        <w:top w:val="none" w:sz="0" w:space="0" w:color="auto"/>
        <w:left w:val="none" w:sz="0" w:space="0" w:color="auto"/>
        <w:bottom w:val="none" w:sz="0" w:space="0" w:color="auto"/>
        <w:right w:val="none" w:sz="0" w:space="0" w:color="auto"/>
      </w:divBdr>
    </w:div>
    <w:div w:id="859590623">
      <w:bodyDiv w:val="1"/>
      <w:marLeft w:val="0"/>
      <w:marRight w:val="0"/>
      <w:marTop w:val="0"/>
      <w:marBottom w:val="0"/>
      <w:divBdr>
        <w:top w:val="none" w:sz="0" w:space="0" w:color="auto"/>
        <w:left w:val="none" w:sz="0" w:space="0" w:color="auto"/>
        <w:bottom w:val="none" w:sz="0" w:space="0" w:color="auto"/>
        <w:right w:val="none" w:sz="0" w:space="0" w:color="auto"/>
      </w:divBdr>
    </w:div>
    <w:div w:id="12937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2</Pages>
  <Words>3418</Words>
  <Characters>19106</Characters>
  <Application>Microsoft Office Word</Application>
  <DocSecurity>0</DocSecurity>
  <PresentationFormat>[Compatibility Mode]</PresentationFormat>
  <Lines>349</Lines>
  <Paragraphs>111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22546</CharactersWithSpaces>
  <SharedDoc>false</SharedDoc>
  <HyperlinkBase> </HyperlinkBase>
  <HLinks>
    <vt:vector size="18" baseType="variant">
      <vt:variant>
        <vt:i4>3539012</vt:i4>
      </vt:variant>
      <vt:variant>
        <vt:i4>6</vt:i4>
      </vt:variant>
      <vt:variant>
        <vt:i4>0</vt:i4>
      </vt:variant>
      <vt:variant>
        <vt:i4>5</vt:i4>
      </vt:variant>
      <vt:variant>
        <vt:lpwstr>mailto:Kristi.Thompson@fcc.gov</vt:lpwstr>
      </vt:variant>
      <vt:variant>
        <vt:lpwstr/>
      </vt:variant>
      <vt:variant>
        <vt:i4>8323083</vt:i4>
      </vt:variant>
      <vt:variant>
        <vt:i4>3</vt:i4>
      </vt:variant>
      <vt:variant>
        <vt:i4>0</vt:i4>
      </vt:variant>
      <vt:variant>
        <vt:i4>5</vt:i4>
      </vt:variant>
      <vt:variant>
        <vt:lpwstr>mailto:Donna.Cyrus@fcc.gov</vt:lpwstr>
      </vt:variant>
      <vt:variant>
        <vt:lpwstr/>
      </vt:variant>
      <vt:variant>
        <vt:i4>7471135</vt:i4>
      </vt:variant>
      <vt:variant>
        <vt:i4>0</vt:i4>
      </vt:variant>
      <vt:variant>
        <vt:i4>0</vt:i4>
      </vt:variant>
      <vt:variant>
        <vt:i4>5</vt:i4>
      </vt:variant>
      <vt:variant>
        <vt:lpwstr>mailto:Krist.Thompson@fcc.gov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2016-06-20T22:03:00Z</dcterms:created>
  <dcterms:modified xsi:type="dcterms:W3CDTF">2016-06-20T22:03:00Z</dcterms:modified>
  <cp:category> </cp:category>
  <cp:contentStatus> </cp:contentStatus>
</cp:coreProperties>
</file>