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28" w:rsidRDefault="00321328">
      <w:pPr>
        <w:jc w:val="center"/>
        <w:rPr>
          <w:b/>
        </w:rPr>
      </w:pPr>
      <w:bookmarkStart w:id="0" w:name="_GoBack"/>
      <w:bookmarkEnd w:id="0"/>
      <w:r>
        <w:rPr>
          <w:b/>
        </w:rPr>
        <w:t>Before the</w:t>
      </w:r>
    </w:p>
    <w:p w:rsidR="00321328" w:rsidRDefault="00321328">
      <w:pPr>
        <w:jc w:val="center"/>
        <w:rPr>
          <w:b/>
        </w:rPr>
      </w:pPr>
      <w:r>
        <w:rPr>
          <w:b/>
        </w:rPr>
        <w:t>Federal Communications Commission</w:t>
      </w:r>
    </w:p>
    <w:p w:rsidR="00321328" w:rsidRDefault="00321328">
      <w:pPr>
        <w:jc w:val="center"/>
        <w:rPr>
          <w:b/>
        </w:rPr>
      </w:pPr>
      <w:r>
        <w:rPr>
          <w:b/>
        </w:rPr>
        <w:t>Washington, D.C. 20554</w:t>
      </w:r>
    </w:p>
    <w:p w:rsidR="00321328" w:rsidRDefault="00321328"/>
    <w:p w:rsidR="00321328" w:rsidRDefault="00321328"/>
    <w:tbl>
      <w:tblPr>
        <w:tblW w:w="9648" w:type="dxa"/>
        <w:tblLayout w:type="fixed"/>
        <w:tblLook w:val="0000" w:firstRow="0" w:lastRow="0" w:firstColumn="0" w:lastColumn="0" w:noHBand="0" w:noVBand="0"/>
      </w:tblPr>
      <w:tblGrid>
        <w:gridCol w:w="4698"/>
        <w:gridCol w:w="720"/>
        <w:gridCol w:w="4230"/>
      </w:tblGrid>
      <w:tr w:rsidR="00321328" w:rsidTr="00C32C7D">
        <w:tc>
          <w:tcPr>
            <w:tcW w:w="4698" w:type="dxa"/>
          </w:tcPr>
          <w:p w:rsidR="00321328" w:rsidRDefault="00321328">
            <w:pPr>
              <w:ind w:right="-18"/>
            </w:pPr>
            <w:r>
              <w:t xml:space="preserve">In </w:t>
            </w:r>
            <w:r w:rsidR="00712D72">
              <w:t>re</w:t>
            </w:r>
            <w:r>
              <w:t xml:space="preserve"> Application of</w:t>
            </w:r>
          </w:p>
          <w:p w:rsidR="00321328" w:rsidRDefault="00321328">
            <w:pPr>
              <w:ind w:right="-18"/>
            </w:pPr>
          </w:p>
          <w:p w:rsidR="00321328" w:rsidRDefault="00712D72">
            <w:pPr>
              <w:ind w:right="-18"/>
            </w:pPr>
            <w:r>
              <w:t>ALLIANCE COMMUNICATIONS GROUP</w:t>
            </w:r>
          </w:p>
          <w:p w:rsidR="00321328" w:rsidRDefault="00321328">
            <w:pPr>
              <w:ind w:right="-18"/>
            </w:pPr>
          </w:p>
          <w:p w:rsidR="00321328" w:rsidRDefault="00712D72" w:rsidP="000534A3">
            <w:pPr>
              <w:ind w:right="-18"/>
            </w:pPr>
            <w:r>
              <w:t xml:space="preserve">For Renewal </w:t>
            </w:r>
            <w:r w:rsidR="000534A3">
              <w:t>License for Industrial/Business Pool Station</w:t>
            </w:r>
            <w:r>
              <w:t xml:space="preserve"> WQCE473</w:t>
            </w:r>
            <w:r w:rsidR="00B150E4">
              <w:t xml:space="preserve"> </w:t>
            </w:r>
          </w:p>
        </w:tc>
        <w:tc>
          <w:tcPr>
            <w:tcW w:w="720" w:type="dxa"/>
          </w:tcPr>
          <w:p w:rsidR="00321328" w:rsidRDefault="00321328">
            <w:pPr>
              <w:rPr>
                <w:b/>
              </w:rPr>
            </w:pPr>
            <w:r>
              <w:rPr>
                <w:b/>
              </w:rPr>
              <w:t>)</w:t>
            </w:r>
          </w:p>
          <w:p w:rsidR="00321328" w:rsidRDefault="00321328">
            <w:pPr>
              <w:rPr>
                <w:b/>
              </w:rPr>
            </w:pPr>
            <w:r>
              <w:rPr>
                <w:b/>
              </w:rPr>
              <w:t>)</w:t>
            </w:r>
          </w:p>
          <w:p w:rsidR="00321328" w:rsidRDefault="00321328">
            <w:pPr>
              <w:rPr>
                <w:b/>
              </w:rPr>
            </w:pPr>
            <w:r>
              <w:rPr>
                <w:b/>
              </w:rPr>
              <w:t>)</w:t>
            </w:r>
          </w:p>
          <w:p w:rsidR="00321328" w:rsidRDefault="00321328">
            <w:pPr>
              <w:rPr>
                <w:b/>
              </w:rPr>
            </w:pPr>
            <w:r>
              <w:rPr>
                <w:b/>
              </w:rPr>
              <w:t>)</w:t>
            </w:r>
          </w:p>
          <w:p w:rsidR="00321328" w:rsidRDefault="00321328">
            <w:pPr>
              <w:rPr>
                <w:b/>
              </w:rPr>
            </w:pPr>
            <w:r>
              <w:rPr>
                <w:b/>
              </w:rPr>
              <w:t>)</w:t>
            </w:r>
          </w:p>
          <w:p w:rsidR="00B57E79" w:rsidRDefault="00321328">
            <w:pPr>
              <w:rPr>
                <w:b/>
              </w:rPr>
            </w:pPr>
            <w:r>
              <w:rPr>
                <w:b/>
              </w:rPr>
              <w:t>)</w:t>
            </w:r>
          </w:p>
        </w:tc>
        <w:tc>
          <w:tcPr>
            <w:tcW w:w="4230" w:type="dxa"/>
          </w:tcPr>
          <w:p w:rsidR="00321328" w:rsidRDefault="00321328"/>
          <w:p w:rsidR="001A1C6A" w:rsidRDefault="001A1C6A"/>
          <w:p w:rsidR="00321328" w:rsidRDefault="00AA224D">
            <w:r>
              <w:t>F</w:t>
            </w:r>
            <w:r w:rsidR="00321328">
              <w:t>ile No. 000</w:t>
            </w:r>
            <w:r w:rsidR="00712D72">
              <w:t>6596448</w:t>
            </w:r>
          </w:p>
          <w:p w:rsidR="00321328" w:rsidRDefault="00321328"/>
          <w:p w:rsidR="00321328" w:rsidRDefault="00321328"/>
          <w:p w:rsidR="00321328" w:rsidRDefault="00321328"/>
          <w:p w:rsidR="00321328" w:rsidRDefault="00321328" w:rsidP="00321328"/>
        </w:tc>
      </w:tr>
    </w:tbl>
    <w:p w:rsidR="00C32C7D" w:rsidRDefault="00C32C7D" w:rsidP="00C32C7D">
      <w:pPr>
        <w:spacing w:before="120"/>
        <w:jc w:val="center"/>
        <w:rPr>
          <w:b/>
        </w:rPr>
      </w:pPr>
      <w:r>
        <w:rPr>
          <w:b/>
          <w:spacing w:val="-2"/>
        </w:rPr>
        <w:t xml:space="preserve">ORDER ON </w:t>
      </w:r>
      <w:r w:rsidR="007F386A">
        <w:rPr>
          <w:b/>
          <w:spacing w:val="-2"/>
        </w:rPr>
        <w:t xml:space="preserve">FURTHER </w:t>
      </w:r>
      <w:r>
        <w:rPr>
          <w:b/>
          <w:spacing w:val="-2"/>
        </w:rPr>
        <w:t>RECONSIDERATION</w:t>
      </w:r>
    </w:p>
    <w:p w:rsidR="00C32C7D" w:rsidRDefault="00C32C7D" w:rsidP="00C32C7D"/>
    <w:p w:rsidR="00C32C7D" w:rsidRDefault="00C32C7D" w:rsidP="00C32C7D">
      <w:pPr>
        <w:tabs>
          <w:tab w:val="right" w:pos="9360"/>
        </w:tabs>
        <w:rPr>
          <w:b/>
        </w:rPr>
      </w:pPr>
      <w:r>
        <w:rPr>
          <w:b/>
        </w:rPr>
        <w:t xml:space="preserve">Adopted: </w:t>
      </w:r>
      <w:r w:rsidR="00DF2528">
        <w:rPr>
          <w:b/>
        </w:rPr>
        <w:t xml:space="preserve"> </w:t>
      </w:r>
      <w:r w:rsidR="00DD6616">
        <w:rPr>
          <w:b/>
        </w:rPr>
        <w:t>June 1, 2016</w:t>
      </w:r>
      <w:r>
        <w:rPr>
          <w:b/>
        </w:rPr>
        <w:tab/>
        <w:t xml:space="preserve">Released:  </w:t>
      </w:r>
      <w:r w:rsidR="00DD6616">
        <w:rPr>
          <w:b/>
          <w:spacing w:val="-2"/>
        </w:rPr>
        <w:t>June 2, 2016</w:t>
      </w:r>
    </w:p>
    <w:p w:rsidR="00C32C7D" w:rsidRDefault="00C32C7D" w:rsidP="00C32C7D">
      <w:pPr>
        <w:tabs>
          <w:tab w:val="left" w:pos="5760"/>
        </w:tabs>
        <w:rPr>
          <w:b/>
        </w:rPr>
      </w:pPr>
    </w:p>
    <w:p w:rsidR="0073131A" w:rsidRDefault="00C32C7D" w:rsidP="0073131A">
      <w:pPr>
        <w:tabs>
          <w:tab w:val="left" w:pos="5760"/>
        </w:tabs>
      </w:pPr>
      <w:r>
        <w:t>By the Deputy Chief, Mobility Division, Wireless Telecommunications Bureau:</w:t>
      </w:r>
    </w:p>
    <w:p w:rsidR="0073131A" w:rsidRPr="0073131A" w:rsidRDefault="0073131A" w:rsidP="0073131A">
      <w:pPr>
        <w:tabs>
          <w:tab w:val="left" w:pos="5760"/>
        </w:tabs>
      </w:pPr>
    </w:p>
    <w:p w:rsidR="00E05892" w:rsidRDefault="000F32E5" w:rsidP="00E05892">
      <w:pPr>
        <w:pStyle w:val="ParaNum"/>
        <w:ind w:left="0"/>
        <w:jc w:val="left"/>
      </w:pPr>
      <w:r>
        <w:rPr>
          <w:i/>
        </w:rPr>
        <w:t xml:space="preserve">Introduction. </w:t>
      </w:r>
      <w:r w:rsidR="0073131A" w:rsidRPr="0073131A">
        <w:rPr>
          <w:i/>
        </w:rPr>
        <w:t xml:space="preserve"> </w:t>
      </w:r>
      <w:r w:rsidR="0073131A">
        <w:t xml:space="preserve">In this </w:t>
      </w:r>
      <w:r w:rsidR="0073131A" w:rsidRPr="0073131A">
        <w:rPr>
          <w:i/>
        </w:rPr>
        <w:t xml:space="preserve">Order on </w:t>
      </w:r>
      <w:r w:rsidR="007F386A">
        <w:rPr>
          <w:i/>
        </w:rPr>
        <w:t xml:space="preserve">Further </w:t>
      </w:r>
      <w:r w:rsidR="0073131A" w:rsidRPr="0073131A">
        <w:rPr>
          <w:i/>
        </w:rPr>
        <w:t>Reconsideration</w:t>
      </w:r>
      <w:r w:rsidR="0073131A">
        <w:t xml:space="preserve">, we </w:t>
      </w:r>
      <w:r w:rsidR="00C16953">
        <w:t>deny</w:t>
      </w:r>
      <w:r w:rsidR="0073131A">
        <w:t xml:space="preserve"> </w:t>
      </w:r>
      <w:r w:rsidR="00C16953">
        <w:t>the</w:t>
      </w:r>
      <w:r w:rsidR="0073131A">
        <w:t xml:space="preserve"> petition</w:t>
      </w:r>
      <w:r w:rsidR="00C16953">
        <w:t xml:space="preserve"> of Mobile Relay Associates (MRA)</w:t>
      </w:r>
      <w:r w:rsidR="003245F1">
        <w:rPr>
          <w:rStyle w:val="FootnoteReference"/>
        </w:rPr>
        <w:footnoteReference w:id="2"/>
      </w:r>
      <w:r w:rsidR="00931EF6">
        <w:t xml:space="preserve"> </w:t>
      </w:r>
      <w:r w:rsidR="00C16953">
        <w:t>for r</w:t>
      </w:r>
      <w:r w:rsidR="0073131A">
        <w:t xml:space="preserve">econsideration </w:t>
      </w:r>
      <w:r w:rsidR="00036020">
        <w:t xml:space="preserve">of </w:t>
      </w:r>
      <w:r w:rsidR="00C16953">
        <w:t>an</w:t>
      </w:r>
      <w:r w:rsidR="00036020">
        <w:t xml:space="preserve"> </w:t>
      </w:r>
      <w:r w:rsidR="00036020">
        <w:rPr>
          <w:i/>
        </w:rPr>
        <w:t>Order on Reconsideration</w:t>
      </w:r>
      <w:r w:rsidR="00C16953">
        <w:rPr>
          <w:rStyle w:val="FootnoteReference"/>
        </w:rPr>
        <w:footnoteReference w:id="3"/>
      </w:r>
      <w:r w:rsidR="00036020">
        <w:rPr>
          <w:i/>
        </w:rPr>
        <w:t xml:space="preserve"> </w:t>
      </w:r>
      <w:r w:rsidR="00C16953">
        <w:t>by the Wireless Telecommunications Bureau’s Mobility Division (Division) t</w:t>
      </w:r>
      <w:r w:rsidR="00036020">
        <w:t>h</w:t>
      </w:r>
      <w:r w:rsidR="00C16953">
        <w:t>at</w:t>
      </w:r>
      <w:r w:rsidR="00036020">
        <w:t xml:space="preserve"> denied MRA’s petition for reconsideration </w:t>
      </w:r>
      <w:r w:rsidR="0073131A">
        <w:t xml:space="preserve">of </w:t>
      </w:r>
      <w:r w:rsidR="000534A3">
        <w:t>the</w:t>
      </w:r>
      <w:r w:rsidR="00712D72">
        <w:t xml:space="preserve"> grant of </w:t>
      </w:r>
      <w:r w:rsidR="000534A3">
        <w:t>the above-captioned</w:t>
      </w:r>
      <w:r w:rsidR="00712D72">
        <w:t xml:space="preserve"> </w:t>
      </w:r>
      <w:r w:rsidR="00F715D3">
        <w:t xml:space="preserve">renewal </w:t>
      </w:r>
      <w:r w:rsidR="00712D72">
        <w:t xml:space="preserve">application </w:t>
      </w:r>
      <w:r w:rsidR="000534A3">
        <w:t xml:space="preserve">of </w:t>
      </w:r>
      <w:r w:rsidR="00712D72">
        <w:t xml:space="preserve">Alliance Communications Group (Alliance) </w:t>
      </w:r>
      <w:r w:rsidR="0073131A">
        <w:t xml:space="preserve">for </w:t>
      </w:r>
      <w:r w:rsidR="006C3151">
        <w:t>Industrial/Business Pool</w:t>
      </w:r>
      <w:r w:rsidR="0073131A">
        <w:t xml:space="preserve"> Station </w:t>
      </w:r>
      <w:r w:rsidR="00712D72">
        <w:t>WQCE473</w:t>
      </w:r>
      <w:r w:rsidR="000534A3">
        <w:t>, Los Angeles County, California.</w:t>
      </w:r>
    </w:p>
    <w:p w:rsidR="000F5675" w:rsidRDefault="00321328" w:rsidP="00F64DD1">
      <w:pPr>
        <w:pStyle w:val="ParaNum"/>
        <w:ind w:left="0"/>
        <w:jc w:val="left"/>
      </w:pPr>
      <w:r w:rsidRPr="00E05892">
        <w:rPr>
          <w:i/>
        </w:rPr>
        <w:t>Background</w:t>
      </w:r>
      <w:r>
        <w:t xml:space="preserve">.  </w:t>
      </w:r>
      <w:r w:rsidR="00EB7E8D">
        <w:t xml:space="preserve">MRA </w:t>
      </w:r>
      <w:r w:rsidR="00C16953">
        <w:t>sought reconsideration of the grant of Alliance’s application to renew its license Station WQCE473 on the grounds that</w:t>
      </w:r>
      <w:r w:rsidR="006C3151">
        <w:t xml:space="preserve"> Hector </w:t>
      </w:r>
      <w:r w:rsidR="00EB7E8D">
        <w:t>Mosquera</w:t>
      </w:r>
      <w:r w:rsidR="000534A3">
        <w:t xml:space="preserve"> (Mosquera)</w:t>
      </w:r>
      <w:r w:rsidR="00E05892">
        <w:t>, who sig</w:t>
      </w:r>
      <w:r w:rsidR="00414110">
        <w:t>ned the application</w:t>
      </w:r>
      <w:r w:rsidR="00E05892">
        <w:t xml:space="preserve">, is </w:t>
      </w:r>
      <w:r w:rsidR="00172071">
        <w:t xml:space="preserve">one </w:t>
      </w:r>
      <w:r w:rsidR="00C16953">
        <w:t xml:space="preserve">Alliance’s </w:t>
      </w:r>
      <w:r w:rsidR="00172071">
        <w:t xml:space="preserve">principals </w:t>
      </w:r>
      <w:r w:rsidR="00C16953">
        <w:t xml:space="preserve">and a convicted felon, but </w:t>
      </w:r>
      <w:r w:rsidR="00E05892">
        <w:t xml:space="preserve">neither the instant application nor any previous </w:t>
      </w:r>
      <w:r w:rsidR="00C16953">
        <w:t xml:space="preserve">Alliance </w:t>
      </w:r>
      <w:r w:rsidR="00473B29">
        <w:t>application</w:t>
      </w:r>
      <w:r w:rsidR="00C16953">
        <w:t xml:space="preserve"> disclosed that one of its principals had been convicted of a felony</w:t>
      </w:r>
      <w:r w:rsidR="00E05892">
        <w:t>.</w:t>
      </w:r>
      <w:r w:rsidR="006C3151">
        <w:t xml:space="preserve"> </w:t>
      </w:r>
      <w:r w:rsidR="00473B29">
        <w:t xml:space="preserve"> </w:t>
      </w:r>
      <w:r w:rsidR="00E05892">
        <w:t xml:space="preserve">MRA </w:t>
      </w:r>
      <w:r w:rsidR="00473B29">
        <w:t>supported its assertion that Mosquera was a principal of Alliance by noting that he had signed numerous previous Alliance applications.  The Division denied reconsideration, conclud</w:t>
      </w:r>
      <w:r w:rsidR="00F64DD1">
        <w:t>i</w:t>
      </w:r>
      <w:r w:rsidR="00473B29">
        <w:t>ng that, because any duly authorized employee may sign an application on behalf of a corporation like Alliance, Mosquera’s signature on the application did not establish that he was a company principal</w:t>
      </w:r>
      <w:r w:rsidR="007B4570">
        <w:t>.</w:t>
      </w:r>
      <w:r w:rsidR="007B4570">
        <w:rPr>
          <w:rStyle w:val="FootnoteReference"/>
        </w:rPr>
        <w:footnoteReference w:id="4"/>
      </w:r>
      <w:r w:rsidR="007B4570">
        <w:t xml:space="preserve">  </w:t>
      </w:r>
      <w:r w:rsidR="00F715D3">
        <w:t>The Division invited MRA to “submit a substantiated complaint in the future.”</w:t>
      </w:r>
      <w:r w:rsidR="00F715D3">
        <w:rPr>
          <w:rStyle w:val="FootnoteReference"/>
        </w:rPr>
        <w:footnoteReference w:id="5"/>
      </w:r>
    </w:p>
    <w:p w:rsidR="003C619E" w:rsidRPr="007B7725" w:rsidRDefault="004654F3" w:rsidP="00F36B44">
      <w:pPr>
        <w:pStyle w:val="ParaNum"/>
        <w:ind w:left="0"/>
        <w:jc w:val="left"/>
        <w:rPr>
          <w:szCs w:val="22"/>
        </w:rPr>
      </w:pPr>
      <w:r>
        <w:rPr>
          <w:i/>
        </w:rPr>
        <w:t xml:space="preserve">Discussion. </w:t>
      </w:r>
      <w:r w:rsidR="00F64DD1">
        <w:t xml:space="preserve">MRA argues that it made out an uncontested </w:t>
      </w:r>
      <w:r w:rsidR="00F64DD1">
        <w:rPr>
          <w:i/>
        </w:rPr>
        <w:t xml:space="preserve">prima facie </w:t>
      </w:r>
      <w:r w:rsidR="00F64DD1">
        <w:t xml:space="preserve">case, </w:t>
      </w:r>
      <w:r w:rsidR="00585E49">
        <w:t>but</w:t>
      </w:r>
      <w:r w:rsidR="00F64DD1">
        <w:t xml:space="preserve"> the Division improperly r</w:t>
      </w:r>
      <w:r w:rsidR="00585E49">
        <w:t>ais</w:t>
      </w:r>
      <w:r w:rsidR="00F64DD1">
        <w:t>ed “</w:t>
      </w:r>
      <w:r w:rsidR="00F64DD1">
        <w:rPr>
          <w:i/>
        </w:rPr>
        <w:t>sua sponte</w:t>
      </w:r>
      <w:r w:rsidR="00F64DD1">
        <w:t xml:space="preserve"> </w:t>
      </w:r>
      <w:r w:rsidR="00585E49">
        <w:t xml:space="preserve">rebuttal </w:t>
      </w:r>
      <w:r w:rsidR="00F64DD1">
        <w:t>arguments.”</w:t>
      </w:r>
      <w:r w:rsidR="00F64DD1">
        <w:rPr>
          <w:rStyle w:val="FootnoteReference"/>
        </w:rPr>
        <w:footnoteReference w:id="6"/>
      </w:r>
      <w:r w:rsidR="00F64DD1">
        <w:t xml:space="preserve">  It also points out that Mosquera signed the Alliance applications as “manager,” the same title he uses when he signs applications on behalf of Acumen Communications, of which he is known to be a principal, and “[t]he implication is that Mosquera holds the same role at both </w:t>
      </w:r>
      <w:r w:rsidR="00F64DD1" w:rsidRPr="007B7725">
        <w:rPr>
          <w:szCs w:val="22"/>
        </w:rPr>
        <w:t>companies, and since he is a principal of Acumen, he would be a principal of Alliance.”</w:t>
      </w:r>
      <w:r w:rsidR="00F64DD1" w:rsidRPr="007B7725">
        <w:rPr>
          <w:rStyle w:val="FootnoteReference"/>
          <w:szCs w:val="22"/>
        </w:rPr>
        <w:footnoteReference w:id="7"/>
      </w:r>
      <w:r w:rsidR="00F64DD1" w:rsidRPr="007B7725">
        <w:rPr>
          <w:szCs w:val="22"/>
        </w:rPr>
        <w:t xml:space="preserve">  </w:t>
      </w:r>
      <w:r w:rsidR="00BB0466">
        <w:rPr>
          <w:szCs w:val="22"/>
        </w:rPr>
        <w:t>We conclude that MRA did not and has not made</w:t>
      </w:r>
      <w:r w:rsidR="007B7725" w:rsidRPr="007B7725">
        <w:rPr>
          <w:szCs w:val="22"/>
        </w:rPr>
        <w:t xml:space="preserve"> a </w:t>
      </w:r>
      <w:r w:rsidR="007B7725" w:rsidRPr="007B7725">
        <w:rPr>
          <w:i/>
          <w:szCs w:val="22"/>
        </w:rPr>
        <w:t>prima facie</w:t>
      </w:r>
      <w:r w:rsidR="007B7725" w:rsidRPr="007B7725">
        <w:rPr>
          <w:szCs w:val="22"/>
        </w:rPr>
        <w:t xml:space="preserve"> showing that Mosquera is a principal of Alliance, for no</w:t>
      </w:r>
      <w:r w:rsidR="00BB0466">
        <w:rPr>
          <w:szCs w:val="22"/>
        </w:rPr>
        <w:t>thing it has presented</w:t>
      </w:r>
      <w:r w:rsidR="007B7725" w:rsidRPr="007B7725">
        <w:rPr>
          <w:szCs w:val="22"/>
        </w:rPr>
        <w:t xml:space="preserve"> </w:t>
      </w:r>
      <w:r w:rsidR="00F715D3">
        <w:rPr>
          <w:szCs w:val="22"/>
        </w:rPr>
        <w:t>demonstrates ownership or control</w:t>
      </w:r>
      <w:r w:rsidR="007B7725" w:rsidRPr="007B7725">
        <w:rPr>
          <w:szCs w:val="22"/>
        </w:rPr>
        <w:t>.</w:t>
      </w:r>
      <w:r w:rsidR="007B7725" w:rsidRPr="007B7725">
        <w:rPr>
          <w:rStyle w:val="FootnoteReference"/>
          <w:szCs w:val="22"/>
        </w:rPr>
        <w:footnoteReference w:id="8"/>
      </w:r>
      <w:r w:rsidR="007B7725" w:rsidRPr="007B7725">
        <w:rPr>
          <w:szCs w:val="22"/>
        </w:rPr>
        <w:t xml:space="preserve">  </w:t>
      </w:r>
      <w:r w:rsidR="00BB0466">
        <w:rPr>
          <w:szCs w:val="22"/>
        </w:rPr>
        <w:lastRenderedPageBreak/>
        <w:t>MRA concedes that every Alliance application, signed by Mosquera or someone else, describes the signer as “manager;” and that the most recent available public records do not list him as an officer or director of the company.</w:t>
      </w:r>
      <w:r w:rsidR="00BB0466">
        <w:rPr>
          <w:rStyle w:val="FootnoteReference"/>
          <w:szCs w:val="22"/>
        </w:rPr>
        <w:footnoteReference w:id="9"/>
      </w:r>
      <w:r w:rsidR="00BB0466">
        <w:rPr>
          <w:szCs w:val="22"/>
        </w:rPr>
        <w:t xml:space="preserve">  </w:t>
      </w:r>
      <w:r w:rsidR="007B7725" w:rsidRPr="007B7725">
        <w:rPr>
          <w:szCs w:val="22"/>
        </w:rPr>
        <w:t>“</w:t>
      </w:r>
      <w:r w:rsidR="007B7725">
        <w:rPr>
          <w:color w:val="212121"/>
          <w:szCs w:val="22"/>
        </w:rPr>
        <w:t>[I]</w:t>
      </w:r>
      <w:r w:rsidR="007B7725" w:rsidRPr="007B7725">
        <w:rPr>
          <w:color w:val="212121"/>
          <w:szCs w:val="22"/>
        </w:rPr>
        <w:t>t is the facts, standing alone, along with any supported or reasonable inferences, that must be of such significance as to support a prima facie case, not the facts and the unsupported and unreasonable inferences proffered by a petitioner.</w:t>
      </w:r>
      <w:r w:rsidR="007B7725" w:rsidRPr="007B7725">
        <w:rPr>
          <w:szCs w:val="22"/>
        </w:rPr>
        <w:t>”</w:t>
      </w:r>
      <w:r w:rsidR="007B7725">
        <w:rPr>
          <w:rStyle w:val="FootnoteReference"/>
          <w:szCs w:val="22"/>
        </w:rPr>
        <w:footnoteReference w:id="10"/>
      </w:r>
      <w:r w:rsidR="00BB0466">
        <w:rPr>
          <w:szCs w:val="22"/>
        </w:rPr>
        <w:t xml:space="preserve">  </w:t>
      </w:r>
    </w:p>
    <w:p w:rsidR="00F36B44" w:rsidRDefault="00F64DD1" w:rsidP="00F36B44">
      <w:pPr>
        <w:pStyle w:val="ParaNum"/>
        <w:ind w:left="0"/>
        <w:jc w:val="left"/>
      </w:pPr>
      <w:r>
        <w:t>MRA a</w:t>
      </w:r>
      <w:r w:rsidR="000D64CC">
        <w:t>lso a</w:t>
      </w:r>
      <w:r>
        <w:t xml:space="preserve">rgues that </w:t>
      </w:r>
      <w:r w:rsidR="003C619E">
        <w:t>denying MRA’s petition will hinder Commission enforcement efforts by encouraging licensees to remain silent</w:t>
      </w:r>
      <w:r w:rsidR="00F715D3">
        <w:t xml:space="preserve"> in the face of allegations</w:t>
      </w:r>
      <w:r>
        <w:t>.</w:t>
      </w:r>
      <w:r>
        <w:rPr>
          <w:rStyle w:val="FootnoteReference"/>
        </w:rPr>
        <w:footnoteReference w:id="11"/>
      </w:r>
      <w:r w:rsidR="00BB0466">
        <w:t xml:space="preserve">  We disagree.  Licensees and applicants are required by statute and rule to provide information requested by the Commission.</w:t>
      </w:r>
      <w:r w:rsidR="00BB0466">
        <w:rPr>
          <w:rStyle w:val="FootnoteReference"/>
        </w:rPr>
        <w:footnoteReference w:id="12"/>
      </w:r>
      <w:r w:rsidR="00BB0466">
        <w:t xml:space="preserve">  There is no similar obligation to respond to unpersuasive pleadings filed by MRA.</w:t>
      </w:r>
    </w:p>
    <w:p w:rsidR="00F36B44" w:rsidRPr="00873DEF" w:rsidRDefault="00321328" w:rsidP="00F36B44">
      <w:pPr>
        <w:pStyle w:val="ParaNum"/>
        <w:ind w:left="0"/>
        <w:jc w:val="left"/>
      </w:pPr>
      <w:r>
        <w:rPr>
          <w:i/>
        </w:rPr>
        <w:t>Conclusion and Ordering Clauses</w:t>
      </w:r>
      <w:r>
        <w:t xml:space="preserve">.  </w:t>
      </w:r>
      <w:r w:rsidR="00F7164F">
        <w:t>MRA has</w:t>
      </w:r>
      <w:r w:rsidR="004A76F2">
        <w:t xml:space="preserve"> not demonstrated </w:t>
      </w:r>
      <w:r w:rsidR="00A56DF4">
        <w:t xml:space="preserve">that </w:t>
      </w:r>
      <w:r w:rsidR="00F36B44">
        <w:t xml:space="preserve">further </w:t>
      </w:r>
      <w:r w:rsidR="00A56DF4">
        <w:t>reconsideration is warranted</w:t>
      </w:r>
      <w:r w:rsidR="00E652CB">
        <w:t xml:space="preserve">. </w:t>
      </w:r>
      <w:r w:rsidR="00A56DF4">
        <w:t xml:space="preserve"> </w:t>
      </w:r>
      <w:r w:rsidR="00E652CB">
        <w:t xml:space="preserve">We </w:t>
      </w:r>
      <w:r w:rsidR="00A56DF4">
        <w:t xml:space="preserve">therefore </w:t>
      </w:r>
      <w:r w:rsidR="00F64DD1">
        <w:t>deny</w:t>
      </w:r>
      <w:r w:rsidR="007B42CA">
        <w:t xml:space="preserve"> the </w:t>
      </w:r>
      <w:r w:rsidR="00F64DD1">
        <w:t>p</w:t>
      </w:r>
      <w:r w:rsidR="00F36B44">
        <w:t xml:space="preserve">etition. </w:t>
      </w:r>
    </w:p>
    <w:p w:rsidR="00C32C7D" w:rsidRPr="00B245A6" w:rsidRDefault="00C32C7D" w:rsidP="001674CD">
      <w:pPr>
        <w:pStyle w:val="ParaNum"/>
        <w:ind w:left="0"/>
        <w:jc w:val="left"/>
      </w:pPr>
      <w:r w:rsidRPr="00A9360D">
        <w:t xml:space="preserve">Accordingly, IT IS ORDERED that, pursuant to </w:t>
      </w:r>
      <w:r w:rsidR="00F64DD1">
        <w:t>s</w:t>
      </w:r>
      <w:r w:rsidRPr="00A9360D">
        <w:t xml:space="preserve">ections 4(i) and 405 of the Communications Act of 1934, as amended, 47 U.S.C. §§ 154(i), 405, and </w:t>
      </w:r>
      <w:r w:rsidR="00F64DD1">
        <w:t>s</w:t>
      </w:r>
      <w:r w:rsidRPr="00A9360D">
        <w:t xml:space="preserve">ection 1.106 of the Commission's Rules, 47 CFR § 1.106, the </w:t>
      </w:r>
      <w:r w:rsidRPr="00FA5E62">
        <w:t>Petition f</w:t>
      </w:r>
      <w:r w:rsidR="004A76F2">
        <w:t xml:space="preserve">or Reconsideration </w:t>
      </w:r>
      <w:r>
        <w:t xml:space="preserve">filed by </w:t>
      </w:r>
      <w:r w:rsidR="00F7164F">
        <w:t xml:space="preserve">Mobile Relay Associates </w:t>
      </w:r>
      <w:r>
        <w:t xml:space="preserve">on </w:t>
      </w:r>
      <w:r w:rsidR="00F36B44">
        <w:t>October 23</w:t>
      </w:r>
      <w:r w:rsidR="00F7164F">
        <w:t>, 2015</w:t>
      </w:r>
      <w:r>
        <w:t xml:space="preserve"> </w:t>
      </w:r>
      <w:r w:rsidRPr="00A9360D">
        <w:t xml:space="preserve">IS </w:t>
      </w:r>
      <w:r>
        <w:t>D</w:t>
      </w:r>
      <w:r w:rsidR="00F64DD1">
        <w:t>ENI</w:t>
      </w:r>
      <w:r w:rsidR="00F36B44">
        <w:t>ED</w:t>
      </w:r>
      <w:r w:rsidRPr="00A9360D">
        <w:t>.</w:t>
      </w:r>
    </w:p>
    <w:p w:rsidR="00C32C7D" w:rsidRDefault="00C32C7D" w:rsidP="001674CD">
      <w:pPr>
        <w:pStyle w:val="ParaNum"/>
        <w:ind w:left="0"/>
        <w:jc w:val="left"/>
      </w:pPr>
      <w:r>
        <w:t>This action is taken under delegated authority pursuant to Sections 0.131 and 0.331 of the Commission’s Rules, 47 C.F.R. §§ 0131, 0.331.</w:t>
      </w:r>
    </w:p>
    <w:p w:rsidR="00C32C7D" w:rsidRDefault="00C32C7D" w:rsidP="00526601">
      <w:pPr>
        <w:ind w:left="3600" w:firstLine="720"/>
      </w:pPr>
      <w:r>
        <w:t>FEDERAL COMMUNICATIONS COMMISSION</w:t>
      </w:r>
    </w:p>
    <w:p w:rsidR="00C32C7D" w:rsidRDefault="00C32C7D" w:rsidP="001674CD"/>
    <w:p w:rsidR="00C32C7D" w:rsidRDefault="00C32C7D" w:rsidP="001674CD"/>
    <w:p w:rsidR="00C32C7D" w:rsidRDefault="00C32C7D" w:rsidP="001674CD"/>
    <w:p w:rsidR="00C32C7D" w:rsidRDefault="00C32C7D" w:rsidP="001674CD">
      <w:r>
        <w:tab/>
      </w:r>
      <w:r>
        <w:tab/>
      </w:r>
      <w:r>
        <w:tab/>
      </w:r>
      <w:r>
        <w:tab/>
      </w:r>
      <w:r>
        <w:tab/>
      </w:r>
      <w:r>
        <w:tab/>
        <w:t>Scot Stone</w:t>
      </w:r>
    </w:p>
    <w:p w:rsidR="00C32C7D" w:rsidRDefault="00C32C7D" w:rsidP="001674CD">
      <w:r>
        <w:tab/>
      </w:r>
      <w:r>
        <w:tab/>
      </w:r>
      <w:r>
        <w:tab/>
      </w:r>
      <w:r>
        <w:tab/>
      </w:r>
      <w:r>
        <w:tab/>
      </w:r>
      <w:r>
        <w:tab/>
        <w:t>Deputy Chief, Mobility Division</w:t>
      </w:r>
    </w:p>
    <w:p w:rsidR="00C32C7D" w:rsidRDefault="00C32C7D" w:rsidP="001674CD">
      <w:r>
        <w:tab/>
      </w:r>
      <w:r>
        <w:tab/>
      </w:r>
      <w:r>
        <w:tab/>
      </w:r>
      <w:r>
        <w:tab/>
      </w:r>
      <w:r>
        <w:tab/>
      </w:r>
      <w:r>
        <w:tab/>
        <w:t>Wireless Telecommunications Bureau</w:t>
      </w:r>
    </w:p>
    <w:p w:rsidR="00C32C7D" w:rsidRDefault="00C32C7D" w:rsidP="001674CD">
      <w:pPr>
        <w:tabs>
          <w:tab w:val="left" w:pos="4752"/>
        </w:tabs>
      </w:pPr>
    </w:p>
    <w:sectPr w:rsidR="00C32C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0D" w:rsidRDefault="003B610D">
      <w:r>
        <w:separator/>
      </w:r>
    </w:p>
  </w:endnote>
  <w:endnote w:type="continuationSeparator" w:id="0">
    <w:p w:rsidR="003B610D" w:rsidRDefault="003B610D">
      <w:r>
        <w:continuationSeparator/>
      </w:r>
    </w:p>
  </w:endnote>
  <w:endnote w:type="continuationNotice" w:id="1">
    <w:p w:rsidR="003B610D" w:rsidRDefault="003B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5E" w:rsidRDefault="00DC2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F" w:rsidRDefault="00846A1F">
    <w:pPr>
      <w:pStyle w:val="Footer"/>
      <w:jc w:val="center"/>
    </w:pPr>
    <w:r>
      <w:rPr>
        <w:rStyle w:val="PageNumber"/>
      </w:rPr>
      <w:fldChar w:fldCharType="begin"/>
    </w:r>
    <w:r>
      <w:rPr>
        <w:rStyle w:val="PageNumber"/>
      </w:rPr>
      <w:instrText xml:space="preserve"> PAGE </w:instrText>
    </w:r>
    <w:r>
      <w:rPr>
        <w:rStyle w:val="PageNumber"/>
      </w:rPr>
      <w:fldChar w:fldCharType="separate"/>
    </w:r>
    <w:r w:rsidR="0034679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5E" w:rsidRDefault="00DC2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0D" w:rsidRDefault="003B610D">
      <w:pPr>
        <w:rPr>
          <w:sz w:val="20"/>
        </w:rPr>
      </w:pPr>
      <w:r>
        <w:rPr>
          <w:sz w:val="20"/>
        </w:rPr>
        <w:separator/>
      </w:r>
    </w:p>
  </w:footnote>
  <w:footnote w:type="continuationSeparator" w:id="0">
    <w:p w:rsidR="003B610D" w:rsidRDefault="003B610D">
      <w:pPr>
        <w:rPr>
          <w:sz w:val="20"/>
        </w:rPr>
      </w:pPr>
      <w:r>
        <w:rPr>
          <w:sz w:val="20"/>
        </w:rPr>
        <w:separator/>
      </w:r>
    </w:p>
    <w:p w:rsidR="003B610D" w:rsidRDefault="003B610D">
      <w:pPr>
        <w:rPr>
          <w:sz w:val="20"/>
        </w:rPr>
      </w:pPr>
      <w:r>
        <w:rPr>
          <w:sz w:val="20"/>
        </w:rPr>
        <w:t>(...continued from previous page)</w:t>
      </w:r>
    </w:p>
  </w:footnote>
  <w:footnote w:type="continuationNotice" w:id="1">
    <w:p w:rsidR="003B610D" w:rsidRDefault="003B610D">
      <w:pPr>
        <w:jc w:val="right"/>
        <w:rPr>
          <w:sz w:val="20"/>
        </w:rPr>
      </w:pPr>
      <w:r>
        <w:rPr>
          <w:sz w:val="20"/>
        </w:rPr>
        <w:t>(continued....)</w:t>
      </w:r>
    </w:p>
  </w:footnote>
  <w:footnote w:id="2">
    <w:p w:rsidR="003245F1" w:rsidRDefault="003245F1">
      <w:pPr>
        <w:pStyle w:val="FootnoteText"/>
      </w:pPr>
      <w:r>
        <w:rPr>
          <w:rStyle w:val="FootnoteReference"/>
        </w:rPr>
        <w:footnoteRef/>
      </w:r>
      <w:r>
        <w:t xml:space="preserve"> Petition </w:t>
      </w:r>
      <w:r w:rsidR="00C16953">
        <w:t>o</w:t>
      </w:r>
      <w:r w:rsidR="00F715D3">
        <w:t>f</w:t>
      </w:r>
      <w:r w:rsidR="00C16953">
        <w:t xml:space="preserve"> Mobile Relay Associates </w:t>
      </w:r>
      <w:r>
        <w:t>for Reconsideration (</w:t>
      </w:r>
      <w:r w:rsidRPr="003245F1">
        <w:t xml:space="preserve">filed </w:t>
      </w:r>
      <w:r>
        <w:t>Oct. 23</w:t>
      </w:r>
      <w:r w:rsidRPr="003245F1">
        <w:t>, 2015) (P</w:t>
      </w:r>
      <w:r w:rsidR="00F715D3">
        <w:t>etition</w:t>
      </w:r>
      <w:r>
        <w:t>).</w:t>
      </w:r>
    </w:p>
  </w:footnote>
  <w:footnote w:id="3">
    <w:p w:rsidR="00C16953" w:rsidRPr="007B4570" w:rsidRDefault="00C16953" w:rsidP="00C16953">
      <w:pPr>
        <w:pStyle w:val="FootnoteText"/>
        <w:jc w:val="left"/>
      </w:pPr>
      <w:r>
        <w:rPr>
          <w:rStyle w:val="FootnoteReference"/>
        </w:rPr>
        <w:footnoteRef/>
      </w:r>
      <w:r>
        <w:t xml:space="preserve"> </w:t>
      </w:r>
      <w:r w:rsidRPr="00C16953">
        <w:rPr>
          <w:i/>
        </w:rPr>
        <w:t>Alliance Communications Group</w:t>
      </w:r>
      <w:r>
        <w:t xml:space="preserve">, </w:t>
      </w:r>
      <w:r w:rsidRPr="00C16953">
        <w:t>Order on Reconsideration</w:t>
      </w:r>
      <w:r>
        <w:rPr>
          <w:i/>
        </w:rPr>
        <w:t xml:space="preserve">, </w:t>
      </w:r>
      <w:r w:rsidRPr="007B4570">
        <w:t xml:space="preserve">30 </w:t>
      </w:r>
      <w:r>
        <w:t xml:space="preserve">FCC Rcd </w:t>
      </w:r>
      <w:r w:rsidRPr="007B4570">
        <w:t>10197</w:t>
      </w:r>
      <w:r>
        <w:t xml:space="preserve"> (WTB MD 2015) (</w:t>
      </w:r>
      <w:r>
        <w:rPr>
          <w:i/>
        </w:rPr>
        <w:t>Order</w:t>
      </w:r>
      <w:r>
        <w:t>).</w:t>
      </w:r>
    </w:p>
  </w:footnote>
  <w:footnote w:id="4">
    <w:p w:rsidR="007B4570" w:rsidRPr="007B4570" w:rsidRDefault="007B4570">
      <w:pPr>
        <w:pStyle w:val="FootnoteText"/>
      </w:pPr>
      <w:r>
        <w:rPr>
          <w:rStyle w:val="FootnoteReference"/>
        </w:rPr>
        <w:footnoteRef/>
      </w:r>
      <w:r>
        <w:t xml:space="preserve"> </w:t>
      </w:r>
      <w:r>
        <w:rPr>
          <w:i/>
        </w:rPr>
        <w:t xml:space="preserve">See </w:t>
      </w:r>
      <w:r w:rsidR="00473B29">
        <w:rPr>
          <w:i/>
        </w:rPr>
        <w:t xml:space="preserve">id. </w:t>
      </w:r>
      <w:r>
        <w:t>at 10197</w:t>
      </w:r>
      <w:r w:rsidR="00473B29">
        <w:t>-98,</w:t>
      </w:r>
      <w:r>
        <w:t xml:space="preserve"> </w:t>
      </w:r>
      <w:r w:rsidR="000D64CC">
        <w:t>paras.</w:t>
      </w:r>
      <w:r w:rsidR="002F7A49">
        <w:t xml:space="preserve"> 4</w:t>
      </w:r>
      <w:r w:rsidR="00473B29">
        <w:t>-5</w:t>
      </w:r>
      <w:r>
        <w:t>.</w:t>
      </w:r>
    </w:p>
  </w:footnote>
  <w:footnote w:id="5">
    <w:p w:rsidR="00F715D3" w:rsidRDefault="00F715D3">
      <w:pPr>
        <w:pStyle w:val="FootnoteText"/>
      </w:pPr>
      <w:r>
        <w:rPr>
          <w:rStyle w:val="FootnoteReference"/>
        </w:rPr>
        <w:footnoteRef/>
      </w:r>
      <w:r>
        <w:t xml:space="preserve"> </w:t>
      </w:r>
      <w:r w:rsidR="00B16FDA">
        <w:rPr>
          <w:i/>
        </w:rPr>
        <w:t xml:space="preserve">See id. </w:t>
      </w:r>
      <w:r w:rsidR="00B16FDA">
        <w:t>at 10198, para. 5.</w:t>
      </w:r>
    </w:p>
  </w:footnote>
  <w:footnote w:id="6">
    <w:p w:rsidR="00F64DD1" w:rsidRPr="00F64DD1" w:rsidRDefault="00F64DD1">
      <w:pPr>
        <w:pStyle w:val="FootnoteText"/>
      </w:pPr>
      <w:r>
        <w:rPr>
          <w:rStyle w:val="FootnoteReference"/>
        </w:rPr>
        <w:footnoteRef/>
      </w:r>
      <w:r>
        <w:t xml:space="preserve"> </w:t>
      </w:r>
      <w:r>
        <w:rPr>
          <w:i/>
        </w:rPr>
        <w:t xml:space="preserve">See </w:t>
      </w:r>
      <w:r>
        <w:t>P</w:t>
      </w:r>
      <w:r w:rsidR="00F715D3">
        <w:t>etition</w:t>
      </w:r>
      <w:r>
        <w:t xml:space="preserve"> at </w:t>
      </w:r>
      <w:r w:rsidR="00585E49">
        <w:t>2</w:t>
      </w:r>
      <w:r>
        <w:t>-3.</w:t>
      </w:r>
    </w:p>
  </w:footnote>
  <w:footnote w:id="7">
    <w:p w:rsidR="00F64DD1" w:rsidRPr="004654F3" w:rsidRDefault="00F64DD1" w:rsidP="00F64DD1">
      <w:pPr>
        <w:pStyle w:val="FootnoteText"/>
      </w:pPr>
      <w:r>
        <w:rPr>
          <w:rStyle w:val="FootnoteReference"/>
        </w:rPr>
        <w:footnoteRef/>
      </w:r>
      <w:r>
        <w:t xml:space="preserve"> </w:t>
      </w:r>
      <w:r>
        <w:rPr>
          <w:i/>
        </w:rPr>
        <w:t xml:space="preserve">See id. </w:t>
      </w:r>
      <w:r>
        <w:t>at 5-6.</w:t>
      </w:r>
    </w:p>
  </w:footnote>
  <w:footnote w:id="8">
    <w:p w:rsidR="007B7725" w:rsidRPr="007B7725" w:rsidRDefault="007B7725">
      <w:pPr>
        <w:pStyle w:val="FootnoteText"/>
      </w:pPr>
      <w:r>
        <w:rPr>
          <w:rStyle w:val="FootnoteReference"/>
        </w:rPr>
        <w:footnoteRef/>
      </w:r>
      <w:r>
        <w:t xml:space="preserve"> </w:t>
      </w:r>
      <w:r>
        <w:rPr>
          <w:i/>
        </w:rPr>
        <w:t>Cf.</w:t>
      </w:r>
      <w:r>
        <w:t xml:space="preserve">, </w:t>
      </w:r>
      <w:r>
        <w:rPr>
          <w:i/>
        </w:rPr>
        <w:t>e.g.</w:t>
      </w:r>
      <w:r>
        <w:t xml:space="preserve">, </w:t>
      </w:r>
      <w:r>
        <w:rPr>
          <w:i/>
        </w:rPr>
        <w:t xml:space="preserve">Thomas Kurian, </w:t>
      </w:r>
      <w:r>
        <w:t>et al., Order, 18 FCC Rcd 21949, 21952, para. 10 (WTB PSPWD 2003).</w:t>
      </w:r>
    </w:p>
  </w:footnote>
  <w:footnote w:id="9">
    <w:p w:rsidR="00BB0466" w:rsidRDefault="00BB0466">
      <w:pPr>
        <w:pStyle w:val="FootnoteText"/>
      </w:pPr>
      <w:r>
        <w:rPr>
          <w:rStyle w:val="FootnoteReference"/>
        </w:rPr>
        <w:footnoteRef/>
      </w:r>
      <w:r>
        <w:t xml:space="preserve"> </w:t>
      </w:r>
      <w:r>
        <w:rPr>
          <w:i/>
        </w:rPr>
        <w:t xml:space="preserve">See </w:t>
      </w:r>
      <w:r>
        <w:t>P</w:t>
      </w:r>
      <w:r w:rsidR="00F715D3">
        <w:t>etition</w:t>
      </w:r>
      <w:r>
        <w:t xml:space="preserve"> at 6-7.</w:t>
      </w:r>
    </w:p>
  </w:footnote>
  <w:footnote w:id="10">
    <w:p w:rsidR="007B7725" w:rsidRDefault="007B7725">
      <w:pPr>
        <w:pStyle w:val="FootnoteText"/>
      </w:pPr>
      <w:r>
        <w:rPr>
          <w:rStyle w:val="FootnoteReference"/>
        </w:rPr>
        <w:footnoteRef/>
      </w:r>
      <w:r>
        <w:t xml:space="preserve"> </w:t>
      </w:r>
      <w:r w:rsidR="002A4BFC">
        <w:rPr>
          <w:i/>
        </w:rPr>
        <w:t>North Idaho Broadcasting Company</w:t>
      </w:r>
      <w:r w:rsidR="002A4BFC">
        <w:t>, Memorandum Opinion and Order, 8 FCC Rcd 1637, 1639, para. 10 (1993).</w:t>
      </w:r>
    </w:p>
  </w:footnote>
  <w:footnote w:id="11">
    <w:p w:rsidR="00F64DD1" w:rsidRPr="00067D6C" w:rsidRDefault="00F64DD1" w:rsidP="00F64DD1">
      <w:pPr>
        <w:pStyle w:val="FootnoteText"/>
      </w:pPr>
      <w:r>
        <w:rPr>
          <w:rStyle w:val="FootnoteReference"/>
        </w:rPr>
        <w:footnoteRef/>
      </w:r>
      <w:r>
        <w:t xml:space="preserve"> </w:t>
      </w:r>
      <w:r>
        <w:rPr>
          <w:i/>
        </w:rPr>
        <w:t xml:space="preserve">See id. </w:t>
      </w:r>
      <w:r>
        <w:t>at 6-8.</w:t>
      </w:r>
    </w:p>
  </w:footnote>
  <w:footnote w:id="12">
    <w:p w:rsidR="00BB0466" w:rsidRPr="00BB0466" w:rsidRDefault="00BB0466">
      <w:pPr>
        <w:pStyle w:val="FootnoteText"/>
      </w:pPr>
      <w:r>
        <w:rPr>
          <w:rStyle w:val="FootnoteReference"/>
        </w:rPr>
        <w:footnoteRef/>
      </w:r>
      <w:r>
        <w:t xml:space="preserve"> </w:t>
      </w:r>
      <w:r>
        <w:rPr>
          <w:i/>
        </w:rPr>
        <w:t xml:space="preserve">See </w:t>
      </w:r>
      <w:r>
        <w:t>47 U.S.C. § 308(b)</w:t>
      </w:r>
      <w:r w:rsidR="000D64CC">
        <w:t>; 47 CFR § 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5E" w:rsidRDefault="00DC2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F" w:rsidRDefault="00846A1F">
    <w:pPr>
      <w:pStyle w:val="Header"/>
      <w:tabs>
        <w:tab w:val="clear" w:pos="4320"/>
        <w:tab w:val="clear" w:pos="8640"/>
        <w:tab w:val="center" w:pos="4680"/>
        <w:tab w:val="right" w:pos="9360"/>
      </w:tabs>
      <w:rPr>
        <w:b/>
      </w:rPr>
    </w:pPr>
    <w:r>
      <w:rPr>
        <w:b/>
      </w:rPr>
      <w:tab/>
      <w:t>Federal Communications Commission</w:t>
    </w:r>
    <w:r>
      <w:rPr>
        <w:b/>
      </w:rPr>
      <w:tab/>
      <w:t xml:space="preserve">DA </w:t>
    </w:r>
    <w:r w:rsidR="002178F2">
      <w:rPr>
        <w:b/>
      </w:rPr>
      <w:t>16</w:t>
    </w:r>
    <w:r>
      <w:rPr>
        <w:b/>
      </w:rPr>
      <w:t>-</w:t>
    </w:r>
    <w:r w:rsidR="00BC4139">
      <w:rPr>
        <w:b/>
      </w:rPr>
      <w:t>605</w:t>
    </w:r>
  </w:p>
  <w:p w:rsidR="00846A1F" w:rsidRDefault="00D16DC6">
    <w:pPr>
      <w:pStyle w:val="Header"/>
      <w:tabs>
        <w:tab w:val="clear" w:pos="8640"/>
        <w:tab w:val="right" w:pos="9360"/>
      </w:tabs>
    </w:pPr>
    <w:r>
      <w:rPr>
        <w:b/>
        <w:noProof/>
      </w:rPr>
      <mc:AlternateContent>
        <mc:Choice Requires="wps">
          <w:drawing>
            <wp:anchor distT="0" distB="0" distL="114300" distR="114300" simplePos="0" relativeHeight="251658752" behindDoc="0" locked="0" layoutInCell="0" allowOverlap="1" wp14:anchorId="58A349D4" wp14:editId="0B5429ED">
              <wp:simplePos x="0" y="0"/>
              <wp:positionH relativeFrom="column">
                <wp:posOffset>0</wp:posOffset>
              </wp:positionH>
              <wp:positionV relativeFrom="paragraph">
                <wp:posOffset>22225</wp:posOffset>
              </wp:positionV>
              <wp:extent cx="59436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1AB0B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KBtx0QSAgAA&#10;KQQAAA4AAAAAAAAAAAAAAAAALgIAAGRycy9lMm9Eb2MueG1sUEsBAi0AFAAGAAgAAAAhAO4pKK7Y&#10;AAAABAEAAA8AAAAAAAAAAAAAAAAAbAQAAGRycy9kb3ducmV2LnhtbFBLBQYAAAAABAAEAPMAAABx&#10;BQAAAAA=&#10;" o:allowincell="f" strokeweight="1.5pt"/>
          </w:pict>
        </mc:Fallback>
      </mc:AlternateContent>
    </w:r>
    <w:r>
      <w:rPr>
        <w:noProof/>
      </w:rPr>
      <mc:AlternateContent>
        <mc:Choice Requires="wps">
          <w:drawing>
            <wp:anchor distT="0" distB="0" distL="114300" distR="114300" simplePos="0" relativeHeight="251657728" behindDoc="0" locked="0" layoutInCell="0" allowOverlap="1" wp14:anchorId="36D92FC2" wp14:editId="4509E3F7">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C06F8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F" w:rsidRDefault="00846A1F">
    <w:pPr>
      <w:pStyle w:val="Header"/>
      <w:tabs>
        <w:tab w:val="clear" w:pos="4320"/>
        <w:tab w:val="clear" w:pos="8640"/>
        <w:tab w:val="center" w:pos="4680"/>
        <w:tab w:val="right" w:pos="9360"/>
      </w:tabs>
      <w:rPr>
        <w:b/>
      </w:rPr>
    </w:pPr>
    <w:r>
      <w:rPr>
        <w:b/>
      </w:rPr>
      <w:tab/>
      <w:t>Federal Communications Commission</w:t>
    </w:r>
    <w:r>
      <w:rPr>
        <w:b/>
      </w:rPr>
      <w:tab/>
      <w:t>DA 1</w:t>
    </w:r>
    <w:r w:rsidR="002178F2">
      <w:rPr>
        <w:b/>
      </w:rPr>
      <w:t>6</w:t>
    </w:r>
    <w:r>
      <w:rPr>
        <w:b/>
      </w:rPr>
      <w:t>-</w:t>
    </w:r>
    <w:r w:rsidR="00BC4139">
      <w:rPr>
        <w:b/>
      </w:rPr>
      <w:t>605</w:t>
    </w:r>
  </w:p>
  <w:p w:rsidR="00846A1F" w:rsidRDefault="00D16DC6">
    <w:pPr>
      <w:pStyle w:val="Header"/>
      <w:tabs>
        <w:tab w:val="clear" w:pos="8640"/>
        <w:tab w:val="right" w:pos="9360"/>
      </w:tabs>
      <w:rPr>
        <w:b/>
      </w:rPr>
    </w:pPr>
    <w:r>
      <w:rPr>
        <w:b/>
        <w:noProof/>
      </w:rPr>
      <mc:AlternateContent>
        <mc:Choice Requires="wps">
          <w:drawing>
            <wp:anchor distT="0" distB="0" distL="114300" distR="114300" simplePos="0" relativeHeight="251656704" behindDoc="0" locked="0" layoutInCell="0" allowOverlap="1" wp14:anchorId="277B674E" wp14:editId="4436D66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8432F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0E9B736C"/>
    <w:multiLevelType w:val="multilevel"/>
    <w:tmpl w:val="952078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6570"/>
        </w:tabs>
        <w:ind w:left="54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0"/>
  </w:num>
  <w:num w:numId="19">
    <w:abstractNumId w:val="9"/>
  </w:num>
  <w:num w:numId="20">
    <w:abstractNumId w:val="14"/>
  </w:num>
  <w:num w:numId="21">
    <w:abstractNumId w:val="15"/>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
  </w:num>
  <w:num w:numId="40">
    <w:abstractNumId w:val="12"/>
  </w:num>
  <w:num w:numId="4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F0"/>
    <w:rsid w:val="0000208D"/>
    <w:rsid w:val="000050F6"/>
    <w:rsid w:val="000142AF"/>
    <w:rsid w:val="00036020"/>
    <w:rsid w:val="0005072B"/>
    <w:rsid w:val="000534A3"/>
    <w:rsid w:val="0006055E"/>
    <w:rsid w:val="000632F4"/>
    <w:rsid w:val="00064F39"/>
    <w:rsid w:val="00067D6C"/>
    <w:rsid w:val="000A3CBC"/>
    <w:rsid w:val="000A3D28"/>
    <w:rsid w:val="000D24EB"/>
    <w:rsid w:val="000D64CC"/>
    <w:rsid w:val="000D6D5B"/>
    <w:rsid w:val="000E3A02"/>
    <w:rsid w:val="000F32E5"/>
    <w:rsid w:val="000F5675"/>
    <w:rsid w:val="00116C7B"/>
    <w:rsid w:val="00131AF6"/>
    <w:rsid w:val="001549AB"/>
    <w:rsid w:val="0016289D"/>
    <w:rsid w:val="001674CD"/>
    <w:rsid w:val="00172071"/>
    <w:rsid w:val="00173812"/>
    <w:rsid w:val="00191530"/>
    <w:rsid w:val="001A0D55"/>
    <w:rsid w:val="001A1C6A"/>
    <w:rsid w:val="001A1DB8"/>
    <w:rsid w:val="001C0C84"/>
    <w:rsid w:val="001D035D"/>
    <w:rsid w:val="001D069B"/>
    <w:rsid w:val="00212315"/>
    <w:rsid w:val="002178F2"/>
    <w:rsid w:val="00231241"/>
    <w:rsid w:val="002331C9"/>
    <w:rsid w:val="0026033A"/>
    <w:rsid w:val="00263FFB"/>
    <w:rsid w:val="002A4BFC"/>
    <w:rsid w:val="002A52B7"/>
    <w:rsid w:val="002B67AA"/>
    <w:rsid w:val="002C1B10"/>
    <w:rsid w:val="002C3202"/>
    <w:rsid w:val="002E2DF5"/>
    <w:rsid w:val="002E4B58"/>
    <w:rsid w:val="002F7A49"/>
    <w:rsid w:val="00303DAD"/>
    <w:rsid w:val="00321328"/>
    <w:rsid w:val="003245F1"/>
    <w:rsid w:val="00346796"/>
    <w:rsid w:val="00375EFD"/>
    <w:rsid w:val="00393B92"/>
    <w:rsid w:val="00394B43"/>
    <w:rsid w:val="003B610D"/>
    <w:rsid w:val="003C619E"/>
    <w:rsid w:val="003D762B"/>
    <w:rsid w:val="004125D3"/>
    <w:rsid w:val="00414110"/>
    <w:rsid w:val="00417D0E"/>
    <w:rsid w:val="004340B2"/>
    <w:rsid w:val="00437C92"/>
    <w:rsid w:val="0046295C"/>
    <w:rsid w:val="004654F3"/>
    <w:rsid w:val="00473B29"/>
    <w:rsid w:val="0047412F"/>
    <w:rsid w:val="00474828"/>
    <w:rsid w:val="004918BA"/>
    <w:rsid w:val="004944C9"/>
    <w:rsid w:val="004A76F2"/>
    <w:rsid w:val="004C6E61"/>
    <w:rsid w:val="004E2087"/>
    <w:rsid w:val="004F43E9"/>
    <w:rsid w:val="004F4D4F"/>
    <w:rsid w:val="005029DD"/>
    <w:rsid w:val="00522512"/>
    <w:rsid w:val="00526601"/>
    <w:rsid w:val="00527806"/>
    <w:rsid w:val="00545EC5"/>
    <w:rsid w:val="00556DAD"/>
    <w:rsid w:val="00561B43"/>
    <w:rsid w:val="0056210C"/>
    <w:rsid w:val="00563AFB"/>
    <w:rsid w:val="005811EE"/>
    <w:rsid w:val="00585E49"/>
    <w:rsid w:val="005864C4"/>
    <w:rsid w:val="00596551"/>
    <w:rsid w:val="005A79AE"/>
    <w:rsid w:val="005D0165"/>
    <w:rsid w:val="005D320A"/>
    <w:rsid w:val="005E46A1"/>
    <w:rsid w:val="006005A1"/>
    <w:rsid w:val="00601BB5"/>
    <w:rsid w:val="00606D75"/>
    <w:rsid w:val="00647406"/>
    <w:rsid w:val="00661D23"/>
    <w:rsid w:val="006648C9"/>
    <w:rsid w:val="00666CB8"/>
    <w:rsid w:val="00685DC3"/>
    <w:rsid w:val="00697F3B"/>
    <w:rsid w:val="006B6576"/>
    <w:rsid w:val="006C3151"/>
    <w:rsid w:val="006C3691"/>
    <w:rsid w:val="006C667D"/>
    <w:rsid w:val="006E312B"/>
    <w:rsid w:val="00712D72"/>
    <w:rsid w:val="00713549"/>
    <w:rsid w:val="00716A30"/>
    <w:rsid w:val="0073131A"/>
    <w:rsid w:val="00733D5F"/>
    <w:rsid w:val="0075678E"/>
    <w:rsid w:val="00764651"/>
    <w:rsid w:val="00770949"/>
    <w:rsid w:val="007936B6"/>
    <w:rsid w:val="007A3F6F"/>
    <w:rsid w:val="007B42CA"/>
    <w:rsid w:val="007B4570"/>
    <w:rsid w:val="007B7725"/>
    <w:rsid w:val="007F386A"/>
    <w:rsid w:val="007F7B66"/>
    <w:rsid w:val="00801A92"/>
    <w:rsid w:val="00814DDA"/>
    <w:rsid w:val="00846A1F"/>
    <w:rsid w:val="00853B4D"/>
    <w:rsid w:val="008A2F23"/>
    <w:rsid w:val="008D19A0"/>
    <w:rsid w:val="008E3B82"/>
    <w:rsid w:val="0090040E"/>
    <w:rsid w:val="00904634"/>
    <w:rsid w:val="00904997"/>
    <w:rsid w:val="00910D48"/>
    <w:rsid w:val="00931EF6"/>
    <w:rsid w:val="009320C7"/>
    <w:rsid w:val="00936410"/>
    <w:rsid w:val="009576DE"/>
    <w:rsid w:val="00982700"/>
    <w:rsid w:val="009847E1"/>
    <w:rsid w:val="009B1421"/>
    <w:rsid w:val="009D240F"/>
    <w:rsid w:val="009E1C01"/>
    <w:rsid w:val="00A409D5"/>
    <w:rsid w:val="00A4702C"/>
    <w:rsid w:val="00A56DF4"/>
    <w:rsid w:val="00A90EEE"/>
    <w:rsid w:val="00AA1032"/>
    <w:rsid w:val="00AA224D"/>
    <w:rsid w:val="00AB13CB"/>
    <w:rsid w:val="00AB1650"/>
    <w:rsid w:val="00AB3D24"/>
    <w:rsid w:val="00AC1D0C"/>
    <w:rsid w:val="00AC44B8"/>
    <w:rsid w:val="00AD61E2"/>
    <w:rsid w:val="00AE1861"/>
    <w:rsid w:val="00AE77DA"/>
    <w:rsid w:val="00AF01A6"/>
    <w:rsid w:val="00B02862"/>
    <w:rsid w:val="00B070F0"/>
    <w:rsid w:val="00B111D1"/>
    <w:rsid w:val="00B150E4"/>
    <w:rsid w:val="00B16FDA"/>
    <w:rsid w:val="00B171A4"/>
    <w:rsid w:val="00B171EC"/>
    <w:rsid w:val="00B30691"/>
    <w:rsid w:val="00B33527"/>
    <w:rsid w:val="00B57E79"/>
    <w:rsid w:val="00B81E79"/>
    <w:rsid w:val="00BA13F6"/>
    <w:rsid w:val="00BB0466"/>
    <w:rsid w:val="00BC4139"/>
    <w:rsid w:val="00C00786"/>
    <w:rsid w:val="00C023EE"/>
    <w:rsid w:val="00C109C5"/>
    <w:rsid w:val="00C16953"/>
    <w:rsid w:val="00C32C7D"/>
    <w:rsid w:val="00C8012C"/>
    <w:rsid w:val="00C86724"/>
    <w:rsid w:val="00C87AE6"/>
    <w:rsid w:val="00C95D3F"/>
    <w:rsid w:val="00CA38F2"/>
    <w:rsid w:val="00CC5672"/>
    <w:rsid w:val="00CD69F9"/>
    <w:rsid w:val="00CD7C2A"/>
    <w:rsid w:val="00D02D5E"/>
    <w:rsid w:val="00D16DC6"/>
    <w:rsid w:val="00D60DEF"/>
    <w:rsid w:val="00D60E4D"/>
    <w:rsid w:val="00D637E2"/>
    <w:rsid w:val="00D750AD"/>
    <w:rsid w:val="00D75BF7"/>
    <w:rsid w:val="00DB3490"/>
    <w:rsid w:val="00DC275E"/>
    <w:rsid w:val="00DC5C42"/>
    <w:rsid w:val="00DD320A"/>
    <w:rsid w:val="00DD6616"/>
    <w:rsid w:val="00DF19FA"/>
    <w:rsid w:val="00DF2528"/>
    <w:rsid w:val="00E01660"/>
    <w:rsid w:val="00E040FE"/>
    <w:rsid w:val="00E05892"/>
    <w:rsid w:val="00E06D2A"/>
    <w:rsid w:val="00E07B9A"/>
    <w:rsid w:val="00E535EB"/>
    <w:rsid w:val="00E652CB"/>
    <w:rsid w:val="00E66B5E"/>
    <w:rsid w:val="00EB3820"/>
    <w:rsid w:val="00EB641D"/>
    <w:rsid w:val="00EB6648"/>
    <w:rsid w:val="00EB7643"/>
    <w:rsid w:val="00EB7E8D"/>
    <w:rsid w:val="00EC6237"/>
    <w:rsid w:val="00EF05D0"/>
    <w:rsid w:val="00F002E2"/>
    <w:rsid w:val="00F052E0"/>
    <w:rsid w:val="00F10D5D"/>
    <w:rsid w:val="00F15D8B"/>
    <w:rsid w:val="00F27894"/>
    <w:rsid w:val="00F36B44"/>
    <w:rsid w:val="00F64809"/>
    <w:rsid w:val="00F64CE7"/>
    <w:rsid w:val="00F64DD1"/>
    <w:rsid w:val="00F715D3"/>
    <w:rsid w:val="00F7164F"/>
    <w:rsid w:val="00F84BD2"/>
    <w:rsid w:val="00F8560C"/>
    <w:rsid w:val="00F91072"/>
    <w:rsid w:val="00F94647"/>
    <w:rsid w:val="00F97E25"/>
    <w:rsid w:val="00FA7AB9"/>
    <w:rsid w:val="00FB2533"/>
    <w:rsid w:val="00FC39AA"/>
    <w:rsid w:val="00FE28CF"/>
    <w:rsid w:val="00FE7399"/>
    <w:rsid w:val="00FF32B6"/>
    <w:rsid w:val="00FF5D62"/>
    <w:rsid w:val="00FF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Style 12,(NECG) Footnote Reference,Style 124,Style 3,Style 17,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NormalWeb">
    <w:name w:val="Normal (Web)"/>
    <w:basedOn w:val="Normal"/>
    <w:rPr>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Footnote Text Char Char Char Char,Footnote Text Char1 Char Char Char Char,Footnote Text Char Char Char Char1 Char Char,Footnote Text Char1 Char Char Char Char Char Char"/>
    <w:link w:val="FootnoteText"/>
    <w:semiHidden/>
    <w:rsid w:val="00303DAD"/>
  </w:style>
  <w:style w:type="character" w:customStyle="1" w:styleId="ParaNumChar">
    <w:name w:val="ParaNum Char"/>
    <w:link w:val="ParaNum"/>
    <w:rsid w:val="00C32C7D"/>
    <w:rPr>
      <w:sz w:val="22"/>
    </w:rPr>
  </w:style>
  <w:style w:type="character" w:customStyle="1" w:styleId="FootnoteTextChar2">
    <w:name w:val="Footnote Text Char2"/>
    <w:aliases w:val="Footnote Text Char Char Char Char Char,Footnote Text Char Char1,Footnote Text Char2 Char Char,Footnote Text Char3 Char Char Char"/>
    <w:rsid w:val="00C32C7D"/>
  </w:style>
  <w:style w:type="paragraph" w:styleId="Revision">
    <w:name w:val="Revision"/>
    <w:hidden/>
    <w:uiPriority w:val="99"/>
    <w:semiHidden/>
    <w:rsid w:val="00910D48"/>
    <w:rPr>
      <w:sz w:val="22"/>
    </w:rPr>
  </w:style>
  <w:style w:type="character" w:customStyle="1" w:styleId="ftChar">
    <w:name w:val="ft Char"/>
    <w:aliases w:val="ALTS FOOTNOTE Char,fn Char,Footnote Text Char1 Char2 Char Char,Footnote Text Char Char Char1 Char Char"/>
    <w:semiHidden/>
    <w:rsid w:val="00801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Style 12,(NECG) Footnote Reference,Style 124,Style 3,Style 17,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NormalWeb">
    <w:name w:val="Normal (Web)"/>
    <w:basedOn w:val="Normal"/>
    <w:rPr>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Footnote Text Char Char Char Char,Footnote Text Char1 Char Char Char Char,Footnote Text Char Char Char Char1 Char Char,Footnote Text Char1 Char Char Char Char Char Char"/>
    <w:link w:val="FootnoteText"/>
    <w:semiHidden/>
    <w:rsid w:val="00303DAD"/>
  </w:style>
  <w:style w:type="character" w:customStyle="1" w:styleId="ParaNumChar">
    <w:name w:val="ParaNum Char"/>
    <w:link w:val="ParaNum"/>
    <w:rsid w:val="00C32C7D"/>
    <w:rPr>
      <w:sz w:val="22"/>
    </w:rPr>
  </w:style>
  <w:style w:type="character" w:customStyle="1" w:styleId="FootnoteTextChar2">
    <w:name w:val="Footnote Text Char2"/>
    <w:aliases w:val="Footnote Text Char Char Char Char Char,Footnote Text Char Char1,Footnote Text Char2 Char Char,Footnote Text Char3 Char Char Char"/>
    <w:rsid w:val="00C32C7D"/>
  </w:style>
  <w:style w:type="paragraph" w:styleId="Revision">
    <w:name w:val="Revision"/>
    <w:hidden/>
    <w:uiPriority w:val="99"/>
    <w:semiHidden/>
    <w:rsid w:val="00910D48"/>
    <w:rPr>
      <w:sz w:val="22"/>
    </w:rPr>
  </w:style>
  <w:style w:type="character" w:customStyle="1" w:styleId="ftChar">
    <w:name w:val="ft Char"/>
    <w:aliases w:val="ALTS FOOTNOTE Char,fn Char,Footnote Text Char1 Char2 Char Char,Footnote Text Char Char Char1 Char Char"/>
    <w:semiHidden/>
    <w:rsid w:val="0080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2</Pages>
  <Words>591</Words>
  <Characters>3311</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2010-07-14T12:19:00Z</cp:lastPrinted>
  <dcterms:created xsi:type="dcterms:W3CDTF">2016-06-02T03:02:00Z</dcterms:created>
  <dcterms:modified xsi:type="dcterms:W3CDTF">2016-06-02T03:02:00Z</dcterms:modified>
  <cp:category> </cp:category>
  <cp:contentStatus> </cp:contentStatus>
</cp:coreProperties>
</file>