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4E" w:rsidRDefault="007C224E">
      <w:pPr>
        <w:tabs>
          <w:tab w:val="left" w:pos="9180"/>
          <w:tab w:val="left" w:pos="9360"/>
        </w:tabs>
        <w:ind w:right="180"/>
        <w:jc w:val="right"/>
        <w:rPr>
          <w:sz w:val="24"/>
          <w:szCs w:val="24"/>
        </w:rPr>
      </w:pPr>
      <w:bookmarkStart w:id="0" w:name="_GoBack"/>
      <w:bookmarkEnd w:id="0"/>
      <w:r>
        <w:rPr>
          <w:sz w:val="24"/>
          <w:szCs w:val="24"/>
        </w:rPr>
        <w:tab/>
      </w:r>
    </w:p>
    <w:p w:rsidR="007C224E" w:rsidRDefault="007C224E">
      <w:pPr>
        <w:tabs>
          <w:tab w:val="left" w:pos="9180"/>
          <w:tab w:val="left" w:pos="9360"/>
        </w:tabs>
        <w:ind w:right="180"/>
        <w:jc w:val="right"/>
        <w:rPr>
          <w:szCs w:val="24"/>
        </w:rPr>
      </w:pPr>
    </w:p>
    <w:p w:rsidR="007C224E" w:rsidRDefault="007C224E">
      <w:pPr>
        <w:tabs>
          <w:tab w:val="left" w:pos="9180"/>
          <w:tab w:val="left" w:pos="9360"/>
        </w:tabs>
        <w:ind w:right="180"/>
        <w:jc w:val="right"/>
        <w:rPr>
          <w:b/>
          <w:szCs w:val="24"/>
          <w:highlight w:val="yellow"/>
        </w:rPr>
      </w:pPr>
      <w:r>
        <w:rPr>
          <w:b/>
          <w:szCs w:val="24"/>
        </w:rPr>
        <w:t>DA 1</w:t>
      </w:r>
      <w:r w:rsidR="00416DE5">
        <w:rPr>
          <w:b/>
          <w:szCs w:val="24"/>
        </w:rPr>
        <w:t>6</w:t>
      </w:r>
      <w:r>
        <w:rPr>
          <w:b/>
          <w:szCs w:val="24"/>
        </w:rPr>
        <w:t>-</w:t>
      </w:r>
      <w:r w:rsidR="006D6009">
        <w:rPr>
          <w:b/>
          <w:szCs w:val="24"/>
        </w:rPr>
        <w:t>622</w:t>
      </w:r>
    </w:p>
    <w:p w:rsidR="00416DE5" w:rsidRDefault="00416DE5">
      <w:pPr>
        <w:tabs>
          <w:tab w:val="left" w:pos="9180"/>
          <w:tab w:val="left" w:pos="9360"/>
        </w:tabs>
        <w:ind w:right="180"/>
        <w:jc w:val="right"/>
        <w:rPr>
          <w:b/>
          <w:szCs w:val="24"/>
          <w:highlight w:val="yellow"/>
        </w:rPr>
      </w:pPr>
      <w:r w:rsidRPr="00416DE5">
        <w:rPr>
          <w:b/>
          <w:szCs w:val="24"/>
        </w:rPr>
        <w:t>OMB Control No. 1161</w:t>
      </w:r>
    </w:p>
    <w:p w:rsidR="007C224E" w:rsidRDefault="00416DE5">
      <w:pPr>
        <w:tabs>
          <w:tab w:val="left" w:pos="9180"/>
          <w:tab w:val="left" w:pos="9360"/>
        </w:tabs>
        <w:ind w:right="180"/>
        <w:jc w:val="right"/>
        <w:rPr>
          <w:b/>
          <w:szCs w:val="24"/>
        </w:rPr>
      </w:pPr>
      <w:r w:rsidRPr="004F6554">
        <w:rPr>
          <w:b/>
          <w:szCs w:val="24"/>
        </w:rPr>
        <w:t xml:space="preserve">June </w:t>
      </w:r>
      <w:r w:rsidR="004F6554" w:rsidRPr="004F6554">
        <w:rPr>
          <w:b/>
          <w:szCs w:val="24"/>
        </w:rPr>
        <w:t>6</w:t>
      </w:r>
      <w:r w:rsidRPr="004F6554">
        <w:rPr>
          <w:b/>
          <w:szCs w:val="24"/>
        </w:rPr>
        <w:t>, 2016</w:t>
      </w:r>
    </w:p>
    <w:p w:rsidR="007C224E" w:rsidRDefault="007C224E">
      <w:pPr>
        <w:spacing w:after="240"/>
        <w:jc w:val="center"/>
        <w:rPr>
          <w:caps/>
          <w:szCs w:val="24"/>
        </w:rPr>
      </w:pPr>
    </w:p>
    <w:p w:rsidR="007C224E" w:rsidRDefault="008E0C09">
      <w:pPr>
        <w:spacing w:after="240"/>
        <w:jc w:val="center"/>
        <w:rPr>
          <w:b/>
          <w:caps/>
          <w:szCs w:val="24"/>
        </w:rPr>
      </w:pPr>
      <w:r>
        <w:rPr>
          <w:b/>
          <w:caps/>
          <w:szCs w:val="24"/>
        </w:rPr>
        <w:t xml:space="preserve">FILING INSTRUCTIONS FOR </w:t>
      </w:r>
      <w:r w:rsidR="007C224E">
        <w:rPr>
          <w:b/>
          <w:caps/>
          <w:szCs w:val="24"/>
        </w:rPr>
        <w:t>700 MH</w:t>
      </w:r>
      <w:r w:rsidR="007C224E">
        <w:rPr>
          <w:b/>
          <w:szCs w:val="24"/>
        </w:rPr>
        <w:t>z</w:t>
      </w:r>
      <w:r w:rsidR="007C224E">
        <w:rPr>
          <w:b/>
          <w:caps/>
          <w:szCs w:val="24"/>
        </w:rPr>
        <w:t xml:space="preserve"> </w:t>
      </w:r>
      <w:r>
        <w:rPr>
          <w:b/>
          <w:caps/>
          <w:szCs w:val="24"/>
        </w:rPr>
        <w:t>SECOND Status Reports</w:t>
      </w:r>
    </w:p>
    <w:p w:rsidR="007C224E" w:rsidRDefault="007C224E">
      <w:pPr>
        <w:rPr>
          <w:szCs w:val="24"/>
        </w:rPr>
      </w:pPr>
      <w:r>
        <w:rPr>
          <w:szCs w:val="24"/>
        </w:rPr>
        <w:tab/>
      </w:r>
    </w:p>
    <w:p w:rsidR="007C224E" w:rsidRDefault="007C224E" w:rsidP="00416DE5">
      <w:pPr>
        <w:rPr>
          <w:szCs w:val="24"/>
        </w:rPr>
      </w:pPr>
      <w:r>
        <w:rPr>
          <w:szCs w:val="24"/>
        </w:rPr>
        <w:tab/>
      </w:r>
      <w:r w:rsidR="0067592F">
        <w:rPr>
          <w:szCs w:val="24"/>
        </w:rPr>
        <w:t xml:space="preserve">Certain </w:t>
      </w:r>
      <w:r w:rsidR="0067592F" w:rsidRPr="00416DE5">
        <w:rPr>
          <w:szCs w:val="24"/>
        </w:rPr>
        <w:t>700</w:t>
      </w:r>
      <w:r w:rsidR="0067592F">
        <w:rPr>
          <w:szCs w:val="24"/>
        </w:rPr>
        <w:t xml:space="preserve"> </w:t>
      </w:r>
      <w:r w:rsidR="0067592F" w:rsidRPr="00416DE5">
        <w:rPr>
          <w:szCs w:val="24"/>
        </w:rPr>
        <w:t>MHz licensees</w:t>
      </w:r>
      <w:r w:rsidR="0067592F">
        <w:rPr>
          <w:szCs w:val="24"/>
        </w:rPr>
        <w:t xml:space="preserve"> have </w:t>
      </w:r>
      <w:r w:rsidR="00395102">
        <w:rPr>
          <w:szCs w:val="24"/>
        </w:rPr>
        <w:t xml:space="preserve">Second </w:t>
      </w:r>
      <w:r w:rsidR="0067592F">
        <w:rPr>
          <w:szCs w:val="24"/>
        </w:rPr>
        <w:t>Status Reports due as early as this month.</w:t>
      </w:r>
      <w:r w:rsidR="0067592F">
        <w:rPr>
          <w:rStyle w:val="FootnoteReference"/>
          <w:szCs w:val="24"/>
        </w:rPr>
        <w:footnoteReference w:id="1"/>
      </w:r>
      <w:r w:rsidR="0067592F">
        <w:rPr>
          <w:szCs w:val="24"/>
        </w:rPr>
        <w:t xml:space="preserve">  </w:t>
      </w:r>
      <w:r>
        <w:rPr>
          <w:szCs w:val="24"/>
        </w:rPr>
        <w:t xml:space="preserve">In this Public Notice, the Wireless Telecommunications Bureau (Bureau) provides filing </w:t>
      </w:r>
      <w:r w:rsidR="00416DE5">
        <w:rPr>
          <w:szCs w:val="24"/>
        </w:rPr>
        <w:t>instructions</w:t>
      </w:r>
      <w:r>
        <w:rPr>
          <w:szCs w:val="24"/>
        </w:rPr>
        <w:t xml:space="preserve"> </w:t>
      </w:r>
      <w:r w:rsidR="009810E0">
        <w:rPr>
          <w:szCs w:val="24"/>
        </w:rPr>
        <w:t>for</w:t>
      </w:r>
      <w:r w:rsidR="00416DE5">
        <w:rPr>
          <w:szCs w:val="24"/>
        </w:rPr>
        <w:t xml:space="preserve"> fil</w:t>
      </w:r>
      <w:r w:rsidR="0067592F">
        <w:rPr>
          <w:szCs w:val="24"/>
        </w:rPr>
        <w:t>ing those</w:t>
      </w:r>
      <w:r w:rsidR="00416DE5">
        <w:rPr>
          <w:szCs w:val="24"/>
        </w:rPr>
        <w:t xml:space="preserve"> Reports</w:t>
      </w:r>
      <w:r>
        <w:rPr>
          <w:szCs w:val="24"/>
        </w:rPr>
        <w:t>.</w:t>
      </w:r>
    </w:p>
    <w:p w:rsidR="007C224E" w:rsidRDefault="007C224E">
      <w:pPr>
        <w:rPr>
          <w:szCs w:val="24"/>
        </w:rPr>
      </w:pPr>
    </w:p>
    <w:p w:rsidR="007C224E" w:rsidRDefault="007C224E">
      <w:pPr>
        <w:rPr>
          <w:szCs w:val="24"/>
        </w:rPr>
      </w:pPr>
      <w:r>
        <w:rPr>
          <w:szCs w:val="24"/>
        </w:rPr>
        <w:tab/>
        <w:t xml:space="preserve">Reports must be filed electronically through the Bureau’s internet site at http://wireless.fcc.gov/uls.  </w:t>
      </w:r>
    </w:p>
    <w:p w:rsidR="007C224E" w:rsidRDefault="007C224E">
      <w:pPr>
        <w:rPr>
          <w:szCs w:val="24"/>
        </w:rPr>
      </w:pPr>
      <w:r>
        <w:rPr>
          <w:szCs w:val="24"/>
        </w:rPr>
        <w:tab/>
      </w:r>
    </w:p>
    <w:p w:rsidR="007C224E" w:rsidRDefault="007C224E">
      <w:pPr>
        <w:numPr>
          <w:ilvl w:val="0"/>
          <w:numId w:val="16"/>
        </w:numPr>
        <w:rPr>
          <w:szCs w:val="24"/>
        </w:rPr>
      </w:pPr>
      <w:r>
        <w:rPr>
          <w:szCs w:val="24"/>
        </w:rPr>
        <w:t>After opening the Bureau’s Universal Licensing System webpage (http://wir</w:t>
      </w:r>
      <w:r w:rsidR="003C7167">
        <w:rPr>
          <w:szCs w:val="24"/>
        </w:rPr>
        <w:t>eless.fcc.gov/uls), select “Submit a Pleading</w:t>
      </w:r>
      <w:r>
        <w:rPr>
          <w:szCs w:val="24"/>
        </w:rPr>
        <w:t xml:space="preserve">” (under “Systems”) from </w:t>
      </w:r>
      <w:r w:rsidR="003C7167">
        <w:rPr>
          <w:szCs w:val="24"/>
        </w:rPr>
        <w:t xml:space="preserve">the link options located in the center </w:t>
      </w:r>
      <w:r>
        <w:rPr>
          <w:szCs w:val="24"/>
        </w:rPr>
        <w:t xml:space="preserve">of the page.  </w:t>
      </w:r>
    </w:p>
    <w:p w:rsidR="007C224E" w:rsidRDefault="007C224E">
      <w:pPr>
        <w:rPr>
          <w:szCs w:val="24"/>
        </w:rPr>
      </w:pPr>
    </w:p>
    <w:p w:rsidR="007C224E" w:rsidRDefault="007C224E">
      <w:pPr>
        <w:numPr>
          <w:ilvl w:val="0"/>
          <w:numId w:val="16"/>
        </w:numPr>
        <w:rPr>
          <w:szCs w:val="24"/>
        </w:rPr>
      </w:pPr>
      <w:r>
        <w:rPr>
          <w:szCs w:val="24"/>
        </w:rPr>
        <w:t xml:space="preserve">Upon reaching the Non-docketed Pleadings page, select the “700 MHz Performance Status Report” option from the Pleading Type drop-down menu.  </w:t>
      </w:r>
    </w:p>
    <w:p w:rsidR="007C224E" w:rsidRDefault="007C224E">
      <w:pPr>
        <w:rPr>
          <w:szCs w:val="24"/>
        </w:rPr>
      </w:pPr>
    </w:p>
    <w:p w:rsidR="007C224E" w:rsidRDefault="007C224E">
      <w:pPr>
        <w:numPr>
          <w:ilvl w:val="0"/>
          <w:numId w:val="16"/>
        </w:numPr>
        <w:rPr>
          <w:szCs w:val="24"/>
        </w:rPr>
      </w:pPr>
      <w:r>
        <w:rPr>
          <w:szCs w:val="24"/>
        </w:rPr>
        <w:t xml:space="preserve">In this instance, the filer is the licensee.  Enter both filer information and contact information.  </w:t>
      </w:r>
    </w:p>
    <w:p w:rsidR="007C224E" w:rsidRDefault="007C224E">
      <w:pPr>
        <w:rPr>
          <w:szCs w:val="24"/>
        </w:rPr>
      </w:pPr>
    </w:p>
    <w:p w:rsidR="007C224E" w:rsidRDefault="007C224E">
      <w:pPr>
        <w:numPr>
          <w:ilvl w:val="0"/>
          <w:numId w:val="16"/>
        </w:numPr>
        <w:rPr>
          <w:szCs w:val="24"/>
        </w:rPr>
      </w:pPr>
      <w:r>
        <w:rPr>
          <w:szCs w:val="24"/>
        </w:rPr>
        <w:t>On the next page, enter the relevant call sign(s) included in the performance status report.  The report will be linked to each specified call sign via the Universal Licensing System (ULS) License Search.</w:t>
      </w:r>
    </w:p>
    <w:p w:rsidR="007C224E" w:rsidRDefault="007C224E">
      <w:pPr>
        <w:rPr>
          <w:szCs w:val="24"/>
        </w:rPr>
      </w:pPr>
    </w:p>
    <w:p w:rsidR="007C224E" w:rsidRDefault="007C224E">
      <w:pPr>
        <w:numPr>
          <w:ilvl w:val="0"/>
          <w:numId w:val="16"/>
        </w:numPr>
        <w:rPr>
          <w:szCs w:val="24"/>
        </w:rPr>
      </w:pPr>
      <w:r>
        <w:rPr>
          <w:szCs w:val="24"/>
        </w:rPr>
        <w:t xml:space="preserve">On the next page, select attachment type pleading or confidential pleading (if the filing contains confidential information).  </w:t>
      </w:r>
    </w:p>
    <w:p w:rsidR="007C224E" w:rsidRDefault="007C224E">
      <w:pPr>
        <w:rPr>
          <w:szCs w:val="24"/>
        </w:rPr>
      </w:pPr>
    </w:p>
    <w:p w:rsidR="007C224E" w:rsidRDefault="007C224E">
      <w:pPr>
        <w:numPr>
          <w:ilvl w:val="0"/>
          <w:numId w:val="16"/>
        </w:numPr>
        <w:rPr>
          <w:szCs w:val="24"/>
        </w:rPr>
      </w:pPr>
      <w:r>
        <w:rPr>
          <w:szCs w:val="24"/>
        </w:rPr>
        <w:t>If you file a confidential report, you must also file a public report with the confidential information redacted.</w:t>
      </w:r>
      <w:r>
        <w:rPr>
          <w:rStyle w:val="FootnoteReference"/>
          <w:szCs w:val="24"/>
        </w:rPr>
        <w:footnoteReference w:id="2"/>
      </w:r>
      <w:r>
        <w:rPr>
          <w:szCs w:val="24"/>
        </w:rPr>
        <w:t xml:space="preserve">  </w:t>
      </w:r>
    </w:p>
    <w:p w:rsidR="00416DE5" w:rsidRDefault="00416DE5" w:rsidP="00416DE5">
      <w:pPr>
        <w:rPr>
          <w:szCs w:val="24"/>
        </w:rPr>
      </w:pPr>
    </w:p>
    <w:p w:rsidR="007C224E" w:rsidRDefault="007C224E">
      <w:pPr>
        <w:numPr>
          <w:ilvl w:val="0"/>
          <w:numId w:val="16"/>
        </w:numPr>
        <w:rPr>
          <w:szCs w:val="24"/>
        </w:rPr>
      </w:pPr>
      <w:r>
        <w:rPr>
          <w:szCs w:val="24"/>
        </w:rPr>
        <w:t>Upload your filing containing the performance status report as an attachment, and insert the following description of your attachment “700 MHz Performance Status Report.”</w:t>
      </w:r>
    </w:p>
    <w:p w:rsidR="007C224E" w:rsidRDefault="007C224E">
      <w:pPr>
        <w:rPr>
          <w:szCs w:val="24"/>
        </w:rPr>
      </w:pPr>
    </w:p>
    <w:p w:rsidR="007C224E" w:rsidRDefault="007C224E">
      <w:pPr>
        <w:numPr>
          <w:ilvl w:val="0"/>
          <w:numId w:val="16"/>
        </w:numPr>
        <w:rPr>
          <w:szCs w:val="24"/>
        </w:rPr>
      </w:pPr>
      <w:r>
        <w:rPr>
          <w:szCs w:val="24"/>
        </w:rPr>
        <w:t xml:space="preserve">Click the “Submit Pleading” button. </w:t>
      </w:r>
    </w:p>
    <w:p w:rsidR="007C224E" w:rsidRDefault="007C224E">
      <w:pPr>
        <w:rPr>
          <w:szCs w:val="24"/>
        </w:rPr>
      </w:pPr>
    </w:p>
    <w:p w:rsidR="007C224E" w:rsidRDefault="007C224E">
      <w:pPr>
        <w:numPr>
          <w:ilvl w:val="0"/>
          <w:numId w:val="16"/>
        </w:numPr>
        <w:rPr>
          <w:szCs w:val="24"/>
        </w:rPr>
      </w:pPr>
      <w:r>
        <w:rPr>
          <w:szCs w:val="24"/>
        </w:rPr>
        <w:t>You will receive a filing confirmation receipt from the Bureau’s filing system.  Upon submitting a performance status report, it will be immediately available for public review under each associated call sign via the Universal Licensing System (ULS) License Search.</w:t>
      </w:r>
    </w:p>
    <w:p w:rsidR="007C224E" w:rsidRDefault="007C224E">
      <w:pPr>
        <w:rPr>
          <w:szCs w:val="24"/>
        </w:rPr>
      </w:pPr>
    </w:p>
    <w:p w:rsidR="00416DE5" w:rsidRPr="00416DE5" w:rsidRDefault="00416DE5" w:rsidP="00416DE5">
      <w:pPr>
        <w:pStyle w:val="BodyText2"/>
        <w:spacing w:line="228" w:lineRule="auto"/>
        <w:ind w:firstLine="720"/>
        <w:rPr>
          <w:szCs w:val="24"/>
        </w:rPr>
      </w:pPr>
      <w:r w:rsidRPr="00416DE5">
        <w:rPr>
          <w:szCs w:val="24"/>
        </w:rPr>
        <w:t>Questions regarding this Public Notice may be directed to Amanda Huetinck, Attorney Advisor,</w:t>
      </w:r>
    </w:p>
    <w:p w:rsidR="007C224E" w:rsidRDefault="00416DE5" w:rsidP="00416DE5">
      <w:pPr>
        <w:pStyle w:val="BodyText2"/>
        <w:spacing w:line="228" w:lineRule="auto"/>
        <w:rPr>
          <w:szCs w:val="24"/>
        </w:rPr>
      </w:pPr>
      <w:r>
        <w:rPr>
          <w:szCs w:val="24"/>
        </w:rPr>
        <w:t xml:space="preserve"> </w:t>
      </w:r>
      <w:r w:rsidRPr="00416DE5">
        <w:rPr>
          <w:szCs w:val="24"/>
        </w:rPr>
        <w:t>Wireless Telecommunications Bureau, Mobility Division, at (202) 418-7090 or</w:t>
      </w:r>
      <w:r>
        <w:rPr>
          <w:szCs w:val="24"/>
        </w:rPr>
        <w:t xml:space="preserve"> </w:t>
      </w:r>
      <w:r w:rsidRPr="00416DE5">
        <w:rPr>
          <w:szCs w:val="24"/>
        </w:rPr>
        <w:t>amanda.huetinck@fcc.gov.</w:t>
      </w:r>
    </w:p>
    <w:p w:rsidR="007C224E" w:rsidRDefault="007C224E">
      <w:pPr>
        <w:pStyle w:val="BodyText2"/>
        <w:widowControl/>
        <w:spacing w:line="228" w:lineRule="auto"/>
        <w:ind w:firstLine="720"/>
        <w:jc w:val="left"/>
        <w:rPr>
          <w:szCs w:val="24"/>
        </w:rPr>
      </w:pPr>
    </w:p>
    <w:p w:rsidR="002749D3" w:rsidRDefault="007C224E" w:rsidP="002749D3">
      <w:pPr>
        <w:pStyle w:val="BodyText2"/>
        <w:widowControl/>
        <w:spacing w:line="228" w:lineRule="auto"/>
        <w:ind w:firstLine="720"/>
        <w:jc w:val="left"/>
        <w:rPr>
          <w:szCs w:val="24"/>
        </w:rPr>
      </w:pPr>
      <w:r>
        <w:rPr>
          <w:szCs w:val="24"/>
        </w:rPr>
        <w:t>Action by the Chief, Mobility Division, Wireless Telecommunications Bureau.</w:t>
      </w:r>
    </w:p>
    <w:p w:rsidR="002749D3" w:rsidRDefault="002749D3" w:rsidP="002749D3">
      <w:pPr>
        <w:pStyle w:val="BodyText2"/>
        <w:widowControl/>
        <w:spacing w:line="228" w:lineRule="auto"/>
        <w:ind w:firstLine="720"/>
        <w:jc w:val="left"/>
        <w:rPr>
          <w:szCs w:val="24"/>
        </w:rPr>
      </w:pPr>
    </w:p>
    <w:p w:rsidR="007C224E" w:rsidRDefault="007C224E" w:rsidP="002749D3">
      <w:pPr>
        <w:pStyle w:val="BodyText2"/>
        <w:widowControl/>
        <w:spacing w:line="228" w:lineRule="auto"/>
        <w:jc w:val="center"/>
        <w:rPr>
          <w:szCs w:val="24"/>
        </w:rPr>
      </w:pPr>
      <w:r>
        <w:rPr>
          <w:szCs w:val="24"/>
        </w:rPr>
        <w:t>- FCC -</w:t>
      </w:r>
    </w:p>
    <w:p w:rsidR="007C224E" w:rsidRDefault="007C224E">
      <w:pPr>
        <w:rPr>
          <w:szCs w:val="24"/>
        </w:rPr>
      </w:pPr>
    </w:p>
    <w:sectPr w:rsidR="007C22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60"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4E" w:rsidRDefault="007C224E">
      <w:r>
        <w:separator/>
      </w:r>
    </w:p>
  </w:endnote>
  <w:endnote w:type="continuationSeparator" w:id="0">
    <w:p w:rsidR="007C224E" w:rsidRDefault="007C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4E" w:rsidRDefault="007C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24E" w:rsidRDefault="007C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4E" w:rsidRDefault="007C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D2B">
      <w:rPr>
        <w:rStyle w:val="PageNumber"/>
        <w:noProof/>
      </w:rPr>
      <w:t>2</w:t>
    </w:r>
    <w:r>
      <w:rPr>
        <w:rStyle w:val="PageNumber"/>
      </w:rPr>
      <w:fldChar w:fldCharType="end"/>
    </w:r>
  </w:p>
  <w:p w:rsidR="007C224E" w:rsidRDefault="007C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CA" w:rsidRDefault="00555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4E" w:rsidRDefault="007C224E">
      <w:r>
        <w:separator/>
      </w:r>
    </w:p>
  </w:footnote>
  <w:footnote w:type="continuationSeparator" w:id="0">
    <w:p w:rsidR="007C224E" w:rsidRDefault="007C224E">
      <w:r>
        <w:continuationSeparator/>
      </w:r>
    </w:p>
  </w:footnote>
  <w:footnote w:id="1">
    <w:p w:rsidR="0067592F" w:rsidRPr="00416DE5" w:rsidRDefault="0067592F" w:rsidP="0067592F">
      <w:pPr>
        <w:pStyle w:val="FootnoteText"/>
        <w:rPr>
          <w:sz w:val="20"/>
        </w:rPr>
      </w:pPr>
      <w:r w:rsidRPr="00416DE5">
        <w:rPr>
          <w:rStyle w:val="FootnoteReference"/>
          <w:sz w:val="20"/>
        </w:rPr>
        <w:footnoteRef/>
      </w:r>
      <w:r w:rsidRPr="00416DE5">
        <w:rPr>
          <w:sz w:val="20"/>
        </w:rPr>
        <w:t xml:space="preserve"> </w:t>
      </w:r>
      <w:r w:rsidRPr="00416DE5">
        <w:rPr>
          <w:i/>
          <w:sz w:val="20"/>
        </w:rPr>
        <w:t>See 700 MHz Construction and Reporting Requirements and Related Deadlines</w:t>
      </w:r>
      <w:r w:rsidRPr="00416DE5">
        <w:rPr>
          <w:sz w:val="20"/>
        </w:rPr>
        <w:t>, Public Notice, DA 16-563 (WTB May 19, 2016).</w:t>
      </w:r>
    </w:p>
  </w:footnote>
  <w:footnote w:id="2">
    <w:p w:rsidR="007C224E" w:rsidRPr="00416DE5" w:rsidRDefault="007C224E">
      <w:pPr>
        <w:pStyle w:val="FootnoteText"/>
        <w:rPr>
          <w:i/>
          <w:sz w:val="20"/>
        </w:rPr>
      </w:pPr>
      <w:r w:rsidRPr="00416DE5">
        <w:rPr>
          <w:rStyle w:val="FootnoteReference"/>
          <w:sz w:val="20"/>
        </w:rPr>
        <w:footnoteRef/>
      </w:r>
      <w:r w:rsidRPr="00416DE5">
        <w:rPr>
          <w:sz w:val="20"/>
        </w:rPr>
        <w:t xml:space="preserve"> For further information regarding filing confidential information, see</w:t>
      </w:r>
      <w:r w:rsidRPr="00416DE5">
        <w:rPr>
          <w:i/>
          <w:sz w:val="20"/>
        </w:rPr>
        <w:t xml:space="preserve"> </w:t>
      </w:r>
      <w:r w:rsidRPr="00416DE5">
        <w:rPr>
          <w:sz w:val="20"/>
        </w:rPr>
        <w:t>47 C.F.R. § 0.459</w:t>
      </w:r>
      <w:r w:rsidRPr="00416DE5">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CA" w:rsidRDefault="0055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CA" w:rsidRDefault="0055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4E" w:rsidRDefault="008E0C0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24E">
      <w:rPr>
        <w:rFonts w:ascii="News Gothic MT" w:hAnsi="News Gothic MT"/>
        <w:b/>
        <w:kern w:val="28"/>
        <w:sz w:val="96"/>
      </w:rPr>
      <w:t>PUBLIC NOTICE</w:t>
    </w:r>
  </w:p>
  <w:p w:rsidR="007C224E" w:rsidRDefault="008E0C09">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AE29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4E" w:rsidRDefault="007C224E">
                          <w:pPr>
                            <w:spacing w:before="40"/>
                            <w:jc w:val="right"/>
                            <w:rPr>
                              <w:rFonts w:ascii="Arial" w:hAnsi="Arial"/>
                              <w:b/>
                              <w:sz w:val="16"/>
                            </w:rPr>
                          </w:pPr>
                          <w:r>
                            <w:rPr>
                              <w:rFonts w:ascii="Arial" w:hAnsi="Arial"/>
                              <w:b/>
                              <w:sz w:val="16"/>
                            </w:rPr>
                            <w:t>News Media Information 202 / 418-0500</w:t>
                          </w:r>
                        </w:p>
                        <w:p w:rsidR="007C224E" w:rsidRDefault="007C224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C224E" w:rsidRDefault="007C224E">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rsidR="007C224E" w:rsidRDefault="007C224E">
                    <w:pPr>
                      <w:spacing w:before="40"/>
                      <w:jc w:val="right"/>
                      <w:rPr>
                        <w:rFonts w:ascii="Arial" w:hAnsi="Arial"/>
                        <w:b/>
                        <w:sz w:val="16"/>
                      </w:rPr>
                    </w:pPr>
                    <w:r>
                      <w:rPr>
                        <w:rFonts w:ascii="Arial" w:hAnsi="Arial"/>
                        <w:b/>
                        <w:sz w:val="16"/>
                      </w:rPr>
                      <w:t>News Media Information 202 / 418-0500</w:t>
                    </w:r>
                  </w:p>
                  <w:p w:rsidR="007C224E" w:rsidRDefault="007C224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C224E" w:rsidRDefault="007C224E">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24E" w:rsidRDefault="007C224E">
                          <w:pPr>
                            <w:rPr>
                              <w:rFonts w:ascii="Arial" w:hAnsi="Arial"/>
                              <w:b/>
                            </w:rPr>
                          </w:pPr>
                          <w:r>
                            <w:rPr>
                              <w:rFonts w:ascii="Arial" w:hAnsi="Arial"/>
                              <w:b/>
                            </w:rPr>
                            <w:t>Federal Communications Commission</w:t>
                          </w:r>
                        </w:p>
                        <w:p w:rsidR="007C224E" w:rsidRDefault="007C224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C224E" w:rsidRDefault="007C224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rsidR="007C224E" w:rsidRDefault="007C224E">
                    <w:pPr>
                      <w:rPr>
                        <w:rFonts w:ascii="Arial" w:hAnsi="Arial"/>
                        <w:b/>
                      </w:rPr>
                    </w:pPr>
                    <w:r>
                      <w:rPr>
                        <w:rFonts w:ascii="Arial" w:hAnsi="Arial"/>
                        <w:b/>
                      </w:rPr>
                      <w:t>Federal Communications Commission</w:t>
                    </w:r>
                  </w:p>
                  <w:p w:rsidR="007C224E" w:rsidRDefault="007C224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C224E" w:rsidRDefault="007C224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D4A"/>
    <w:multiLevelType w:val="hybridMultilevel"/>
    <w:tmpl w:val="D660BA4C"/>
    <w:lvl w:ilvl="0" w:tplc="E920FA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D97705"/>
    <w:multiLevelType w:val="hybridMultilevel"/>
    <w:tmpl w:val="BAE09B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923B1E"/>
    <w:multiLevelType w:val="hybridMultilevel"/>
    <w:tmpl w:val="9B22E306"/>
    <w:lvl w:ilvl="0" w:tplc="138AE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7863F95"/>
    <w:multiLevelType w:val="hybridMultilevel"/>
    <w:tmpl w:val="3BE8B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9"/>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A7"/>
    <w:rsid w:val="002749D3"/>
    <w:rsid w:val="00395102"/>
    <w:rsid w:val="003C7167"/>
    <w:rsid w:val="003F41A4"/>
    <w:rsid w:val="00416DE5"/>
    <w:rsid w:val="004F6554"/>
    <w:rsid w:val="00555BCA"/>
    <w:rsid w:val="0067592F"/>
    <w:rsid w:val="006D6009"/>
    <w:rsid w:val="007C224E"/>
    <w:rsid w:val="007D1D2B"/>
    <w:rsid w:val="008E0C09"/>
    <w:rsid w:val="009810E0"/>
    <w:rsid w:val="00D6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bidi="ar-SA"/>
    </w:rPr>
  </w:style>
  <w:style w:type="paragraph" w:styleId="BodyText2">
    <w:name w:val="Body Text 2"/>
    <w:basedOn w:val="Normal"/>
    <w:pPr>
      <w:widowControl w:val="0"/>
      <w:tabs>
        <w:tab w:val="right" w:pos="9360"/>
      </w:tabs>
      <w:suppressAutoHyphens/>
      <w:spacing w:line="227" w:lineRule="auto"/>
      <w:jc w:val="both"/>
    </w:pPr>
    <w:rPr>
      <w:snapToGrid w:val="0"/>
      <w:spacing w:val="-2"/>
    </w:rPr>
  </w:style>
  <w:style w:type="paragraph" w:styleId="ListParagraph">
    <w:name w:val="List Paragraph"/>
    <w:basedOn w:val="Normal"/>
    <w:uiPriority w:val="34"/>
    <w:qFormat/>
    <w:rsid w:val="00416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bidi="ar-SA"/>
    </w:rPr>
  </w:style>
  <w:style w:type="paragraph" w:styleId="BodyText2">
    <w:name w:val="Body Text 2"/>
    <w:basedOn w:val="Normal"/>
    <w:pPr>
      <w:widowControl w:val="0"/>
      <w:tabs>
        <w:tab w:val="right" w:pos="9360"/>
      </w:tabs>
      <w:suppressAutoHyphens/>
      <w:spacing w:line="227" w:lineRule="auto"/>
      <w:jc w:val="both"/>
    </w:pPr>
    <w:rPr>
      <w:snapToGrid w:val="0"/>
      <w:spacing w:val="-2"/>
    </w:rPr>
  </w:style>
  <w:style w:type="paragraph" w:styleId="ListParagraph">
    <w:name w:val="List Paragraph"/>
    <w:basedOn w:val="Normal"/>
    <w:uiPriority w:val="34"/>
    <w:qFormat/>
    <w:rsid w:val="0041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1766</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2011-03-28T14:47:00Z</cp:lastPrinted>
  <dcterms:created xsi:type="dcterms:W3CDTF">2016-06-06T11:10:00Z</dcterms:created>
  <dcterms:modified xsi:type="dcterms:W3CDTF">2016-06-06T11:10:00Z</dcterms:modified>
  <cp:category> </cp:category>
  <cp:contentStatus> </cp:contentStatus>
</cp:coreProperties>
</file>