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A8" w:rsidRDefault="00F013A8">
      <w:pPr>
        <w:pStyle w:val="Header"/>
        <w:tabs>
          <w:tab w:val="clear" w:pos="4320"/>
          <w:tab w:val="clear" w:pos="8640"/>
        </w:tabs>
        <w:rPr>
          <w:szCs w:val="22"/>
        </w:rPr>
        <w:sectPr w:rsidR="00F013A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013A8" w:rsidRDefault="00862BE7" w:rsidP="00F013A8">
      <w:pPr>
        <w:jc w:val="right"/>
        <w:rPr>
          <w:b/>
          <w:szCs w:val="22"/>
        </w:rPr>
      </w:pPr>
      <w:r>
        <w:rPr>
          <w:b/>
          <w:szCs w:val="22"/>
        </w:rPr>
        <w:lastRenderedPageBreak/>
        <w:t>DA 16</w:t>
      </w:r>
      <w:r w:rsidR="00F013A8" w:rsidRPr="009007BF">
        <w:rPr>
          <w:b/>
          <w:szCs w:val="22"/>
        </w:rPr>
        <w:t>-</w:t>
      </w:r>
      <w:r w:rsidR="00550FB2" w:rsidRPr="005670F7">
        <w:rPr>
          <w:b/>
          <w:szCs w:val="22"/>
        </w:rPr>
        <w:t>628</w:t>
      </w:r>
    </w:p>
    <w:p w:rsidR="00F013A8" w:rsidRDefault="00F013A8" w:rsidP="00F013A8">
      <w:pPr>
        <w:jc w:val="right"/>
        <w:rPr>
          <w:b/>
          <w:caps/>
          <w:szCs w:val="22"/>
        </w:rPr>
      </w:pPr>
      <w:r w:rsidRPr="009007BF">
        <w:rPr>
          <w:b/>
          <w:szCs w:val="22"/>
        </w:rPr>
        <w:t xml:space="preserve">Released:  </w:t>
      </w:r>
      <w:r w:rsidR="0082611F" w:rsidRPr="0072552C">
        <w:rPr>
          <w:b/>
          <w:szCs w:val="22"/>
        </w:rPr>
        <w:t>June</w:t>
      </w:r>
      <w:r w:rsidR="0072552C" w:rsidRPr="0072552C">
        <w:rPr>
          <w:b/>
          <w:szCs w:val="22"/>
        </w:rPr>
        <w:t xml:space="preserve"> 7</w:t>
      </w:r>
      <w:r w:rsidR="00862BE7" w:rsidRPr="0072552C">
        <w:rPr>
          <w:b/>
          <w:szCs w:val="22"/>
        </w:rPr>
        <w:t>, 2016</w:t>
      </w:r>
    </w:p>
    <w:p w:rsidR="00F013A8" w:rsidRDefault="00F013A8" w:rsidP="005D4750">
      <w:pPr>
        <w:spacing w:after="240"/>
        <w:jc w:val="center"/>
        <w:rPr>
          <w:b/>
          <w:caps/>
          <w:szCs w:val="22"/>
        </w:rPr>
      </w:pPr>
    </w:p>
    <w:p w:rsidR="00D74DEA" w:rsidRDefault="006258C9" w:rsidP="004F6B9F">
      <w:pPr>
        <w:jc w:val="center"/>
        <w:rPr>
          <w:b/>
          <w:caps/>
          <w:szCs w:val="22"/>
        </w:rPr>
      </w:pPr>
      <w:r>
        <w:rPr>
          <w:b/>
          <w:caps/>
          <w:szCs w:val="22"/>
        </w:rPr>
        <w:t>Consumer AND</w:t>
      </w:r>
      <w:r w:rsidR="00F013A8" w:rsidRPr="00553887">
        <w:rPr>
          <w:b/>
          <w:caps/>
          <w:szCs w:val="22"/>
        </w:rPr>
        <w:t xml:space="preserve"> Governmental Affairs Bureau Seeks Comment on </w:t>
      </w:r>
      <w:r w:rsidR="00D74DEA">
        <w:rPr>
          <w:b/>
          <w:caps/>
          <w:szCs w:val="22"/>
        </w:rPr>
        <w:t>Network communication</w:t>
      </w:r>
      <w:r w:rsidR="009D7F55">
        <w:rPr>
          <w:b/>
          <w:caps/>
          <w:szCs w:val="22"/>
        </w:rPr>
        <w:t>S</w:t>
      </w:r>
      <w:r w:rsidR="00D74DEA">
        <w:rPr>
          <w:b/>
          <w:caps/>
          <w:szCs w:val="22"/>
        </w:rPr>
        <w:t xml:space="preserve"> international corp. </w:t>
      </w:r>
    </w:p>
    <w:p w:rsidR="00F21D1F" w:rsidRDefault="00144C87" w:rsidP="004F6B9F">
      <w:pPr>
        <w:jc w:val="center"/>
        <w:rPr>
          <w:b/>
          <w:caps/>
          <w:szCs w:val="22"/>
        </w:rPr>
      </w:pPr>
      <w:r>
        <w:rPr>
          <w:b/>
          <w:caps/>
          <w:szCs w:val="22"/>
        </w:rPr>
        <w:t xml:space="preserve">petition for </w:t>
      </w:r>
      <w:r w:rsidR="00D74DEA">
        <w:rPr>
          <w:b/>
          <w:caps/>
          <w:szCs w:val="22"/>
        </w:rPr>
        <w:t xml:space="preserve">EXPEDITED </w:t>
      </w:r>
      <w:r>
        <w:rPr>
          <w:b/>
          <w:caps/>
          <w:szCs w:val="22"/>
        </w:rPr>
        <w:t xml:space="preserve">declaratory ruling </w:t>
      </w:r>
    </w:p>
    <w:p w:rsidR="00144C87" w:rsidRPr="00553887" w:rsidRDefault="00144C87" w:rsidP="004F6B9F">
      <w:pPr>
        <w:jc w:val="center"/>
        <w:rPr>
          <w:b/>
          <w:caps/>
          <w:szCs w:val="22"/>
        </w:rPr>
      </w:pPr>
    </w:p>
    <w:p w:rsidR="00F013A8" w:rsidRDefault="00144C87" w:rsidP="00F013A8">
      <w:pPr>
        <w:jc w:val="center"/>
        <w:rPr>
          <w:b/>
          <w:szCs w:val="22"/>
        </w:rPr>
      </w:pPr>
      <w:r>
        <w:rPr>
          <w:b/>
          <w:szCs w:val="22"/>
        </w:rPr>
        <w:t>CG</w:t>
      </w:r>
      <w:r w:rsidR="00F013A8" w:rsidRPr="009007BF">
        <w:rPr>
          <w:b/>
          <w:szCs w:val="22"/>
        </w:rPr>
        <w:t xml:space="preserve"> Docket No. </w:t>
      </w:r>
      <w:r>
        <w:rPr>
          <w:b/>
          <w:szCs w:val="22"/>
        </w:rPr>
        <w:t>02-278</w:t>
      </w:r>
    </w:p>
    <w:p w:rsidR="00F013A8" w:rsidRPr="009007BF" w:rsidRDefault="00F013A8" w:rsidP="00F013A8">
      <w:pPr>
        <w:jc w:val="center"/>
        <w:rPr>
          <w:szCs w:val="22"/>
        </w:rPr>
      </w:pPr>
    </w:p>
    <w:p w:rsidR="00F013A8" w:rsidRPr="0072552C" w:rsidRDefault="00F013A8" w:rsidP="00F013A8">
      <w:pPr>
        <w:pStyle w:val="Heading3"/>
        <w:numPr>
          <w:ilvl w:val="0"/>
          <w:numId w:val="0"/>
        </w:numPr>
        <w:spacing w:after="0"/>
        <w:rPr>
          <w:szCs w:val="22"/>
        </w:rPr>
      </w:pPr>
      <w:r w:rsidRPr="0072552C">
        <w:rPr>
          <w:szCs w:val="22"/>
        </w:rPr>
        <w:t>Comment Date</w:t>
      </w:r>
      <w:r w:rsidRPr="0072552C">
        <w:rPr>
          <w:b w:val="0"/>
          <w:szCs w:val="22"/>
        </w:rPr>
        <w:t>:</w:t>
      </w:r>
      <w:r w:rsidR="004C6BE3" w:rsidRPr="0072552C">
        <w:rPr>
          <w:szCs w:val="22"/>
        </w:rPr>
        <w:t xml:space="preserve"> </w:t>
      </w:r>
      <w:r w:rsidR="00461EBC" w:rsidRPr="0072552C">
        <w:rPr>
          <w:szCs w:val="22"/>
        </w:rPr>
        <w:t xml:space="preserve"> </w:t>
      </w:r>
      <w:r w:rsidR="00D74DEA" w:rsidRPr="0072552C">
        <w:rPr>
          <w:szCs w:val="22"/>
        </w:rPr>
        <w:t>Ju</w:t>
      </w:r>
      <w:r w:rsidR="0082611F" w:rsidRPr="0072552C">
        <w:rPr>
          <w:szCs w:val="22"/>
        </w:rPr>
        <w:t>ly</w:t>
      </w:r>
      <w:r w:rsidR="0072552C" w:rsidRPr="0072552C">
        <w:rPr>
          <w:szCs w:val="22"/>
        </w:rPr>
        <w:t xml:space="preserve"> 7</w:t>
      </w:r>
      <w:r w:rsidR="00917F0A" w:rsidRPr="0072552C">
        <w:rPr>
          <w:szCs w:val="22"/>
        </w:rPr>
        <w:t>,</w:t>
      </w:r>
      <w:r w:rsidR="00815F5D" w:rsidRPr="0072552C">
        <w:rPr>
          <w:szCs w:val="22"/>
        </w:rPr>
        <w:t xml:space="preserve"> 2016</w:t>
      </w:r>
      <w:r w:rsidR="00D74DEA" w:rsidRPr="0072552C">
        <w:rPr>
          <w:szCs w:val="22"/>
        </w:rPr>
        <w:t xml:space="preserve"> </w:t>
      </w:r>
    </w:p>
    <w:p w:rsidR="00F013A8" w:rsidRPr="009007BF" w:rsidRDefault="00F013A8" w:rsidP="00F013A8">
      <w:pPr>
        <w:rPr>
          <w:b/>
          <w:szCs w:val="22"/>
        </w:rPr>
      </w:pPr>
      <w:r w:rsidRPr="0072552C">
        <w:rPr>
          <w:b/>
          <w:szCs w:val="22"/>
        </w:rPr>
        <w:t>R</w:t>
      </w:r>
      <w:r w:rsidR="000215BE" w:rsidRPr="0072552C">
        <w:rPr>
          <w:b/>
          <w:szCs w:val="22"/>
        </w:rPr>
        <w:t>epl</w:t>
      </w:r>
      <w:r w:rsidR="00D74DEA" w:rsidRPr="0072552C">
        <w:rPr>
          <w:b/>
          <w:szCs w:val="22"/>
        </w:rPr>
        <w:t>y Comment Date:  Ju</w:t>
      </w:r>
      <w:r w:rsidR="0082611F" w:rsidRPr="0072552C">
        <w:rPr>
          <w:b/>
          <w:szCs w:val="22"/>
        </w:rPr>
        <w:t>ly</w:t>
      </w:r>
      <w:r w:rsidR="0072552C" w:rsidRPr="0072552C">
        <w:rPr>
          <w:b/>
          <w:szCs w:val="22"/>
        </w:rPr>
        <w:t xml:space="preserve"> 22</w:t>
      </w:r>
      <w:r w:rsidR="00815F5D" w:rsidRPr="0072552C">
        <w:rPr>
          <w:b/>
          <w:szCs w:val="22"/>
        </w:rPr>
        <w:t>, 2016</w:t>
      </w:r>
      <w:r w:rsidR="00D74DEA">
        <w:rPr>
          <w:b/>
          <w:szCs w:val="22"/>
        </w:rPr>
        <w:t xml:space="preserve"> </w:t>
      </w:r>
    </w:p>
    <w:p w:rsidR="00F013A8" w:rsidRPr="009007BF" w:rsidRDefault="00F013A8" w:rsidP="00F013A8">
      <w:pPr>
        <w:rPr>
          <w:b/>
          <w:szCs w:val="22"/>
        </w:rPr>
      </w:pPr>
    </w:p>
    <w:p w:rsidR="00761B80" w:rsidRDefault="00910896" w:rsidP="008B15E0">
      <w:pPr>
        <w:autoSpaceDE w:val="0"/>
        <w:autoSpaceDN w:val="0"/>
        <w:adjustRightInd w:val="0"/>
        <w:ind w:firstLine="720"/>
        <w:rPr>
          <w:szCs w:val="22"/>
        </w:rPr>
      </w:pPr>
      <w:r>
        <w:rPr>
          <w:szCs w:val="22"/>
        </w:rPr>
        <w:t xml:space="preserve">With this Public Notice, we seek comment on a petition </w:t>
      </w:r>
      <w:r w:rsidR="001D4D47">
        <w:rPr>
          <w:szCs w:val="22"/>
        </w:rPr>
        <w:t xml:space="preserve">for expedited declaratory ruling </w:t>
      </w:r>
      <w:r>
        <w:rPr>
          <w:szCs w:val="22"/>
        </w:rPr>
        <w:t xml:space="preserve">filed by </w:t>
      </w:r>
      <w:r w:rsidR="00D74DEA">
        <w:rPr>
          <w:szCs w:val="22"/>
        </w:rPr>
        <w:t>Network Communication</w:t>
      </w:r>
      <w:r w:rsidR="009D7F55">
        <w:rPr>
          <w:szCs w:val="22"/>
        </w:rPr>
        <w:t>s</w:t>
      </w:r>
      <w:r w:rsidR="00D74DEA">
        <w:rPr>
          <w:szCs w:val="22"/>
        </w:rPr>
        <w:t xml:space="preserve"> International Corp.</w:t>
      </w:r>
      <w:r w:rsidR="00144C87">
        <w:rPr>
          <w:szCs w:val="22"/>
        </w:rPr>
        <w:t xml:space="preserve"> (</w:t>
      </w:r>
      <w:r w:rsidR="00D74DEA">
        <w:rPr>
          <w:szCs w:val="22"/>
        </w:rPr>
        <w:t>NCIC</w:t>
      </w:r>
      <w:r w:rsidR="00B33428">
        <w:rPr>
          <w:szCs w:val="22"/>
        </w:rPr>
        <w:t>)</w:t>
      </w:r>
      <w:r w:rsidR="001D4D47">
        <w:rPr>
          <w:szCs w:val="22"/>
        </w:rPr>
        <w:t>.</w:t>
      </w:r>
      <w:r w:rsidR="00FD6B8B">
        <w:rPr>
          <w:rStyle w:val="FootnoteReference"/>
          <w:szCs w:val="22"/>
        </w:rPr>
        <w:footnoteReference w:id="1"/>
      </w:r>
      <w:r w:rsidR="00FD6B8B">
        <w:rPr>
          <w:szCs w:val="22"/>
        </w:rPr>
        <w:t xml:space="preserve"> </w:t>
      </w:r>
      <w:r w:rsidR="001D4D47">
        <w:rPr>
          <w:szCs w:val="22"/>
        </w:rPr>
        <w:t xml:space="preserve"> In its petition, NCIC seeks </w:t>
      </w:r>
      <w:r>
        <w:rPr>
          <w:szCs w:val="22"/>
        </w:rPr>
        <w:t>a</w:t>
      </w:r>
      <w:r w:rsidR="00B33428">
        <w:rPr>
          <w:szCs w:val="22"/>
        </w:rPr>
        <w:t xml:space="preserve"> </w:t>
      </w:r>
      <w:r w:rsidR="00C51FEC">
        <w:rPr>
          <w:szCs w:val="22"/>
        </w:rPr>
        <w:t xml:space="preserve">declaratory ruling </w:t>
      </w:r>
      <w:r w:rsidR="00A65F50">
        <w:rPr>
          <w:szCs w:val="22"/>
        </w:rPr>
        <w:t xml:space="preserve">that </w:t>
      </w:r>
      <w:r w:rsidR="001D4D47">
        <w:rPr>
          <w:szCs w:val="22"/>
        </w:rPr>
        <w:t>its</w:t>
      </w:r>
      <w:r w:rsidR="00A65F50">
        <w:rPr>
          <w:szCs w:val="22"/>
        </w:rPr>
        <w:t xml:space="preserve"> use of a one-time informational text message </w:t>
      </w:r>
      <w:r w:rsidR="00AA2410">
        <w:rPr>
          <w:szCs w:val="22"/>
        </w:rPr>
        <w:t xml:space="preserve">to </w:t>
      </w:r>
      <w:r w:rsidR="00A65F50">
        <w:rPr>
          <w:szCs w:val="22"/>
        </w:rPr>
        <w:t xml:space="preserve">establish a billing relationship with a called party who does not answer or respond to a collect call from an </w:t>
      </w:r>
      <w:r w:rsidR="00F13C58">
        <w:rPr>
          <w:szCs w:val="22"/>
        </w:rPr>
        <w:t>inmate using NCIC’s</w:t>
      </w:r>
      <w:r w:rsidR="00A65F50">
        <w:rPr>
          <w:szCs w:val="22"/>
        </w:rPr>
        <w:t xml:space="preserve"> </w:t>
      </w:r>
      <w:r w:rsidR="00316F61">
        <w:rPr>
          <w:szCs w:val="22"/>
        </w:rPr>
        <w:t xml:space="preserve">inmate </w:t>
      </w:r>
      <w:r w:rsidR="00A65F50">
        <w:rPr>
          <w:szCs w:val="22"/>
        </w:rPr>
        <w:t>calling service</w:t>
      </w:r>
      <w:r w:rsidR="00A54DC6">
        <w:rPr>
          <w:szCs w:val="22"/>
        </w:rPr>
        <w:t xml:space="preserve"> </w:t>
      </w:r>
      <w:r w:rsidR="00316F61">
        <w:rPr>
          <w:szCs w:val="22"/>
        </w:rPr>
        <w:t xml:space="preserve">(ICS) </w:t>
      </w:r>
      <w:r w:rsidR="00A54DC6">
        <w:rPr>
          <w:szCs w:val="22"/>
        </w:rPr>
        <w:t xml:space="preserve">does not require prior express consent from the called party because: (a) such texts are covered by an exemption granted </w:t>
      </w:r>
      <w:r w:rsidR="00316F61">
        <w:rPr>
          <w:szCs w:val="22"/>
        </w:rPr>
        <w:t xml:space="preserve">in response to another ICS </w:t>
      </w:r>
      <w:r w:rsidR="005B0731">
        <w:rPr>
          <w:szCs w:val="22"/>
        </w:rPr>
        <w:t>provider</w:t>
      </w:r>
      <w:r w:rsidR="00316F61">
        <w:rPr>
          <w:szCs w:val="22"/>
        </w:rPr>
        <w:t>’s request</w:t>
      </w:r>
      <w:r w:rsidR="00A54DC6">
        <w:rPr>
          <w:szCs w:val="22"/>
        </w:rPr>
        <w:t xml:space="preserve">; (b) </w:t>
      </w:r>
      <w:r w:rsidR="00761B80">
        <w:rPr>
          <w:szCs w:val="22"/>
        </w:rPr>
        <w:t>the text is initiated by inmate callers and not NCIC; and/or (c) the text is not sent by an automatic telephone dialing system</w:t>
      </w:r>
      <w:r w:rsidR="005B0731">
        <w:rPr>
          <w:szCs w:val="22"/>
        </w:rPr>
        <w:t xml:space="preserve"> (autodialer)</w:t>
      </w:r>
      <w:r w:rsidR="00A65F50">
        <w:rPr>
          <w:szCs w:val="22"/>
        </w:rPr>
        <w:t>.</w:t>
      </w:r>
      <w:r w:rsidR="00D96406">
        <w:rPr>
          <w:rStyle w:val="FootnoteReference"/>
          <w:szCs w:val="22"/>
        </w:rPr>
        <w:footnoteReference w:id="2"/>
      </w:r>
      <w:r w:rsidR="00F013A8">
        <w:rPr>
          <w:szCs w:val="22"/>
        </w:rPr>
        <w:t xml:space="preserve">  </w:t>
      </w:r>
      <w:r w:rsidR="00F013A8" w:rsidRPr="009007BF">
        <w:rPr>
          <w:szCs w:val="22"/>
        </w:rPr>
        <w:t xml:space="preserve"> </w:t>
      </w:r>
    </w:p>
    <w:p w:rsidR="00761B80" w:rsidRDefault="00761B80" w:rsidP="008B15E0">
      <w:pPr>
        <w:autoSpaceDE w:val="0"/>
        <w:autoSpaceDN w:val="0"/>
        <w:adjustRightInd w:val="0"/>
        <w:ind w:firstLine="720"/>
        <w:rPr>
          <w:szCs w:val="22"/>
        </w:rPr>
      </w:pPr>
    </w:p>
    <w:p w:rsidR="00A65F50" w:rsidRPr="00761B80" w:rsidRDefault="00761B80" w:rsidP="008B15E0">
      <w:pPr>
        <w:autoSpaceDE w:val="0"/>
        <w:autoSpaceDN w:val="0"/>
        <w:adjustRightInd w:val="0"/>
        <w:ind w:firstLine="720"/>
        <w:rPr>
          <w:szCs w:val="22"/>
        </w:rPr>
      </w:pPr>
      <w:r>
        <w:rPr>
          <w:szCs w:val="22"/>
        </w:rPr>
        <w:t>T</w:t>
      </w:r>
      <w:r w:rsidR="00A54DC6" w:rsidRPr="00761B80">
        <w:rPr>
          <w:szCs w:val="22"/>
        </w:rPr>
        <w:t>he Telephone Consumer Protection Act (TCPA) and the Commission’s implementing rules</w:t>
      </w:r>
      <w:r w:rsidR="00A54DC6" w:rsidRPr="00761B80">
        <w:rPr>
          <w:rStyle w:val="FootnoteReference"/>
          <w:szCs w:val="22"/>
        </w:rPr>
        <w:footnoteReference w:id="3"/>
      </w:r>
      <w:r w:rsidR="00A54DC6" w:rsidRPr="00761B80">
        <w:rPr>
          <w:szCs w:val="22"/>
        </w:rPr>
        <w:t xml:space="preserve"> </w:t>
      </w:r>
      <w:r w:rsidRPr="00761B80">
        <w:rPr>
          <w:szCs w:val="22"/>
        </w:rPr>
        <w:t>require</w:t>
      </w:r>
      <w:r w:rsidRPr="001304AB">
        <w:rPr>
          <w:szCs w:val="22"/>
        </w:rPr>
        <w:t xml:space="preserve"> prior express consent for non-emergency autodialed, prerecorded, or artificial</w:t>
      </w:r>
      <w:r w:rsidR="00316F61">
        <w:rPr>
          <w:szCs w:val="22"/>
        </w:rPr>
        <w:t>-</w:t>
      </w:r>
      <w:r w:rsidRPr="001304AB">
        <w:rPr>
          <w:szCs w:val="22"/>
        </w:rPr>
        <w:t>voice calls to wireless telephone numbers</w:t>
      </w:r>
      <w:r w:rsidR="001D4D47">
        <w:rPr>
          <w:szCs w:val="22"/>
        </w:rPr>
        <w:t>, regardless of content</w:t>
      </w:r>
      <w:r>
        <w:rPr>
          <w:szCs w:val="22"/>
        </w:rPr>
        <w:t>.</w:t>
      </w:r>
      <w:r>
        <w:rPr>
          <w:rStyle w:val="FootnoteReference"/>
          <w:szCs w:val="22"/>
        </w:rPr>
        <w:footnoteReference w:id="4"/>
      </w:r>
      <w:r w:rsidR="001D4D47">
        <w:rPr>
          <w:szCs w:val="22"/>
        </w:rPr>
        <w:t xml:space="preserve">  The Commission has determined that “calls” under the TCPA include text messages.</w:t>
      </w:r>
      <w:r w:rsidR="001D4D47">
        <w:rPr>
          <w:rStyle w:val="FootnoteReference"/>
          <w:szCs w:val="22"/>
        </w:rPr>
        <w:footnoteReference w:id="5"/>
      </w:r>
      <w:r w:rsidRPr="001304AB">
        <w:rPr>
          <w:szCs w:val="22"/>
        </w:rPr>
        <w:t xml:space="preserve"> </w:t>
      </w:r>
      <w:r w:rsidR="001D4D47">
        <w:rPr>
          <w:szCs w:val="22"/>
        </w:rPr>
        <w:t xml:space="preserve"> </w:t>
      </w:r>
    </w:p>
    <w:p w:rsidR="00A65F50" w:rsidRDefault="00A65F50" w:rsidP="008B15E0">
      <w:pPr>
        <w:autoSpaceDE w:val="0"/>
        <w:autoSpaceDN w:val="0"/>
        <w:adjustRightInd w:val="0"/>
        <w:ind w:firstLine="720"/>
        <w:rPr>
          <w:szCs w:val="22"/>
        </w:rPr>
      </w:pPr>
    </w:p>
    <w:p w:rsidR="00FD6B8B" w:rsidRDefault="00F13C58" w:rsidP="0057787A">
      <w:pPr>
        <w:autoSpaceDE w:val="0"/>
        <w:autoSpaceDN w:val="0"/>
        <w:adjustRightInd w:val="0"/>
        <w:ind w:firstLine="720"/>
        <w:rPr>
          <w:szCs w:val="22"/>
        </w:rPr>
      </w:pPr>
      <w:r>
        <w:rPr>
          <w:szCs w:val="22"/>
        </w:rPr>
        <w:t>NCIC asserts that allowing it</w:t>
      </w:r>
      <w:r w:rsidR="00D96CA9">
        <w:rPr>
          <w:szCs w:val="22"/>
        </w:rPr>
        <w:t xml:space="preserve"> to send a </w:t>
      </w:r>
      <w:r w:rsidR="00EF550F">
        <w:rPr>
          <w:szCs w:val="22"/>
        </w:rPr>
        <w:t xml:space="preserve">follow-up </w:t>
      </w:r>
      <w:r w:rsidR="00D96CA9">
        <w:rPr>
          <w:szCs w:val="22"/>
        </w:rPr>
        <w:t xml:space="preserve">text message </w:t>
      </w:r>
      <w:r w:rsidR="001D4D47">
        <w:rPr>
          <w:szCs w:val="22"/>
        </w:rPr>
        <w:t xml:space="preserve">without the called party’s prior express consent </w:t>
      </w:r>
      <w:r w:rsidR="00C51FEC">
        <w:rPr>
          <w:szCs w:val="22"/>
        </w:rPr>
        <w:t>when an inmate cannot complete a collect call</w:t>
      </w:r>
      <w:r w:rsidR="00D96CA9">
        <w:rPr>
          <w:szCs w:val="22"/>
        </w:rPr>
        <w:t xml:space="preserve"> </w:t>
      </w:r>
      <w:r w:rsidR="00FD6B8B">
        <w:rPr>
          <w:szCs w:val="22"/>
        </w:rPr>
        <w:t xml:space="preserve">is consistent with the Commission’s established policies that recognize the difficulties </w:t>
      </w:r>
      <w:r w:rsidR="00910896">
        <w:rPr>
          <w:szCs w:val="22"/>
        </w:rPr>
        <w:t>ICS</w:t>
      </w:r>
      <w:r w:rsidR="00FD6B8B">
        <w:rPr>
          <w:szCs w:val="22"/>
        </w:rPr>
        <w:t xml:space="preserve"> providers face to facilitate calls from inmates.</w:t>
      </w:r>
      <w:r w:rsidR="00910896">
        <w:rPr>
          <w:rStyle w:val="FootnoteReference"/>
          <w:szCs w:val="22"/>
        </w:rPr>
        <w:footnoteReference w:id="6"/>
      </w:r>
      <w:r w:rsidR="00BE0670">
        <w:rPr>
          <w:szCs w:val="22"/>
        </w:rPr>
        <w:t xml:space="preserve">  </w:t>
      </w:r>
      <w:r w:rsidR="00C51FEC">
        <w:rPr>
          <w:szCs w:val="22"/>
        </w:rPr>
        <w:t>Moreover</w:t>
      </w:r>
      <w:r w:rsidR="00317366">
        <w:rPr>
          <w:szCs w:val="22"/>
        </w:rPr>
        <w:t xml:space="preserve">, NCIC </w:t>
      </w:r>
      <w:r w:rsidR="009468F6">
        <w:rPr>
          <w:szCs w:val="22"/>
        </w:rPr>
        <w:t>claims</w:t>
      </w:r>
      <w:r w:rsidR="00317366">
        <w:rPr>
          <w:szCs w:val="22"/>
        </w:rPr>
        <w:t xml:space="preserve"> that its</w:t>
      </w:r>
      <w:r w:rsidR="005B0731">
        <w:rPr>
          <w:szCs w:val="22"/>
        </w:rPr>
        <w:t xml:space="preserve"> texting protocol</w:t>
      </w:r>
      <w:r w:rsidR="00317366">
        <w:rPr>
          <w:szCs w:val="22"/>
        </w:rPr>
        <w:t xml:space="preserve"> is virtually identical to a</w:t>
      </w:r>
      <w:r w:rsidR="005B0731">
        <w:rPr>
          <w:szCs w:val="22"/>
        </w:rPr>
        <w:t>nother ICS provider’s calling</w:t>
      </w:r>
      <w:r w:rsidR="00317366">
        <w:rPr>
          <w:szCs w:val="22"/>
        </w:rPr>
        <w:t xml:space="preserve"> </w:t>
      </w:r>
      <w:r w:rsidR="00EF550F">
        <w:rPr>
          <w:szCs w:val="22"/>
        </w:rPr>
        <w:t xml:space="preserve">protocol </w:t>
      </w:r>
      <w:r w:rsidR="001D4D47">
        <w:rPr>
          <w:szCs w:val="22"/>
        </w:rPr>
        <w:t>that</w:t>
      </w:r>
      <w:r w:rsidR="00EF550F">
        <w:rPr>
          <w:szCs w:val="22"/>
        </w:rPr>
        <w:t xml:space="preserve"> the Commission </w:t>
      </w:r>
      <w:r w:rsidR="001D4D47">
        <w:rPr>
          <w:szCs w:val="22"/>
        </w:rPr>
        <w:t>exempted fr</w:t>
      </w:r>
      <w:r w:rsidR="008F29A2">
        <w:rPr>
          <w:szCs w:val="22"/>
        </w:rPr>
        <w:t>om the TCPA consent requirement.</w:t>
      </w:r>
      <w:r w:rsidR="008F29A2">
        <w:rPr>
          <w:rStyle w:val="FootnoteReference"/>
          <w:szCs w:val="22"/>
        </w:rPr>
        <w:footnoteReference w:id="7"/>
      </w:r>
      <w:r w:rsidR="008F29A2">
        <w:rPr>
          <w:szCs w:val="22"/>
        </w:rPr>
        <w:t xml:space="preserve"> </w:t>
      </w:r>
      <w:r w:rsidR="001D4D47">
        <w:rPr>
          <w:szCs w:val="22"/>
        </w:rPr>
        <w:t xml:space="preserve"> </w:t>
      </w:r>
      <w:r w:rsidR="008F29A2">
        <w:rPr>
          <w:szCs w:val="22"/>
        </w:rPr>
        <w:t>U</w:t>
      </w:r>
      <w:r w:rsidR="005B0731">
        <w:rPr>
          <w:szCs w:val="22"/>
        </w:rPr>
        <w:t>nder</w:t>
      </w:r>
      <w:r w:rsidR="001D4D47">
        <w:rPr>
          <w:szCs w:val="22"/>
        </w:rPr>
        <w:t xml:space="preserve"> </w:t>
      </w:r>
      <w:r w:rsidR="008F29A2">
        <w:rPr>
          <w:szCs w:val="22"/>
        </w:rPr>
        <w:t xml:space="preserve">that exemption, </w:t>
      </w:r>
      <w:r w:rsidR="001D4D47">
        <w:rPr>
          <w:szCs w:val="22"/>
        </w:rPr>
        <w:t xml:space="preserve">as </w:t>
      </w:r>
      <w:r w:rsidR="00EF550F">
        <w:rPr>
          <w:szCs w:val="22"/>
        </w:rPr>
        <w:t xml:space="preserve">many as three follow-up prerecorded phone calls </w:t>
      </w:r>
      <w:r w:rsidR="001D4D47">
        <w:rPr>
          <w:szCs w:val="22"/>
        </w:rPr>
        <w:t xml:space="preserve">may be made without prior express consent </w:t>
      </w:r>
      <w:r w:rsidR="00EF550F">
        <w:rPr>
          <w:szCs w:val="22"/>
        </w:rPr>
        <w:t>to notify a called party about an inmate’s unsuccessful collect call</w:t>
      </w:r>
      <w:r w:rsidR="005B0731">
        <w:rPr>
          <w:szCs w:val="22"/>
        </w:rPr>
        <w:t xml:space="preserve"> attempt</w:t>
      </w:r>
      <w:r w:rsidR="00EF550F">
        <w:rPr>
          <w:szCs w:val="22"/>
        </w:rPr>
        <w:t>.</w:t>
      </w:r>
      <w:r w:rsidR="008F29A2">
        <w:rPr>
          <w:rStyle w:val="FootnoteReference"/>
          <w:szCs w:val="22"/>
        </w:rPr>
        <w:footnoteReference w:id="8"/>
      </w:r>
      <w:r w:rsidR="008F29A2">
        <w:rPr>
          <w:szCs w:val="22"/>
        </w:rPr>
        <w:t xml:space="preserve"> </w:t>
      </w:r>
      <w:r w:rsidR="002435FF">
        <w:rPr>
          <w:szCs w:val="22"/>
        </w:rPr>
        <w:t xml:space="preserve"> </w:t>
      </w:r>
      <w:r w:rsidR="000C578C">
        <w:rPr>
          <w:szCs w:val="22"/>
        </w:rPr>
        <w:t>Finally</w:t>
      </w:r>
      <w:r w:rsidR="002435FF">
        <w:rPr>
          <w:szCs w:val="22"/>
        </w:rPr>
        <w:t xml:space="preserve">, NCIC argues that its single follow-up </w:t>
      </w:r>
      <w:r w:rsidR="00CF1A89">
        <w:rPr>
          <w:szCs w:val="22"/>
        </w:rPr>
        <w:t xml:space="preserve">text </w:t>
      </w:r>
      <w:r w:rsidR="002435FF">
        <w:rPr>
          <w:szCs w:val="22"/>
        </w:rPr>
        <w:t>would not contravene the TCPA bec</w:t>
      </w:r>
      <w:r w:rsidR="000C578C">
        <w:rPr>
          <w:szCs w:val="22"/>
        </w:rPr>
        <w:t>ause</w:t>
      </w:r>
      <w:r w:rsidR="0057787A">
        <w:rPr>
          <w:szCs w:val="22"/>
        </w:rPr>
        <w:t xml:space="preserve"> its system doesn’t utilize an autodialer and </w:t>
      </w:r>
      <w:r w:rsidR="00CF1A89">
        <w:rPr>
          <w:szCs w:val="22"/>
        </w:rPr>
        <w:t xml:space="preserve">because </w:t>
      </w:r>
      <w:r w:rsidR="0057787A">
        <w:rPr>
          <w:szCs w:val="22"/>
        </w:rPr>
        <w:t xml:space="preserve">the </w:t>
      </w:r>
      <w:r w:rsidR="002435FF">
        <w:rPr>
          <w:szCs w:val="22"/>
        </w:rPr>
        <w:t xml:space="preserve">text message through NCIC’s ICS system </w:t>
      </w:r>
      <w:r w:rsidR="00CF1A89">
        <w:rPr>
          <w:szCs w:val="22"/>
        </w:rPr>
        <w:t xml:space="preserve">would actually be </w:t>
      </w:r>
      <w:r w:rsidR="002435FF">
        <w:rPr>
          <w:szCs w:val="22"/>
        </w:rPr>
        <w:t>initiated by the inmate</w:t>
      </w:r>
      <w:r w:rsidR="00316F61">
        <w:rPr>
          <w:szCs w:val="22"/>
        </w:rPr>
        <w:t>’s call</w:t>
      </w:r>
      <w:r w:rsidR="002435FF">
        <w:rPr>
          <w:szCs w:val="22"/>
        </w:rPr>
        <w:t>.</w:t>
      </w:r>
      <w:r w:rsidR="002435FF">
        <w:rPr>
          <w:rStyle w:val="FootnoteReference"/>
          <w:szCs w:val="22"/>
        </w:rPr>
        <w:footnoteReference w:id="9"/>
      </w:r>
      <w:r w:rsidR="002435FF">
        <w:rPr>
          <w:szCs w:val="22"/>
        </w:rPr>
        <w:t xml:space="preserve">  </w:t>
      </w:r>
    </w:p>
    <w:p w:rsidR="00FD6B8B" w:rsidRDefault="00FD6B8B" w:rsidP="0078672D">
      <w:pPr>
        <w:autoSpaceDE w:val="0"/>
        <w:autoSpaceDN w:val="0"/>
        <w:adjustRightInd w:val="0"/>
        <w:ind w:firstLine="720"/>
        <w:rPr>
          <w:szCs w:val="22"/>
        </w:rPr>
      </w:pPr>
    </w:p>
    <w:p w:rsidR="0078672D" w:rsidRPr="00264E77" w:rsidRDefault="00B450C4" w:rsidP="0078672D">
      <w:pPr>
        <w:autoSpaceDE w:val="0"/>
        <w:autoSpaceDN w:val="0"/>
        <w:adjustRightInd w:val="0"/>
        <w:ind w:firstLine="720"/>
        <w:rPr>
          <w:szCs w:val="22"/>
        </w:rPr>
      </w:pPr>
      <w:r>
        <w:rPr>
          <w:szCs w:val="22"/>
        </w:rPr>
        <w:t xml:space="preserve">We seek comment on these and </w:t>
      </w:r>
      <w:r w:rsidR="00316F61">
        <w:rPr>
          <w:szCs w:val="22"/>
        </w:rPr>
        <w:t xml:space="preserve">any </w:t>
      </w:r>
      <w:r>
        <w:rPr>
          <w:szCs w:val="22"/>
        </w:rPr>
        <w:t xml:space="preserve">other issues raised by the </w:t>
      </w:r>
      <w:r w:rsidRPr="00FD6B8B">
        <w:rPr>
          <w:i/>
          <w:szCs w:val="22"/>
        </w:rPr>
        <w:t>Petition</w:t>
      </w:r>
      <w:r>
        <w:rPr>
          <w:szCs w:val="22"/>
        </w:rPr>
        <w:t>.</w:t>
      </w:r>
    </w:p>
    <w:p w:rsidR="00D96406" w:rsidRPr="009007BF" w:rsidRDefault="00D96406" w:rsidP="003649E3">
      <w:pPr>
        <w:autoSpaceDE w:val="0"/>
        <w:autoSpaceDN w:val="0"/>
        <w:adjustRightInd w:val="0"/>
        <w:rPr>
          <w:szCs w:val="22"/>
        </w:rPr>
      </w:pPr>
    </w:p>
    <w:p w:rsidR="00923BE8" w:rsidRPr="00923BE8" w:rsidRDefault="00F013A8" w:rsidP="00923BE8">
      <w:pPr>
        <w:autoSpaceDE w:val="0"/>
        <w:autoSpaceDN w:val="0"/>
        <w:adjustRightInd w:val="0"/>
        <w:rPr>
          <w:szCs w:val="22"/>
        </w:rPr>
      </w:pPr>
      <w:r w:rsidRPr="009007BF">
        <w:rPr>
          <w:szCs w:val="22"/>
        </w:rPr>
        <w:tab/>
        <w:t xml:space="preserve"> </w:t>
      </w:r>
      <w:r w:rsidR="00923BE8"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923BE8" w:rsidRPr="00923BE8">
        <w:rPr>
          <w:i/>
          <w:szCs w:val="22"/>
        </w:rPr>
        <w:t>See</w:t>
      </w:r>
      <w:r w:rsidR="00923BE8" w:rsidRPr="00923BE8">
        <w:rPr>
          <w:szCs w:val="22"/>
        </w:rPr>
        <w:t xml:space="preserve"> Electronic Filing of Documents in Rulemaking Proceedings, 63 FR 24121 (1998).</w:t>
      </w:r>
    </w:p>
    <w:p w:rsidR="00923BE8" w:rsidRPr="00923BE8" w:rsidRDefault="00923BE8" w:rsidP="00923BE8">
      <w:pPr>
        <w:autoSpaceDE w:val="0"/>
        <w:autoSpaceDN w:val="0"/>
        <w:adjustRightInd w:val="0"/>
        <w:rPr>
          <w:szCs w:val="22"/>
        </w:rPr>
      </w:pPr>
    </w:p>
    <w:p w:rsidR="00923BE8" w:rsidRPr="00923BE8" w:rsidRDefault="00923BE8" w:rsidP="00923BE8">
      <w:pPr>
        <w:numPr>
          <w:ilvl w:val="0"/>
          <w:numId w:val="45"/>
        </w:numPr>
        <w:autoSpaceDE w:val="0"/>
        <w:autoSpaceDN w:val="0"/>
        <w:adjustRightInd w:val="0"/>
        <w:rPr>
          <w:szCs w:val="22"/>
        </w:rPr>
      </w:pPr>
      <w:r w:rsidRPr="00923BE8">
        <w:rPr>
          <w:szCs w:val="22"/>
        </w:rPr>
        <w:t xml:space="preserve">Electronic Filers:  Comments may be filed electronically using the Internet by accessing ECFS:  http://fjallfoss.fcc.gov/ecfs2/.  </w:t>
      </w:r>
    </w:p>
    <w:p w:rsidR="00923BE8" w:rsidRPr="00923BE8" w:rsidRDefault="00923BE8" w:rsidP="00923BE8">
      <w:pPr>
        <w:numPr>
          <w:ilvl w:val="0"/>
          <w:numId w:val="45"/>
        </w:numPr>
        <w:autoSpaceDE w:val="0"/>
        <w:autoSpaceDN w:val="0"/>
        <w:adjustRightInd w:val="0"/>
        <w:rPr>
          <w:szCs w:val="22"/>
        </w:rPr>
      </w:pPr>
      <w:r w:rsidRPr="00923BE8">
        <w:rPr>
          <w:szCs w:val="22"/>
        </w:rPr>
        <w:t xml:space="preserve">Paper Filers:  Parties who choose to file by paper must file an original and one copy of each filing.  </w:t>
      </w:r>
    </w:p>
    <w:p w:rsidR="00923BE8" w:rsidRPr="00923BE8" w:rsidRDefault="00923BE8" w:rsidP="00923BE8">
      <w:pPr>
        <w:numPr>
          <w:ilvl w:val="0"/>
          <w:numId w:val="45"/>
        </w:numPr>
        <w:autoSpaceDE w:val="0"/>
        <w:autoSpaceDN w:val="0"/>
        <w:adjustRightInd w:val="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23BE8" w:rsidRPr="00923BE8" w:rsidRDefault="00923BE8" w:rsidP="00923BE8">
      <w:pPr>
        <w:numPr>
          <w:ilvl w:val="0"/>
          <w:numId w:val="45"/>
        </w:numPr>
        <w:autoSpaceDE w:val="0"/>
        <w:autoSpaceDN w:val="0"/>
        <w:adjustRightInd w:val="0"/>
        <w:rPr>
          <w:szCs w:val="22"/>
        </w:rPr>
      </w:pPr>
      <w:r w:rsidRPr="00923BE8">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923BE8" w:rsidRPr="00923BE8" w:rsidRDefault="00923BE8" w:rsidP="00923BE8">
      <w:pPr>
        <w:numPr>
          <w:ilvl w:val="0"/>
          <w:numId w:val="45"/>
        </w:numPr>
        <w:autoSpaceDE w:val="0"/>
        <w:autoSpaceDN w:val="0"/>
        <w:adjustRightInd w:val="0"/>
        <w:rPr>
          <w:szCs w:val="22"/>
        </w:rPr>
      </w:pPr>
      <w:r w:rsidRPr="00923BE8">
        <w:rPr>
          <w:szCs w:val="22"/>
        </w:rPr>
        <w:t>Commercial overnight mail (other than U.S. Postal Service Express Mail and Priority Mail) must be sent to 9300 East Hampton Drive, Capitol Heights, MD  20743.</w:t>
      </w:r>
    </w:p>
    <w:p w:rsidR="00923BE8" w:rsidRPr="00923BE8" w:rsidRDefault="00923BE8" w:rsidP="00923BE8">
      <w:pPr>
        <w:numPr>
          <w:ilvl w:val="0"/>
          <w:numId w:val="45"/>
        </w:numPr>
        <w:autoSpaceDE w:val="0"/>
        <w:autoSpaceDN w:val="0"/>
        <w:adjustRightInd w:val="0"/>
        <w:rPr>
          <w:szCs w:val="22"/>
        </w:rPr>
      </w:pPr>
      <w:r w:rsidRPr="00923BE8">
        <w:rPr>
          <w:szCs w:val="22"/>
        </w:rPr>
        <w:t>U.S. Postal Service first-class, Express, and Priority mail must be addressed to 445 12th Street, SW, Washington DC  20554.</w:t>
      </w:r>
    </w:p>
    <w:p w:rsidR="00923BE8" w:rsidRPr="00923BE8" w:rsidRDefault="00923BE8" w:rsidP="00923BE8">
      <w:pPr>
        <w:autoSpaceDE w:val="0"/>
        <w:autoSpaceDN w:val="0"/>
        <w:adjustRightInd w:val="0"/>
        <w:rPr>
          <w:szCs w:val="22"/>
        </w:rPr>
      </w:pPr>
    </w:p>
    <w:p w:rsidR="00923BE8" w:rsidRPr="00923BE8" w:rsidRDefault="00923BE8" w:rsidP="00923BE8">
      <w:pPr>
        <w:autoSpaceDE w:val="0"/>
        <w:autoSpaceDN w:val="0"/>
        <w:adjustRightInd w:val="0"/>
        <w:rPr>
          <w:szCs w:val="22"/>
        </w:rPr>
      </w:pPr>
      <w:r w:rsidRPr="00923BE8">
        <w:rPr>
          <w:szCs w:val="22"/>
        </w:rPr>
        <w:t xml:space="preserve">People with Disabilities:  To request materials in accessible formats for people with disabilities (braille, large print, electronic files, audio format), send an e-mail to </w:t>
      </w:r>
      <w:hyperlink r:id="rId14" w:history="1">
        <w:r w:rsidRPr="00923BE8">
          <w:rPr>
            <w:rStyle w:val="Hyperlink"/>
            <w:szCs w:val="22"/>
          </w:rPr>
          <w:t>fcc504@fcc.gov</w:t>
        </w:r>
      </w:hyperlink>
      <w:r w:rsidRPr="00923BE8">
        <w:rPr>
          <w:szCs w:val="22"/>
        </w:rPr>
        <w:t xml:space="preserve"> or call the Consumer and Governmental Affairs Bureau at 202-418-0530 (voice), 202-418-0432 (tty).</w:t>
      </w:r>
    </w:p>
    <w:p w:rsidR="00923BE8" w:rsidRPr="00923BE8" w:rsidRDefault="00923BE8" w:rsidP="00923BE8">
      <w:pPr>
        <w:autoSpaceDE w:val="0"/>
        <w:autoSpaceDN w:val="0"/>
        <w:adjustRightInd w:val="0"/>
        <w:rPr>
          <w:szCs w:val="22"/>
        </w:rPr>
      </w:pPr>
    </w:p>
    <w:p w:rsidR="00F013A8" w:rsidRPr="009007BF" w:rsidRDefault="00647116" w:rsidP="00647116">
      <w:pPr>
        <w:autoSpaceDE w:val="0"/>
        <w:autoSpaceDN w:val="0"/>
        <w:adjustRightInd w:val="0"/>
        <w:ind w:firstLine="720"/>
        <w:rPr>
          <w:szCs w:val="22"/>
        </w:rPr>
      </w:pPr>
      <w:r>
        <w:rPr>
          <w:szCs w:val="22"/>
        </w:rPr>
        <w:t>This</w:t>
      </w:r>
      <w:r w:rsidR="00923BE8" w:rsidRPr="00923BE8">
        <w:rPr>
          <w:szCs w:val="22"/>
        </w:rPr>
        <w:t xml:space="preserve"> p</w:t>
      </w:r>
      <w:r w:rsidR="00923BE8">
        <w:rPr>
          <w:szCs w:val="22"/>
        </w:rPr>
        <w:t xml:space="preserve">roceeding </w:t>
      </w:r>
      <w:r w:rsidR="00923BE8" w:rsidRPr="00923BE8">
        <w:rPr>
          <w:szCs w:val="22"/>
        </w:rPr>
        <w:t xml:space="preserve">shall be treated as a “permit-but-disclose” proceeding in accordance with the Commission’s </w:t>
      </w:r>
      <w:r w:rsidR="00923BE8" w:rsidRPr="00923BE8">
        <w:rPr>
          <w:i/>
          <w:iCs/>
          <w:szCs w:val="22"/>
        </w:rPr>
        <w:t xml:space="preserve">ex parte </w:t>
      </w:r>
      <w:r w:rsidR="00923BE8" w:rsidRPr="00923BE8">
        <w:rPr>
          <w:szCs w:val="22"/>
        </w:rPr>
        <w:t>rules.</w:t>
      </w:r>
      <w:r w:rsidR="00923BE8" w:rsidRPr="00923BE8">
        <w:rPr>
          <w:szCs w:val="22"/>
          <w:vertAlign w:val="superscript"/>
        </w:rPr>
        <w:footnoteReference w:id="10"/>
      </w:r>
      <w:r w:rsidR="00923BE8" w:rsidRPr="00923BE8">
        <w:rPr>
          <w:szCs w:val="22"/>
        </w:rPr>
        <w:t xml:space="preserve">  Persons making </w:t>
      </w:r>
      <w:r w:rsidR="00923BE8" w:rsidRPr="00923BE8">
        <w:rPr>
          <w:i/>
          <w:szCs w:val="22"/>
        </w:rPr>
        <w:t xml:space="preserve">ex parte </w:t>
      </w:r>
      <w:r w:rsidR="00923BE8" w:rsidRPr="00923BE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23BE8" w:rsidRPr="00923BE8">
        <w:rPr>
          <w:i/>
          <w:iCs/>
          <w:szCs w:val="22"/>
        </w:rPr>
        <w:t xml:space="preserve">ex parte </w:t>
      </w:r>
      <w:r w:rsidR="00923BE8" w:rsidRPr="00923BE8">
        <w:rPr>
          <w:szCs w:val="22"/>
        </w:rPr>
        <w:t xml:space="preserve">presentations are reminded that memoranda summarizing the presentation must (1) list all persons attending or otherwise participating in the meeting at which the </w:t>
      </w:r>
      <w:r w:rsidR="00923BE8" w:rsidRPr="00923BE8">
        <w:rPr>
          <w:i/>
          <w:iCs/>
          <w:szCs w:val="22"/>
        </w:rPr>
        <w:t xml:space="preserve">ex parte </w:t>
      </w:r>
      <w:r w:rsidR="00923BE8"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23BE8" w:rsidRPr="00923BE8">
        <w:rPr>
          <w:i/>
          <w:iCs/>
          <w:szCs w:val="22"/>
        </w:rPr>
        <w:t xml:space="preserve">ex parte </w:t>
      </w:r>
      <w:r w:rsidR="00923BE8" w:rsidRPr="00923BE8">
        <w:rPr>
          <w:szCs w:val="22"/>
        </w:rPr>
        <w:t xml:space="preserve">meetings are deemed to be written </w:t>
      </w:r>
      <w:r w:rsidR="00923BE8" w:rsidRPr="00923BE8">
        <w:rPr>
          <w:i/>
          <w:iCs/>
          <w:szCs w:val="22"/>
        </w:rPr>
        <w:t>ex parte</w:t>
      </w:r>
      <w:r w:rsidR="00923BE8" w:rsidRPr="00923BE8">
        <w:rPr>
          <w:szCs w:val="22"/>
        </w:rPr>
        <w:t xml:space="preserve"> presentations and must be filed consistent with rule 1.1206(b).  In proceedings governed by rule 1.49(f) or for which the Commission has made available a method of electronic filing, written </w:t>
      </w:r>
      <w:r w:rsidR="00923BE8" w:rsidRPr="00923BE8">
        <w:rPr>
          <w:i/>
          <w:iCs/>
          <w:szCs w:val="22"/>
        </w:rPr>
        <w:t xml:space="preserve">ex parte </w:t>
      </w:r>
      <w:r w:rsidR="00923BE8" w:rsidRPr="00923BE8">
        <w:rPr>
          <w:szCs w:val="22"/>
        </w:rPr>
        <w:t xml:space="preserve">presentations and memoranda summarizing oral </w:t>
      </w:r>
      <w:r w:rsidR="00923BE8" w:rsidRPr="00923BE8">
        <w:rPr>
          <w:i/>
          <w:iCs/>
          <w:szCs w:val="22"/>
        </w:rPr>
        <w:t xml:space="preserve">ex parte </w:t>
      </w:r>
      <w:r w:rsidR="00923BE8" w:rsidRPr="00923BE8">
        <w:rPr>
          <w:szCs w:val="22"/>
        </w:rPr>
        <w:t>presentations, and all attachments thereto, must be filed through the electronic comment filing system available for that proceeding, and must be filed in their native format (</w:t>
      </w:r>
      <w:r w:rsidR="00923BE8" w:rsidRPr="00923BE8">
        <w:rPr>
          <w:i/>
          <w:iCs/>
          <w:szCs w:val="22"/>
        </w:rPr>
        <w:t>e.g.</w:t>
      </w:r>
      <w:r w:rsidR="00923BE8" w:rsidRPr="00923BE8">
        <w:rPr>
          <w:szCs w:val="22"/>
        </w:rPr>
        <w:t xml:space="preserve">, .doc, .xml, .ppt, searchable .pdf).  Participants in this proceeding should familiarize themselves with the Commission’s </w:t>
      </w:r>
      <w:r w:rsidR="00923BE8" w:rsidRPr="00923BE8">
        <w:rPr>
          <w:i/>
          <w:iCs/>
          <w:szCs w:val="22"/>
        </w:rPr>
        <w:t xml:space="preserve">ex parte </w:t>
      </w:r>
      <w:r w:rsidR="00923BE8" w:rsidRPr="00923BE8">
        <w:rPr>
          <w:szCs w:val="22"/>
        </w:rPr>
        <w:t>rules.</w:t>
      </w:r>
      <w:r w:rsidR="00923BE8" w:rsidRPr="00923BE8">
        <w:rPr>
          <w:szCs w:val="22"/>
        </w:rPr>
        <w:tab/>
      </w:r>
    </w:p>
    <w:p w:rsidR="00F013A8" w:rsidRPr="009007BF" w:rsidRDefault="00F013A8" w:rsidP="00F013A8">
      <w:pPr>
        <w:autoSpaceDE w:val="0"/>
        <w:autoSpaceDN w:val="0"/>
        <w:adjustRightInd w:val="0"/>
        <w:rPr>
          <w:szCs w:val="22"/>
        </w:rPr>
      </w:pPr>
    </w:p>
    <w:p w:rsidR="00F013A8" w:rsidRDefault="00F013A8" w:rsidP="00F013A8">
      <w:pPr>
        <w:rPr>
          <w:sz w:val="24"/>
        </w:rPr>
      </w:pPr>
      <w:r w:rsidRPr="009007BF">
        <w:rPr>
          <w:b/>
          <w:szCs w:val="22"/>
        </w:rPr>
        <w:t>FOR FURTHER INFORMATION CONTACT:</w:t>
      </w:r>
      <w:r w:rsidR="00243F88">
        <w:rPr>
          <w:szCs w:val="22"/>
        </w:rPr>
        <w:t xml:space="preserve">  </w:t>
      </w:r>
      <w:r w:rsidR="00A65F50">
        <w:rPr>
          <w:szCs w:val="22"/>
        </w:rPr>
        <w:t>Josh Zeldis</w:t>
      </w:r>
      <w:r w:rsidRPr="009007BF">
        <w:rPr>
          <w:szCs w:val="22"/>
        </w:rPr>
        <w:t xml:space="preserve">, Consumer </w:t>
      </w:r>
      <w:r w:rsidR="002A1799">
        <w:rPr>
          <w:szCs w:val="22"/>
        </w:rPr>
        <w:t>and</w:t>
      </w:r>
      <w:r w:rsidRPr="009007BF">
        <w:rPr>
          <w:szCs w:val="22"/>
        </w:rPr>
        <w:t xml:space="preserve"> Governmental Affairs Bureau, Federal Com</w:t>
      </w:r>
      <w:r w:rsidR="00A65F50">
        <w:rPr>
          <w:szCs w:val="22"/>
        </w:rPr>
        <w:t>munications Commission, (202) 418-0715</w:t>
      </w:r>
      <w:r>
        <w:rPr>
          <w:szCs w:val="22"/>
        </w:rPr>
        <w:t xml:space="preserve"> (voice) or</w:t>
      </w:r>
      <w:r w:rsidRPr="009007BF">
        <w:rPr>
          <w:szCs w:val="22"/>
        </w:rPr>
        <w:t xml:space="preserve"> </w:t>
      </w:r>
      <w:r w:rsidR="00A65F50">
        <w:rPr>
          <w:szCs w:val="22"/>
        </w:rPr>
        <w:t>Josh.Zeldis</w:t>
      </w:r>
      <w:r w:rsidRPr="009007BF">
        <w:rPr>
          <w:szCs w:val="22"/>
        </w:rPr>
        <w:t>@fcc.gov</w:t>
      </w:r>
      <w:r>
        <w:rPr>
          <w:szCs w:val="22"/>
        </w:rPr>
        <w:t>.</w:t>
      </w:r>
    </w:p>
    <w:p w:rsidR="00F013A8" w:rsidRDefault="00F013A8">
      <w:pPr>
        <w:pStyle w:val="PlainText"/>
        <w:jc w:val="center"/>
        <w:rPr>
          <w:rFonts w:ascii="Times New Roman" w:hAnsi="Times New Roman" w:cs="Times New Roman"/>
          <w:b/>
          <w:sz w:val="22"/>
          <w:szCs w:val="22"/>
        </w:rPr>
      </w:pPr>
    </w:p>
    <w:p w:rsidR="00F013A8" w:rsidRDefault="00F013A8">
      <w:pPr>
        <w:pStyle w:val="PlainText"/>
        <w:jc w:val="center"/>
        <w:rPr>
          <w:rFonts w:ascii="Times New Roman" w:hAnsi="Times New Roman" w:cs="Times New Roman"/>
          <w:b/>
          <w:sz w:val="22"/>
          <w:szCs w:val="22"/>
        </w:rPr>
      </w:pPr>
    </w:p>
    <w:p w:rsidR="00F013A8" w:rsidRDefault="00F013A8">
      <w:pPr>
        <w:pStyle w:val="PlainText"/>
        <w:jc w:val="center"/>
        <w:rPr>
          <w:rFonts w:ascii="Times New Roman" w:hAnsi="Times New Roman" w:cs="Times New Roman"/>
          <w:b/>
          <w:sz w:val="22"/>
          <w:szCs w:val="22"/>
        </w:rPr>
      </w:pPr>
      <w:r>
        <w:rPr>
          <w:rFonts w:ascii="Times New Roman" w:hAnsi="Times New Roman" w:cs="Times New Roman"/>
          <w:b/>
          <w:sz w:val="22"/>
          <w:szCs w:val="22"/>
        </w:rPr>
        <w:t>-- FCC --</w:t>
      </w:r>
    </w:p>
    <w:sectPr w:rsidR="00F013A8" w:rsidSect="00D24CBA">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37" w:rsidRDefault="00AC0337">
      <w:r>
        <w:separator/>
      </w:r>
    </w:p>
  </w:endnote>
  <w:endnote w:type="continuationSeparator" w:id="0">
    <w:p w:rsidR="00AC0337" w:rsidRDefault="00AC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BE" w:rsidRDefault="00AE70BE" w:rsidP="00F01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70BE" w:rsidRDefault="00AE7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BE" w:rsidRDefault="00AE7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70BE" w:rsidRDefault="00AE70BE">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Default="00C129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BE" w:rsidRDefault="00AE70BE" w:rsidP="00F01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C2D">
      <w:rPr>
        <w:rStyle w:val="PageNumber"/>
        <w:noProof/>
      </w:rPr>
      <w:t>2</w:t>
    </w:r>
    <w:r>
      <w:rPr>
        <w:rStyle w:val="PageNumber"/>
      </w:rPr>
      <w:fldChar w:fldCharType="end"/>
    </w:r>
  </w:p>
  <w:p w:rsidR="00AE70BE" w:rsidRPr="00F013A8" w:rsidRDefault="00AE70BE" w:rsidP="00F013A8">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37" w:rsidRDefault="00AC0337">
      <w:r>
        <w:separator/>
      </w:r>
    </w:p>
  </w:footnote>
  <w:footnote w:type="continuationSeparator" w:id="0">
    <w:p w:rsidR="00AC0337" w:rsidRDefault="00AC0337">
      <w:r>
        <w:continuationSeparator/>
      </w:r>
    </w:p>
  </w:footnote>
  <w:footnote w:id="1">
    <w:p w:rsidR="00FD6B8B" w:rsidRPr="00EF550F" w:rsidRDefault="00FD6B8B" w:rsidP="00FD6B8B">
      <w:pPr>
        <w:pStyle w:val="FootnoteText"/>
        <w:rPr>
          <w:sz w:val="20"/>
        </w:rPr>
      </w:pPr>
      <w:r w:rsidRPr="00E10DE3">
        <w:rPr>
          <w:rStyle w:val="FootnoteReference"/>
          <w:sz w:val="20"/>
        </w:rPr>
        <w:footnoteRef/>
      </w:r>
      <w:r w:rsidRPr="00E10DE3">
        <w:rPr>
          <w:sz w:val="20"/>
        </w:rPr>
        <w:t xml:space="preserve"> </w:t>
      </w:r>
      <w:r w:rsidR="00910896" w:rsidRPr="00FD6B8B">
        <w:rPr>
          <w:sz w:val="20"/>
        </w:rPr>
        <w:t>Petition of Network Communication</w:t>
      </w:r>
      <w:r w:rsidR="00B63E36">
        <w:rPr>
          <w:sz w:val="20"/>
        </w:rPr>
        <w:t>s</w:t>
      </w:r>
      <w:r w:rsidR="00910896" w:rsidRPr="00FD6B8B">
        <w:rPr>
          <w:sz w:val="20"/>
        </w:rPr>
        <w:t xml:space="preserve"> International Corp. for Declaratory Ruling</w:t>
      </w:r>
      <w:r w:rsidR="00910896">
        <w:rPr>
          <w:sz w:val="20"/>
        </w:rPr>
        <w:t>, CG Docket No. 02-278,</w:t>
      </w:r>
      <w:r w:rsidR="00910896" w:rsidRPr="00E10DE3">
        <w:rPr>
          <w:sz w:val="20"/>
        </w:rPr>
        <w:t xml:space="preserve"> </w:t>
      </w:r>
      <w:r w:rsidR="00910896">
        <w:rPr>
          <w:sz w:val="20"/>
        </w:rPr>
        <w:t>(filed May 10</w:t>
      </w:r>
      <w:r w:rsidR="00910896" w:rsidRPr="00E10DE3">
        <w:rPr>
          <w:sz w:val="20"/>
        </w:rPr>
        <w:t>, 2016</w:t>
      </w:r>
      <w:r w:rsidR="00910896">
        <w:rPr>
          <w:sz w:val="20"/>
        </w:rPr>
        <w:t xml:space="preserve">), </w:t>
      </w:r>
      <w:r w:rsidR="00910896" w:rsidRPr="00A65F50">
        <w:rPr>
          <w:sz w:val="20"/>
        </w:rPr>
        <w:t xml:space="preserve">http://apps.fcc.gov/ecfs/comment/view?id=60001739350 </w:t>
      </w:r>
      <w:r w:rsidR="00910896" w:rsidRPr="00E10DE3">
        <w:rPr>
          <w:sz w:val="20"/>
        </w:rPr>
        <w:t>(</w:t>
      </w:r>
      <w:r w:rsidR="00910896" w:rsidRPr="00FD6B8B">
        <w:rPr>
          <w:i/>
          <w:sz w:val="20"/>
        </w:rPr>
        <w:t>Petition</w:t>
      </w:r>
      <w:r w:rsidR="00910896" w:rsidRPr="00E10DE3">
        <w:rPr>
          <w:sz w:val="20"/>
        </w:rPr>
        <w:t>).</w:t>
      </w:r>
      <w:r w:rsidR="00910896">
        <w:rPr>
          <w:sz w:val="20"/>
        </w:rPr>
        <w:t xml:space="preserve">  </w:t>
      </w:r>
      <w:r>
        <w:rPr>
          <w:sz w:val="20"/>
        </w:rPr>
        <w:t xml:space="preserve">NCIC provides inmate calling services, which allow incarcerated individuals to place collect calls from correctional facilities to residential or wireless phone lines.  </w:t>
      </w:r>
      <w:r w:rsidR="00910896">
        <w:rPr>
          <w:i/>
          <w:sz w:val="20"/>
        </w:rPr>
        <w:t xml:space="preserve">Id. </w:t>
      </w:r>
      <w:r w:rsidR="00EF550F">
        <w:rPr>
          <w:sz w:val="20"/>
        </w:rPr>
        <w:t>at 2</w:t>
      </w:r>
      <w:r w:rsidR="00910896">
        <w:rPr>
          <w:sz w:val="20"/>
        </w:rPr>
        <w:t xml:space="preserve">.  </w:t>
      </w:r>
      <w:r w:rsidR="00F13C58">
        <w:rPr>
          <w:sz w:val="20"/>
        </w:rPr>
        <w:t xml:space="preserve">NCIC notes that </w:t>
      </w:r>
      <w:r w:rsidR="00BE0670">
        <w:rPr>
          <w:sz w:val="20"/>
        </w:rPr>
        <w:t xml:space="preserve">inmates </w:t>
      </w:r>
      <w:r w:rsidR="00F13C58">
        <w:rPr>
          <w:sz w:val="20"/>
        </w:rPr>
        <w:t>often</w:t>
      </w:r>
      <w:r w:rsidR="00BE0670">
        <w:rPr>
          <w:sz w:val="20"/>
        </w:rPr>
        <w:t xml:space="preserve"> initiate collect calls through an ICS provider </w:t>
      </w:r>
      <w:r w:rsidR="00F13C58">
        <w:rPr>
          <w:sz w:val="20"/>
        </w:rPr>
        <w:t xml:space="preserve">and </w:t>
      </w:r>
      <w:r w:rsidR="00BE0670">
        <w:rPr>
          <w:sz w:val="20"/>
        </w:rPr>
        <w:t>cannot get their calls completed either because the called party’s wireless service provider blocks the incoming collect call</w:t>
      </w:r>
      <w:r w:rsidR="00EF550F">
        <w:rPr>
          <w:sz w:val="20"/>
        </w:rPr>
        <w:t>, the called party misses the call,</w:t>
      </w:r>
      <w:r w:rsidR="00BE0670">
        <w:rPr>
          <w:sz w:val="20"/>
        </w:rPr>
        <w:t xml:space="preserve"> or the called party does not recognize the correctional facility’s caller identification number and ther</w:t>
      </w:r>
      <w:r w:rsidR="009468F6">
        <w:rPr>
          <w:sz w:val="20"/>
        </w:rPr>
        <w:t xml:space="preserve">efore does not answer the call.  </w:t>
      </w:r>
      <w:r w:rsidR="00BE0670">
        <w:rPr>
          <w:i/>
          <w:sz w:val="20"/>
        </w:rPr>
        <w:t>Id</w:t>
      </w:r>
      <w:r w:rsidR="00EF550F">
        <w:rPr>
          <w:sz w:val="20"/>
        </w:rPr>
        <w:t>.</w:t>
      </w:r>
    </w:p>
  </w:footnote>
  <w:footnote w:id="2">
    <w:p w:rsidR="00D96406" w:rsidRPr="00E10DE3" w:rsidRDefault="00D96406">
      <w:pPr>
        <w:pStyle w:val="FootnoteText"/>
        <w:rPr>
          <w:sz w:val="20"/>
        </w:rPr>
      </w:pPr>
      <w:r w:rsidRPr="00E10DE3">
        <w:rPr>
          <w:rStyle w:val="FootnoteReference"/>
          <w:sz w:val="20"/>
        </w:rPr>
        <w:footnoteRef/>
      </w:r>
      <w:r w:rsidRPr="00E10DE3">
        <w:rPr>
          <w:sz w:val="20"/>
        </w:rPr>
        <w:t xml:space="preserve"> </w:t>
      </w:r>
      <w:r w:rsidR="00761B80">
        <w:rPr>
          <w:i/>
          <w:sz w:val="20"/>
        </w:rPr>
        <w:t xml:space="preserve">Petition </w:t>
      </w:r>
      <w:r w:rsidR="00761B80">
        <w:rPr>
          <w:sz w:val="20"/>
        </w:rPr>
        <w:t>at 1, 16.</w:t>
      </w:r>
    </w:p>
  </w:footnote>
  <w:footnote w:id="3">
    <w:p w:rsidR="00A54DC6" w:rsidRPr="00556492" w:rsidRDefault="00A54DC6" w:rsidP="00A54DC6">
      <w:pPr>
        <w:pStyle w:val="FootnoteText"/>
        <w:rPr>
          <w:sz w:val="20"/>
        </w:rPr>
      </w:pPr>
      <w:r>
        <w:rPr>
          <w:rStyle w:val="FootnoteReference"/>
        </w:rPr>
        <w:footnoteRef/>
      </w:r>
      <w:r>
        <w:t xml:space="preserve"> </w:t>
      </w:r>
      <w:r>
        <w:rPr>
          <w:sz w:val="20"/>
        </w:rPr>
        <w:t xml:space="preserve">The TCPA is codified as 47 U.S.C. § 227.  The Commission’s implementing rules are codified as 47 CFR § </w:t>
      </w:r>
      <w:r w:rsidRPr="00C53AD3">
        <w:rPr>
          <w:sz w:val="20"/>
        </w:rPr>
        <w:t>64.1200.</w:t>
      </w:r>
    </w:p>
  </w:footnote>
  <w:footnote w:id="4">
    <w:p w:rsidR="00761B80" w:rsidRPr="00556492" w:rsidRDefault="00761B80">
      <w:pPr>
        <w:pStyle w:val="FootnoteText"/>
        <w:rPr>
          <w:sz w:val="20"/>
        </w:rPr>
      </w:pPr>
      <w:r w:rsidRPr="00556492">
        <w:rPr>
          <w:rStyle w:val="FootnoteReference"/>
          <w:sz w:val="20"/>
        </w:rPr>
        <w:footnoteRef/>
      </w:r>
      <w:r w:rsidRPr="00556492">
        <w:rPr>
          <w:sz w:val="20"/>
        </w:rPr>
        <w:t xml:space="preserve"> </w:t>
      </w:r>
      <w:r w:rsidR="00D12230" w:rsidRPr="00556492">
        <w:rPr>
          <w:sz w:val="20"/>
        </w:rPr>
        <w:t>47 U.S.C</w:t>
      </w:r>
      <w:r w:rsidR="00D12230" w:rsidRPr="00556492">
        <w:rPr>
          <w:i/>
          <w:sz w:val="20"/>
        </w:rPr>
        <w:t xml:space="preserve"> </w:t>
      </w:r>
      <w:r w:rsidR="00D12230" w:rsidRPr="00556492">
        <w:rPr>
          <w:sz w:val="20"/>
        </w:rPr>
        <w:t>§ 227(b)(1)(A); 47 C.F.R. § 64.1200(a)(1</w:t>
      </w:r>
      <w:r w:rsidR="00D12230" w:rsidRPr="00AA2410">
        <w:rPr>
          <w:sz w:val="20"/>
        </w:rPr>
        <w:t>).</w:t>
      </w:r>
    </w:p>
  </w:footnote>
  <w:footnote w:id="5">
    <w:p w:rsidR="001D4D47" w:rsidRPr="001304AB" w:rsidRDefault="001D4D47" w:rsidP="00C53AD3">
      <w:pPr>
        <w:pStyle w:val="FootnoteText"/>
        <w:rPr>
          <w:sz w:val="20"/>
        </w:rPr>
      </w:pPr>
      <w:r w:rsidRPr="00556492">
        <w:rPr>
          <w:rStyle w:val="FootnoteReference"/>
          <w:sz w:val="20"/>
        </w:rPr>
        <w:footnoteRef/>
      </w:r>
      <w:r w:rsidRPr="00556492">
        <w:rPr>
          <w:sz w:val="20"/>
        </w:rPr>
        <w:t xml:space="preserve"> </w:t>
      </w:r>
      <w:r w:rsidR="00FC3B08" w:rsidRPr="00556492">
        <w:rPr>
          <w:i/>
          <w:sz w:val="20"/>
        </w:rPr>
        <w:t xml:space="preserve">See </w:t>
      </w:r>
      <w:r w:rsidR="00FC3B08" w:rsidRPr="00AA2410">
        <w:rPr>
          <w:sz w:val="20"/>
        </w:rPr>
        <w:t xml:space="preserve">Rules and Regulations Implementing the Telephone Consumer Protection Act of 1991, </w:t>
      </w:r>
      <w:r w:rsidR="00DA0F32">
        <w:rPr>
          <w:sz w:val="20"/>
        </w:rPr>
        <w:t xml:space="preserve">CG Docket No. 02-278, </w:t>
      </w:r>
      <w:r w:rsidR="00FC3B08" w:rsidRPr="00AA2410">
        <w:rPr>
          <w:sz w:val="20"/>
        </w:rPr>
        <w:t xml:space="preserve">Declaratory Ruling and Order, 30 FCC Rcd 7961, </w:t>
      </w:r>
      <w:r w:rsidR="003A5A6D" w:rsidRPr="00AA2410">
        <w:rPr>
          <w:sz w:val="20"/>
        </w:rPr>
        <w:t xml:space="preserve">8020, </w:t>
      </w:r>
      <w:r w:rsidR="00924C5B" w:rsidRPr="00AA2410">
        <w:rPr>
          <w:sz w:val="20"/>
        </w:rPr>
        <w:t xml:space="preserve">para. </w:t>
      </w:r>
      <w:r w:rsidR="003A5A6D" w:rsidRPr="00AA2410">
        <w:rPr>
          <w:sz w:val="20"/>
        </w:rPr>
        <w:t xml:space="preserve">120 </w:t>
      </w:r>
      <w:r w:rsidR="00FC3B08" w:rsidRPr="00AA2410">
        <w:rPr>
          <w:sz w:val="20"/>
        </w:rPr>
        <w:t>(2015) (</w:t>
      </w:r>
      <w:r w:rsidR="00FC3B08" w:rsidRPr="00AA2410">
        <w:rPr>
          <w:i/>
          <w:sz w:val="20"/>
        </w:rPr>
        <w:t>2015 TCPA Order</w:t>
      </w:r>
      <w:r w:rsidR="00FC3B08" w:rsidRPr="00AA2410">
        <w:rPr>
          <w:sz w:val="20"/>
        </w:rPr>
        <w:t>)</w:t>
      </w:r>
      <w:r w:rsidR="00C53AD3" w:rsidRPr="00AA2410">
        <w:rPr>
          <w:sz w:val="20"/>
        </w:rPr>
        <w:t>;</w:t>
      </w:r>
      <w:r w:rsidR="00C53AD3" w:rsidRPr="00C53AD3">
        <w:t xml:space="preserve"> </w:t>
      </w:r>
      <w:r w:rsidR="00C53AD3" w:rsidRPr="00C53AD3">
        <w:rPr>
          <w:sz w:val="20"/>
        </w:rPr>
        <w:t xml:space="preserve">Rules and Regulations Implementing the Telephone Consumer Protection Act of 1991, </w:t>
      </w:r>
      <w:r w:rsidR="00DA0F32">
        <w:rPr>
          <w:sz w:val="20"/>
        </w:rPr>
        <w:t xml:space="preserve">CG Docket No. 02-278, </w:t>
      </w:r>
      <w:r w:rsidR="00C53AD3">
        <w:rPr>
          <w:sz w:val="20"/>
        </w:rPr>
        <w:t>Report and Order, 18 FCC Rcd 14014, 14115</w:t>
      </w:r>
      <w:r w:rsidR="00C53AD3" w:rsidRPr="00C53AD3">
        <w:rPr>
          <w:sz w:val="20"/>
        </w:rPr>
        <w:t xml:space="preserve">, </w:t>
      </w:r>
      <w:r w:rsidR="00924C5B">
        <w:rPr>
          <w:sz w:val="20"/>
        </w:rPr>
        <w:t>para.</w:t>
      </w:r>
      <w:r w:rsidR="00C53AD3" w:rsidRPr="002D625C">
        <w:rPr>
          <w:sz w:val="20"/>
        </w:rPr>
        <w:t xml:space="preserve"> </w:t>
      </w:r>
      <w:r w:rsidR="00C53AD3">
        <w:rPr>
          <w:sz w:val="20"/>
        </w:rPr>
        <w:t>165</w:t>
      </w:r>
      <w:r w:rsidR="00C53AD3" w:rsidRPr="00C53AD3">
        <w:rPr>
          <w:sz w:val="20"/>
        </w:rPr>
        <w:t xml:space="preserve"> (2003)</w:t>
      </w:r>
      <w:r w:rsidR="00C53AD3">
        <w:rPr>
          <w:sz w:val="20"/>
        </w:rPr>
        <w:t>.</w:t>
      </w:r>
    </w:p>
  </w:footnote>
  <w:footnote w:id="6">
    <w:p w:rsidR="00910896" w:rsidRPr="00910896" w:rsidRDefault="00910896" w:rsidP="00910896">
      <w:pPr>
        <w:pStyle w:val="FootnoteText"/>
        <w:rPr>
          <w:sz w:val="20"/>
        </w:rPr>
      </w:pPr>
      <w:r w:rsidRPr="00E10DE3">
        <w:rPr>
          <w:rStyle w:val="FootnoteReference"/>
          <w:sz w:val="20"/>
        </w:rPr>
        <w:footnoteRef/>
      </w:r>
      <w:r w:rsidRPr="00E10DE3">
        <w:rPr>
          <w:sz w:val="20"/>
        </w:rPr>
        <w:t xml:space="preserve"> </w:t>
      </w:r>
      <w:r>
        <w:rPr>
          <w:i/>
          <w:sz w:val="20"/>
        </w:rPr>
        <w:t>Petition</w:t>
      </w:r>
      <w:r w:rsidR="0057787A">
        <w:rPr>
          <w:sz w:val="20"/>
        </w:rPr>
        <w:t xml:space="preserve"> at </w:t>
      </w:r>
      <w:r w:rsidR="00924C5B">
        <w:rPr>
          <w:sz w:val="20"/>
        </w:rPr>
        <w:t xml:space="preserve">1, </w:t>
      </w:r>
      <w:r w:rsidR="0057787A">
        <w:rPr>
          <w:sz w:val="20"/>
        </w:rPr>
        <w:t>4-6</w:t>
      </w:r>
      <w:r w:rsidR="00691787">
        <w:rPr>
          <w:sz w:val="20"/>
        </w:rPr>
        <w:t xml:space="preserve"> (citing </w:t>
      </w:r>
      <w:r w:rsidR="00691787" w:rsidRPr="00C51FEC">
        <w:rPr>
          <w:i/>
          <w:sz w:val="20"/>
        </w:rPr>
        <w:t>2015 TCPA Order</w:t>
      </w:r>
      <w:r w:rsidR="00B50DF1" w:rsidRPr="00FD6B8B">
        <w:rPr>
          <w:sz w:val="20"/>
        </w:rPr>
        <w:t xml:space="preserve">, 30 FCC Rcd </w:t>
      </w:r>
      <w:r w:rsidR="00691787">
        <w:rPr>
          <w:sz w:val="20"/>
        </w:rPr>
        <w:t>at</w:t>
      </w:r>
      <w:r w:rsidR="00924C5B">
        <w:rPr>
          <w:sz w:val="20"/>
        </w:rPr>
        <w:t xml:space="preserve"> 7984-89</w:t>
      </w:r>
      <w:r w:rsidR="00E36C91">
        <w:rPr>
          <w:sz w:val="20"/>
        </w:rPr>
        <w:t>, paras. 38-46</w:t>
      </w:r>
      <w:r w:rsidR="00691787">
        <w:rPr>
          <w:sz w:val="20"/>
        </w:rPr>
        <w:t>)</w:t>
      </w:r>
      <w:r w:rsidR="00B50DF1" w:rsidRPr="00FD6B8B">
        <w:rPr>
          <w:sz w:val="20"/>
        </w:rPr>
        <w:t>.</w:t>
      </w:r>
      <w:r w:rsidR="0057787A">
        <w:rPr>
          <w:sz w:val="20"/>
        </w:rPr>
        <w:t xml:space="preserve">  </w:t>
      </w:r>
    </w:p>
  </w:footnote>
  <w:footnote w:id="7">
    <w:p w:rsidR="008F29A2" w:rsidRPr="00B93388" w:rsidRDefault="008F29A2" w:rsidP="008F29A2">
      <w:pPr>
        <w:pStyle w:val="FootnoteText"/>
        <w:rPr>
          <w:sz w:val="20"/>
        </w:rPr>
      </w:pPr>
      <w:r w:rsidRPr="00E10DE3">
        <w:rPr>
          <w:rStyle w:val="FootnoteReference"/>
          <w:sz w:val="20"/>
        </w:rPr>
        <w:footnoteRef/>
      </w:r>
      <w:r w:rsidRPr="00E10DE3">
        <w:rPr>
          <w:sz w:val="20"/>
        </w:rPr>
        <w:t xml:space="preserve"> </w:t>
      </w:r>
      <w:r>
        <w:rPr>
          <w:i/>
          <w:sz w:val="20"/>
        </w:rPr>
        <w:t xml:space="preserve">Petition </w:t>
      </w:r>
      <w:r>
        <w:rPr>
          <w:sz w:val="20"/>
        </w:rPr>
        <w:t xml:space="preserve">at 6-7.  The </w:t>
      </w:r>
      <w:r w:rsidRPr="00C51FEC">
        <w:rPr>
          <w:i/>
          <w:sz w:val="20"/>
        </w:rPr>
        <w:t>2015 TCPA</w:t>
      </w:r>
      <w:r>
        <w:rPr>
          <w:sz w:val="20"/>
        </w:rPr>
        <w:t xml:space="preserve"> Order concluded that ICS providers could avail themselves of an exemption from the prior express consent requirement as long as they followed seven conditions, including that the calls in question result in no charge to the called party, which is a statutory requirement for such an exemption.   </w:t>
      </w:r>
      <w:r w:rsidRPr="00CD03EC">
        <w:rPr>
          <w:i/>
          <w:sz w:val="20"/>
        </w:rPr>
        <w:t>2015 TCPA Order</w:t>
      </w:r>
      <w:r>
        <w:rPr>
          <w:sz w:val="20"/>
        </w:rPr>
        <w:t xml:space="preserve">, 30 FCC Rcd at 7989, </w:t>
      </w:r>
      <w:r w:rsidR="00316F61">
        <w:rPr>
          <w:sz w:val="20"/>
        </w:rPr>
        <w:t>para.</w:t>
      </w:r>
      <w:r>
        <w:rPr>
          <w:sz w:val="20"/>
        </w:rPr>
        <w:t xml:space="preserve"> 45.  NCIC claims that its follow-up text message protocol would “strictly comply” with the exemption conditions set forth in the </w:t>
      </w:r>
      <w:r w:rsidRPr="00C51FEC">
        <w:rPr>
          <w:i/>
          <w:sz w:val="20"/>
        </w:rPr>
        <w:t>2015 TCPA Order</w:t>
      </w:r>
      <w:r>
        <w:rPr>
          <w:sz w:val="20"/>
        </w:rPr>
        <w:t xml:space="preserve">.  </w:t>
      </w:r>
      <w:r>
        <w:rPr>
          <w:i/>
          <w:sz w:val="20"/>
        </w:rPr>
        <w:t xml:space="preserve">Petition </w:t>
      </w:r>
      <w:r>
        <w:rPr>
          <w:sz w:val="20"/>
        </w:rPr>
        <w:t xml:space="preserve">at 7.  We note, however, that NCIC also states that its text message protocol would only “substantially comply” with the no-charge condition of the exemption because there “could be an incremental cost” for a “few cellphone users.”  </w:t>
      </w:r>
      <w:r>
        <w:rPr>
          <w:i/>
          <w:sz w:val="20"/>
        </w:rPr>
        <w:t>Id.</w:t>
      </w:r>
      <w:r>
        <w:rPr>
          <w:sz w:val="20"/>
        </w:rPr>
        <w:t xml:space="preserve"> at 7-8.</w:t>
      </w:r>
    </w:p>
  </w:footnote>
  <w:footnote w:id="8">
    <w:p w:rsidR="008F29A2" w:rsidRPr="008E70AD" w:rsidRDefault="008F29A2" w:rsidP="008F29A2">
      <w:pPr>
        <w:pStyle w:val="FootnoteText"/>
        <w:rPr>
          <w:sz w:val="20"/>
        </w:rPr>
      </w:pPr>
      <w:r>
        <w:rPr>
          <w:rStyle w:val="FootnoteReference"/>
        </w:rPr>
        <w:footnoteRef/>
      </w:r>
      <w:r>
        <w:t xml:space="preserve"> </w:t>
      </w:r>
      <w:r>
        <w:rPr>
          <w:i/>
          <w:sz w:val="20"/>
        </w:rPr>
        <w:t xml:space="preserve">See </w:t>
      </w:r>
      <w:r w:rsidR="00E36C91" w:rsidRPr="00C51FEC">
        <w:rPr>
          <w:i/>
          <w:sz w:val="20"/>
        </w:rPr>
        <w:t>2015 TCPA Order</w:t>
      </w:r>
      <w:r w:rsidR="00E36C91" w:rsidRPr="00FD6B8B">
        <w:rPr>
          <w:sz w:val="20"/>
        </w:rPr>
        <w:t xml:space="preserve">, 30 FCC Rcd </w:t>
      </w:r>
      <w:r w:rsidR="00E36C91">
        <w:rPr>
          <w:sz w:val="20"/>
        </w:rPr>
        <w:t>at 7989, para. 45.</w:t>
      </w:r>
      <w:r w:rsidR="00E36C91" w:rsidDel="00E36C91">
        <w:rPr>
          <w:sz w:val="20"/>
        </w:rPr>
        <w:t xml:space="preserve"> </w:t>
      </w:r>
    </w:p>
  </w:footnote>
  <w:footnote w:id="9">
    <w:p w:rsidR="002435FF" w:rsidRPr="005B1039" w:rsidRDefault="002435FF" w:rsidP="002435FF">
      <w:pPr>
        <w:pStyle w:val="FootnoteText"/>
        <w:rPr>
          <w:sz w:val="20"/>
        </w:rPr>
      </w:pPr>
      <w:r w:rsidRPr="00E10DE3">
        <w:rPr>
          <w:rStyle w:val="FootnoteReference"/>
          <w:sz w:val="20"/>
        </w:rPr>
        <w:footnoteRef/>
      </w:r>
      <w:r w:rsidRPr="00E10DE3">
        <w:rPr>
          <w:sz w:val="20"/>
        </w:rPr>
        <w:t xml:space="preserve"> </w:t>
      </w:r>
      <w:r w:rsidR="005B1039">
        <w:rPr>
          <w:i/>
          <w:sz w:val="20"/>
        </w:rPr>
        <w:t xml:space="preserve">Id. </w:t>
      </w:r>
      <w:r w:rsidR="005B1039" w:rsidRPr="005B1039">
        <w:rPr>
          <w:sz w:val="20"/>
        </w:rPr>
        <w:t>at 12-</w:t>
      </w:r>
      <w:r w:rsidR="005B1039">
        <w:rPr>
          <w:sz w:val="20"/>
        </w:rPr>
        <w:t>15.</w:t>
      </w:r>
    </w:p>
  </w:footnote>
  <w:footnote w:id="10">
    <w:p w:rsidR="00AE70BE" w:rsidRPr="00E10DE3" w:rsidRDefault="00AE70BE" w:rsidP="00923BE8">
      <w:pPr>
        <w:pStyle w:val="FootnoteText"/>
        <w:rPr>
          <w:iCs/>
          <w:sz w:val="20"/>
        </w:rPr>
      </w:pPr>
      <w:r w:rsidRPr="00E10DE3">
        <w:rPr>
          <w:rStyle w:val="FootnoteReference"/>
          <w:sz w:val="20"/>
        </w:rPr>
        <w:footnoteRef/>
      </w:r>
      <w:r w:rsidRPr="00E10DE3">
        <w:rPr>
          <w:sz w:val="20"/>
        </w:rPr>
        <w:t xml:space="preserve"> 47 CFR §§ 1.1200 </w:t>
      </w:r>
      <w:r w:rsidRPr="00E10DE3">
        <w:rPr>
          <w:i/>
          <w:iCs/>
          <w:sz w:val="20"/>
        </w:rPr>
        <w:t>et seq</w:t>
      </w:r>
      <w:r w:rsidRPr="00E10DE3">
        <w:rPr>
          <w:iCs/>
          <w:sz w:val="20"/>
        </w:rPr>
        <w:t>.</w:t>
      </w:r>
    </w:p>
    <w:p w:rsidR="00AE70BE" w:rsidRPr="00E10DE3" w:rsidRDefault="00AE70BE" w:rsidP="00923BE8">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Default="00C12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87" w:rsidRDefault="00C12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BE" w:rsidRPr="003F25F9" w:rsidRDefault="009415FC">
    <w:pPr>
      <w:pStyle w:val="Header"/>
      <w:tabs>
        <w:tab w:val="clear" w:pos="4320"/>
        <w:tab w:val="clear" w:pos="8640"/>
      </w:tabs>
      <w:spacing w:before="40"/>
      <w:ind w:firstLine="1080"/>
      <w:rPr>
        <w:b/>
        <w:kern w:val="28"/>
        <w:sz w:val="96"/>
      </w:rPr>
    </w:pPr>
    <w:r w:rsidRPr="003F25F9">
      <w:rPr>
        <w:b/>
        <w:noProof/>
        <w:sz w:val="24"/>
      </w:rPr>
      <w:drawing>
        <wp:anchor distT="0" distB="0" distL="114300" distR="114300" simplePos="0" relativeHeight="251659264" behindDoc="0" locked="0" layoutInCell="0" allowOverlap="1" wp14:anchorId="4BA5314A" wp14:editId="1B60CCC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0BE" w:rsidRPr="003F25F9">
      <w:rPr>
        <w:b/>
        <w:kern w:val="28"/>
        <w:sz w:val="96"/>
      </w:rPr>
      <w:t>PUBLIC NOTICE</w:t>
    </w:r>
  </w:p>
  <w:p w:rsidR="00AE70BE" w:rsidRDefault="00550FB2">
    <w:pPr>
      <w:pStyle w:val="Header"/>
      <w:tabs>
        <w:tab w:val="clear" w:pos="4320"/>
        <w:tab w:val="clear" w:pos="8640"/>
        <w:tab w:val="left" w:pos="1080"/>
      </w:tabs>
      <w:spacing w:line="1120" w:lineRule="exact"/>
      <w:ind w:left="720"/>
      <w:rPr>
        <w:rFonts w:ascii="Arial" w:hAnsi="Arial"/>
        <w:b/>
        <w:sz w:val="28"/>
      </w:rPr>
    </w:pPr>
    <w:r w:rsidRPr="003F25F9">
      <w:rPr>
        <w:b/>
        <w:noProof/>
        <w:sz w:val="24"/>
      </w:rPr>
      <mc:AlternateContent>
        <mc:Choice Requires="wps">
          <w:drawing>
            <wp:anchor distT="0" distB="0" distL="114300" distR="114300" simplePos="0" relativeHeight="251656192" behindDoc="0" locked="0" layoutInCell="0" allowOverlap="1" wp14:anchorId="06BA196C" wp14:editId="2C6DEBCC">
              <wp:simplePos x="0" y="0"/>
              <wp:positionH relativeFrom="column">
                <wp:posOffset>652145</wp:posOffset>
              </wp:positionH>
              <wp:positionV relativeFrom="paragraph">
                <wp:posOffset>34290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BE" w:rsidRDefault="00AE70BE">
                          <w:pPr>
                            <w:rPr>
                              <w:rFonts w:ascii="Arial" w:hAnsi="Arial"/>
                              <w:b/>
                            </w:rPr>
                          </w:pPr>
                          <w:r>
                            <w:rPr>
                              <w:rFonts w:ascii="Arial" w:hAnsi="Arial"/>
                              <w:b/>
                            </w:rPr>
                            <w:t>Federal Communications Commission</w:t>
                          </w:r>
                        </w:p>
                        <w:p w:rsidR="00AE70BE" w:rsidRDefault="00AE70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70BE" w:rsidRDefault="00AE70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A196C" id="_x0000_t202" coordsize="21600,21600" o:spt="202" path="m,l,21600r21600,l21600,xe">
              <v:stroke joinstyle="miter"/>
              <v:path gradientshapeok="t" o:connecttype="rect"/>
            </v:shapetype>
            <v:shape id="Text Box 1" o:spid="_x0000_s1026" type="#_x0000_t202" style="position:absolute;left:0;text-align:left;margin-left:51.35pt;margin-top:2.7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" o:allowincell="f" stroked="f">
              <v:textbox>
                <w:txbxContent>
                  <w:p w:rsidR="00AE70BE" w:rsidRDefault="00AE70BE">
                    <w:pPr>
                      <w:rPr>
                        <w:rFonts w:ascii="Arial" w:hAnsi="Arial"/>
                        <w:b/>
                      </w:rPr>
                    </w:pPr>
                    <w:r>
                      <w:rPr>
                        <w:rFonts w:ascii="Arial" w:hAnsi="Arial"/>
                        <w:b/>
                      </w:rPr>
                      <w:t>Federal Communications Commission</w:t>
                    </w:r>
                  </w:p>
                  <w:p w:rsidR="00AE70BE" w:rsidRDefault="00AE70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70BE" w:rsidRDefault="00AE70BE">
                    <w:pPr>
                      <w:rPr>
                        <w:rFonts w:ascii="Arial" w:hAnsi="Arial"/>
                        <w:sz w:val="24"/>
                      </w:rPr>
                    </w:pPr>
                    <w:r>
                      <w:rPr>
                        <w:rFonts w:ascii="Arial" w:hAnsi="Arial"/>
                        <w:b/>
                      </w:rPr>
                      <w:t>Washington, D.C. 20554</w:t>
                    </w:r>
                  </w:p>
                </w:txbxContent>
              </v:textbox>
            </v:shape>
          </w:pict>
        </mc:Fallback>
      </mc:AlternateContent>
    </w:r>
    <w:r w:rsidR="009415FC">
      <w:rPr>
        <w:rFonts w:ascii="Arial" w:hAnsi="Arial"/>
        <w:b/>
        <w:noProof/>
      </w:rPr>
      <mc:AlternateContent>
        <mc:Choice Requires="wps">
          <w:drawing>
            <wp:anchor distT="0" distB="0" distL="114300" distR="114300" simplePos="0" relativeHeight="251657216" behindDoc="0" locked="0" layoutInCell="0" allowOverlap="1" wp14:anchorId="51D1B7C1" wp14:editId="7583382F">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78BD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sidR="009415FC">
      <w:rPr>
        <w:rFonts w:ascii="News Gothic MT" w:hAnsi="News Gothic MT"/>
        <w:b/>
        <w:noProof/>
        <w:sz w:val="24"/>
      </w:rPr>
      <mc:AlternateContent>
        <mc:Choice Requires="wps">
          <w:drawing>
            <wp:anchor distT="0" distB="0" distL="114300" distR="114300" simplePos="0" relativeHeight="251658240" behindDoc="0" locked="0" layoutInCell="0" allowOverlap="1" wp14:anchorId="460F5172" wp14:editId="54B44B5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BE" w:rsidRDefault="00AE70BE">
                          <w:pPr>
                            <w:spacing w:before="40"/>
                            <w:jc w:val="right"/>
                            <w:rPr>
                              <w:rFonts w:ascii="Arial" w:hAnsi="Arial"/>
                              <w:b/>
                              <w:sz w:val="16"/>
                            </w:rPr>
                          </w:pPr>
                          <w:r>
                            <w:rPr>
                              <w:rFonts w:ascii="Arial" w:hAnsi="Arial"/>
                              <w:b/>
                              <w:sz w:val="16"/>
                            </w:rPr>
                            <w:t>News Media Information 202 / 418-0500</w:t>
                          </w:r>
                        </w:p>
                        <w:p w:rsidR="00AE70BE" w:rsidRDefault="00AE70B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E70BE" w:rsidRDefault="00AE70BE">
                          <w:pPr>
                            <w:jc w:val="right"/>
                            <w:rPr>
                              <w:rFonts w:ascii="Arial" w:hAnsi="Arial"/>
                              <w:b/>
                              <w:sz w:val="16"/>
                            </w:rPr>
                          </w:pPr>
                          <w:r>
                            <w:rPr>
                              <w:rFonts w:ascii="Arial" w:hAnsi="Arial"/>
                              <w:b/>
                              <w:sz w:val="16"/>
                            </w:rPr>
                            <w:t>TTY: 1-888-835-5322</w:t>
                          </w:r>
                        </w:p>
                        <w:p w:rsidR="00AE70BE" w:rsidRDefault="00AE70B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E70BE" w:rsidRDefault="00AE70BE">
                    <w:pPr>
                      <w:spacing w:before="40"/>
                      <w:jc w:val="right"/>
                      <w:rPr>
                        <w:rFonts w:ascii="Arial" w:hAnsi="Arial"/>
                        <w:b/>
                        <w:sz w:val="16"/>
                      </w:rPr>
                    </w:pPr>
                    <w:r>
                      <w:rPr>
                        <w:rFonts w:ascii="Arial" w:hAnsi="Arial"/>
                        <w:b/>
                        <w:sz w:val="16"/>
                      </w:rPr>
                      <w:t>News Media Information 202 / 418-0500</w:t>
                    </w:r>
                  </w:p>
                  <w:p w:rsidR="00AE70BE" w:rsidRDefault="00AE70B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E70BE" w:rsidRDefault="00AE70BE">
                    <w:pPr>
                      <w:jc w:val="right"/>
                      <w:rPr>
                        <w:rFonts w:ascii="Arial" w:hAnsi="Arial"/>
                        <w:b/>
                        <w:sz w:val="16"/>
                      </w:rPr>
                    </w:pPr>
                    <w:r>
                      <w:rPr>
                        <w:rFonts w:ascii="Arial" w:hAnsi="Arial"/>
                        <w:b/>
                        <w:sz w:val="16"/>
                      </w:rPr>
                      <w:t>TTY: 1-888-835-5322</w:t>
                    </w:r>
                  </w:p>
                  <w:p w:rsidR="00AE70BE" w:rsidRDefault="00AE70B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58B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339"/>
    <w:multiLevelType w:val="hybridMultilevel"/>
    <w:tmpl w:val="4BCC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93C54"/>
    <w:multiLevelType w:val="hybridMultilevel"/>
    <w:tmpl w:val="51F22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160CFB"/>
    <w:multiLevelType w:val="hybridMultilevel"/>
    <w:tmpl w:val="47CE1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D35A1"/>
    <w:multiLevelType w:val="hybridMultilevel"/>
    <w:tmpl w:val="2DBA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E2616"/>
    <w:multiLevelType w:val="hybridMultilevel"/>
    <w:tmpl w:val="88940080"/>
    <w:lvl w:ilvl="0" w:tplc="6922A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45DC2"/>
    <w:multiLevelType w:val="hybridMultilevel"/>
    <w:tmpl w:val="3F0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41408A"/>
    <w:multiLevelType w:val="hybridMultilevel"/>
    <w:tmpl w:val="83A84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D220BA"/>
    <w:multiLevelType w:val="hybridMultilevel"/>
    <w:tmpl w:val="83DC1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226AF9"/>
    <w:multiLevelType w:val="hybridMultilevel"/>
    <w:tmpl w:val="C984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7460FE"/>
    <w:multiLevelType w:val="hybridMultilevel"/>
    <w:tmpl w:val="6F2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C09FE"/>
    <w:multiLevelType w:val="hybridMultilevel"/>
    <w:tmpl w:val="F02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5143B"/>
    <w:multiLevelType w:val="hybridMultilevel"/>
    <w:tmpl w:val="222C6A0C"/>
    <w:lvl w:ilvl="0" w:tplc="BDD4F9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AD12788"/>
    <w:multiLevelType w:val="hybridMultilevel"/>
    <w:tmpl w:val="8A4E37E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D982597"/>
    <w:multiLevelType w:val="hybridMultilevel"/>
    <w:tmpl w:val="7F3A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21">
    <w:nsid w:val="3FA54DD9"/>
    <w:multiLevelType w:val="hybridMultilevel"/>
    <w:tmpl w:val="867C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FC270B"/>
    <w:multiLevelType w:val="hybridMultilevel"/>
    <w:tmpl w:val="052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222527"/>
    <w:multiLevelType w:val="hybridMultilevel"/>
    <w:tmpl w:val="CBE6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43170E"/>
    <w:multiLevelType w:val="hybridMultilevel"/>
    <w:tmpl w:val="76227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9E2D85"/>
    <w:multiLevelType w:val="hybridMultilevel"/>
    <w:tmpl w:val="24A41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9">
    <w:nsid w:val="546D1515"/>
    <w:multiLevelType w:val="hybridMultilevel"/>
    <w:tmpl w:val="151A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1">
    <w:nsid w:val="5B244C5E"/>
    <w:multiLevelType w:val="hybridMultilevel"/>
    <w:tmpl w:val="D864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5F60379E"/>
    <w:multiLevelType w:val="hybridMultilevel"/>
    <w:tmpl w:val="EF1E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182925"/>
    <w:multiLevelType w:val="singleLevel"/>
    <w:tmpl w:val="2B582DA0"/>
    <w:lvl w:ilvl="0">
      <w:start w:val="1"/>
      <w:numFmt w:val="decimal"/>
      <w:pStyle w:val="ParaNumCharCharCharCharChar"/>
      <w:lvlText w:val="%1."/>
      <w:lvlJc w:val="left"/>
      <w:pPr>
        <w:tabs>
          <w:tab w:val="num" w:pos="990"/>
        </w:tabs>
        <w:ind w:left="-90" w:firstLine="720"/>
      </w:pPr>
      <w:rPr>
        <w:b w:val="0"/>
        <w:sz w:val="24"/>
        <w:szCs w:val="24"/>
      </w:rPr>
    </w:lvl>
  </w:abstractNum>
  <w:abstractNum w:abstractNumId="35">
    <w:nsid w:val="63A5706A"/>
    <w:multiLevelType w:val="hybridMultilevel"/>
    <w:tmpl w:val="C1FC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8274D"/>
    <w:multiLevelType w:val="hybridMultilevel"/>
    <w:tmpl w:val="041E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ED2F51"/>
    <w:multiLevelType w:val="hybridMultilevel"/>
    <w:tmpl w:val="C54A3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673BE0"/>
    <w:multiLevelType w:val="hybridMultilevel"/>
    <w:tmpl w:val="6E5A0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114ED"/>
    <w:multiLevelType w:val="hybridMultilevel"/>
    <w:tmpl w:val="110E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F3495F"/>
    <w:multiLevelType w:val="hybridMultilevel"/>
    <w:tmpl w:val="298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D5225B"/>
    <w:multiLevelType w:val="hybridMultilevel"/>
    <w:tmpl w:val="792611C8"/>
    <w:lvl w:ilvl="0" w:tplc="83CEDF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89066A"/>
    <w:multiLevelType w:val="hybridMultilevel"/>
    <w:tmpl w:val="3F96DE9A"/>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6C2B6C"/>
    <w:multiLevelType w:val="hybridMultilevel"/>
    <w:tmpl w:val="FC1C5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32"/>
  </w:num>
  <w:num w:numId="4">
    <w:abstractNumId w:val="27"/>
  </w:num>
  <w:num w:numId="5">
    <w:abstractNumId w:val="18"/>
  </w:num>
  <w:num w:numId="6">
    <w:abstractNumId w:val="17"/>
  </w:num>
  <w:num w:numId="7">
    <w:abstractNumId w:val="2"/>
  </w:num>
  <w:num w:numId="8">
    <w:abstractNumId w:val="20"/>
  </w:num>
  <w:num w:numId="9">
    <w:abstractNumId w:val="7"/>
  </w:num>
  <w:num w:numId="10">
    <w:abstractNumId w:val="34"/>
  </w:num>
  <w:num w:numId="11">
    <w:abstractNumId w:val="43"/>
  </w:num>
  <w:num w:numId="12">
    <w:abstractNumId w:val="41"/>
  </w:num>
  <w:num w:numId="13">
    <w:abstractNumId w:val="1"/>
  </w:num>
  <w:num w:numId="14">
    <w:abstractNumId w:val="19"/>
  </w:num>
  <w:num w:numId="15">
    <w:abstractNumId w:val="36"/>
  </w:num>
  <w:num w:numId="16">
    <w:abstractNumId w:val="13"/>
  </w:num>
  <w:num w:numId="17">
    <w:abstractNumId w:val="8"/>
  </w:num>
  <w:num w:numId="18">
    <w:abstractNumId w:val="21"/>
  </w:num>
  <w:num w:numId="19">
    <w:abstractNumId w:val="14"/>
  </w:num>
  <w:num w:numId="20">
    <w:abstractNumId w:val="10"/>
  </w:num>
  <w:num w:numId="21">
    <w:abstractNumId w:val="5"/>
  </w:num>
  <w:num w:numId="22">
    <w:abstractNumId w:val="12"/>
  </w:num>
  <w:num w:numId="23">
    <w:abstractNumId w:val="44"/>
  </w:num>
  <w:num w:numId="24">
    <w:abstractNumId w:val="22"/>
  </w:num>
  <w:num w:numId="25">
    <w:abstractNumId w:val="35"/>
  </w:num>
  <w:num w:numId="26">
    <w:abstractNumId w:val="6"/>
  </w:num>
  <w:num w:numId="27">
    <w:abstractNumId w:val="29"/>
  </w:num>
  <w:num w:numId="28">
    <w:abstractNumId w:val="23"/>
  </w:num>
  <w:num w:numId="29">
    <w:abstractNumId w:val="42"/>
  </w:num>
  <w:num w:numId="30">
    <w:abstractNumId w:val="38"/>
  </w:num>
  <w:num w:numId="31">
    <w:abstractNumId w:val="37"/>
  </w:num>
  <w:num w:numId="32">
    <w:abstractNumId w:val="25"/>
  </w:num>
  <w:num w:numId="33">
    <w:abstractNumId w:val="11"/>
  </w:num>
  <w:num w:numId="34">
    <w:abstractNumId w:val="9"/>
  </w:num>
  <w:num w:numId="35">
    <w:abstractNumId w:val="40"/>
  </w:num>
  <w:num w:numId="36">
    <w:abstractNumId w:val="33"/>
  </w:num>
  <w:num w:numId="37">
    <w:abstractNumId w:val="39"/>
  </w:num>
  <w:num w:numId="38">
    <w:abstractNumId w:val="31"/>
  </w:num>
  <w:num w:numId="39">
    <w:abstractNumId w:val="24"/>
  </w:num>
  <w:num w:numId="40">
    <w:abstractNumId w:val="3"/>
  </w:num>
  <w:num w:numId="41">
    <w:abstractNumId w:val="26"/>
  </w:num>
  <w:num w:numId="42">
    <w:abstractNumId w:val="4"/>
  </w:num>
  <w:num w:numId="43">
    <w:abstractNumId w:val="45"/>
  </w:num>
  <w:num w:numId="44">
    <w:abstractNumId w:val="15"/>
  </w:num>
  <w:num w:numId="45">
    <w:abstractNumId w:val="16"/>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A8"/>
    <w:rsid w:val="0000162B"/>
    <w:rsid w:val="000215BE"/>
    <w:rsid w:val="00037056"/>
    <w:rsid w:val="000407E2"/>
    <w:rsid w:val="0006610D"/>
    <w:rsid w:val="00090F00"/>
    <w:rsid w:val="000C578C"/>
    <w:rsid w:val="000E11C1"/>
    <w:rsid w:val="000F55C7"/>
    <w:rsid w:val="0010354F"/>
    <w:rsid w:val="001304AB"/>
    <w:rsid w:val="00144C87"/>
    <w:rsid w:val="00152143"/>
    <w:rsid w:val="00160ACA"/>
    <w:rsid w:val="00196921"/>
    <w:rsid w:val="00197E9A"/>
    <w:rsid w:val="001A5E3B"/>
    <w:rsid w:val="001A6FBA"/>
    <w:rsid w:val="001B2B50"/>
    <w:rsid w:val="001B4474"/>
    <w:rsid w:val="001B55F1"/>
    <w:rsid w:val="001B56C2"/>
    <w:rsid w:val="001D4D47"/>
    <w:rsid w:val="001D64F3"/>
    <w:rsid w:val="001E3090"/>
    <w:rsid w:val="001F2D8A"/>
    <w:rsid w:val="0022767E"/>
    <w:rsid w:val="002435FF"/>
    <w:rsid w:val="00243F88"/>
    <w:rsid w:val="00256E6E"/>
    <w:rsid w:val="002644FF"/>
    <w:rsid w:val="00264E77"/>
    <w:rsid w:val="00280496"/>
    <w:rsid w:val="00291F8A"/>
    <w:rsid w:val="002A1799"/>
    <w:rsid w:val="002E055A"/>
    <w:rsid w:val="00310E97"/>
    <w:rsid w:val="00316F61"/>
    <w:rsid w:val="00317366"/>
    <w:rsid w:val="003649E3"/>
    <w:rsid w:val="0036552E"/>
    <w:rsid w:val="003A5A6D"/>
    <w:rsid w:val="003C3678"/>
    <w:rsid w:val="003D5C5D"/>
    <w:rsid w:val="003F25F9"/>
    <w:rsid w:val="0040620D"/>
    <w:rsid w:val="00435D1A"/>
    <w:rsid w:val="0044728D"/>
    <w:rsid w:val="00461EBC"/>
    <w:rsid w:val="0047226A"/>
    <w:rsid w:val="00487739"/>
    <w:rsid w:val="004A27C7"/>
    <w:rsid w:val="004B4984"/>
    <w:rsid w:val="004C3673"/>
    <w:rsid w:val="004C6BE3"/>
    <w:rsid w:val="004D27D1"/>
    <w:rsid w:val="004F50E4"/>
    <w:rsid w:val="004F6B9F"/>
    <w:rsid w:val="00530A43"/>
    <w:rsid w:val="00550FB2"/>
    <w:rsid w:val="00554AFE"/>
    <w:rsid w:val="00556492"/>
    <w:rsid w:val="005670F7"/>
    <w:rsid w:val="00577869"/>
    <w:rsid w:val="0057787A"/>
    <w:rsid w:val="005A1C95"/>
    <w:rsid w:val="005B0731"/>
    <w:rsid w:val="005B1039"/>
    <w:rsid w:val="005C1C37"/>
    <w:rsid w:val="005D184B"/>
    <w:rsid w:val="005D2E21"/>
    <w:rsid w:val="005D4750"/>
    <w:rsid w:val="005E7325"/>
    <w:rsid w:val="005F5719"/>
    <w:rsid w:val="005F5B13"/>
    <w:rsid w:val="00604AD4"/>
    <w:rsid w:val="006258C9"/>
    <w:rsid w:val="00647116"/>
    <w:rsid w:val="00660D8D"/>
    <w:rsid w:val="0066369A"/>
    <w:rsid w:val="00673354"/>
    <w:rsid w:val="00691787"/>
    <w:rsid w:val="006D62B7"/>
    <w:rsid w:val="006F077C"/>
    <w:rsid w:val="006F3F20"/>
    <w:rsid w:val="0072552C"/>
    <w:rsid w:val="007312B6"/>
    <w:rsid w:val="007503FE"/>
    <w:rsid w:val="00761B80"/>
    <w:rsid w:val="0078672D"/>
    <w:rsid w:val="00793EE2"/>
    <w:rsid w:val="00795138"/>
    <w:rsid w:val="007B104F"/>
    <w:rsid w:val="007B75CA"/>
    <w:rsid w:val="007E7750"/>
    <w:rsid w:val="007F05BB"/>
    <w:rsid w:val="00803500"/>
    <w:rsid w:val="00815F5D"/>
    <w:rsid w:val="0082611F"/>
    <w:rsid w:val="008443C0"/>
    <w:rsid w:val="00847DEE"/>
    <w:rsid w:val="00862855"/>
    <w:rsid w:val="00862BE7"/>
    <w:rsid w:val="008B15E0"/>
    <w:rsid w:val="008C3003"/>
    <w:rsid w:val="008E0AD8"/>
    <w:rsid w:val="008F1494"/>
    <w:rsid w:val="008F29A2"/>
    <w:rsid w:val="00910896"/>
    <w:rsid w:val="009150A8"/>
    <w:rsid w:val="00917F0A"/>
    <w:rsid w:val="00923BE8"/>
    <w:rsid w:val="00924C5B"/>
    <w:rsid w:val="009415FC"/>
    <w:rsid w:val="009468F6"/>
    <w:rsid w:val="00950A3A"/>
    <w:rsid w:val="00953B8E"/>
    <w:rsid w:val="00971AE2"/>
    <w:rsid w:val="009D7F55"/>
    <w:rsid w:val="009E67FF"/>
    <w:rsid w:val="00A10343"/>
    <w:rsid w:val="00A41454"/>
    <w:rsid w:val="00A459B7"/>
    <w:rsid w:val="00A527D5"/>
    <w:rsid w:val="00A54DC6"/>
    <w:rsid w:val="00A65F50"/>
    <w:rsid w:val="00A72949"/>
    <w:rsid w:val="00A759FF"/>
    <w:rsid w:val="00A836B2"/>
    <w:rsid w:val="00AA2410"/>
    <w:rsid w:val="00AB44EE"/>
    <w:rsid w:val="00AC0337"/>
    <w:rsid w:val="00AC7980"/>
    <w:rsid w:val="00AD5F80"/>
    <w:rsid w:val="00AD7C02"/>
    <w:rsid w:val="00AE2A56"/>
    <w:rsid w:val="00AE6283"/>
    <w:rsid w:val="00AE70BE"/>
    <w:rsid w:val="00AF18D7"/>
    <w:rsid w:val="00B11E29"/>
    <w:rsid w:val="00B25FE8"/>
    <w:rsid w:val="00B323EF"/>
    <w:rsid w:val="00B33428"/>
    <w:rsid w:val="00B33507"/>
    <w:rsid w:val="00B33718"/>
    <w:rsid w:val="00B450C4"/>
    <w:rsid w:val="00B50DF1"/>
    <w:rsid w:val="00B63E36"/>
    <w:rsid w:val="00B713AB"/>
    <w:rsid w:val="00B93388"/>
    <w:rsid w:val="00BA47C2"/>
    <w:rsid w:val="00BE0670"/>
    <w:rsid w:val="00BE6C2D"/>
    <w:rsid w:val="00BF37A7"/>
    <w:rsid w:val="00BF5CD5"/>
    <w:rsid w:val="00C12987"/>
    <w:rsid w:val="00C51FEC"/>
    <w:rsid w:val="00C53AD3"/>
    <w:rsid w:val="00C54DCB"/>
    <w:rsid w:val="00C62A75"/>
    <w:rsid w:val="00C668DB"/>
    <w:rsid w:val="00C66AF8"/>
    <w:rsid w:val="00C819E1"/>
    <w:rsid w:val="00CC2A3C"/>
    <w:rsid w:val="00CD03EC"/>
    <w:rsid w:val="00CD379F"/>
    <w:rsid w:val="00CF1A89"/>
    <w:rsid w:val="00D12230"/>
    <w:rsid w:val="00D24CBA"/>
    <w:rsid w:val="00D25D48"/>
    <w:rsid w:val="00D477B5"/>
    <w:rsid w:val="00D53984"/>
    <w:rsid w:val="00D74DEA"/>
    <w:rsid w:val="00D84C14"/>
    <w:rsid w:val="00D96406"/>
    <w:rsid w:val="00D96CA9"/>
    <w:rsid w:val="00DA0C39"/>
    <w:rsid w:val="00DA0F32"/>
    <w:rsid w:val="00DB0780"/>
    <w:rsid w:val="00DD5C64"/>
    <w:rsid w:val="00DE4BD3"/>
    <w:rsid w:val="00E10DE3"/>
    <w:rsid w:val="00E22E09"/>
    <w:rsid w:val="00E34970"/>
    <w:rsid w:val="00E36C91"/>
    <w:rsid w:val="00E72D69"/>
    <w:rsid w:val="00E816AB"/>
    <w:rsid w:val="00E86D8C"/>
    <w:rsid w:val="00EF550F"/>
    <w:rsid w:val="00F013A8"/>
    <w:rsid w:val="00F04754"/>
    <w:rsid w:val="00F13C58"/>
    <w:rsid w:val="00F20960"/>
    <w:rsid w:val="00F21D1F"/>
    <w:rsid w:val="00F25B87"/>
    <w:rsid w:val="00F347CC"/>
    <w:rsid w:val="00F45C95"/>
    <w:rsid w:val="00F56BEF"/>
    <w:rsid w:val="00F76371"/>
    <w:rsid w:val="00FA1386"/>
    <w:rsid w:val="00FB5F81"/>
    <w:rsid w:val="00FC3B08"/>
    <w:rsid w:val="00FD4906"/>
    <w:rsid w:val="00FD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paragraph" w:customStyle="1" w:styleId="ParaNumCharCharCharCharChar">
    <w:name w:val="ParaNum Char Char Char Char Char"/>
    <w:basedOn w:val="Normal"/>
    <w:pPr>
      <w:widowControl w:val="0"/>
      <w:numPr>
        <w:numId w:val="10"/>
      </w:numPr>
      <w:spacing w:after="220"/>
      <w:jc w:val="both"/>
    </w:pPr>
    <w:rPr>
      <w:snapToGrid w:val="0"/>
      <w:kern w:val="28"/>
    </w:rPr>
  </w:style>
  <w:style w:type="paragraph" w:customStyle="1" w:styleId="ParaNumChar">
    <w:name w:val="ParaNum Char"/>
    <w:basedOn w:val="Normal"/>
    <w:pPr>
      <w:widowControl w:val="0"/>
      <w:tabs>
        <w:tab w:val="num" w:pos="990"/>
      </w:tabs>
      <w:spacing w:after="220"/>
      <w:ind w:left="-90" w:firstLine="720"/>
      <w:jc w:val="both"/>
    </w:pPr>
    <w:rPr>
      <w:snapToGrid w:val="0"/>
      <w:kern w:val="28"/>
    </w:rPr>
  </w:style>
  <w:style w:type="paragraph" w:customStyle="1" w:styleId="box">
    <w:name w:val="box"/>
    <w:basedOn w:val="Normal"/>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z w:val="20"/>
    </w:rPr>
  </w:style>
  <w:style w:type="paragraph" w:customStyle="1" w:styleId="masthead">
    <w:name w:val="masthead"/>
    <w:basedOn w:val="Normal"/>
    <w:pPr>
      <w:shd w:val="clear" w:color="auto" w:fill="0000CC"/>
      <w:spacing w:before="100" w:beforeAutospacing="1" w:after="100" w:afterAutospacing="1"/>
    </w:pPr>
    <w:rPr>
      <w:rFonts w:ascii="Arial" w:hAnsi="Arial" w:cs="Arial"/>
      <w:color w:val="FFFFFF"/>
      <w:sz w:val="36"/>
      <w:szCs w:val="36"/>
    </w:rPr>
  </w:style>
  <w:style w:type="paragraph" w:customStyle="1" w:styleId="pgmargins">
    <w:name w:val="pgmargins"/>
    <w:basedOn w:val="Normal"/>
    <w:pPr>
      <w:spacing w:before="100" w:beforeAutospacing="1" w:after="100" w:afterAutospacing="1"/>
    </w:pPr>
    <w:rPr>
      <w:rFonts w:ascii="Verdana" w:hAnsi="Verdana"/>
      <w:sz w:val="20"/>
    </w:rPr>
  </w:style>
  <w:style w:type="paragraph" w:styleId="NormalWeb">
    <w:name w:val="Normal (Web)"/>
    <w:basedOn w:val="Normal"/>
    <w:pPr>
      <w:spacing w:before="100" w:beforeAutospacing="1" w:after="100" w:afterAutospacing="1"/>
    </w:pPr>
    <w:rPr>
      <w:rFonts w:ascii="Verdana" w:hAnsi="Verdana"/>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intro">
    <w:name w:val="intro"/>
    <w:basedOn w:val="Normal"/>
    <w:pPr>
      <w:spacing w:before="150" w:after="150" w:line="264" w:lineRule="auto"/>
    </w:pPr>
    <w:rPr>
      <w:color w:val="006FD2"/>
      <w:sz w:val="29"/>
      <w:szCs w:val="29"/>
    </w:rPr>
  </w:style>
  <w:style w:type="paragraph" w:styleId="Index1">
    <w:name w:val="index 1"/>
    <w:basedOn w:val="Normal"/>
    <w:next w:val="Normal"/>
    <w:autoRedefine/>
    <w:semiHidden/>
    <w:pPr>
      <w:tabs>
        <w:tab w:val="right" w:leader="dot" w:pos="3950"/>
      </w:tabs>
      <w:ind w:left="220" w:hanging="220"/>
    </w:pPr>
    <w:rPr>
      <w:rFonts w:ascii="Verdana" w:hAnsi="Verdana"/>
      <w:bCs/>
      <w:noProof/>
      <w:sz w:val="20"/>
    </w:rPr>
  </w:style>
  <w:style w:type="character" w:styleId="CommentReference">
    <w:name w:val="annotation reference"/>
    <w:rsid w:val="00AE70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suppressAutoHyphens/>
      <w:spacing w:after="220"/>
      <w:jc w:val="both"/>
      <w:outlineLvl w:val="0"/>
    </w:pPr>
    <w:rPr>
      <w:b/>
      <w:caps/>
    </w:rPr>
  </w:style>
  <w:style w:type="paragraph" w:styleId="Heading2">
    <w:name w:val="heading 2"/>
    <w:basedOn w:val="Normal"/>
    <w:next w:val="Normal"/>
    <w:qFormat/>
    <w:pPr>
      <w:keepNext/>
      <w:widowControl w:val="0"/>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character" w:customStyle="1" w:styleId="documentbody1">
    <w:name w:val="documentbody1"/>
    <w:rPr>
      <w:rFonts w:ascii="Verdana" w:hAnsi="Verdana" w:hint="default"/>
      <w:sz w:val="19"/>
      <w:szCs w:val="19"/>
      <w:shd w:val="clear" w:color="auto" w:fill="FFFFFF"/>
    </w:rPr>
  </w:style>
  <w:style w:type="paragraph" w:customStyle="1" w:styleId="FirstPageHeader">
    <w:name w:val="First Page Header"/>
    <w:basedOn w:val="Normal"/>
    <w:pPr>
      <w:tabs>
        <w:tab w:val="center" w:pos="4320"/>
        <w:tab w:val="right" w:pos="8640"/>
      </w:tabs>
    </w:pPr>
    <w:rPr>
      <w:b/>
      <w:sz w:val="24"/>
    </w:rPr>
  </w:style>
  <w:style w:type="paragraph" w:styleId="BodyTextIndent">
    <w:name w:val="Body Text Indent"/>
    <w:basedOn w:val="Normal"/>
    <w:pPr>
      <w:spacing w:after="120"/>
      <w:ind w:left="360"/>
    </w:pPr>
  </w:style>
  <w:style w:type="paragraph" w:customStyle="1" w:styleId="ParaNumCharCharCharCharChar">
    <w:name w:val="ParaNum Char Char Char Char Char"/>
    <w:basedOn w:val="Normal"/>
    <w:pPr>
      <w:widowControl w:val="0"/>
      <w:numPr>
        <w:numId w:val="10"/>
      </w:numPr>
      <w:spacing w:after="220"/>
      <w:jc w:val="both"/>
    </w:pPr>
    <w:rPr>
      <w:snapToGrid w:val="0"/>
      <w:kern w:val="28"/>
    </w:rPr>
  </w:style>
  <w:style w:type="paragraph" w:customStyle="1" w:styleId="ParaNumChar">
    <w:name w:val="ParaNum Char"/>
    <w:basedOn w:val="Normal"/>
    <w:pPr>
      <w:widowControl w:val="0"/>
      <w:tabs>
        <w:tab w:val="num" w:pos="990"/>
      </w:tabs>
      <w:spacing w:after="220"/>
      <w:ind w:left="-90" w:firstLine="720"/>
      <w:jc w:val="both"/>
    </w:pPr>
    <w:rPr>
      <w:snapToGrid w:val="0"/>
      <w:kern w:val="28"/>
    </w:rPr>
  </w:style>
  <w:style w:type="paragraph" w:customStyle="1" w:styleId="box">
    <w:name w:val="box"/>
    <w:basedOn w:val="Normal"/>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z w:val="20"/>
    </w:rPr>
  </w:style>
  <w:style w:type="paragraph" w:customStyle="1" w:styleId="masthead">
    <w:name w:val="masthead"/>
    <w:basedOn w:val="Normal"/>
    <w:pPr>
      <w:shd w:val="clear" w:color="auto" w:fill="0000CC"/>
      <w:spacing w:before="100" w:beforeAutospacing="1" w:after="100" w:afterAutospacing="1"/>
    </w:pPr>
    <w:rPr>
      <w:rFonts w:ascii="Arial" w:hAnsi="Arial" w:cs="Arial"/>
      <w:color w:val="FFFFFF"/>
      <w:sz w:val="36"/>
      <w:szCs w:val="36"/>
    </w:rPr>
  </w:style>
  <w:style w:type="paragraph" w:customStyle="1" w:styleId="pgmargins">
    <w:name w:val="pgmargins"/>
    <w:basedOn w:val="Normal"/>
    <w:pPr>
      <w:spacing w:before="100" w:beforeAutospacing="1" w:after="100" w:afterAutospacing="1"/>
    </w:pPr>
    <w:rPr>
      <w:rFonts w:ascii="Verdana" w:hAnsi="Verdana"/>
      <w:sz w:val="20"/>
    </w:rPr>
  </w:style>
  <w:style w:type="paragraph" w:styleId="NormalWeb">
    <w:name w:val="Normal (Web)"/>
    <w:basedOn w:val="Normal"/>
    <w:pPr>
      <w:spacing w:before="100" w:beforeAutospacing="1" w:after="100" w:afterAutospacing="1"/>
    </w:pPr>
    <w:rPr>
      <w:rFonts w:ascii="Verdana" w:hAnsi="Verdana"/>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intro">
    <w:name w:val="intro"/>
    <w:basedOn w:val="Normal"/>
    <w:pPr>
      <w:spacing w:before="150" w:after="150" w:line="264" w:lineRule="auto"/>
    </w:pPr>
    <w:rPr>
      <w:color w:val="006FD2"/>
      <w:sz w:val="29"/>
      <w:szCs w:val="29"/>
    </w:rPr>
  </w:style>
  <w:style w:type="paragraph" w:styleId="Index1">
    <w:name w:val="index 1"/>
    <w:basedOn w:val="Normal"/>
    <w:next w:val="Normal"/>
    <w:autoRedefine/>
    <w:semiHidden/>
    <w:pPr>
      <w:tabs>
        <w:tab w:val="right" w:leader="dot" w:pos="3950"/>
      </w:tabs>
      <w:ind w:left="220" w:hanging="220"/>
    </w:pPr>
    <w:rPr>
      <w:rFonts w:ascii="Verdana" w:hAnsi="Verdana"/>
      <w:bCs/>
      <w:noProof/>
      <w:sz w:val="20"/>
    </w:rPr>
  </w:style>
  <w:style w:type="character" w:styleId="CommentReference">
    <w:name w:val="annotation reference"/>
    <w:rsid w:val="00AE7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8873">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sChild>
        <w:div w:id="141212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1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603363">
      <w:bodyDiv w:val="1"/>
      <w:marLeft w:val="0"/>
      <w:marRight w:val="0"/>
      <w:marTop w:val="0"/>
      <w:marBottom w:val="0"/>
      <w:divBdr>
        <w:top w:val="none" w:sz="0" w:space="0" w:color="auto"/>
        <w:left w:val="none" w:sz="0" w:space="0" w:color="auto"/>
        <w:bottom w:val="none" w:sz="0" w:space="0" w:color="auto"/>
        <w:right w:val="none" w:sz="0" w:space="0" w:color="auto"/>
      </w:divBdr>
      <w:divsChild>
        <w:div w:id="18783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7959418">
      <w:bodyDiv w:val="1"/>
      <w:marLeft w:val="0"/>
      <w:marRight w:val="0"/>
      <w:marTop w:val="0"/>
      <w:marBottom w:val="0"/>
      <w:divBdr>
        <w:top w:val="none" w:sz="0" w:space="0" w:color="auto"/>
        <w:left w:val="none" w:sz="0" w:space="0" w:color="auto"/>
        <w:bottom w:val="none" w:sz="0" w:space="0" w:color="auto"/>
        <w:right w:val="none" w:sz="0" w:space="0" w:color="auto"/>
      </w:divBdr>
      <w:divsChild>
        <w:div w:id="48844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285792">
      <w:bodyDiv w:val="1"/>
      <w:marLeft w:val="0"/>
      <w:marRight w:val="0"/>
      <w:marTop w:val="0"/>
      <w:marBottom w:val="0"/>
      <w:divBdr>
        <w:top w:val="none" w:sz="0" w:space="0" w:color="auto"/>
        <w:left w:val="none" w:sz="0" w:space="0" w:color="auto"/>
        <w:bottom w:val="none" w:sz="0" w:space="0" w:color="auto"/>
        <w:right w:val="none" w:sz="0" w:space="0" w:color="auto"/>
      </w:divBdr>
      <w:divsChild>
        <w:div w:id="16224208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64226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2146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97931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347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0616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7236434">
                                  <w:marLeft w:val="0"/>
                                  <w:marRight w:val="0"/>
                                  <w:marTop w:val="0"/>
                                  <w:marBottom w:val="0"/>
                                  <w:divBdr>
                                    <w:top w:val="none" w:sz="0" w:space="0" w:color="auto"/>
                                    <w:left w:val="none" w:sz="0" w:space="0" w:color="auto"/>
                                    <w:bottom w:val="none" w:sz="0" w:space="0" w:color="auto"/>
                                    <w:right w:val="none" w:sz="0" w:space="0" w:color="auto"/>
                                  </w:divBdr>
                                  <w:divsChild>
                                    <w:div w:id="9655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67767">
      <w:bodyDiv w:val="1"/>
      <w:marLeft w:val="0"/>
      <w:marRight w:val="0"/>
      <w:marTop w:val="0"/>
      <w:marBottom w:val="0"/>
      <w:divBdr>
        <w:top w:val="none" w:sz="0" w:space="0" w:color="auto"/>
        <w:left w:val="none" w:sz="0" w:space="0" w:color="auto"/>
        <w:bottom w:val="none" w:sz="0" w:space="0" w:color="auto"/>
        <w:right w:val="none" w:sz="0" w:space="0" w:color="auto"/>
      </w:divBdr>
      <w:divsChild>
        <w:div w:id="190568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9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5186</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6131</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2016-04-19T15:18:00Z</cp:lastPrinted>
  <dcterms:created xsi:type="dcterms:W3CDTF">2016-06-07T13:38:00Z</dcterms:created>
  <dcterms:modified xsi:type="dcterms:W3CDTF">2016-06-07T13:38:00Z</dcterms:modified>
  <cp:category> </cp:category>
  <cp:contentStatus> </cp:contentStatus>
</cp:coreProperties>
</file>