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C5" w:rsidRDefault="00412FC5" w:rsidP="00412FC5">
      <w:bookmarkStart w:id="0" w:name="_GoBack"/>
      <w:bookmarkEnd w:id="0"/>
    </w:p>
    <w:p w:rsidR="004906A2" w:rsidRPr="00150FBA" w:rsidRDefault="004906A2" w:rsidP="004906A2">
      <w:pPr>
        <w:jc w:val="center"/>
        <w:rPr>
          <w:b/>
          <w:szCs w:val="22"/>
        </w:rPr>
      </w:pPr>
      <w:r w:rsidRPr="00150FBA">
        <w:rPr>
          <w:b/>
          <w:szCs w:val="22"/>
        </w:rPr>
        <w:t>Before the</w:t>
      </w:r>
    </w:p>
    <w:p w:rsidR="004906A2" w:rsidRPr="00150FBA" w:rsidRDefault="004906A2" w:rsidP="004906A2">
      <w:pPr>
        <w:jc w:val="center"/>
        <w:rPr>
          <w:b/>
          <w:szCs w:val="22"/>
        </w:rPr>
      </w:pPr>
      <w:r w:rsidRPr="00150FBA">
        <w:rPr>
          <w:b/>
          <w:szCs w:val="22"/>
        </w:rPr>
        <w:t>Federal Communications Commission</w:t>
      </w:r>
    </w:p>
    <w:p w:rsidR="004906A2" w:rsidRPr="00150FBA" w:rsidRDefault="004906A2" w:rsidP="004906A2">
      <w:pPr>
        <w:jc w:val="center"/>
        <w:rPr>
          <w:szCs w:val="22"/>
        </w:rPr>
      </w:pPr>
      <w:r w:rsidRPr="00150FBA">
        <w:rPr>
          <w:b/>
          <w:szCs w:val="22"/>
        </w:rPr>
        <w:t>Washington, D.C.  20554</w:t>
      </w:r>
    </w:p>
    <w:p w:rsidR="004906A2" w:rsidRPr="00150FBA" w:rsidRDefault="004906A2" w:rsidP="004906A2">
      <w:pPr>
        <w:rPr>
          <w:szCs w:val="22"/>
        </w:rPr>
      </w:pPr>
    </w:p>
    <w:tbl>
      <w:tblPr>
        <w:tblW w:w="9648" w:type="dxa"/>
        <w:tblLayout w:type="fixed"/>
        <w:tblLook w:val="0000" w:firstRow="0" w:lastRow="0" w:firstColumn="0" w:lastColumn="0" w:noHBand="0" w:noVBand="0"/>
      </w:tblPr>
      <w:tblGrid>
        <w:gridCol w:w="4698"/>
        <w:gridCol w:w="720"/>
        <w:gridCol w:w="4230"/>
      </w:tblGrid>
      <w:tr w:rsidR="004906A2" w:rsidRPr="00150FBA" w:rsidTr="003F563A">
        <w:tc>
          <w:tcPr>
            <w:tcW w:w="4698" w:type="dxa"/>
          </w:tcPr>
          <w:p w:rsidR="004906A2" w:rsidRPr="00150FBA" w:rsidRDefault="004906A2" w:rsidP="003F563A">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rsidR="004906A2" w:rsidRPr="00150FBA" w:rsidRDefault="004906A2" w:rsidP="003F563A">
            <w:pPr>
              <w:ind w:right="-18"/>
              <w:rPr>
                <w:szCs w:val="22"/>
              </w:rPr>
            </w:pPr>
          </w:p>
          <w:p w:rsidR="004906A2" w:rsidRDefault="004906A2" w:rsidP="003F563A">
            <w:pPr>
              <w:ind w:right="-18"/>
              <w:rPr>
                <w:b/>
                <w:szCs w:val="22"/>
              </w:rPr>
            </w:pPr>
            <w:r>
              <w:rPr>
                <w:b/>
                <w:szCs w:val="22"/>
              </w:rPr>
              <w:t>Royce International Broadcasting Company, Assignor</w:t>
            </w:r>
          </w:p>
          <w:p w:rsidR="004906A2" w:rsidRDefault="004906A2" w:rsidP="003F563A">
            <w:pPr>
              <w:ind w:right="-18"/>
              <w:rPr>
                <w:b/>
                <w:szCs w:val="22"/>
              </w:rPr>
            </w:pPr>
          </w:p>
          <w:p w:rsidR="004906A2" w:rsidRDefault="004906A2" w:rsidP="003F563A">
            <w:pPr>
              <w:ind w:right="-18"/>
              <w:rPr>
                <w:szCs w:val="22"/>
              </w:rPr>
            </w:pPr>
            <w:r>
              <w:rPr>
                <w:szCs w:val="22"/>
              </w:rPr>
              <w:t>a</w:t>
            </w:r>
            <w:r w:rsidRPr="0068003A">
              <w:rPr>
                <w:szCs w:val="22"/>
              </w:rPr>
              <w:t>nd</w:t>
            </w:r>
          </w:p>
          <w:p w:rsidR="004906A2" w:rsidRDefault="004906A2" w:rsidP="003F563A">
            <w:pPr>
              <w:ind w:right="-18"/>
              <w:rPr>
                <w:szCs w:val="22"/>
              </w:rPr>
            </w:pPr>
          </w:p>
          <w:p w:rsidR="004906A2" w:rsidRPr="0068003A" w:rsidRDefault="004906A2" w:rsidP="003F563A">
            <w:pPr>
              <w:ind w:right="-18"/>
              <w:rPr>
                <w:b/>
                <w:szCs w:val="22"/>
              </w:rPr>
            </w:pPr>
            <w:r>
              <w:rPr>
                <w:b/>
                <w:szCs w:val="22"/>
              </w:rPr>
              <w:t>Entercom Communications, Corp., Assignee</w:t>
            </w:r>
          </w:p>
          <w:p w:rsidR="004906A2" w:rsidRPr="00150FBA" w:rsidRDefault="004906A2" w:rsidP="003F563A">
            <w:pPr>
              <w:ind w:right="-18"/>
              <w:rPr>
                <w:szCs w:val="22"/>
              </w:rPr>
            </w:pPr>
          </w:p>
          <w:p w:rsidR="004906A2" w:rsidRDefault="004906A2" w:rsidP="003F563A">
            <w:pPr>
              <w:ind w:right="-18"/>
              <w:rPr>
                <w:szCs w:val="22"/>
              </w:rPr>
            </w:pPr>
            <w:r>
              <w:rPr>
                <w:szCs w:val="22"/>
              </w:rPr>
              <w:t>Application for Consent to the Assignment of</w:t>
            </w:r>
          </w:p>
          <w:p w:rsidR="004906A2" w:rsidRPr="00150FBA" w:rsidRDefault="004906A2" w:rsidP="003F563A">
            <w:pPr>
              <w:ind w:right="-18"/>
              <w:rPr>
                <w:szCs w:val="22"/>
              </w:rPr>
            </w:pPr>
            <w:r w:rsidRPr="00150FBA">
              <w:rPr>
                <w:szCs w:val="22"/>
              </w:rPr>
              <w:t xml:space="preserve">License </w:t>
            </w:r>
            <w:r>
              <w:rPr>
                <w:szCs w:val="22"/>
              </w:rPr>
              <w:t>of Station KUDL(FM), Sacramento, California</w:t>
            </w:r>
            <w:r w:rsidR="005E60E7">
              <w:rPr>
                <w:rStyle w:val="FootnoteReference"/>
                <w:szCs w:val="22"/>
              </w:rPr>
              <w:footnoteReference w:id="2"/>
            </w:r>
          </w:p>
          <w:p w:rsidR="004906A2" w:rsidRPr="00150FBA" w:rsidRDefault="004906A2" w:rsidP="003F563A">
            <w:pPr>
              <w:ind w:right="-18"/>
              <w:rPr>
                <w:b/>
                <w:szCs w:val="22"/>
              </w:rPr>
            </w:pPr>
            <w:r w:rsidRPr="00150FBA">
              <w:rPr>
                <w:szCs w:val="22"/>
              </w:rPr>
              <w:t xml:space="preserve">                                            </w:t>
            </w:r>
          </w:p>
        </w:tc>
        <w:tc>
          <w:tcPr>
            <w:tcW w:w="720" w:type="dxa"/>
          </w:tcPr>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p w:rsidR="004906A2" w:rsidRPr="00150FBA" w:rsidRDefault="004906A2" w:rsidP="003F563A">
            <w:pPr>
              <w:rPr>
                <w:b/>
                <w:szCs w:val="22"/>
              </w:rPr>
            </w:pPr>
            <w:r w:rsidRPr="00150FBA">
              <w:rPr>
                <w:b/>
                <w:szCs w:val="22"/>
              </w:rPr>
              <w:t>)</w:t>
            </w:r>
          </w:p>
        </w:tc>
        <w:tc>
          <w:tcPr>
            <w:tcW w:w="4230" w:type="dxa"/>
          </w:tcPr>
          <w:p w:rsidR="004906A2" w:rsidRPr="00150FBA" w:rsidRDefault="004906A2" w:rsidP="003F563A">
            <w:pPr>
              <w:rPr>
                <w:szCs w:val="22"/>
              </w:rPr>
            </w:pPr>
          </w:p>
          <w:p w:rsidR="004906A2" w:rsidRPr="00150FBA" w:rsidRDefault="004906A2" w:rsidP="003F563A">
            <w:pPr>
              <w:rPr>
                <w:szCs w:val="22"/>
              </w:rPr>
            </w:pPr>
          </w:p>
          <w:p w:rsidR="004906A2" w:rsidRDefault="004906A2" w:rsidP="003F563A">
            <w:pPr>
              <w:rPr>
                <w:szCs w:val="22"/>
              </w:rPr>
            </w:pPr>
          </w:p>
          <w:p w:rsidR="004906A2" w:rsidRPr="00150FBA" w:rsidRDefault="004906A2" w:rsidP="003F563A">
            <w:pPr>
              <w:rPr>
                <w:szCs w:val="22"/>
              </w:rPr>
            </w:pPr>
            <w:r w:rsidRPr="00150FBA">
              <w:rPr>
                <w:szCs w:val="22"/>
              </w:rPr>
              <w:t xml:space="preserve">File No. </w:t>
            </w:r>
            <w:r>
              <w:rPr>
                <w:szCs w:val="22"/>
              </w:rPr>
              <w:t>BALH-20021120ACE</w:t>
            </w:r>
          </w:p>
          <w:p w:rsidR="004906A2" w:rsidRPr="00150FBA" w:rsidRDefault="004906A2" w:rsidP="003F563A">
            <w:pPr>
              <w:rPr>
                <w:szCs w:val="22"/>
              </w:rPr>
            </w:pPr>
            <w:r w:rsidRPr="00150FBA">
              <w:rPr>
                <w:szCs w:val="22"/>
              </w:rPr>
              <w:t xml:space="preserve">Facility ID No. </w:t>
            </w:r>
            <w:r>
              <w:rPr>
                <w:szCs w:val="22"/>
              </w:rPr>
              <w:t>57889</w:t>
            </w:r>
            <w:r w:rsidRPr="00150FBA">
              <w:rPr>
                <w:szCs w:val="22"/>
              </w:rPr>
              <w:t xml:space="preserve">    </w:t>
            </w:r>
          </w:p>
          <w:p w:rsidR="004906A2" w:rsidRPr="00150FBA" w:rsidRDefault="004906A2" w:rsidP="003F563A">
            <w:pPr>
              <w:rPr>
                <w:szCs w:val="22"/>
              </w:rPr>
            </w:pPr>
          </w:p>
          <w:p w:rsidR="004906A2" w:rsidRPr="00150FBA" w:rsidRDefault="004906A2" w:rsidP="003F563A">
            <w:pPr>
              <w:rPr>
                <w:szCs w:val="22"/>
              </w:rPr>
            </w:pPr>
          </w:p>
        </w:tc>
      </w:tr>
    </w:tbl>
    <w:p w:rsidR="004906A2" w:rsidRDefault="004906A2" w:rsidP="004906A2">
      <w:pPr>
        <w:jc w:val="center"/>
        <w:rPr>
          <w:szCs w:val="22"/>
        </w:rPr>
      </w:pPr>
      <w:r>
        <w:rPr>
          <w:b/>
          <w:szCs w:val="22"/>
        </w:rPr>
        <w:t>ORDER ON RECONSIDERATION</w:t>
      </w:r>
    </w:p>
    <w:p w:rsidR="004906A2" w:rsidRPr="00150FBA" w:rsidRDefault="004906A2" w:rsidP="004906A2">
      <w:pPr>
        <w:rPr>
          <w:szCs w:val="22"/>
        </w:rPr>
      </w:pPr>
    </w:p>
    <w:p w:rsidR="004906A2" w:rsidRDefault="004906A2" w:rsidP="004906A2">
      <w:pPr>
        <w:pStyle w:val="Header"/>
        <w:tabs>
          <w:tab w:val="left" w:pos="7020"/>
        </w:tabs>
        <w:rPr>
          <w:b w:val="0"/>
          <w:szCs w:val="22"/>
        </w:rPr>
      </w:pPr>
      <w:r w:rsidRPr="0042098B">
        <w:rPr>
          <w:szCs w:val="22"/>
        </w:rPr>
        <w:t xml:space="preserve">Adopted:  </w:t>
      </w:r>
      <w:r w:rsidR="004C4121">
        <w:rPr>
          <w:szCs w:val="22"/>
        </w:rPr>
        <w:t>January 19, 2016</w:t>
      </w:r>
      <w:r>
        <w:rPr>
          <w:szCs w:val="22"/>
        </w:rPr>
        <w:tab/>
      </w:r>
      <w:r w:rsidR="004C4121">
        <w:rPr>
          <w:szCs w:val="22"/>
        </w:rPr>
        <w:t xml:space="preserve">                                                                           </w:t>
      </w:r>
      <w:r w:rsidRPr="0042098B">
        <w:rPr>
          <w:szCs w:val="22"/>
        </w:rPr>
        <w:t xml:space="preserve">Released:  </w:t>
      </w:r>
      <w:r w:rsidR="004C4121">
        <w:rPr>
          <w:szCs w:val="22"/>
        </w:rPr>
        <w:t>January 19, 2016</w:t>
      </w:r>
    </w:p>
    <w:p w:rsidR="004906A2" w:rsidRPr="00150FBA" w:rsidRDefault="004906A2" w:rsidP="004906A2">
      <w:pPr>
        <w:pStyle w:val="Header"/>
        <w:rPr>
          <w:szCs w:val="22"/>
        </w:rPr>
      </w:pPr>
    </w:p>
    <w:p w:rsidR="004906A2" w:rsidRDefault="004906A2" w:rsidP="004906A2">
      <w:pPr>
        <w:tabs>
          <w:tab w:val="left" w:pos="1980"/>
          <w:tab w:val="left" w:pos="4680"/>
        </w:tabs>
        <w:rPr>
          <w:szCs w:val="22"/>
        </w:rPr>
      </w:pPr>
      <w:r w:rsidRPr="00150FBA">
        <w:rPr>
          <w:szCs w:val="22"/>
        </w:rPr>
        <w:t xml:space="preserve">By the </w:t>
      </w:r>
      <w:r>
        <w:rPr>
          <w:szCs w:val="22"/>
        </w:rPr>
        <w:t>Chief, Media Bureau</w:t>
      </w:r>
      <w:r w:rsidRPr="00150FBA">
        <w:rPr>
          <w:szCs w:val="22"/>
        </w:rPr>
        <w:t>:</w:t>
      </w:r>
      <w:r w:rsidRPr="00150FBA">
        <w:rPr>
          <w:szCs w:val="22"/>
        </w:rPr>
        <w:tab/>
        <w:t xml:space="preserve"> </w:t>
      </w:r>
    </w:p>
    <w:p w:rsidR="004906A2" w:rsidRDefault="004906A2" w:rsidP="004906A2">
      <w:pPr>
        <w:tabs>
          <w:tab w:val="left" w:pos="1980"/>
          <w:tab w:val="left" w:pos="4680"/>
        </w:tabs>
        <w:rPr>
          <w:szCs w:val="22"/>
        </w:rPr>
      </w:pPr>
    </w:p>
    <w:p w:rsidR="004906A2" w:rsidRDefault="004906A2" w:rsidP="004906A2">
      <w:pPr>
        <w:pStyle w:val="Heading1"/>
        <w:numPr>
          <w:ilvl w:val="0"/>
          <w:numId w:val="8"/>
        </w:numPr>
        <w:spacing w:before="100" w:beforeAutospacing="1" w:after="220"/>
        <w:jc w:val="both"/>
      </w:pPr>
      <w:r w:rsidRPr="00DC7617">
        <w:t xml:space="preserve">INTRODUCTION </w:t>
      </w:r>
    </w:p>
    <w:p w:rsidR="004906A2" w:rsidRPr="008A553C" w:rsidRDefault="004906A2" w:rsidP="008B1F37">
      <w:pPr>
        <w:pStyle w:val="ParaNum"/>
        <w:numPr>
          <w:ilvl w:val="0"/>
          <w:numId w:val="9"/>
        </w:numPr>
        <w:tabs>
          <w:tab w:val="left" w:pos="1440"/>
        </w:tabs>
        <w:spacing w:after="220"/>
      </w:pPr>
      <w:r w:rsidRPr="008A553C">
        <w:t>We have before us a Petition for Reconsideration (Petition) filed on October 19, 2015, by Royce International Broadcasting Company (Royce).</w:t>
      </w:r>
      <w:r w:rsidRPr="008A553C">
        <w:rPr>
          <w:vertAlign w:val="superscript"/>
        </w:rPr>
        <w:footnoteReference w:id="3"/>
      </w:r>
      <w:r w:rsidRPr="008A553C">
        <w:t xml:space="preserve">  The Petition seeks reconsideration of the Commission’s September 17, 2015, Memorandum Opinion and Order, which </w:t>
      </w:r>
      <w:r w:rsidR="00345DEA">
        <w:t xml:space="preserve">dismissed in part and </w:t>
      </w:r>
      <w:r w:rsidRPr="008A553C">
        <w:t xml:space="preserve">denied </w:t>
      </w:r>
      <w:r w:rsidR="00345DEA">
        <w:t xml:space="preserve">in part </w:t>
      </w:r>
      <w:r w:rsidRPr="008A553C">
        <w:t>Royce’s Application for Review (AFR).</w:t>
      </w:r>
      <w:r w:rsidRPr="008A553C">
        <w:rPr>
          <w:vertAlign w:val="superscript"/>
        </w:rPr>
        <w:footnoteReference w:id="4"/>
      </w:r>
      <w:r w:rsidRPr="008A553C">
        <w:t xml:space="preserve">  In this </w:t>
      </w:r>
      <w:r w:rsidRPr="008A553C">
        <w:rPr>
          <w:i/>
        </w:rPr>
        <w:t>Order on Reconsideration</w:t>
      </w:r>
      <w:r w:rsidRPr="008A553C">
        <w:t>, we dismiss the Petition pursuant to Section</w:t>
      </w:r>
      <w:r w:rsidR="001110E6">
        <w:t xml:space="preserve"> </w:t>
      </w:r>
      <w:r w:rsidRPr="008A553C">
        <w:t>1.106(p)</w:t>
      </w:r>
      <w:r w:rsidR="001110E6">
        <w:t>(1)</w:t>
      </w:r>
      <w:r w:rsidRPr="008A553C">
        <w:t xml:space="preserve"> of the Commission’s Rules (Rules).</w:t>
      </w:r>
      <w:r w:rsidRPr="008A553C">
        <w:rPr>
          <w:vertAlign w:val="superscript"/>
        </w:rPr>
        <w:footnoteReference w:id="5"/>
      </w:r>
    </w:p>
    <w:p w:rsidR="004906A2" w:rsidRDefault="004906A2" w:rsidP="004906A2">
      <w:pPr>
        <w:pStyle w:val="ParaNum"/>
        <w:numPr>
          <w:ilvl w:val="0"/>
          <w:numId w:val="9"/>
        </w:numPr>
        <w:tabs>
          <w:tab w:val="left" w:pos="1440"/>
        </w:tabs>
        <w:spacing w:before="100" w:beforeAutospacing="1" w:after="220"/>
      </w:pPr>
      <w:r>
        <w:t>The AFR sought review of a Media Bureau (Bureau) decision</w:t>
      </w:r>
      <w:r>
        <w:rPr>
          <w:rStyle w:val="FootnoteReference"/>
        </w:rPr>
        <w:footnoteReference w:id="6"/>
      </w:r>
      <w:r>
        <w:t xml:space="preserve"> denying reconsideration of the staff’s grant of the captioned </w:t>
      </w:r>
      <w:r w:rsidRPr="00150FBA">
        <w:t>application</w:t>
      </w:r>
      <w:r>
        <w:t xml:space="preserve"> </w:t>
      </w:r>
      <w:r w:rsidR="00345DEA">
        <w:t xml:space="preserve">(Application) </w:t>
      </w:r>
      <w:r>
        <w:t xml:space="preserve">for consent to the assignment of license of Station KUDL(FM), Sacramento, California (Station), from Royce to Entercom.  In the </w:t>
      </w:r>
      <w:r w:rsidRPr="00227F0F">
        <w:rPr>
          <w:i/>
        </w:rPr>
        <w:t>Bureau Decision</w:t>
      </w:r>
      <w:r>
        <w:t xml:space="preserve">, the Bureau held that:  </w:t>
      </w:r>
      <w:r w:rsidRPr="0049662C">
        <w:t xml:space="preserve">(1) the “grandfathering” provisions of the </w:t>
      </w:r>
      <w:r>
        <w:t xml:space="preserve">2002 </w:t>
      </w:r>
      <w:r w:rsidRPr="00227F0F">
        <w:rPr>
          <w:i/>
        </w:rPr>
        <w:t>Ownership Order</w:t>
      </w:r>
      <w:r w:rsidRPr="0049662C">
        <w:rPr>
          <w:rStyle w:val="FootnoteReference"/>
        </w:rPr>
        <w:footnoteReference w:id="7"/>
      </w:r>
      <w:r w:rsidRPr="00227F0F">
        <w:rPr>
          <w:i/>
        </w:rPr>
        <w:t xml:space="preserve"> </w:t>
      </w:r>
      <w:r w:rsidR="00192A62">
        <w:t xml:space="preserve">applied to this </w:t>
      </w:r>
      <w:r w:rsidR="00192A62">
        <w:lastRenderedPageBreak/>
        <w:t xml:space="preserve">transaction that was consummated </w:t>
      </w:r>
      <w:r w:rsidRPr="0049662C">
        <w:t xml:space="preserve">prior to the adoption of the new rules; and (2) Royce’s reliance on Section 1.65 </w:t>
      </w:r>
      <w:r>
        <w:t>of the Rules</w:t>
      </w:r>
      <w:r>
        <w:rPr>
          <w:rStyle w:val="FootnoteReference"/>
        </w:rPr>
        <w:footnoteReference w:id="8"/>
      </w:r>
      <w:r>
        <w:t xml:space="preserve"> to support its allegation that the Application was still “pending” and should be processed under the revised rules </w:t>
      </w:r>
      <w:r w:rsidRPr="0049662C">
        <w:t xml:space="preserve">was “misplaced.”  </w:t>
      </w:r>
      <w:r>
        <w:t xml:space="preserve">The </w:t>
      </w:r>
      <w:r w:rsidRPr="00227F0F">
        <w:rPr>
          <w:i/>
        </w:rPr>
        <w:t>MO&amp;O</w:t>
      </w:r>
      <w:r>
        <w:t xml:space="preserve"> affirmed the </w:t>
      </w:r>
      <w:r w:rsidRPr="00227F0F">
        <w:rPr>
          <w:i/>
        </w:rPr>
        <w:t>Bureau Decision</w:t>
      </w:r>
      <w:r>
        <w:t>.</w:t>
      </w:r>
      <w:r>
        <w:rPr>
          <w:rStyle w:val="FootnoteReference"/>
        </w:rPr>
        <w:footnoteReference w:id="9"/>
      </w:r>
    </w:p>
    <w:p w:rsidR="004906A2" w:rsidRDefault="00EB1735" w:rsidP="004906A2">
      <w:pPr>
        <w:pStyle w:val="ParaNum"/>
        <w:widowControl/>
        <w:numPr>
          <w:ilvl w:val="0"/>
          <w:numId w:val="9"/>
        </w:numPr>
        <w:tabs>
          <w:tab w:val="left" w:pos="1440"/>
        </w:tabs>
        <w:spacing w:after="220"/>
      </w:pPr>
      <w:r>
        <w:t xml:space="preserve">In its Petition, </w:t>
      </w:r>
      <w:r w:rsidR="004906A2">
        <w:t xml:space="preserve">Royce argues that:  (1) The </w:t>
      </w:r>
      <w:r w:rsidR="004906A2" w:rsidRPr="00E3351C">
        <w:rPr>
          <w:i/>
        </w:rPr>
        <w:t>MO&amp;O</w:t>
      </w:r>
      <w:r w:rsidR="004906A2" w:rsidRPr="00EE115F">
        <w:t>’s</w:t>
      </w:r>
      <w:r w:rsidR="004906A2">
        <w:t xml:space="preserve"> issuance violated Section 155(d) of the </w:t>
      </w:r>
      <w:r w:rsidR="00A23DF1">
        <w:t xml:space="preserve">Communications </w:t>
      </w:r>
      <w:r w:rsidR="004906A2">
        <w:t>Act</w:t>
      </w:r>
      <w:r w:rsidR="00A23DF1">
        <w:t xml:space="preserve"> of 1934</w:t>
      </w:r>
      <w:r w:rsidR="004906A2">
        <w:t xml:space="preserve">, </w:t>
      </w:r>
      <w:r w:rsidR="00A23DF1">
        <w:t xml:space="preserve">as amended (Act), </w:t>
      </w:r>
      <w:r w:rsidR="004906A2">
        <w:t>which in turn violated Section 706 of the Administrative Procedure Act (APA) because it took the Commission almost 10 years to rule on the AFR;</w:t>
      </w:r>
      <w:r w:rsidR="004906A2">
        <w:rPr>
          <w:rStyle w:val="FootnoteReference"/>
        </w:rPr>
        <w:footnoteReference w:id="10"/>
      </w:r>
      <w:r w:rsidR="004906A2">
        <w:t xml:space="preserve"> (2) the “entire proceeding” underlying the </w:t>
      </w:r>
      <w:r w:rsidR="004906A2" w:rsidRPr="00E3351C">
        <w:rPr>
          <w:i/>
        </w:rPr>
        <w:t xml:space="preserve">MO&amp;O </w:t>
      </w:r>
      <w:r w:rsidR="004906A2">
        <w:t xml:space="preserve">should be governed by </w:t>
      </w:r>
      <w:r w:rsidR="004906A2" w:rsidRPr="00E3351C">
        <w:rPr>
          <w:i/>
        </w:rPr>
        <w:t xml:space="preserve">Kidd v. FCC </w:t>
      </w:r>
      <w:r w:rsidR="004906A2">
        <w:t>(</w:t>
      </w:r>
      <w:r w:rsidR="004906A2" w:rsidRPr="00E3351C">
        <w:rPr>
          <w:i/>
        </w:rPr>
        <w:t>Kidd</w:t>
      </w:r>
      <w:r w:rsidR="004906A2">
        <w:t>)</w:t>
      </w:r>
      <w:r w:rsidR="004906A2" w:rsidRPr="00EE115F">
        <w:rPr>
          <w:rStyle w:val="FootnoteReference"/>
        </w:rPr>
        <w:footnoteReference w:id="11"/>
      </w:r>
      <w:r w:rsidR="004906A2">
        <w:t xml:space="preserve"> in which</w:t>
      </w:r>
      <w:r w:rsidR="008B1F37">
        <w:t xml:space="preserve"> </w:t>
      </w:r>
      <w:r w:rsidR="004906A2">
        <w:t xml:space="preserve">the Court of Appeals for the District of Columbia Circuit </w:t>
      </w:r>
      <w:r w:rsidR="004906A2" w:rsidRPr="00E3351C">
        <w:t>ruled in 2005</w:t>
      </w:r>
      <w:r w:rsidR="004906A2">
        <w:t>, but after the AFR pleading cycle had closed,</w:t>
      </w:r>
      <w:r w:rsidR="004906A2" w:rsidRPr="00E3351C">
        <w:t xml:space="preserve"> that the Commission is not obliged to accommodate a state court decision if it is contrary to Commission policy</w:t>
      </w:r>
      <w:r w:rsidR="004906A2">
        <w:t>, thus presenting a “similar situation” that Royce has heretofore been “unable to argue”</w:t>
      </w:r>
      <w:r w:rsidR="00CA2560">
        <w:t>;</w:t>
      </w:r>
      <w:r w:rsidR="004906A2">
        <w:rPr>
          <w:rStyle w:val="FootnoteReference"/>
        </w:rPr>
        <w:footnoteReference w:id="12"/>
      </w:r>
      <w:r w:rsidR="004906A2">
        <w:t xml:space="preserve"> and (3) in the </w:t>
      </w:r>
      <w:r w:rsidR="004906A2">
        <w:rPr>
          <w:i/>
        </w:rPr>
        <w:t>MO&amp;O</w:t>
      </w:r>
      <w:r w:rsidR="004906A2">
        <w:t>, the Commission erred in rejecting</w:t>
      </w:r>
      <w:r w:rsidR="00CA2560">
        <w:t xml:space="preserve"> as procedurally barred </w:t>
      </w:r>
      <w:r w:rsidR="004906A2">
        <w:t xml:space="preserve">three arguments </w:t>
      </w:r>
      <w:r w:rsidR="00CA2560">
        <w:t xml:space="preserve">regarding </w:t>
      </w:r>
      <w:r w:rsidR="004906A2">
        <w:t>whether the Bureau’s grant of the Application was in accordance with the Commission’s multiple ownership rules.</w:t>
      </w:r>
      <w:r w:rsidR="004906A2">
        <w:rPr>
          <w:rStyle w:val="FootnoteReference"/>
        </w:rPr>
        <w:footnoteReference w:id="13"/>
      </w:r>
      <w:r w:rsidR="004906A2">
        <w:t xml:space="preserve">  Royce argues that the grant of the Application should be rescinded and vacated and that the Station’s license be returned to Royce.</w:t>
      </w:r>
      <w:r w:rsidR="004906A2">
        <w:rPr>
          <w:rStyle w:val="FootnoteReference"/>
        </w:rPr>
        <w:footnoteReference w:id="14"/>
      </w:r>
    </w:p>
    <w:p w:rsidR="004906A2" w:rsidRDefault="004906A2" w:rsidP="003B1A6B">
      <w:pPr>
        <w:pStyle w:val="ParaNum"/>
        <w:widowControl/>
        <w:numPr>
          <w:ilvl w:val="0"/>
          <w:numId w:val="9"/>
        </w:numPr>
        <w:tabs>
          <w:tab w:val="left" w:pos="1440"/>
        </w:tabs>
        <w:spacing w:after="220"/>
      </w:pPr>
      <w:r>
        <w:t xml:space="preserve">In its Opposition, Entercom argues that:  (1) Section 155(d) of the </w:t>
      </w:r>
      <w:r w:rsidR="00EB1735">
        <w:t>Act,</w:t>
      </w:r>
      <w:r>
        <w:t xml:space="preserve"> as well as Section 706 of the APA, are inapplicable</w:t>
      </w:r>
      <w:r w:rsidR="002C1569">
        <w:t xml:space="preserve">; </w:t>
      </w:r>
      <w:r>
        <w:t>Royce inaccurately characterizes these rule sections as mandates requiring Commission action in all circumstances by a date certain;</w:t>
      </w:r>
      <w:r>
        <w:rPr>
          <w:rStyle w:val="FootnoteReference"/>
        </w:rPr>
        <w:footnoteReference w:id="15"/>
      </w:r>
      <w:r>
        <w:t xml:space="preserve"> (2) </w:t>
      </w:r>
      <w:r>
        <w:rPr>
          <w:i/>
        </w:rPr>
        <w:t xml:space="preserve">Kidd </w:t>
      </w:r>
      <w:r>
        <w:t>is inapposite because</w:t>
      </w:r>
      <w:r w:rsidR="000B0DE9">
        <w:t xml:space="preserve"> the</w:t>
      </w:r>
      <w:r>
        <w:t xml:space="preserve"> </w:t>
      </w:r>
      <w:r>
        <w:rPr>
          <w:i/>
        </w:rPr>
        <w:t xml:space="preserve">Kidd </w:t>
      </w:r>
      <w:r w:rsidR="000B0DE9">
        <w:t xml:space="preserve">transaction implicated </w:t>
      </w:r>
      <w:r w:rsidRPr="00A4251A">
        <w:t>the Commission’s rule against a seller</w:t>
      </w:r>
      <w:r w:rsidR="000B0DE9">
        <w:t xml:space="preserve"> retaining </w:t>
      </w:r>
      <w:r w:rsidRPr="00A4251A">
        <w:t>a reversionary interest in a license</w:t>
      </w:r>
      <w:r w:rsidR="001110E6">
        <w:t>; (3) Royce mischaracterizes the state court order at issue;</w:t>
      </w:r>
      <w:r>
        <w:rPr>
          <w:rStyle w:val="FootnoteReference"/>
        </w:rPr>
        <w:footnoteReference w:id="16"/>
      </w:r>
      <w:r>
        <w:t xml:space="preserve"> and (</w:t>
      </w:r>
      <w:r w:rsidR="001110E6">
        <w:t>4</w:t>
      </w:r>
      <w:r>
        <w:t xml:space="preserve">) the </w:t>
      </w:r>
      <w:r>
        <w:rPr>
          <w:i/>
        </w:rPr>
        <w:t>MO&amp;O</w:t>
      </w:r>
      <w:r>
        <w:t xml:space="preserve"> correct</w:t>
      </w:r>
      <w:r w:rsidR="000B0DE9">
        <w:t xml:space="preserve">ly dismissed </w:t>
      </w:r>
      <w:r>
        <w:t xml:space="preserve">three </w:t>
      </w:r>
      <w:r>
        <w:lastRenderedPageBreak/>
        <w:t xml:space="preserve">arguments raised for the first time in the AFR because they </w:t>
      </w:r>
      <w:r w:rsidR="002C1569">
        <w:t xml:space="preserve">could and </w:t>
      </w:r>
      <w:r>
        <w:t>should have been first presented to the Bureau.</w:t>
      </w:r>
      <w:r>
        <w:rPr>
          <w:rStyle w:val="FootnoteReference"/>
        </w:rPr>
        <w:footnoteReference w:id="17"/>
      </w:r>
      <w:r>
        <w:t xml:space="preserve">  </w:t>
      </w:r>
      <w:r w:rsidRPr="00A4251A">
        <w:t xml:space="preserve">      </w:t>
      </w:r>
    </w:p>
    <w:p w:rsidR="004906A2" w:rsidRPr="00A4251A" w:rsidRDefault="004906A2" w:rsidP="004906A2">
      <w:pPr>
        <w:pStyle w:val="ParaNum"/>
        <w:widowControl/>
        <w:numPr>
          <w:ilvl w:val="0"/>
          <w:numId w:val="9"/>
        </w:numPr>
        <w:tabs>
          <w:tab w:val="left" w:pos="1440"/>
        </w:tabs>
        <w:spacing w:after="220"/>
      </w:pPr>
      <w:r>
        <w:t xml:space="preserve">In Reply, Royce </w:t>
      </w:r>
      <w:r w:rsidR="00EB1735">
        <w:t>argues that the Petition is appropriate pursuant to Section 405(a)(2) of the Act and Section 1.106(b)(2) of the Rules</w:t>
      </w:r>
      <w:r w:rsidR="00A63DD0">
        <w:t xml:space="preserve"> because </w:t>
      </w:r>
      <w:r w:rsidR="00A63DD0" w:rsidRPr="00A63DD0">
        <w:rPr>
          <w:i/>
        </w:rPr>
        <w:t>Kidd</w:t>
      </w:r>
      <w:r w:rsidR="00A63DD0">
        <w:t xml:space="preserve"> was decided after the end of the pleading cycle on Royce’s AFR.</w:t>
      </w:r>
      <w:r w:rsidR="002B505D">
        <w:rPr>
          <w:rStyle w:val="FootnoteReference"/>
        </w:rPr>
        <w:footnoteReference w:id="18"/>
      </w:r>
      <w:r>
        <w:t xml:space="preserve">  In addition, Royce argues that </w:t>
      </w:r>
      <w:r>
        <w:rPr>
          <w:i/>
        </w:rPr>
        <w:t xml:space="preserve">Kidd </w:t>
      </w:r>
      <w:r>
        <w:t xml:space="preserve">is applicable here because this case, like </w:t>
      </w:r>
      <w:r>
        <w:rPr>
          <w:i/>
        </w:rPr>
        <w:t xml:space="preserve">Kidd, </w:t>
      </w:r>
      <w:r>
        <w:t>involves an order of a California state court ordering an FCC licensee to, in effect, turn over its license to a party that had brought suit.</w:t>
      </w:r>
      <w:r>
        <w:rPr>
          <w:rStyle w:val="FootnoteReference"/>
        </w:rPr>
        <w:footnoteReference w:id="19"/>
      </w:r>
      <w:r>
        <w:rPr>
          <w:i/>
        </w:rPr>
        <w:t xml:space="preserve"> </w:t>
      </w:r>
      <w:r>
        <w:t xml:space="preserve">  </w:t>
      </w:r>
    </w:p>
    <w:p w:rsidR="004906A2" w:rsidRDefault="004906A2" w:rsidP="004906A2">
      <w:pPr>
        <w:pStyle w:val="Heading1"/>
        <w:numPr>
          <w:ilvl w:val="0"/>
          <w:numId w:val="8"/>
        </w:numPr>
        <w:spacing w:after="220"/>
        <w:jc w:val="both"/>
      </w:pPr>
      <w:r>
        <w:t>DISCUSSION</w:t>
      </w:r>
    </w:p>
    <w:p w:rsidR="004906A2" w:rsidRPr="009F4467" w:rsidRDefault="004906A2" w:rsidP="004906A2">
      <w:pPr>
        <w:widowControl/>
        <w:numPr>
          <w:ilvl w:val="0"/>
          <w:numId w:val="10"/>
        </w:numPr>
        <w:tabs>
          <w:tab w:val="left" w:pos="-720"/>
          <w:tab w:val="num" w:pos="1080"/>
        </w:tabs>
        <w:suppressAutoHyphens/>
        <w:autoSpaceDE w:val="0"/>
        <w:autoSpaceDN w:val="0"/>
        <w:adjustRightInd w:val="0"/>
        <w:spacing w:before="100" w:after="100"/>
        <w:ind w:left="0"/>
        <w:rPr>
          <w:szCs w:val="22"/>
        </w:rPr>
      </w:pPr>
      <w:r w:rsidRPr="00DB113F">
        <w:rPr>
          <w:szCs w:val="22"/>
        </w:rPr>
        <w:t xml:space="preserve">Commission </w:t>
      </w:r>
      <w:r w:rsidRPr="00E40606">
        <w:rPr>
          <w:szCs w:val="22"/>
        </w:rPr>
        <w:t xml:space="preserve">rules prescribe limited circumstances under which a party may seek reconsideration of a Commission denial of an application for review.  </w:t>
      </w:r>
      <w:r w:rsidR="00F8499D">
        <w:rPr>
          <w:szCs w:val="22"/>
        </w:rPr>
        <w:t xml:space="preserve">Pursuant to </w:t>
      </w:r>
      <w:r w:rsidRPr="009F4467">
        <w:rPr>
          <w:szCs w:val="22"/>
        </w:rPr>
        <w:t>Section 1.106(p)</w:t>
      </w:r>
      <w:r w:rsidR="001110E6">
        <w:rPr>
          <w:szCs w:val="22"/>
        </w:rPr>
        <w:t>(1), the staff may</w:t>
      </w:r>
      <w:r w:rsidRPr="009F4467">
        <w:rPr>
          <w:szCs w:val="22"/>
        </w:rPr>
        <w:t xml:space="preserve"> dismiss or deny any petition for reconsideration</w:t>
      </w:r>
      <w:r w:rsidRPr="00F033E3">
        <w:rPr>
          <w:szCs w:val="22"/>
        </w:rPr>
        <w:t xml:space="preserve"> of </w:t>
      </w:r>
      <w:r w:rsidR="0038702F">
        <w:rPr>
          <w:szCs w:val="22"/>
        </w:rPr>
        <w:t xml:space="preserve">a </w:t>
      </w:r>
      <w:r w:rsidRPr="00F033E3">
        <w:rPr>
          <w:szCs w:val="22"/>
        </w:rPr>
        <w:t xml:space="preserve">Commission action that </w:t>
      </w:r>
      <w:r w:rsidRPr="00DB113F">
        <w:rPr>
          <w:szCs w:val="22"/>
        </w:rPr>
        <w:t xml:space="preserve">“plainly does not warrant Commission consideration,” </w:t>
      </w:r>
      <w:r w:rsidR="001110E6">
        <w:rPr>
          <w:szCs w:val="22"/>
        </w:rPr>
        <w:t xml:space="preserve">if such petition </w:t>
      </w:r>
      <w:r w:rsidRPr="00DB113F">
        <w:rPr>
          <w:szCs w:val="22"/>
        </w:rPr>
        <w:t>“[f</w:t>
      </w:r>
      <w:r w:rsidRPr="00E40606">
        <w:rPr>
          <w:szCs w:val="22"/>
        </w:rPr>
        <w:t>]ail[</w:t>
      </w:r>
      <w:r w:rsidRPr="004030E5">
        <w:rPr>
          <w:szCs w:val="22"/>
        </w:rPr>
        <w:t>s] to identify any material error, omission, or reason warranting reconsideration</w:t>
      </w:r>
      <w:r w:rsidR="001110E6">
        <w:rPr>
          <w:szCs w:val="22"/>
        </w:rPr>
        <w:t>.</w:t>
      </w:r>
      <w:r w:rsidRPr="004030E5">
        <w:rPr>
          <w:szCs w:val="22"/>
        </w:rPr>
        <w:t>”</w:t>
      </w:r>
      <w:r w:rsidRPr="009F4467">
        <w:rPr>
          <w:rStyle w:val="FootnoteReference"/>
          <w:szCs w:val="22"/>
        </w:rPr>
        <w:footnoteReference w:id="20"/>
      </w:r>
      <w:r w:rsidRPr="009F4467">
        <w:rPr>
          <w:szCs w:val="22"/>
        </w:rPr>
        <w:t xml:space="preserve"> </w:t>
      </w:r>
    </w:p>
    <w:p w:rsidR="004906A2" w:rsidRDefault="00BA3ACB" w:rsidP="004906A2">
      <w:pPr>
        <w:pStyle w:val="ParaNum"/>
        <w:numPr>
          <w:ilvl w:val="0"/>
          <w:numId w:val="11"/>
        </w:numPr>
        <w:tabs>
          <w:tab w:val="left" w:pos="1440"/>
        </w:tabs>
        <w:spacing w:after="220"/>
      </w:pPr>
      <w:r>
        <w:t xml:space="preserve">  </w:t>
      </w:r>
      <w:r w:rsidR="003629B8">
        <w:t xml:space="preserve">As an initial matter, Royce </w:t>
      </w:r>
      <w:r w:rsidR="00441258">
        <w:t>fundamentally</w:t>
      </w:r>
      <w:r w:rsidR="004906A2" w:rsidRPr="002944B3">
        <w:t xml:space="preserve"> </w:t>
      </w:r>
      <w:r w:rsidR="00441258">
        <w:t>mis</w:t>
      </w:r>
      <w:r w:rsidR="004906A2" w:rsidRPr="002944B3">
        <w:t>characterizes Section 155(d) of the Act as mandat</w:t>
      </w:r>
      <w:r>
        <w:t>ing</w:t>
      </w:r>
      <w:r w:rsidR="004906A2" w:rsidRPr="002944B3">
        <w:t xml:space="preserve"> Commission action </w:t>
      </w:r>
      <w:r w:rsidR="00441258">
        <w:t>within three months.  T</w:t>
      </w:r>
      <w:r>
        <w:t xml:space="preserve">he Commission has held that </w:t>
      </w:r>
      <w:r w:rsidR="00441258">
        <w:t xml:space="preserve">this statutory </w:t>
      </w:r>
      <w:r w:rsidR="002C4223">
        <w:t xml:space="preserve">provision </w:t>
      </w:r>
      <w:r w:rsidR="004906A2" w:rsidRPr="002944B3">
        <w:t xml:space="preserve">merely sets a </w:t>
      </w:r>
      <w:r w:rsidR="002C4223">
        <w:t xml:space="preserve">“non-mandatory” </w:t>
      </w:r>
      <w:r w:rsidR="004906A2" w:rsidRPr="002944B3">
        <w:t>“objective.”</w:t>
      </w:r>
      <w:r w:rsidR="004906A2">
        <w:rPr>
          <w:rStyle w:val="FootnoteReference"/>
        </w:rPr>
        <w:footnoteReference w:id="21"/>
      </w:r>
      <w:r w:rsidR="004906A2">
        <w:t xml:space="preserve">  Further, Royce “has not shown prejudice by establishing that the result reached [in the </w:t>
      </w:r>
      <w:r w:rsidR="004906A2" w:rsidRPr="00BF152A">
        <w:rPr>
          <w:i/>
        </w:rPr>
        <w:t>MO&amp;O</w:t>
      </w:r>
      <w:r w:rsidR="004906A2">
        <w:t xml:space="preserve">] would likely have been different if action had occurred sooner,” nor has Royce shown that </w:t>
      </w:r>
      <w:r w:rsidR="00441258">
        <w:t>the</w:t>
      </w:r>
      <w:r w:rsidR="004906A2">
        <w:t xml:space="preserve"> delay extinguished it</w:t>
      </w:r>
      <w:r w:rsidR="00DF0A91">
        <w:t>s</w:t>
      </w:r>
      <w:r w:rsidR="004906A2">
        <w:t xml:space="preserve"> appellate rights.</w:t>
      </w:r>
      <w:r w:rsidR="004906A2">
        <w:rPr>
          <w:rStyle w:val="FootnoteReference"/>
        </w:rPr>
        <w:footnoteReference w:id="22"/>
      </w:r>
      <w:r w:rsidR="00DF0A91">
        <w:t xml:space="preserve">  </w:t>
      </w:r>
      <w:r w:rsidR="001110E6">
        <w:t>Accordingly, we dismiss this argument pursuant to Section 1.106(p)(1) of the Rules.</w:t>
      </w:r>
      <w:r w:rsidR="004906A2" w:rsidRPr="002944B3">
        <w:t xml:space="preserve">  </w:t>
      </w:r>
    </w:p>
    <w:p w:rsidR="004906A2" w:rsidRDefault="004906A2" w:rsidP="004906A2">
      <w:pPr>
        <w:pStyle w:val="ParaNum"/>
        <w:widowControl/>
        <w:numPr>
          <w:ilvl w:val="0"/>
          <w:numId w:val="9"/>
        </w:numPr>
        <w:tabs>
          <w:tab w:val="left" w:pos="1440"/>
        </w:tabs>
        <w:spacing w:after="220"/>
      </w:pPr>
      <w:r>
        <w:t xml:space="preserve">Next, we find that </w:t>
      </w:r>
      <w:r w:rsidRPr="00DB4956">
        <w:rPr>
          <w:i/>
        </w:rPr>
        <w:t>Kidd</w:t>
      </w:r>
      <w:r>
        <w:t xml:space="preserve"> is inapposite to this proceeding</w:t>
      </w:r>
      <w:r w:rsidR="001110E6">
        <w:t xml:space="preserve"> and that Royce badly mischaracterizes the </w:t>
      </w:r>
      <w:r w:rsidR="00535357">
        <w:t xml:space="preserve">challenged </w:t>
      </w:r>
      <w:r w:rsidR="001110E6">
        <w:t>state court order</w:t>
      </w:r>
      <w:r>
        <w:t xml:space="preserve">.  Specifically, the </w:t>
      </w:r>
      <w:r w:rsidR="001F79E0">
        <w:rPr>
          <w:i/>
        </w:rPr>
        <w:t xml:space="preserve">Kidd </w:t>
      </w:r>
      <w:r>
        <w:t xml:space="preserve">court </w:t>
      </w:r>
      <w:r w:rsidR="001F79E0">
        <w:t xml:space="preserve">vacated </w:t>
      </w:r>
      <w:r w:rsidR="00441258">
        <w:t>a license assignment</w:t>
      </w:r>
      <w:r w:rsidR="001F79E0">
        <w:t xml:space="preserve"> grant because the Commission had failed to explain how the transaction </w:t>
      </w:r>
      <w:r w:rsidR="00441258">
        <w:t>compli</w:t>
      </w:r>
      <w:r w:rsidR="00092666">
        <w:t>e</w:t>
      </w:r>
      <w:r w:rsidR="00441258">
        <w:t xml:space="preserve">d with </w:t>
      </w:r>
      <w:r w:rsidR="001F79E0">
        <w:t xml:space="preserve">the </w:t>
      </w:r>
      <w:r w:rsidR="00441258">
        <w:t>rule prohibiting s</w:t>
      </w:r>
      <w:r w:rsidR="001F79E0">
        <w:t>eller-retained reversionary interests</w:t>
      </w:r>
      <w:r w:rsidR="00441258">
        <w:t>.</w:t>
      </w:r>
      <w:r>
        <w:rPr>
          <w:rStyle w:val="FootnoteReference"/>
        </w:rPr>
        <w:footnoteReference w:id="23"/>
      </w:r>
      <w:r>
        <w:t xml:space="preserve"> </w:t>
      </w:r>
      <w:r w:rsidR="00441258">
        <w:t xml:space="preserve"> In contrast, the challenged Interlocutory Judgment</w:t>
      </w:r>
      <w:r w:rsidR="003629B8">
        <w:t xml:space="preserve"> </w:t>
      </w:r>
      <w:r w:rsidR="00092666">
        <w:t xml:space="preserve">merely ordered </w:t>
      </w:r>
      <w:r w:rsidR="00FB3584">
        <w:t>“</w:t>
      </w:r>
      <w:r w:rsidRPr="00DB4956">
        <w:t xml:space="preserve">the electronic filing . . . of FCC Form 314 </w:t>
      </w:r>
      <w:r w:rsidRPr="002A08D4">
        <w:rPr>
          <w:i/>
        </w:rPr>
        <w:t>in accordance with applicable FCC policies and rules</w:t>
      </w:r>
      <w:r w:rsidRPr="00DB4956">
        <w:t>.”</w:t>
      </w:r>
      <w:r>
        <w:rPr>
          <w:rStyle w:val="FootnoteReference"/>
        </w:rPr>
        <w:footnoteReference w:id="24"/>
      </w:r>
      <w:r>
        <w:t xml:space="preserve">  </w:t>
      </w:r>
      <w:r w:rsidR="001110E6">
        <w:t>The state court did not, as Royce claims, “order the FCC to grant the</w:t>
      </w:r>
      <w:r w:rsidR="00B6239C">
        <w:t xml:space="preserve"> . . . </w:t>
      </w:r>
      <w:r w:rsidR="001110E6">
        <w:t>[A]pplication.”</w:t>
      </w:r>
      <w:r w:rsidR="001110E6">
        <w:rPr>
          <w:rStyle w:val="FootnoteReference"/>
        </w:rPr>
        <w:footnoteReference w:id="25"/>
      </w:r>
      <w:r w:rsidR="001110E6">
        <w:t xml:space="preserve">  </w:t>
      </w:r>
      <w:r>
        <w:t xml:space="preserve"> </w:t>
      </w:r>
      <w:r w:rsidRPr="00DB4956">
        <w:t xml:space="preserve"> </w:t>
      </w:r>
      <w:r>
        <w:t xml:space="preserve">In any event, both the Bureau and the Commission subsequently found that the Application complied with all pertinent statutory and regulatory requirements.  We therefore </w:t>
      </w:r>
      <w:r w:rsidR="001110E6">
        <w:t xml:space="preserve">also dismiss this argument pursuant to </w:t>
      </w:r>
      <w:r>
        <w:t>Section 1.106(</w:t>
      </w:r>
      <w:r w:rsidR="001110E6">
        <w:t>p</w:t>
      </w:r>
      <w:r>
        <w:t>)(</w:t>
      </w:r>
      <w:r w:rsidR="001110E6">
        <w:t>1</w:t>
      </w:r>
      <w:r>
        <w:t>) of the Rules.</w:t>
      </w:r>
      <w:r w:rsidR="00E6533E">
        <w:rPr>
          <w:rStyle w:val="FootnoteReference"/>
        </w:rPr>
        <w:footnoteReference w:id="26"/>
      </w:r>
      <w:r>
        <w:t xml:space="preserve">  </w:t>
      </w:r>
    </w:p>
    <w:p w:rsidR="004906A2" w:rsidRPr="005E4737" w:rsidRDefault="004906A2" w:rsidP="004906A2">
      <w:pPr>
        <w:pStyle w:val="ParaNum"/>
        <w:numPr>
          <w:ilvl w:val="0"/>
          <w:numId w:val="9"/>
        </w:numPr>
        <w:tabs>
          <w:tab w:val="left" w:pos="1440"/>
        </w:tabs>
        <w:spacing w:after="220"/>
      </w:pPr>
      <w:r w:rsidRPr="005E4737">
        <w:t xml:space="preserve">Finally, </w:t>
      </w:r>
      <w:r>
        <w:t>regarding Royce’s contention that the Commission acted arbitrarily in dismissing on procedural grounds three arguments that Royce claims were “subsumed within” the primary issue of whether the Bureau correctly processed the Application in accordance with the Commission’s multiple ownership rules,</w:t>
      </w:r>
      <w:r>
        <w:rPr>
          <w:rStyle w:val="FootnoteReference"/>
        </w:rPr>
        <w:footnoteReference w:id="27"/>
      </w:r>
      <w:r>
        <w:t xml:space="preserve"> it is clear that Royce </w:t>
      </w:r>
      <w:r w:rsidRPr="005D1DC3">
        <w:t xml:space="preserve">never presented any of these </w:t>
      </w:r>
      <w:r>
        <w:t xml:space="preserve">specific </w:t>
      </w:r>
      <w:r w:rsidRPr="005D1DC3">
        <w:t>arguments to the Bureau</w:t>
      </w:r>
      <w:r>
        <w:t xml:space="preserve">.  Thus, they were properly </w:t>
      </w:r>
      <w:r w:rsidRPr="005D1DC3">
        <w:t>dismiss</w:t>
      </w:r>
      <w:r>
        <w:t xml:space="preserve">ed </w:t>
      </w:r>
      <w:r w:rsidRPr="005D1DC3">
        <w:t xml:space="preserve">pursuant to Section </w:t>
      </w:r>
      <w:r>
        <w:t>1.115(c) of the Rules</w:t>
      </w:r>
      <w:r w:rsidRPr="005D1DC3">
        <w:t>.</w:t>
      </w:r>
      <w:r>
        <w:rPr>
          <w:rStyle w:val="FootnoteReference"/>
        </w:rPr>
        <w:footnoteReference w:id="28"/>
      </w:r>
      <w:r>
        <w:t xml:space="preserve">  It is the Commission’s obligation to rule only on allegations actually made; it is not the Commission’s obligation to flesh out or embellish arguments inexpertly made by petitioners.</w:t>
      </w:r>
      <w:r>
        <w:rPr>
          <w:rStyle w:val="FootnoteReference"/>
        </w:rPr>
        <w:footnoteReference w:id="29"/>
      </w:r>
      <w:r>
        <w:t xml:space="preserve">  </w:t>
      </w:r>
      <w:r w:rsidR="0048646D">
        <w:t>Accordingly,</w:t>
      </w:r>
      <w:r w:rsidR="002A08D4">
        <w:t xml:space="preserve"> </w:t>
      </w:r>
      <w:r w:rsidR="0048646D">
        <w:t xml:space="preserve">we also dismiss this argument </w:t>
      </w:r>
      <w:r>
        <w:t>pursuant to Section 1.106(p)(</w:t>
      </w:r>
      <w:r w:rsidR="001110E6">
        <w:t>1</w:t>
      </w:r>
      <w:r>
        <w:t>) of the Rules</w:t>
      </w:r>
      <w:r w:rsidRPr="001C1921">
        <w:t>.</w:t>
      </w:r>
      <w:r>
        <w:t xml:space="preserve"> </w:t>
      </w:r>
    </w:p>
    <w:p w:rsidR="004906A2" w:rsidRDefault="004906A2" w:rsidP="004906A2">
      <w:pPr>
        <w:pStyle w:val="Heading1"/>
        <w:numPr>
          <w:ilvl w:val="0"/>
          <w:numId w:val="8"/>
        </w:numPr>
        <w:spacing w:after="220"/>
      </w:pPr>
      <w:r>
        <w:t>ORDERING CLAUSE</w:t>
      </w:r>
    </w:p>
    <w:p w:rsidR="004906A2" w:rsidRPr="00C96CF8" w:rsidRDefault="004906A2" w:rsidP="004906A2">
      <w:pPr>
        <w:pStyle w:val="ParaNum"/>
        <w:numPr>
          <w:ilvl w:val="0"/>
          <w:numId w:val="9"/>
        </w:numPr>
        <w:tabs>
          <w:tab w:val="left" w:pos="1440"/>
        </w:tabs>
        <w:spacing w:after="220"/>
      </w:pPr>
      <w:r w:rsidRPr="00A65DBA">
        <w:t xml:space="preserve">ACCORDINGLY, IT IS ORDERED that, pursuant to </w:t>
      </w:r>
      <w:r>
        <w:t>authority contained in Section 1.106(p) of the Commission’s Rules,</w:t>
      </w:r>
      <w:r w:rsidRPr="00A65DBA">
        <w:t xml:space="preserve"> </w:t>
      </w:r>
      <w:r>
        <w:t>the Petition for Reconsideration filed on October 19, 2015, by Royce International Broadcasting Company,</w:t>
      </w:r>
      <w:r w:rsidRPr="00C96CF8">
        <w:t xml:space="preserve"> IS D</w:t>
      </w:r>
      <w:r>
        <w:t>ISMISSED</w:t>
      </w:r>
      <w:r w:rsidRPr="00C96CF8">
        <w:t>.</w:t>
      </w:r>
    </w:p>
    <w:p w:rsidR="004906A2" w:rsidRDefault="004906A2" w:rsidP="004906A2">
      <w:pPr>
        <w:tabs>
          <w:tab w:val="left" w:pos="0"/>
        </w:tabs>
        <w:suppressAutoHyphens/>
        <w:ind w:firstLine="990"/>
        <w:jc w:val="both"/>
        <w:rPr>
          <w:szCs w:val="22"/>
        </w:rPr>
      </w:pPr>
      <w:r w:rsidRPr="006358C3">
        <w:tab/>
      </w:r>
      <w:r w:rsidRPr="006358C3">
        <w:tab/>
      </w:r>
      <w:r w:rsidRPr="006358C3">
        <w:tab/>
      </w:r>
      <w:r w:rsidRPr="006358C3">
        <w:tab/>
      </w:r>
      <w:r w:rsidRPr="006358C3">
        <w:tab/>
      </w:r>
      <w:r>
        <w:rPr>
          <w:szCs w:val="22"/>
        </w:rPr>
        <w:t>FEDERAL COMMUNICATIONS COMMISSION</w:t>
      </w:r>
    </w:p>
    <w:p w:rsidR="004906A2" w:rsidRDefault="004906A2" w:rsidP="004906A2">
      <w:pPr>
        <w:tabs>
          <w:tab w:val="left" w:pos="0"/>
        </w:tabs>
        <w:suppressAutoHyphens/>
        <w:ind w:firstLine="990"/>
        <w:jc w:val="both"/>
        <w:rPr>
          <w:szCs w:val="22"/>
        </w:rPr>
      </w:pPr>
    </w:p>
    <w:p w:rsidR="004906A2" w:rsidRDefault="004906A2" w:rsidP="004906A2">
      <w:pPr>
        <w:tabs>
          <w:tab w:val="left" w:pos="0"/>
        </w:tabs>
        <w:suppressAutoHyphens/>
        <w:ind w:firstLine="990"/>
        <w:jc w:val="both"/>
        <w:rPr>
          <w:szCs w:val="22"/>
        </w:rPr>
      </w:pPr>
    </w:p>
    <w:p w:rsidR="004906A2" w:rsidRDefault="004906A2" w:rsidP="004906A2">
      <w:pPr>
        <w:tabs>
          <w:tab w:val="left" w:pos="0"/>
        </w:tabs>
        <w:suppressAutoHyphens/>
        <w:ind w:firstLine="990"/>
        <w:jc w:val="both"/>
        <w:rPr>
          <w:szCs w:val="22"/>
        </w:rPr>
      </w:pPr>
    </w:p>
    <w:p w:rsidR="004906A2" w:rsidRDefault="004906A2" w:rsidP="004906A2">
      <w:pPr>
        <w:tabs>
          <w:tab w:val="left" w:pos="4320"/>
        </w:tabs>
        <w:suppressAutoHyphens/>
        <w:ind w:firstLine="990"/>
        <w:jc w:val="both"/>
        <w:rPr>
          <w:szCs w:val="22"/>
        </w:rPr>
      </w:pPr>
      <w:r>
        <w:rPr>
          <w:szCs w:val="22"/>
        </w:rPr>
        <w:tab/>
        <w:t xml:space="preserve">William T. Lake  </w:t>
      </w:r>
    </w:p>
    <w:p w:rsidR="004906A2" w:rsidRDefault="004906A2" w:rsidP="004906A2">
      <w:pPr>
        <w:pStyle w:val="ParaNum"/>
        <w:numPr>
          <w:ilvl w:val="0"/>
          <w:numId w:val="0"/>
        </w:numPr>
        <w:spacing w:after="0"/>
      </w:pPr>
      <w:r>
        <w:t xml:space="preserve">                    </w:t>
      </w:r>
      <w:r>
        <w:tab/>
      </w:r>
      <w:r>
        <w:tab/>
      </w:r>
      <w:r>
        <w:tab/>
      </w:r>
      <w:r>
        <w:tab/>
      </w:r>
      <w:r>
        <w:tab/>
        <w:t>Chief, Media Bureau</w:t>
      </w:r>
    </w:p>
    <w:p w:rsidR="004906A2" w:rsidRDefault="004906A2" w:rsidP="004906A2">
      <w:pPr>
        <w:pStyle w:val="ParaNum"/>
        <w:numPr>
          <w:ilvl w:val="0"/>
          <w:numId w:val="0"/>
        </w:numPr>
        <w:spacing w:after="0"/>
      </w:pPr>
    </w:p>
    <w:p w:rsidR="002C00E8" w:rsidRPr="002C00E8" w:rsidRDefault="002C00E8" w:rsidP="00DF0A91">
      <w:pPr>
        <w:pStyle w:val="Heading1"/>
        <w:numPr>
          <w:ilvl w:val="0"/>
          <w:numId w:val="0"/>
        </w:numPr>
        <w:ind w:left="45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F7" w:rsidRDefault="006E68F7">
      <w:pPr>
        <w:spacing w:line="20" w:lineRule="exact"/>
      </w:pPr>
    </w:p>
  </w:endnote>
  <w:endnote w:type="continuationSeparator" w:id="0">
    <w:p w:rsidR="006E68F7" w:rsidRDefault="006E68F7">
      <w:r>
        <w:t xml:space="preserve"> </w:t>
      </w:r>
    </w:p>
  </w:endnote>
  <w:endnote w:type="continuationNotice" w:id="1">
    <w:p w:rsidR="006E68F7" w:rsidRDefault="006E68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37" w:rsidRDefault="008B1F37" w:rsidP="0055614C">
    <w:pPr>
      <w:pStyle w:val="Footer"/>
      <w:framePr w:wrap="around" w:vAnchor="text" w:hAnchor="margin" w:xAlign="center" w:y="1"/>
    </w:pPr>
    <w:r>
      <w:fldChar w:fldCharType="begin"/>
    </w:r>
    <w:r>
      <w:instrText xml:space="preserve">PAGE  </w:instrText>
    </w:r>
    <w:r>
      <w:fldChar w:fldCharType="end"/>
    </w:r>
  </w:p>
  <w:p w:rsidR="008B1F37" w:rsidRDefault="008B1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37" w:rsidRDefault="008B1F37" w:rsidP="0055614C">
    <w:pPr>
      <w:pStyle w:val="Footer"/>
      <w:framePr w:wrap="around" w:vAnchor="text" w:hAnchor="margin" w:xAlign="center" w:y="1"/>
    </w:pPr>
    <w:r>
      <w:fldChar w:fldCharType="begin"/>
    </w:r>
    <w:r>
      <w:instrText xml:space="preserve">PAGE  </w:instrText>
    </w:r>
    <w:r>
      <w:fldChar w:fldCharType="separate"/>
    </w:r>
    <w:r w:rsidR="00660308">
      <w:rPr>
        <w:noProof/>
      </w:rPr>
      <w:t>2</w:t>
    </w:r>
    <w:r>
      <w:fldChar w:fldCharType="end"/>
    </w:r>
  </w:p>
  <w:p w:rsidR="008B1F37" w:rsidRDefault="008B1F3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37" w:rsidRDefault="008B1F3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F7" w:rsidRDefault="006E68F7">
      <w:r>
        <w:separator/>
      </w:r>
    </w:p>
  </w:footnote>
  <w:footnote w:type="continuationSeparator" w:id="0">
    <w:p w:rsidR="006E68F7" w:rsidRDefault="006E68F7" w:rsidP="00C721AC">
      <w:pPr>
        <w:spacing w:before="120"/>
        <w:rPr>
          <w:sz w:val="20"/>
        </w:rPr>
      </w:pPr>
      <w:r>
        <w:rPr>
          <w:sz w:val="20"/>
        </w:rPr>
        <w:t xml:space="preserve">(Continued from previous page)  </w:t>
      </w:r>
      <w:r>
        <w:rPr>
          <w:sz w:val="20"/>
        </w:rPr>
        <w:separator/>
      </w:r>
    </w:p>
  </w:footnote>
  <w:footnote w:type="continuationNotice" w:id="1">
    <w:p w:rsidR="006E68F7" w:rsidRDefault="006E68F7" w:rsidP="00C721AC">
      <w:pPr>
        <w:jc w:val="right"/>
        <w:rPr>
          <w:sz w:val="20"/>
        </w:rPr>
      </w:pPr>
      <w:r>
        <w:rPr>
          <w:sz w:val="20"/>
        </w:rPr>
        <w:t>(continued….)</w:t>
      </w:r>
    </w:p>
  </w:footnote>
  <w:footnote w:id="2">
    <w:p w:rsidR="005E60E7" w:rsidRDefault="005E60E7">
      <w:pPr>
        <w:pStyle w:val="FootnoteText"/>
      </w:pPr>
      <w:r>
        <w:rPr>
          <w:rStyle w:val="FootnoteReference"/>
        </w:rPr>
        <w:footnoteRef/>
      </w:r>
      <w:r>
        <w:t xml:space="preserve"> Formerly KWOD(FM).</w:t>
      </w:r>
    </w:p>
  </w:footnote>
  <w:footnote w:id="3">
    <w:p w:rsidR="008B1F37" w:rsidRPr="0020688C" w:rsidRDefault="008B1F37" w:rsidP="004906A2">
      <w:pPr>
        <w:pStyle w:val="FootnoteText"/>
      </w:pPr>
      <w:r w:rsidRPr="0020688C">
        <w:rPr>
          <w:rStyle w:val="FootnoteReference"/>
        </w:rPr>
        <w:footnoteRef/>
      </w:r>
      <w:r w:rsidRPr="0020688C">
        <w:t xml:space="preserve"> </w:t>
      </w:r>
      <w:r>
        <w:t xml:space="preserve">Entercom Communications Corp. (Entercom) filed an </w:t>
      </w:r>
      <w:r w:rsidRPr="0020688C">
        <w:t xml:space="preserve">Opposition to Petition for Reconsideration </w:t>
      </w:r>
      <w:r>
        <w:t xml:space="preserve">(Opposition) </w:t>
      </w:r>
      <w:r w:rsidRPr="0020688C">
        <w:t xml:space="preserve">on </w:t>
      </w:r>
      <w:r>
        <w:t>November 3</w:t>
      </w:r>
      <w:r w:rsidRPr="0020688C">
        <w:t>, 201</w:t>
      </w:r>
      <w:r>
        <w:t>5</w:t>
      </w:r>
      <w:r w:rsidRPr="0020688C">
        <w:t xml:space="preserve">, </w:t>
      </w:r>
      <w:r>
        <w:t xml:space="preserve">to which Royce replied (Reply) </w:t>
      </w:r>
      <w:r w:rsidRPr="0020688C">
        <w:t xml:space="preserve">on </w:t>
      </w:r>
      <w:r>
        <w:t>November 16, 2015</w:t>
      </w:r>
      <w:r w:rsidRPr="0020688C">
        <w:t>.</w:t>
      </w:r>
    </w:p>
  </w:footnote>
  <w:footnote w:id="4">
    <w:p w:rsidR="008B1F37" w:rsidRPr="0020688C" w:rsidRDefault="008B1F37" w:rsidP="004906A2">
      <w:pPr>
        <w:pStyle w:val="FootnoteText"/>
      </w:pPr>
      <w:r w:rsidRPr="0020688C">
        <w:rPr>
          <w:rStyle w:val="FootnoteReference"/>
        </w:rPr>
        <w:footnoteRef/>
      </w:r>
      <w:r w:rsidRPr="0020688C">
        <w:t xml:space="preserve"> </w:t>
      </w:r>
      <w:r>
        <w:rPr>
          <w:i/>
        </w:rPr>
        <w:t>Royce International Broadcasting Company</w:t>
      </w:r>
      <w:r w:rsidRPr="0020688C">
        <w:t xml:space="preserve">, Memorandum Opinion and Order, </w:t>
      </w:r>
      <w:r w:rsidR="008622C8">
        <w:t>30 FCC Rcd 10556</w:t>
      </w:r>
      <w:r w:rsidRPr="0020688C">
        <w:t xml:space="preserve"> (</w:t>
      </w:r>
      <w:r>
        <w:t>2015)</w:t>
      </w:r>
      <w:r w:rsidRPr="0020688C">
        <w:t xml:space="preserve"> (</w:t>
      </w:r>
      <w:r w:rsidRPr="0020688C">
        <w:rPr>
          <w:i/>
        </w:rPr>
        <w:t>MO&amp;O</w:t>
      </w:r>
      <w:r w:rsidRPr="0020688C">
        <w:t xml:space="preserve">).  </w:t>
      </w:r>
    </w:p>
  </w:footnote>
  <w:footnote w:id="5">
    <w:p w:rsidR="008B1F37" w:rsidRPr="0020688C" w:rsidRDefault="008B1F37" w:rsidP="004906A2">
      <w:pPr>
        <w:pStyle w:val="FootnoteText"/>
      </w:pPr>
      <w:r w:rsidRPr="0020688C">
        <w:rPr>
          <w:rStyle w:val="FootnoteReference"/>
        </w:rPr>
        <w:footnoteRef/>
      </w:r>
      <w:r w:rsidRPr="0020688C">
        <w:t xml:space="preserve"> 47 CFR </w:t>
      </w:r>
      <w:r>
        <w:t>§</w:t>
      </w:r>
      <w:r w:rsidRPr="0020688C">
        <w:t>§ 1.106(p)</w:t>
      </w:r>
      <w:r w:rsidR="001110E6">
        <w:t>(1)</w:t>
      </w:r>
      <w:r w:rsidRPr="0020688C">
        <w:t>.</w:t>
      </w:r>
    </w:p>
  </w:footnote>
  <w:footnote w:id="6">
    <w:p w:rsidR="008B1F37" w:rsidRPr="0020688C" w:rsidRDefault="008B1F37" w:rsidP="004906A2">
      <w:pPr>
        <w:pStyle w:val="FootnoteText"/>
      </w:pPr>
      <w:r w:rsidRPr="0020688C">
        <w:rPr>
          <w:rStyle w:val="FootnoteReference"/>
        </w:rPr>
        <w:footnoteRef/>
      </w:r>
      <w:r w:rsidRPr="0020688C">
        <w:t xml:space="preserve"> </w:t>
      </w:r>
      <w:r>
        <w:rPr>
          <w:i/>
        </w:rPr>
        <w:t xml:space="preserve">See Royce International Broadcasting Company, </w:t>
      </w:r>
      <w:r>
        <w:t>Letter Order, 20 FCC Rcd 13720</w:t>
      </w:r>
      <w:r w:rsidR="0090338B">
        <w:t xml:space="preserve"> </w:t>
      </w:r>
      <w:r>
        <w:t>(MB 2005) (</w:t>
      </w:r>
      <w:r>
        <w:rPr>
          <w:i/>
        </w:rPr>
        <w:t xml:space="preserve">Bureau </w:t>
      </w:r>
      <w:r w:rsidRPr="004F2446">
        <w:rPr>
          <w:i/>
        </w:rPr>
        <w:t>Decision</w:t>
      </w:r>
      <w:r>
        <w:t>).</w:t>
      </w:r>
      <w:r w:rsidRPr="0020688C">
        <w:t xml:space="preserve">  </w:t>
      </w:r>
    </w:p>
  </w:footnote>
  <w:footnote w:id="7">
    <w:p w:rsidR="008B1F37" w:rsidRDefault="008B1F37" w:rsidP="004906A2">
      <w:pPr>
        <w:pStyle w:val="FootnoteText"/>
      </w:pPr>
      <w:r>
        <w:rPr>
          <w:rStyle w:val="FootnoteReference"/>
        </w:rPr>
        <w:footnoteRef/>
      </w:r>
      <w:r>
        <w:t xml:space="preserve"> </w:t>
      </w:r>
      <w:r w:rsidRPr="0049662C">
        <w:rPr>
          <w:i/>
          <w:iCs/>
        </w:rPr>
        <w:t>See 2002 Biennial Regulatory Review -- Review of the Commission's Broadcast Ownership Rules and Other Rules Adopted Pursuant to Section 202 of the Telecommunications Act of 1996</w:t>
      </w:r>
      <w:r w:rsidRPr="0049662C">
        <w:t>, Report and Order and Notice of Proposed Rulemaking, 18 FCC Rcd 13620</w:t>
      </w:r>
      <w:r>
        <w:t>, 13692, para. 187</w:t>
      </w:r>
      <w:r w:rsidRPr="0049662C">
        <w:t xml:space="preserve"> (2003) (</w:t>
      </w:r>
      <w:r w:rsidRPr="0049662C">
        <w:rPr>
          <w:i/>
          <w:iCs/>
        </w:rPr>
        <w:t>Ownership Order</w:t>
      </w:r>
      <w:r w:rsidRPr="0049662C">
        <w:t>)</w:t>
      </w:r>
      <w:r w:rsidR="00507A70">
        <w:t xml:space="preserve">.  </w:t>
      </w:r>
      <w:r w:rsidRPr="00D816EA">
        <w:t xml:space="preserve"> </w:t>
      </w:r>
      <w:r>
        <w:t>O</w:t>
      </w:r>
      <w:r w:rsidRPr="0049662C">
        <w:t xml:space="preserve">n </w:t>
      </w:r>
      <w:r>
        <w:t>that same day</w:t>
      </w:r>
      <w:r w:rsidRPr="0049662C">
        <w:t xml:space="preserve">, </w:t>
      </w:r>
      <w:r>
        <w:t xml:space="preserve">June 2, 2003, the Commission </w:t>
      </w:r>
      <w:r w:rsidRPr="0049662C">
        <w:t xml:space="preserve">announced by </w:t>
      </w:r>
      <w:r w:rsidRPr="00651528">
        <w:rPr>
          <w:i/>
        </w:rPr>
        <w:t>Public Notice</w:t>
      </w:r>
      <w:r w:rsidRPr="0049662C">
        <w:t xml:space="preserve"> that certain “pending” applications would be processed under the new rules</w:t>
      </w:r>
      <w:r>
        <w:t xml:space="preserve">.  </w:t>
      </w:r>
      <w:r w:rsidRPr="004F2446">
        <w:rPr>
          <w:i/>
          <w:iCs/>
        </w:rPr>
        <w:t xml:space="preserve">Media Bureau Announces Processing Guidelines for Broadcast Station Applications, </w:t>
      </w:r>
      <w:r w:rsidRPr="004F2446">
        <w:rPr>
          <w:iCs/>
        </w:rPr>
        <w:t>Public Notice, 18</w:t>
      </w:r>
      <w:r w:rsidRPr="004F2446">
        <w:rPr>
          <w:i/>
        </w:rPr>
        <w:t xml:space="preserve"> </w:t>
      </w:r>
      <w:r w:rsidRPr="004F2446">
        <w:t>FCC Rcd 11319</w:t>
      </w:r>
      <w:r w:rsidR="00507A70">
        <w:t>, 11319</w:t>
      </w:r>
      <w:r w:rsidRPr="004F2446">
        <w:t xml:space="preserve"> (2003).</w:t>
      </w:r>
    </w:p>
  </w:footnote>
  <w:footnote w:id="8">
    <w:p w:rsidR="008B1F37" w:rsidRPr="004F2446" w:rsidRDefault="008B1F37" w:rsidP="004906A2">
      <w:pPr>
        <w:pStyle w:val="FootnoteText"/>
      </w:pPr>
      <w:r>
        <w:rPr>
          <w:rStyle w:val="FootnoteReference"/>
        </w:rPr>
        <w:footnoteRef/>
      </w:r>
      <w:r>
        <w:t xml:space="preserve"> 47 CFR § 1.65.  Section </w:t>
      </w:r>
      <w:r w:rsidRPr="004F2446">
        <w:t>1.65 of the Rules</w:t>
      </w:r>
      <w:r>
        <w:t xml:space="preserve"> </w:t>
      </w:r>
      <w:r w:rsidRPr="004F2446">
        <w:t xml:space="preserve">reads, in pertinent part: </w:t>
      </w:r>
    </w:p>
    <w:p w:rsidR="008B1F37" w:rsidRDefault="008B1F37" w:rsidP="004906A2">
      <w:pPr>
        <w:pStyle w:val="FootnoteText"/>
        <w:ind w:left="720" w:right="720"/>
      </w:pPr>
      <w:r w:rsidRPr="004F2446">
        <w:rPr>
          <w:i/>
        </w:rPr>
        <w:t>For purposes of this section</w:t>
      </w:r>
      <w:r w:rsidRPr="004F2446">
        <w:t xml:space="preserve">, an application is “pending” before the Commission from the time it is accepted for filing by the Commission until a Commission grant or denial of the application is no longer subject to reconsideration by the Commission or to review by any court. </w:t>
      </w:r>
      <w:r>
        <w:t>(emphasis supplied).</w:t>
      </w:r>
    </w:p>
  </w:footnote>
  <w:footnote w:id="9">
    <w:p w:rsidR="008B1F37" w:rsidRPr="0020688C" w:rsidRDefault="008B1F37" w:rsidP="004906A2">
      <w:pPr>
        <w:pStyle w:val="FootnoteText"/>
      </w:pPr>
      <w:r w:rsidRPr="0020688C">
        <w:rPr>
          <w:rStyle w:val="FootnoteReference"/>
        </w:rPr>
        <w:footnoteRef/>
      </w:r>
      <w:r w:rsidRPr="0020688C">
        <w:t xml:space="preserve"> </w:t>
      </w:r>
      <w:r w:rsidRPr="0020688C">
        <w:rPr>
          <w:i/>
        </w:rPr>
        <w:t>MO&amp;O</w:t>
      </w:r>
      <w:r w:rsidRPr="0020688C">
        <w:t xml:space="preserve">, </w:t>
      </w:r>
      <w:r w:rsidR="008622C8">
        <w:t xml:space="preserve">30 FCC Rcd </w:t>
      </w:r>
      <w:r>
        <w:t xml:space="preserve">at </w:t>
      </w:r>
      <w:r w:rsidR="008622C8">
        <w:t xml:space="preserve">10557, </w:t>
      </w:r>
      <w:r>
        <w:t>para. 4</w:t>
      </w:r>
      <w:r w:rsidRPr="0020688C">
        <w:t xml:space="preserve">. </w:t>
      </w:r>
    </w:p>
  </w:footnote>
  <w:footnote w:id="10">
    <w:p w:rsidR="008B1F37" w:rsidRPr="007E7277" w:rsidRDefault="008B1F37" w:rsidP="004906A2">
      <w:pPr>
        <w:pStyle w:val="FootnoteText"/>
      </w:pPr>
      <w:r>
        <w:rPr>
          <w:rStyle w:val="FootnoteReference"/>
        </w:rPr>
        <w:footnoteRef/>
      </w:r>
      <w:r>
        <w:t xml:space="preserve"> </w:t>
      </w:r>
      <w:r>
        <w:rPr>
          <w:i/>
        </w:rPr>
        <w:t xml:space="preserve">Id. </w:t>
      </w:r>
      <w:r>
        <w:t xml:space="preserve">at 1.  Royce </w:t>
      </w:r>
      <w:r w:rsidR="000B0DE9">
        <w:t xml:space="preserve">cites numerous </w:t>
      </w:r>
      <w:r>
        <w:t xml:space="preserve">cases </w:t>
      </w:r>
      <w:r w:rsidR="000B0DE9">
        <w:t xml:space="preserve">in which </w:t>
      </w:r>
      <w:r>
        <w:t xml:space="preserve">federal appellate courts have recognized the principle that “justice delayed is justice denied.”  </w:t>
      </w:r>
      <w:r>
        <w:rPr>
          <w:i/>
        </w:rPr>
        <w:t xml:space="preserve">See Gaur v. Gonzales, </w:t>
      </w:r>
      <w:r>
        <w:t>124 Fed. Apx. 738, 743, para. 24 (3</w:t>
      </w:r>
      <w:r w:rsidRPr="00E31002">
        <w:rPr>
          <w:vertAlign w:val="superscript"/>
        </w:rPr>
        <w:t>rd</w:t>
      </w:r>
      <w:r>
        <w:t xml:space="preserve"> Cir. 2005); </w:t>
      </w:r>
      <w:r>
        <w:rPr>
          <w:i/>
        </w:rPr>
        <w:t xml:space="preserve">Rohr Industries, Inc. v. Washington Metropolitan Area Transit Authority, </w:t>
      </w:r>
      <w:r>
        <w:t xml:space="preserve">720 F.2d 1319, 1327, para. 21 (D.C. Cir. 1983); </w:t>
      </w:r>
      <w:r w:rsidRPr="00E31002">
        <w:rPr>
          <w:i/>
        </w:rPr>
        <w:t>U.S. v</w:t>
      </w:r>
      <w:r>
        <w:rPr>
          <w:i/>
        </w:rPr>
        <w:t xml:space="preserve">. Hastings, </w:t>
      </w:r>
      <w:r>
        <w:t>847 F.2d 923 (1</w:t>
      </w:r>
      <w:r w:rsidRPr="00E31002">
        <w:rPr>
          <w:vertAlign w:val="superscript"/>
        </w:rPr>
        <w:t>st</w:t>
      </w:r>
      <w:r>
        <w:t xml:space="preserve"> Cir. 1988); </w:t>
      </w:r>
      <w:r>
        <w:rPr>
          <w:i/>
        </w:rPr>
        <w:t xml:space="preserve">U.S. v. Bert, </w:t>
      </w:r>
      <w:r>
        <w:t>2015 WL 5254882, Slip Op. at 10 (2</w:t>
      </w:r>
      <w:r w:rsidRPr="00E31002">
        <w:rPr>
          <w:vertAlign w:val="superscript"/>
        </w:rPr>
        <w:t>nd</w:t>
      </w:r>
      <w:r>
        <w:t xml:space="preserve"> Cir. 2015); </w:t>
      </w:r>
      <w:r>
        <w:rPr>
          <w:i/>
        </w:rPr>
        <w:t xml:space="preserve">Willis v. Sullivan, </w:t>
      </w:r>
      <w:r>
        <w:t>931 F.2d 390, 404, para. 52 (6</w:t>
      </w:r>
      <w:r w:rsidRPr="00E31002">
        <w:rPr>
          <w:vertAlign w:val="superscript"/>
        </w:rPr>
        <w:t>th</w:t>
      </w:r>
      <w:r>
        <w:t xml:space="preserve"> Cir. 1991); </w:t>
      </w:r>
      <w:r>
        <w:rPr>
          <w:i/>
        </w:rPr>
        <w:t xml:space="preserve">SEC v. First American Bank &amp; Trust Co., </w:t>
      </w:r>
      <w:r>
        <w:t>481 F.2d 673, 676 n.3 (8</w:t>
      </w:r>
      <w:r w:rsidRPr="00E31002">
        <w:rPr>
          <w:vertAlign w:val="superscript"/>
        </w:rPr>
        <w:t>th</w:t>
      </w:r>
      <w:r>
        <w:t xml:space="preserve"> Cir. 1973).  Petition at 5.    </w:t>
      </w:r>
      <w:r>
        <w:rPr>
          <w:i/>
        </w:rPr>
        <w:t xml:space="preserve"> </w:t>
      </w:r>
      <w:r>
        <w:t xml:space="preserve">  </w:t>
      </w:r>
    </w:p>
  </w:footnote>
  <w:footnote w:id="11">
    <w:p w:rsidR="008B1F37" w:rsidRPr="0001483C" w:rsidRDefault="008B1F37" w:rsidP="004906A2">
      <w:pPr>
        <w:pStyle w:val="FootnoteText"/>
      </w:pPr>
      <w:r>
        <w:rPr>
          <w:rStyle w:val="FootnoteReference"/>
        </w:rPr>
        <w:footnoteRef/>
      </w:r>
      <w:r>
        <w:t xml:space="preserve"> 427 F.3d 1 (D.C. Cir. 2005).  </w:t>
      </w:r>
    </w:p>
  </w:footnote>
  <w:footnote w:id="12">
    <w:p w:rsidR="008B1F37" w:rsidRDefault="008B1F37" w:rsidP="004906A2">
      <w:pPr>
        <w:pStyle w:val="FootnoteText"/>
      </w:pPr>
      <w:r>
        <w:rPr>
          <w:rStyle w:val="FootnoteReference"/>
        </w:rPr>
        <w:footnoteRef/>
      </w:r>
      <w:r>
        <w:t xml:space="preserve"> Petition at 2-3, 6</w:t>
      </w:r>
      <w:r w:rsidR="003629B8">
        <w:t>-7</w:t>
      </w:r>
      <w:r>
        <w:t xml:space="preserve">.   </w:t>
      </w:r>
    </w:p>
  </w:footnote>
  <w:footnote w:id="13">
    <w:p w:rsidR="008B1F37" w:rsidRPr="007E7277" w:rsidRDefault="008B1F37" w:rsidP="004906A2">
      <w:pPr>
        <w:pStyle w:val="FootnoteText"/>
      </w:pPr>
      <w:r>
        <w:rPr>
          <w:rStyle w:val="FootnoteReference"/>
        </w:rPr>
        <w:footnoteRef/>
      </w:r>
      <w:r>
        <w:t xml:space="preserve"> </w:t>
      </w:r>
      <w:r>
        <w:rPr>
          <w:i/>
        </w:rPr>
        <w:t xml:space="preserve">Id. </w:t>
      </w:r>
      <w:r>
        <w:t xml:space="preserve">at 8.  In the AFR, </w:t>
      </w:r>
      <w:r w:rsidRPr="00EB09C0">
        <w:t>Royce argue</w:t>
      </w:r>
      <w:r>
        <w:t>d</w:t>
      </w:r>
      <w:r w:rsidRPr="00EB09C0">
        <w:t xml:space="preserve"> for the first time that:  (1) the Bureau “unlawfully” determined that the court’s stay of the rules adopted in the </w:t>
      </w:r>
      <w:r w:rsidRPr="00EB09C0">
        <w:rPr>
          <w:i/>
        </w:rPr>
        <w:t>Ownership Order</w:t>
      </w:r>
      <w:r w:rsidRPr="00EB09C0">
        <w:t xml:space="preserve"> applies in this case, </w:t>
      </w:r>
      <w:r w:rsidRPr="00EB09C0">
        <w:rPr>
          <w:i/>
        </w:rPr>
        <w:t>see Prometheus Radio Project, et al. v. F.C.C.</w:t>
      </w:r>
      <w:r w:rsidRPr="00EB09C0">
        <w:t>, No. 03-3388, slip op. at 3 (3d Cir. Sept. 3, 2003) (</w:t>
      </w:r>
      <w:r w:rsidRPr="00EB09C0">
        <w:rPr>
          <w:i/>
        </w:rPr>
        <w:t>per curiam</w:t>
      </w:r>
      <w:r w:rsidRPr="00EB09C0">
        <w:t xml:space="preserve">); (2) the Bureau, by not addressing Royce’s Section 1.65 “pending” argument, violated 5 U.S.C § 557(c) of the Administrative Procedure Act which requires that any ruling in an adjudicatory decision “show the ruling on each finding, conclusion or exception presented”; and (3) the Bureau, by failing to apply Section 1.65(a) as well as the application processing guidelines established in the </w:t>
      </w:r>
      <w:r w:rsidRPr="00EB09C0">
        <w:rPr>
          <w:i/>
        </w:rPr>
        <w:t xml:space="preserve">Ownership Order, </w:t>
      </w:r>
      <w:r w:rsidRPr="00EB09C0">
        <w:t xml:space="preserve">violated the fundamental tenet that the Commission must follow its own rules.  </w:t>
      </w:r>
    </w:p>
  </w:footnote>
  <w:footnote w:id="14">
    <w:p w:rsidR="008B1F37" w:rsidRPr="007E7277" w:rsidRDefault="008B1F37" w:rsidP="004906A2">
      <w:pPr>
        <w:pStyle w:val="FootnoteText"/>
      </w:pPr>
      <w:r>
        <w:rPr>
          <w:rStyle w:val="FootnoteReference"/>
        </w:rPr>
        <w:footnoteRef/>
      </w:r>
      <w:r>
        <w:t xml:space="preserve"> </w:t>
      </w:r>
      <w:r>
        <w:rPr>
          <w:i/>
        </w:rPr>
        <w:t xml:space="preserve">Id. </w:t>
      </w:r>
      <w:r>
        <w:t>at 9.</w:t>
      </w:r>
    </w:p>
  </w:footnote>
  <w:footnote w:id="15">
    <w:p w:rsidR="008B1F37" w:rsidRDefault="008B1F37" w:rsidP="004906A2">
      <w:pPr>
        <w:pStyle w:val="FootnoteText"/>
      </w:pPr>
      <w:r>
        <w:rPr>
          <w:rStyle w:val="FootnoteReference"/>
        </w:rPr>
        <w:footnoteRef/>
      </w:r>
      <w:r>
        <w:t xml:space="preserve"> Opposition at 2.</w:t>
      </w:r>
    </w:p>
  </w:footnote>
  <w:footnote w:id="16">
    <w:p w:rsidR="008B1F37" w:rsidRPr="00A4251A" w:rsidRDefault="008B1F37" w:rsidP="004906A2">
      <w:pPr>
        <w:pStyle w:val="FootnoteText"/>
      </w:pPr>
      <w:r>
        <w:rPr>
          <w:rStyle w:val="FootnoteReference"/>
        </w:rPr>
        <w:footnoteRef/>
      </w:r>
      <w:r>
        <w:t xml:space="preserve"> </w:t>
      </w:r>
      <w:r>
        <w:rPr>
          <w:i/>
        </w:rPr>
        <w:t xml:space="preserve">Id. </w:t>
      </w:r>
      <w:r>
        <w:t>at 5.</w:t>
      </w:r>
    </w:p>
  </w:footnote>
  <w:footnote w:id="17">
    <w:p w:rsidR="008B1F37" w:rsidRPr="00A4251A" w:rsidRDefault="008B1F37" w:rsidP="004906A2">
      <w:pPr>
        <w:pStyle w:val="FootnoteText"/>
      </w:pPr>
      <w:r>
        <w:rPr>
          <w:rStyle w:val="FootnoteReference"/>
        </w:rPr>
        <w:footnoteRef/>
      </w:r>
      <w:r>
        <w:t xml:space="preserve"> </w:t>
      </w:r>
      <w:r>
        <w:rPr>
          <w:i/>
        </w:rPr>
        <w:t xml:space="preserve">Id. </w:t>
      </w:r>
      <w:r>
        <w:t>at 6.</w:t>
      </w:r>
    </w:p>
  </w:footnote>
  <w:footnote w:id="18">
    <w:p w:rsidR="002B505D" w:rsidRPr="002B505D" w:rsidRDefault="002B505D">
      <w:pPr>
        <w:pStyle w:val="FootnoteText"/>
      </w:pPr>
      <w:r>
        <w:rPr>
          <w:rStyle w:val="FootnoteReference"/>
        </w:rPr>
        <w:footnoteRef/>
      </w:r>
      <w:r>
        <w:t xml:space="preserve"> Reply at 2.  </w:t>
      </w:r>
      <w:r>
        <w:rPr>
          <w:i/>
        </w:rPr>
        <w:t xml:space="preserve">See also </w:t>
      </w:r>
      <w:r>
        <w:t>47 U.S.C. § 405(a)(2) and 47 CFR § 1.106(b)(2).</w:t>
      </w:r>
    </w:p>
  </w:footnote>
  <w:footnote w:id="19">
    <w:p w:rsidR="008B1F37" w:rsidRDefault="008B1F37" w:rsidP="004906A2">
      <w:pPr>
        <w:pStyle w:val="FootnoteText"/>
      </w:pPr>
      <w:r>
        <w:rPr>
          <w:rStyle w:val="FootnoteReference"/>
        </w:rPr>
        <w:footnoteRef/>
      </w:r>
      <w:r>
        <w:t xml:space="preserve"> </w:t>
      </w:r>
      <w:r w:rsidR="002B505D">
        <w:rPr>
          <w:i/>
        </w:rPr>
        <w:t>Id.</w:t>
      </w:r>
    </w:p>
  </w:footnote>
  <w:footnote w:id="20">
    <w:p w:rsidR="008B1F37" w:rsidRPr="00B53557" w:rsidRDefault="008B1F37" w:rsidP="004906A2">
      <w:pPr>
        <w:pStyle w:val="FootnoteText"/>
      </w:pPr>
      <w:r>
        <w:rPr>
          <w:rStyle w:val="FootnoteReference"/>
        </w:rPr>
        <w:footnoteRef/>
      </w:r>
      <w:r>
        <w:t xml:space="preserve"> </w:t>
      </w:r>
      <w:r w:rsidRPr="00B53557">
        <w:t>47 CFR §</w:t>
      </w:r>
      <w:r w:rsidR="004668FA">
        <w:t>§</w:t>
      </w:r>
      <w:r w:rsidRPr="00B53557">
        <w:t xml:space="preserve"> 1.106(p)(1)</w:t>
      </w:r>
      <w:r w:rsidR="001110E6">
        <w:t xml:space="preserve">.  </w:t>
      </w:r>
      <w:r w:rsidRPr="00B53557">
        <w:rPr>
          <w:i/>
          <w:iCs/>
          <w:snapToGrid w:val="0"/>
          <w:kern w:val="28"/>
        </w:rPr>
        <w:t>See </w:t>
      </w:r>
      <w:r>
        <w:rPr>
          <w:i/>
          <w:iCs/>
          <w:snapToGrid w:val="0"/>
          <w:kern w:val="28"/>
        </w:rPr>
        <w:t xml:space="preserve">also </w:t>
      </w:r>
      <w:hyperlink r:id="rId1" w:anchor="co_pp_sp_4493_1606" w:history="1">
        <w:r w:rsidRPr="00B53557">
          <w:rPr>
            <w:i/>
            <w:iCs/>
            <w:snapToGrid w:val="0"/>
            <w:kern w:val="28"/>
          </w:rPr>
          <w:t>Amendment of Certain of the Commission's Part 1 Rules of Practice and Procedure and Part 0 Rules of Commission Organization</w:t>
        </w:r>
        <w:r w:rsidRPr="00B53557">
          <w:rPr>
            <w:snapToGrid w:val="0"/>
            <w:kern w:val="28"/>
          </w:rPr>
          <w:t>, Report and Order, 26 FCC Rcd 1594, 1606, para. 27 (2011)</w:t>
        </w:r>
      </w:hyperlink>
      <w:r>
        <w:rPr>
          <w:snapToGrid w:val="0"/>
          <w:kern w:val="28"/>
        </w:rPr>
        <w:t>.</w:t>
      </w:r>
      <w:r w:rsidR="004668FA">
        <w:rPr>
          <w:snapToGrid w:val="0"/>
          <w:kern w:val="28"/>
        </w:rPr>
        <w:t xml:space="preserve"> </w:t>
      </w:r>
    </w:p>
  </w:footnote>
  <w:footnote w:id="21">
    <w:p w:rsidR="008B1F37" w:rsidRDefault="008B1F37" w:rsidP="004906A2">
      <w:pPr>
        <w:pStyle w:val="FootnoteText"/>
      </w:pPr>
      <w:r>
        <w:rPr>
          <w:rStyle w:val="FootnoteReference"/>
        </w:rPr>
        <w:footnoteRef/>
      </w:r>
      <w:r>
        <w:t xml:space="preserve"> </w:t>
      </w:r>
      <w:r>
        <w:rPr>
          <w:i/>
        </w:rPr>
        <w:t xml:space="preserve">See Pacific and Southern Company, Inc., </w:t>
      </w:r>
      <w:r>
        <w:t>Memorandum Opinion and Order, 11 FCC Rcd 8503, 8506, para. 11 (1996) (</w:t>
      </w:r>
      <w:r w:rsidR="002C4223">
        <w:t xml:space="preserve">also noting that in the license renewal context compliance with this “objective” “is an impossibility”).  </w:t>
      </w:r>
      <w:r w:rsidRPr="008A1AA6">
        <w:t xml:space="preserve"> </w:t>
      </w:r>
      <w:r>
        <w:t xml:space="preserve">  </w:t>
      </w:r>
    </w:p>
  </w:footnote>
  <w:footnote w:id="22">
    <w:p w:rsidR="008B1F37" w:rsidRPr="0007105C" w:rsidRDefault="008B1F37" w:rsidP="004906A2">
      <w:pPr>
        <w:pStyle w:val="FootnoteText"/>
      </w:pPr>
      <w:r>
        <w:rPr>
          <w:rStyle w:val="FootnoteReference"/>
        </w:rPr>
        <w:footnoteRef/>
      </w:r>
      <w:r>
        <w:t xml:space="preserve"> </w:t>
      </w:r>
      <w:r>
        <w:rPr>
          <w:i/>
        </w:rPr>
        <w:t xml:space="preserve">Id. </w:t>
      </w:r>
      <w:r>
        <w:t>at 8507, para. 11.</w:t>
      </w:r>
    </w:p>
  </w:footnote>
  <w:footnote w:id="23">
    <w:p w:rsidR="008B1F37" w:rsidRPr="002418DF" w:rsidRDefault="008B1F37" w:rsidP="004906A2">
      <w:pPr>
        <w:pStyle w:val="FootnoteText"/>
      </w:pPr>
      <w:r>
        <w:rPr>
          <w:rStyle w:val="FootnoteReference"/>
        </w:rPr>
        <w:footnoteRef/>
      </w:r>
      <w:r>
        <w:t xml:space="preserve"> </w:t>
      </w:r>
      <w:r>
        <w:rPr>
          <w:i/>
        </w:rPr>
        <w:t xml:space="preserve">See Kidd, </w:t>
      </w:r>
      <w:r>
        <w:t>427 F.3d at 6, para. 16.</w:t>
      </w:r>
    </w:p>
  </w:footnote>
  <w:footnote w:id="24">
    <w:p w:rsidR="008B1F37" w:rsidRDefault="008B1F37" w:rsidP="004906A2">
      <w:pPr>
        <w:pStyle w:val="FootnoteText"/>
      </w:pPr>
      <w:r>
        <w:rPr>
          <w:rStyle w:val="FootnoteReference"/>
        </w:rPr>
        <w:footnoteRef/>
      </w:r>
      <w:r>
        <w:t xml:space="preserve"> </w:t>
      </w:r>
      <w:r w:rsidRPr="008C5042">
        <w:rPr>
          <w:i/>
        </w:rPr>
        <w:t xml:space="preserve">See </w:t>
      </w:r>
      <w:r w:rsidRPr="008C5042">
        <w:t>Application at Attachment 1 (</w:t>
      </w:r>
      <w:r w:rsidRPr="008C5042">
        <w:rPr>
          <w:i/>
        </w:rPr>
        <w:t xml:space="preserve">Entercom Communications Corp. v. Royce International Broadcasting Corporation, Royce International Broadcasting Company, Edward R. Stoltz II, and DOES 1-10, Case No. 99AS04202, </w:t>
      </w:r>
      <w:r w:rsidRPr="008C5042">
        <w:t>Interlocutory Judgment (without attachments) (Sup. Ct. Cal., Sacramento County) at 4)</w:t>
      </w:r>
      <w:r w:rsidR="00FB3584">
        <w:t xml:space="preserve"> (emphasis supplied)</w:t>
      </w:r>
      <w:r w:rsidRPr="008C5042">
        <w:t xml:space="preserve">. </w:t>
      </w:r>
      <w:r>
        <w:t xml:space="preserve"> </w:t>
      </w:r>
    </w:p>
  </w:footnote>
  <w:footnote w:id="25">
    <w:p w:rsidR="001110E6" w:rsidRDefault="001110E6">
      <w:pPr>
        <w:pStyle w:val="FootnoteText"/>
      </w:pPr>
      <w:r>
        <w:rPr>
          <w:rStyle w:val="FootnoteReference"/>
        </w:rPr>
        <w:footnoteRef/>
      </w:r>
      <w:r>
        <w:t xml:space="preserve"> Petition at 7.</w:t>
      </w:r>
    </w:p>
  </w:footnote>
  <w:footnote w:id="26">
    <w:p w:rsidR="00E6533E" w:rsidRPr="00E6533E" w:rsidRDefault="00E6533E">
      <w:pPr>
        <w:pStyle w:val="FootnoteText"/>
      </w:pPr>
      <w:r w:rsidRPr="00E6533E">
        <w:rPr>
          <w:rStyle w:val="FootnoteReference"/>
        </w:rPr>
        <w:footnoteRef/>
      </w:r>
      <w:r w:rsidRPr="00E6533E">
        <w:t xml:space="preserve"> </w:t>
      </w:r>
      <w:r w:rsidR="00F57F6E">
        <w:t xml:space="preserve">Because we </w:t>
      </w:r>
      <w:r w:rsidR="0038702F">
        <w:t xml:space="preserve">dismiss </w:t>
      </w:r>
      <w:r w:rsidR="00F57F6E">
        <w:t xml:space="preserve">Royce’s </w:t>
      </w:r>
      <w:r w:rsidR="00F57F6E">
        <w:rPr>
          <w:i/>
        </w:rPr>
        <w:t xml:space="preserve">Kidd </w:t>
      </w:r>
      <w:r w:rsidR="0038702F">
        <w:t>argument pursuant to</w:t>
      </w:r>
      <w:r w:rsidR="00F57F6E">
        <w:t xml:space="preserve"> 47 CFR § 1.106(</w:t>
      </w:r>
      <w:r w:rsidR="002A08D4">
        <w:t>p</w:t>
      </w:r>
      <w:r w:rsidR="00F57F6E">
        <w:t xml:space="preserve">)(1), we need not </w:t>
      </w:r>
      <w:r w:rsidR="0038702F">
        <w:t xml:space="preserve">reach the issue whether </w:t>
      </w:r>
      <w:r w:rsidR="00F57F6E">
        <w:t xml:space="preserve">the release of </w:t>
      </w:r>
      <w:r w:rsidR="00F57F6E">
        <w:rPr>
          <w:i/>
        </w:rPr>
        <w:t xml:space="preserve">Kidd </w:t>
      </w:r>
      <w:r w:rsidR="00F57F6E">
        <w:t>constituted a “new fact or changed circumstance” under 47 CFR § 1.106(b)(2)(i)</w:t>
      </w:r>
      <w:r w:rsidR="0038702F">
        <w:t xml:space="preserve">.  We note, however, that the Bureau has previously concluded that dismissal pursuant to Section 1.106(b)(3) is appropriate when the alleged new facts are not material to the matters at issue in the application proceeding.  </w:t>
      </w:r>
      <w:r w:rsidRPr="00E6533E">
        <w:rPr>
          <w:i/>
        </w:rPr>
        <w:t>See</w:t>
      </w:r>
      <w:r>
        <w:rPr>
          <w:i/>
        </w:rPr>
        <w:t>, e.g.,</w:t>
      </w:r>
      <w:r w:rsidRPr="00E6533E">
        <w:rPr>
          <w:i/>
        </w:rPr>
        <w:t xml:space="preserve"> Emmis Radio License, LLC, </w:t>
      </w:r>
      <w:r w:rsidRPr="00E6533E">
        <w:t>Order on Reconsideration, 29 FCC Rcd 9129, 9131, para. 4 (MB 2014) (Bureau finds</w:t>
      </w:r>
      <w:r w:rsidR="00F57F6E">
        <w:t xml:space="preserve"> that</w:t>
      </w:r>
      <w:r w:rsidRPr="00E6533E">
        <w:t xml:space="preserve"> </w:t>
      </w:r>
      <w:r>
        <w:t>p</w:t>
      </w:r>
      <w:r w:rsidRPr="00E6533E">
        <w:t>etitioners</w:t>
      </w:r>
      <w:r w:rsidR="00F57F6E">
        <w:t>’</w:t>
      </w:r>
      <w:r w:rsidRPr="00E6533E">
        <w:t xml:space="preserve"> </w:t>
      </w:r>
      <w:r w:rsidR="00F57F6E">
        <w:t xml:space="preserve">citation to irrelevant Commission orders </w:t>
      </w:r>
      <w:r w:rsidR="00EE7067">
        <w:t>failed to</w:t>
      </w:r>
      <w:r w:rsidRPr="00E6533E">
        <w:t xml:space="preserve"> demonstrate change</w:t>
      </w:r>
      <w:r w:rsidR="0038702F">
        <w:t xml:space="preserve">d </w:t>
      </w:r>
      <w:r w:rsidRPr="00E6533E">
        <w:rPr>
          <w:bCs/>
        </w:rPr>
        <w:t>circumstances</w:t>
      </w:r>
      <w:r w:rsidRPr="00E6533E">
        <w:t xml:space="preserve"> warranting </w:t>
      </w:r>
      <w:r w:rsidR="0038702F">
        <w:t>reconsideration</w:t>
      </w:r>
      <w:r w:rsidRPr="00E6533E">
        <w:t xml:space="preserve"> of </w:t>
      </w:r>
      <w:r w:rsidR="0038702F">
        <w:t xml:space="preserve">a </w:t>
      </w:r>
      <w:r w:rsidR="008E1DA0">
        <w:t xml:space="preserve">Commission </w:t>
      </w:r>
      <w:r w:rsidRPr="008E1DA0">
        <w:rPr>
          <w:i/>
        </w:rPr>
        <w:t xml:space="preserve">Memorandum Opinion and Order </w:t>
      </w:r>
      <w:r w:rsidRPr="00E6533E">
        <w:t xml:space="preserve">pursuant to </w:t>
      </w:r>
      <w:r w:rsidRPr="00E6533E">
        <w:rPr>
          <w:bCs/>
        </w:rPr>
        <w:t>Section</w:t>
      </w:r>
      <w:r w:rsidRPr="00E6533E">
        <w:t xml:space="preserve"> </w:t>
      </w:r>
      <w:r w:rsidRPr="00E6533E">
        <w:rPr>
          <w:bCs/>
        </w:rPr>
        <w:t>1</w:t>
      </w:r>
      <w:r w:rsidRPr="00E6533E">
        <w:t>.</w:t>
      </w:r>
      <w:r w:rsidRPr="00E6533E">
        <w:rPr>
          <w:bCs/>
        </w:rPr>
        <w:t>106</w:t>
      </w:r>
      <w:r w:rsidRPr="00E6533E">
        <w:t>(b)(2)(i)).</w:t>
      </w:r>
    </w:p>
  </w:footnote>
  <w:footnote w:id="27">
    <w:p w:rsidR="008B1F37" w:rsidRDefault="008B1F37" w:rsidP="004906A2">
      <w:pPr>
        <w:pStyle w:val="FootnoteText"/>
      </w:pPr>
      <w:r>
        <w:rPr>
          <w:rStyle w:val="FootnoteReference"/>
        </w:rPr>
        <w:footnoteRef/>
      </w:r>
      <w:r>
        <w:t xml:space="preserve"> Petition at 7.</w:t>
      </w:r>
    </w:p>
  </w:footnote>
  <w:footnote w:id="28">
    <w:p w:rsidR="008B1F37" w:rsidRDefault="008B1F37" w:rsidP="004906A2">
      <w:pPr>
        <w:pStyle w:val="FootnoteText"/>
      </w:pPr>
      <w:r>
        <w:rPr>
          <w:rStyle w:val="FootnoteReference"/>
        </w:rPr>
        <w:footnoteRef/>
      </w:r>
      <w:r>
        <w:t xml:space="preserve"> 47 CFR § 1.115(c).</w:t>
      </w:r>
    </w:p>
  </w:footnote>
  <w:footnote w:id="29">
    <w:p w:rsidR="008B1F37" w:rsidRPr="00572A15" w:rsidRDefault="008B1F37" w:rsidP="004906A2">
      <w:pPr>
        <w:pStyle w:val="FootnoteText"/>
      </w:pPr>
      <w:r w:rsidRPr="00572A15">
        <w:rPr>
          <w:rStyle w:val="FootnoteReference"/>
        </w:rPr>
        <w:footnoteRef/>
      </w:r>
      <w:r w:rsidRPr="00572A15">
        <w:t xml:space="preserve"> </w:t>
      </w:r>
      <w:r w:rsidRPr="00572A15">
        <w:rPr>
          <w:i/>
          <w:iCs/>
        </w:rPr>
        <w:t>See, e.g.,</w:t>
      </w:r>
      <w:r w:rsidRPr="00572A15">
        <w:t xml:space="preserve"> </w:t>
      </w:r>
      <w:r w:rsidRPr="00572A15">
        <w:rPr>
          <w:i/>
        </w:rPr>
        <w:t>Tama Radio Licenses of Tampa, Florida, Inc.,</w:t>
      </w:r>
      <w:r w:rsidRPr="00572A15">
        <w:t xml:space="preserve"> </w:t>
      </w:r>
      <w:hyperlink r:id="rId2" w:anchor="co_pp_sp_4493_7589" w:history="1">
        <w:r w:rsidRPr="00572A15">
          <w:rPr>
            <w:rStyle w:val="Hyperlink"/>
            <w:iCs/>
            <w:color w:val="auto"/>
            <w:u w:val="none"/>
          </w:rPr>
          <w:t>Memorandum Opinion and Order</w:t>
        </w:r>
        <w:r w:rsidRPr="00572A15">
          <w:rPr>
            <w:rStyle w:val="Hyperlink"/>
            <w:color w:val="auto"/>
            <w:u w:val="none"/>
          </w:rPr>
          <w:t>, 25 FCC Rcd 7588, 7589, para. 2 (2010)</w:t>
        </w:r>
      </w:hyperlink>
      <w:r w:rsidRPr="00572A15">
        <w:t xml:space="preserve"> (“The Commission is not required to sift through an applicant's prior pleadings to supply the reasoning that our rules require to be provided in the application for review.”); </w:t>
      </w:r>
      <w:r w:rsidRPr="00572A15">
        <w:rPr>
          <w:i/>
        </w:rPr>
        <w:t>Red Hot Radio, Inc</w:t>
      </w:r>
      <w:r w:rsidRPr="00572A15">
        <w:t xml:space="preserve">., </w:t>
      </w:r>
      <w:hyperlink r:id="rId3" w:anchor="co_pp_sp_4493_6745" w:history="1">
        <w:r w:rsidRPr="00572A15">
          <w:rPr>
            <w:rStyle w:val="Hyperlink"/>
            <w:iCs/>
            <w:color w:val="auto"/>
            <w:u w:val="none"/>
          </w:rPr>
          <w:t>Memorandum Opinion and Order</w:t>
        </w:r>
        <w:r w:rsidRPr="00572A15">
          <w:rPr>
            <w:rStyle w:val="Hyperlink"/>
            <w:color w:val="auto"/>
            <w:u w:val="none"/>
          </w:rPr>
          <w:t>, 19 FCC Rcd 6737, 6745 n.63 (2004)</w:t>
        </w:r>
      </w:hyperlink>
      <w:r w:rsidRPr="00572A15">
        <w:t xml:space="preserve"> (“Our rules do not allow for a ‘kitchen sink’ approach to an application for review, rather the burden is on the Applicant to set forth fully its argument and all underlying relevant facts in the application for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59" w:rsidRDefault="007D6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37" w:rsidRDefault="008B1F37" w:rsidP="00810B6F">
    <w:pPr>
      <w:pStyle w:val="Header"/>
      <w:rPr>
        <w:b w:val="0"/>
      </w:rPr>
    </w:pPr>
    <w:r>
      <w:tab/>
      <w:t>Federal Communications Commission</w:t>
    </w:r>
    <w:r>
      <w:tab/>
    </w:r>
    <w:r w:rsidR="00C626D9">
      <w:t xml:space="preserve">DA </w:t>
    </w:r>
    <w:r w:rsidR="003B1A6B" w:rsidRPr="003B1A6B">
      <w:t>16-62</w:t>
    </w:r>
  </w:p>
  <w:p w:rsidR="008B1F37" w:rsidRDefault="0040260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F10FB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B1F37" w:rsidRDefault="008B1F3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37" w:rsidRDefault="0040260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41D0D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8B1F37">
      <w:tab/>
      <w:t>Federal Communications Commission</w:t>
    </w:r>
    <w:r w:rsidR="008B1F37">
      <w:tab/>
    </w:r>
    <w:r w:rsidR="00C626D9">
      <w:rPr>
        <w:spacing w:val="-2"/>
      </w:rPr>
      <w:t xml:space="preserve">DA </w:t>
    </w:r>
    <w:r w:rsidR="003B1A6B" w:rsidRPr="003B1A6B">
      <w:rPr>
        <w:spacing w:val="-2"/>
      </w:rPr>
      <w:t>16-62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1170"/>
        </w:tabs>
        <w:ind w:left="1170" w:hanging="720"/>
      </w:pPr>
    </w:lvl>
    <w:lvl w:ilvl="1">
      <w:start w:val="1"/>
      <w:numFmt w:val="upperLetter"/>
      <w:pStyle w:val="Heading2"/>
      <w:lvlText w:val="%2."/>
      <w:lvlJc w:val="left"/>
      <w:pPr>
        <w:tabs>
          <w:tab w:val="num" w:pos="1890"/>
        </w:tabs>
        <w:ind w:left="1890" w:hanging="720"/>
      </w:pPr>
    </w:lvl>
    <w:lvl w:ilvl="2">
      <w:start w:val="1"/>
      <w:numFmt w:val="decimal"/>
      <w:pStyle w:val="Heading3"/>
      <w:lvlText w:val="%3."/>
      <w:lvlJc w:val="left"/>
      <w:pPr>
        <w:tabs>
          <w:tab w:val="num" w:pos="2610"/>
        </w:tabs>
        <w:ind w:left="2610" w:hanging="720"/>
      </w:pPr>
    </w:lvl>
    <w:lvl w:ilvl="3">
      <w:start w:val="1"/>
      <w:numFmt w:val="lowerLetter"/>
      <w:pStyle w:val="Heading4"/>
      <w:lvlText w:val="%4."/>
      <w:lvlJc w:val="left"/>
      <w:pPr>
        <w:tabs>
          <w:tab w:val="num" w:pos="3330"/>
        </w:tabs>
        <w:ind w:left="3330" w:hanging="720"/>
      </w:pPr>
    </w:lvl>
    <w:lvl w:ilvl="4">
      <w:start w:val="1"/>
      <w:numFmt w:val="lowerRoman"/>
      <w:pStyle w:val="Heading5"/>
      <w:lvlText w:val="(%5)"/>
      <w:lvlJc w:val="left"/>
      <w:pPr>
        <w:tabs>
          <w:tab w:val="num" w:pos="4050"/>
        </w:tabs>
        <w:ind w:left="4050" w:hanging="720"/>
      </w:pPr>
    </w:lvl>
    <w:lvl w:ilvl="5">
      <w:start w:val="1"/>
      <w:numFmt w:val="lowerLetter"/>
      <w:pStyle w:val="Heading6"/>
      <w:lvlText w:val="(%6)"/>
      <w:lvlJc w:val="left"/>
      <w:pPr>
        <w:tabs>
          <w:tab w:val="num" w:pos="4770"/>
        </w:tabs>
        <w:ind w:left="4770" w:hanging="720"/>
      </w:pPr>
    </w:lvl>
    <w:lvl w:ilvl="6">
      <w:start w:val="1"/>
      <w:numFmt w:val="lowerRoman"/>
      <w:pStyle w:val="Heading7"/>
      <w:lvlText w:val="(%7)"/>
      <w:lvlJc w:val="left"/>
      <w:pPr>
        <w:tabs>
          <w:tab w:val="num" w:pos="5490"/>
        </w:tabs>
        <w:ind w:left="4770" w:firstLine="0"/>
      </w:pPr>
    </w:lvl>
    <w:lvl w:ilvl="7">
      <w:start w:val="1"/>
      <w:numFmt w:val="lowerLetter"/>
      <w:pStyle w:val="Heading8"/>
      <w:lvlText w:val="(%8)"/>
      <w:lvlJc w:val="left"/>
      <w:pPr>
        <w:tabs>
          <w:tab w:val="num" w:pos="5850"/>
        </w:tabs>
        <w:ind w:left="5490" w:firstLine="0"/>
      </w:pPr>
    </w:lvl>
    <w:lvl w:ilvl="8">
      <w:start w:val="1"/>
      <w:numFmt w:val="lowerRoman"/>
      <w:pStyle w:val="Heading9"/>
      <w:lvlText w:val="(%9)"/>
      <w:lvlJc w:val="left"/>
      <w:pPr>
        <w:tabs>
          <w:tab w:val="num" w:pos="6570"/>
        </w:tabs>
        <w:ind w:left="6210" w:firstLine="0"/>
      </w:pPr>
    </w:lvl>
  </w:abstractNum>
  <w:abstractNum w:abstractNumId="5">
    <w:nsid w:val="3D0F1B3D"/>
    <w:multiLevelType w:val="singleLevel"/>
    <w:tmpl w:val="1A5ECFE4"/>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EF260F0"/>
    <w:multiLevelType w:val="hybridMultilevel"/>
    <w:tmpl w:val="1BF267A0"/>
    <w:lvl w:ilvl="0" w:tplc="C3482718">
      <w:start w:val="6"/>
      <w:numFmt w:val="decimal"/>
      <w:lvlText w:val="%1."/>
      <w:lvlJc w:val="left"/>
      <w:pPr>
        <w:tabs>
          <w:tab w:val="num" w:pos="3960"/>
        </w:tabs>
        <w:ind w:left="2880" w:firstLine="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1"/>
  </w:num>
  <w:num w:numId="8">
    <w:abstractNumId w:val="8"/>
  </w:num>
  <w:num w:numId="9">
    <w:abstractNumId w:val="5"/>
  </w:num>
  <w:num w:numId="10">
    <w:abstractNumId w:val="7"/>
  </w:num>
  <w:num w:numId="11">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A2"/>
    <w:rsid w:val="00036039"/>
    <w:rsid w:val="00037F90"/>
    <w:rsid w:val="000875BF"/>
    <w:rsid w:val="00092666"/>
    <w:rsid w:val="00096D8C"/>
    <w:rsid w:val="000B0DE9"/>
    <w:rsid w:val="000C0B65"/>
    <w:rsid w:val="000E05FE"/>
    <w:rsid w:val="000E3D42"/>
    <w:rsid w:val="000F4B3F"/>
    <w:rsid w:val="001110E6"/>
    <w:rsid w:val="00122BD5"/>
    <w:rsid w:val="00133F79"/>
    <w:rsid w:val="00157617"/>
    <w:rsid w:val="001743FB"/>
    <w:rsid w:val="00192A62"/>
    <w:rsid w:val="00194A66"/>
    <w:rsid w:val="001D6BCF"/>
    <w:rsid w:val="001E01CA"/>
    <w:rsid w:val="001F79E0"/>
    <w:rsid w:val="00275CF5"/>
    <w:rsid w:val="0028301F"/>
    <w:rsid w:val="00285017"/>
    <w:rsid w:val="002A08D4"/>
    <w:rsid w:val="002A288E"/>
    <w:rsid w:val="002A2D2E"/>
    <w:rsid w:val="002A4BA2"/>
    <w:rsid w:val="002A6E16"/>
    <w:rsid w:val="002B505D"/>
    <w:rsid w:val="002C00E8"/>
    <w:rsid w:val="002C1569"/>
    <w:rsid w:val="002C4223"/>
    <w:rsid w:val="002E6DC9"/>
    <w:rsid w:val="00343749"/>
    <w:rsid w:val="00345DEA"/>
    <w:rsid w:val="003629B8"/>
    <w:rsid w:val="003660ED"/>
    <w:rsid w:val="0038702F"/>
    <w:rsid w:val="003B0550"/>
    <w:rsid w:val="003B1A6B"/>
    <w:rsid w:val="003B694F"/>
    <w:rsid w:val="003F171C"/>
    <w:rsid w:val="003F563A"/>
    <w:rsid w:val="0040260C"/>
    <w:rsid w:val="00412FC5"/>
    <w:rsid w:val="00422276"/>
    <w:rsid w:val="004242F1"/>
    <w:rsid w:val="00441258"/>
    <w:rsid w:val="00445A00"/>
    <w:rsid w:val="00451B0F"/>
    <w:rsid w:val="004668FA"/>
    <w:rsid w:val="0048646D"/>
    <w:rsid w:val="004906A2"/>
    <w:rsid w:val="004B39A4"/>
    <w:rsid w:val="004C2EE3"/>
    <w:rsid w:val="004C4121"/>
    <w:rsid w:val="004D7DA9"/>
    <w:rsid w:val="004E4A22"/>
    <w:rsid w:val="004F6879"/>
    <w:rsid w:val="0050322D"/>
    <w:rsid w:val="00507A70"/>
    <w:rsid w:val="00511968"/>
    <w:rsid w:val="00513EA5"/>
    <w:rsid w:val="00535357"/>
    <w:rsid w:val="005534D9"/>
    <w:rsid w:val="0055614C"/>
    <w:rsid w:val="00572A15"/>
    <w:rsid w:val="005A4437"/>
    <w:rsid w:val="005E14C2"/>
    <w:rsid w:val="005E60E7"/>
    <w:rsid w:val="00607BA5"/>
    <w:rsid w:val="0061180A"/>
    <w:rsid w:val="0062128F"/>
    <w:rsid w:val="00626EB6"/>
    <w:rsid w:val="00655D03"/>
    <w:rsid w:val="00660308"/>
    <w:rsid w:val="006725E8"/>
    <w:rsid w:val="00683388"/>
    <w:rsid w:val="00683F84"/>
    <w:rsid w:val="00696DFD"/>
    <w:rsid w:val="006A3471"/>
    <w:rsid w:val="006A6A81"/>
    <w:rsid w:val="006B1A0D"/>
    <w:rsid w:val="006B7F50"/>
    <w:rsid w:val="006E23DF"/>
    <w:rsid w:val="006E68F7"/>
    <w:rsid w:val="006F7393"/>
    <w:rsid w:val="0070224F"/>
    <w:rsid w:val="0070734D"/>
    <w:rsid w:val="007115F7"/>
    <w:rsid w:val="00730718"/>
    <w:rsid w:val="00785689"/>
    <w:rsid w:val="0079754B"/>
    <w:rsid w:val="007A1E6D"/>
    <w:rsid w:val="007B0EB2"/>
    <w:rsid w:val="007D6C59"/>
    <w:rsid w:val="00810B6F"/>
    <w:rsid w:val="00822CE0"/>
    <w:rsid w:val="00841AB1"/>
    <w:rsid w:val="0084724F"/>
    <w:rsid w:val="008622C8"/>
    <w:rsid w:val="008B1F37"/>
    <w:rsid w:val="008B3291"/>
    <w:rsid w:val="008C68F1"/>
    <w:rsid w:val="008E1DA0"/>
    <w:rsid w:val="0090338B"/>
    <w:rsid w:val="00921803"/>
    <w:rsid w:val="00926503"/>
    <w:rsid w:val="00951548"/>
    <w:rsid w:val="009726D8"/>
    <w:rsid w:val="009F76DB"/>
    <w:rsid w:val="00A23078"/>
    <w:rsid w:val="00A23DF1"/>
    <w:rsid w:val="00A32C3B"/>
    <w:rsid w:val="00A45F4F"/>
    <w:rsid w:val="00A600A9"/>
    <w:rsid w:val="00A63DD0"/>
    <w:rsid w:val="00AA55B7"/>
    <w:rsid w:val="00AA5B9E"/>
    <w:rsid w:val="00AB2407"/>
    <w:rsid w:val="00AB53DF"/>
    <w:rsid w:val="00AE1ADA"/>
    <w:rsid w:val="00AF08E1"/>
    <w:rsid w:val="00B07BAB"/>
    <w:rsid w:val="00B07E5C"/>
    <w:rsid w:val="00B6239C"/>
    <w:rsid w:val="00B63E68"/>
    <w:rsid w:val="00B811F7"/>
    <w:rsid w:val="00BA3ACB"/>
    <w:rsid w:val="00BA5DC6"/>
    <w:rsid w:val="00BA6196"/>
    <w:rsid w:val="00BC6D8C"/>
    <w:rsid w:val="00BD7096"/>
    <w:rsid w:val="00C23D33"/>
    <w:rsid w:val="00C25861"/>
    <w:rsid w:val="00C34006"/>
    <w:rsid w:val="00C426B1"/>
    <w:rsid w:val="00C53B9F"/>
    <w:rsid w:val="00C60950"/>
    <w:rsid w:val="00C626D9"/>
    <w:rsid w:val="00C66160"/>
    <w:rsid w:val="00C721AC"/>
    <w:rsid w:val="00C87037"/>
    <w:rsid w:val="00C90D6A"/>
    <w:rsid w:val="00C96087"/>
    <w:rsid w:val="00CA247E"/>
    <w:rsid w:val="00CA2560"/>
    <w:rsid w:val="00CC72B6"/>
    <w:rsid w:val="00D0218D"/>
    <w:rsid w:val="00D04C1E"/>
    <w:rsid w:val="00D21013"/>
    <w:rsid w:val="00D25FB5"/>
    <w:rsid w:val="00D44223"/>
    <w:rsid w:val="00D45FAF"/>
    <w:rsid w:val="00DA2529"/>
    <w:rsid w:val="00DB130A"/>
    <w:rsid w:val="00DB2EBB"/>
    <w:rsid w:val="00DC10A1"/>
    <w:rsid w:val="00DC655F"/>
    <w:rsid w:val="00DD0223"/>
    <w:rsid w:val="00DD0B59"/>
    <w:rsid w:val="00DD5E2E"/>
    <w:rsid w:val="00DD7EBD"/>
    <w:rsid w:val="00DE1273"/>
    <w:rsid w:val="00DF0A91"/>
    <w:rsid w:val="00DF62B6"/>
    <w:rsid w:val="00E07225"/>
    <w:rsid w:val="00E5409F"/>
    <w:rsid w:val="00E6533E"/>
    <w:rsid w:val="00EB1735"/>
    <w:rsid w:val="00EE6488"/>
    <w:rsid w:val="00EE7067"/>
    <w:rsid w:val="00F021FA"/>
    <w:rsid w:val="00F07C98"/>
    <w:rsid w:val="00F57F6E"/>
    <w:rsid w:val="00F62E97"/>
    <w:rsid w:val="00F64209"/>
    <w:rsid w:val="00F76CA7"/>
    <w:rsid w:val="00F80931"/>
    <w:rsid w:val="00F8499D"/>
    <w:rsid w:val="00F93BF5"/>
    <w:rsid w:val="00FB3584"/>
    <w:rsid w:val="00FD2D6C"/>
    <w:rsid w:val="00FE05E6"/>
    <w:rsid w:val="00FF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4906A2"/>
  </w:style>
  <w:style w:type="character" w:customStyle="1" w:styleId="HeaderChar">
    <w:name w:val="Header Char"/>
    <w:link w:val="Header"/>
    <w:rsid w:val="004906A2"/>
    <w:rPr>
      <w:b/>
      <w:snapToGrid w:val="0"/>
      <w:kern w:val="28"/>
      <w:sz w:val="22"/>
    </w:rPr>
  </w:style>
  <w:style w:type="character" w:customStyle="1" w:styleId="ParaNumChar">
    <w:name w:val="ParaNum Char"/>
    <w:link w:val="ParaNum"/>
    <w:rsid w:val="004906A2"/>
    <w:rPr>
      <w:snapToGrid w:val="0"/>
      <w:kern w:val="28"/>
      <w:sz w:val="22"/>
    </w:rPr>
  </w:style>
  <w:style w:type="paragraph" w:styleId="BalloonText">
    <w:name w:val="Balloon Text"/>
    <w:basedOn w:val="Normal"/>
    <w:link w:val="BalloonTextChar"/>
    <w:rsid w:val="0090338B"/>
    <w:rPr>
      <w:rFonts w:ascii="Segoe UI" w:hAnsi="Segoe UI" w:cs="Segoe UI"/>
      <w:sz w:val="18"/>
      <w:szCs w:val="18"/>
    </w:rPr>
  </w:style>
  <w:style w:type="character" w:customStyle="1" w:styleId="BalloonTextChar">
    <w:name w:val="Balloon Text Char"/>
    <w:link w:val="BalloonText"/>
    <w:rsid w:val="0090338B"/>
    <w:rPr>
      <w:rFonts w:ascii="Segoe UI" w:hAnsi="Segoe UI" w:cs="Segoe UI"/>
      <w:snapToGrid w:val="0"/>
      <w:kern w:val="28"/>
      <w:sz w:val="18"/>
      <w:szCs w:val="18"/>
    </w:rPr>
  </w:style>
  <w:style w:type="character" w:styleId="CommentReference">
    <w:name w:val="annotation reference"/>
    <w:rsid w:val="00507A70"/>
    <w:rPr>
      <w:sz w:val="16"/>
      <w:szCs w:val="16"/>
    </w:rPr>
  </w:style>
  <w:style w:type="paragraph" w:styleId="CommentText">
    <w:name w:val="annotation text"/>
    <w:basedOn w:val="Normal"/>
    <w:link w:val="CommentTextChar"/>
    <w:rsid w:val="00507A70"/>
    <w:rPr>
      <w:sz w:val="20"/>
    </w:rPr>
  </w:style>
  <w:style w:type="character" w:customStyle="1" w:styleId="CommentTextChar">
    <w:name w:val="Comment Text Char"/>
    <w:link w:val="CommentText"/>
    <w:rsid w:val="00507A70"/>
    <w:rPr>
      <w:snapToGrid w:val="0"/>
      <w:kern w:val="28"/>
    </w:rPr>
  </w:style>
  <w:style w:type="paragraph" w:styleId="CommentSubject">
    <w:name w:val="annotation subject"/>
    <w:basedOn w:val="CommentText"/>
    <w:next w:val="CommentText"/>
    <w:link w:val="CommentSubjectChar"/>
    <w:rsid w:val="00507A70"/>
    <w:rPr>
      <w:b/>
      <w:bCs/>
    </w:rPr>
  </w:style>
  <w:style w:type="character" w:customStyle="1" w:styleId="CommentSubjectChar">
    <w:name w:val="Comment Subject Char"/>
    <w:link w:val="CommentSubject"/>
    <w:rsid w:val="00507A70"/>
    <w:rPr>
      <w:b/>
      <w:bCs/>
      <w:snapToGrid w:val="0"/>
      <w:kern w:val="28"/>
    </w:rPr>
  </w:style>
  <w:style w:type="paragraph" w:styleId="Revision">
    <w:name w:val="Revision"/>
    <w:hidden/>
    <w:uiPriority w:val="99"/>
    <w:semiHidden/>
    <w:rsid w:val="00EB173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4906A2"/>
  </w:style>
  <w:style w:type="character" w:customStyle="1" w:styleId="HeaderChar">
    <w:name w:val="Header Char"/>
    <w:link w:val="Header"/>
    <w:rsid w:val="004906A2"/>
    <w:rPr>
      <w:b/>
      <w:snapToGrid w:val="0"/>
      <w:kern w:val="28"/>
      <w:sz w:val="22"/>
    </w:rPr>
  </w:style>
  <w:style w:type="character" w:customStyle="1" w:styleId="ParaNumChar">
    <w:name w:val="ParaNum Char"/>
    <w:link w:val="ParaNum"/>
    <w:rsid w:val="004906A2"/>
    <w:rPr>
      <w:snapToGrid w:val="0"/>
      <w:kern w:val="28"/>
      <w:sz w:val="22"/>
    </w:rPr>
  </w:style>
  <w:style w:type="paragraph" w:styleId="BalloonText">
    <w:name w:val="Balloon Text"/>
    <w:basedOn w:val="Normal"/>
    <w:link w:val="BalloonTextChar"/>
    <w:rsid w:val="0090338B"/>
    <w:rPr>
      <w:rFonts w:ascii="Segoe UI" w:hAnsi="Segoe UI" w:cs="Segoe UI"/>
      <w:sz w:val="18"/>
      <w:szCs w:val="18"/>
    </w:rPr>
  </w:style>
  <w:style w:type="character" w:customStyle="1" w:styleId="BalloonTextChar">
    <w:name w:val="Balloon Text Char"/>
    <w:link w:val="BalloonText"/>
    <w:rsid w:val="0090338B"/>
    <w:rPr>
      <w:rFonts w:ascii="Segoe UI" w:hAnsi="Segoe UI" w:cs="Segoe UI"/>
      <w:snapToGrid w:val="0"/>
      <w:kern w:val="28"/>
      <w:sz w:val="18"/>
      <w:szCs w:val="18"/>
    </w:rPr>
  </w:style>
  <w:style w:type="character" w:styleId="CommentReference">
    <w:name w:val="annotation reference"/>
    <w:rsid w:val="00507A70"/>
    <w:rPr>
      <w:sz w:val="16"/>
      <w:szCs w:val="16"/>
    </w:rPr>
  </w:style>
  <w:style w:type="paragraph" w:styleId="CommentText">
    <w:name w:val="annotation text"/>
    <w:basedOn w:val="Normal"/>
    <w:link w:val="CommentTextChar"/>
    <w:rsid w:val="00507A70"/>
    <w:rPr>
      <w:sz w:val="20"/>
    </w:rPr>
  </w:style>
  <w:style w:type="character" w:customStyle="1" w:styleId="CommentTextChar">
    <w:name w:val="Comment Text Char"/>
    <w:link w:val="CommentText"/>
    <w:rsid w:val="00507A70"/>
    <w:rPr>
      <w:snapToGrid w:val="0"/>
      <w:kern w:val="28"/>
    </w:rPr>
  </w:style>
  <w:style w:type="paragraph" w:styleId="CommentSubject">
    <w:name w:val="annotation subject"/>
    <w:basedOn w:val="CommentText"/>
    <w:next w:val="CommentText"/>
    <w:link w:val="CommentSubjectChar"/>
    <w:rsid w:val="00507A70"/>
    <w:rPr>
      <w:b/>
      <w:bCs/>
    </w:rPr>
  </w:style>
  <w:style w:type="character" w:customStyle="1" w:styleId="CommentSubjectChar">
    <w:name w:val="Comment Subject Char"/>
    <w:link w:val="CommentSubject"/>
    <w:rsid w:val="00507A70"/>
    <w:rPr>
      <w:b/>
      <w:bCs/>
      <w:snapToGrid w:val="0"/>
      <w:kern w:val="28"/>
    </w:rPr>
  </w:style>
  <w:style w:type="paragraph" w:styleId="Revision">
    <w:name w:val="Revision"/>
    <w:hidden/>
    <w:uiPriority w:val="99"/>
    <w:semiHidden/>
    <w:rsid w:val="00EB173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Y&amp;serNum=2004291568&amp;pubNum=4493&amp;originatingDoc=Ifbd5a0d5bcf011e191598982704508d1&amp;refType=CA&amp;fi=co_pp_sp_4493_6745&amp;originationContext=document&amp;transitionType=DocumentItem&amp;contextData=(sc.Search)" TargetMode="External"/><Relationship Id="rId2" Type="http://schemas.openxmlformats.org/officeDocument/2006/relationships/hyperlink" Target="https://a.next.westlaw.com/Link/Document/FullText?findType=Y&amp;serNum=2022219097&amp;pubNum=4493&amp;originatingDoc=Ifbd5a0d5bcf011e191598982704508d1&amp;refType=CA&amp;fi=co_pp_sp_4493_7589&amp;originationContext=document&amp;transitionType=DocumentItem&amp;contextData=(sc.Search)" TargetMode="External"/><Relationship Id="rId1" Type="http://schemas.openxmlformats.org/officeDocument/2006/relationships/hyperlink" Target="https://a.next.westlaw.com/Link/Document/FullText?findType=Y&amp;serNum=2024540184&amp;pubNum=0004493&amp;originatingDoc=If1ad955c0d8e11e5b86bd602cb8781fa&amp;refType=CA&amp;fi=co_pp_sp_4493_1606&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1020</Words>
  <Characters>5657</Characters>
  <Application>Microsoft Office Word</Application>
  <DocSecurity>0</DocSecurity>
  <Lines>119</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6841</CharactersWithSpaces>
  <SharedDoc>false</SharedDoc>
  <HyperlinkBase> </HyperlinkBase>
  <HLinks>
    <vt:vector size="18" baseType="variant">
      <vt:variant>
        <vt:i4>7798890</vt:i4>
      </vt:variant>
      <vt:variant>
        <vt:i4>6</vt:i4>
      </vt:variant>
      <vt:variant>
        <vt:i4>0</vt:i4>
      </vt:variant>
      <vt:variant>
        <vt:i4>5</vt:i4>
      </vt:variant>
      <vt:variant>
        <vt:lpwstr>https://a.next.westlaw.com/Link/Document/FullText?findType=Y&amp;serNum=2004291568&amp;pubNum=4493&amp;originatingDoc=Ifbd5a0d5bcf011e191598982704508d1&amp;refType=CA&amp;fi=co_pp_sp_4493_6745&amp;originationContext=document&amp;transitionType=DocumentItem&amp;contextData=(sc.Search)</vt:lpwstr>
      </vt:variant>
      <vt:variant>
        <vt:lpwstr>co_pp_sp_4493_6745</vt:lpwstr>
      </vt:variant>
      <vt:variant>
        <vt:i4>7536751</vt:i4>
      </vt:variant>
      <vt:variant>
        <vt:i4>3</vt:i4>
      </vt:variant>
      <vt:variant>
        <vt:i4>0</vt:i4>
      </vt:variant>
      <vt:variant>
        <vt:i4>5</vt:i4>
      </vt:variant>
      <vt:variant>
        <vt:lpwstr>https://a.next.westlaw.com/Link/Document/FullText?findType=Y&amp;serNum=2022219097&amp;pubNum=4493&amp;originatingDoc=Ifbd5a0d5bcf011e191598982704508d1&amp;refType=CA&amp;fi=co_pp_sp_4493_7589&amp;originationContext=document&amp;transitionType=DocumentItem&amp;contextData=(sc.Search)</vt:lpwstr>
      </vt:variant>
      <vt:variant>
        <vt:lpwstr>co_pp_sp_4493_7589</vt:lpwstr>
      </vt:variant>
      <vt:variant>
        <vt:i4>5439573</vt:i4>
      </vt:variant>
      <vt:variant>
        <vt:i4>0</vt:i4>
      </vt:variant>
      <vt:variant>
        <vt:i4>0</vt:i4>
      </vt:variant>
      <vt:variant>
        <vt:i4>5</vt:i4>
      </vt:variant>
      <vt:variant>
        <vt:lpwstr>https://a.next.westlaw.com/Link/Document/FullText?findType=Y&amp;serNum=2024540184&amp;pubNum=0004493&amp;originatingDoc=If1ad955c0d8e11e5b86bd602cb8781fa&amp;refType=CA&amp;fi=co_pp_sp_4493_1606&amp;originationContext=document&amp;transitionType=DocumentItem&amp;contextData=(sc.Search)</vt:lpwstr>
      </vt:variant>
      <vt:variant>
        <vt:lpwstr>co_pp_sp_4493_1606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2016-01-15T19:13:00Z</cp:lastPrinted>
  <dcterms:created xsi:type="dcterms:W3CDTF">2016-03-09T14:44:00Z</dcterms:created>
  <dcterms:modified xsi:type="dcterms:W3CDTF">2016-03-09T14:44:00Z</dcterms:modified>
  <cp:category> </cp:category>
  <cp:contentStatus> </cp:contentStatus>
</cp:coreProperties>
</file>