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1E01" w14:textId="77777777" w:rsidR="00AF2524" w:rsidRDefault="00AF2524" w:rsidP="00D47505">
      <w:pPr>
        <w:jc w:val="right"/>
        <w:rPr>
          <w:b/>
          <w:sz w:val="24"/>
        </w:rPr>
      </w:pPr>
      <w:bookmarkStart w:id="0" w:name="_GoBack"/>
      <w:bookmarkEnd w:id="0"/>
    </w:p>
    <w:p w14:paraId="76EB2C54" w14:textId="24864E27" w:rsidR="005E7857" w:rsidRPr="00190533" w:rsidRDefault="005E7857" w:rsidP="005E7857">
      <w:pPr>
        <w:jc w:val="right"/>
        <w:rPr>
          <w:b/>
          <w:szCs w:val="22"/>
        </w:rPr>
      </w:pPr>
      <w:r>
        <w:rPr>
          <w:b/>
          <w:szCs w:val="22"/>
        </w:rPr>
        <w:t>DA 16</w:t>
      </w:r>
      <w:r w:rsidRPr="00190533">
        <w:rPr>
          <w:b/>
          <w:szCs w:val="22"/>
        </w:rPr>
        <w:t>-</w:t>
      </w:r>
      <w:r w:rsidR="00D03BD1">
        <w:rPr>
          <w:b/>
          <w:szCs w:val="22"/>
        </w:rPr>
        <w:t>639</w:t>
      </w:r>
    </w:p>
    <w:p w14:paraId="371085C2" w14:textId="77777777" w:rsidR="005E7857" w:rsidRPr="00190533" w:rsidRDefault="005E7857" w:rsidP="005E7857">
      <w:pPr>
        <w:jc w:val="right"/>
        <w:rPr>
          <w:b/>
          <w:szCs w:val="22"/>
        </w:rPr>
      </w:pPr>
      <w:r>
        <w:rPr>
          <w:b/>
          <w:szCs w:val="22"/>
        </w:rPr>
        <w:t>June</w:t>
      </w:r>
      <w:r w:rsidRPr="00190533">
        <w:rPr>
          <w:b/>
          <w:szCs w:val="22"/>
        </w:rPr>
        <w:t xml:space="preserve"> </w:t>
      </w:r>
      <w:r>
        <w:rPr>
          <w:b/>
          <w:szCs w:val="22"/>
        </w:rPr>
        <w:t>10, 2016</w:t>
      </w:r>
    </w:p>
    <w:p w14:paraId="0FE8250B" w14:textId="77777777" w:rsidR="005E7857" w:rsidRPr="00190533" w:rsidRDefault="005E7857" w:rsidP="005E7857">
      <w:pPr>
        <w:jc w:val="center"/>
        <w:rPr>
          <w:b/>
          <w:caps/>
          <w:szCs w:val="22"/>
        </w:rPr>
      </w:pPr>
    </w:p>
    <w:p w14:paraId="57E1C800" w14:textId="77777777" w:rsidR="005E7857" w:rsidRPr="00190533" w:rsidRDefault="005E7857" w:rsidP="005E7857">
      <w:pPr>
        <w:jc w:val="center"/>
        <w:rPr>
          <w:b/>
          <w:caps/>
          <w:szCs w:val="22"/>
        </w:rPr>
      </w:pPr>
      <w:r w:rsidRPr="00190533">
        <w:rPr>
          <w:b/>
          <w:caps/>
          <w:szCs w:val="22"/>
        </w:rPr>
        <w:t>Public safety and homeland security bureau SEEKS COMMENT ON</w:t>
      </w:r>
    </w:p>
    <w:p w14:paraId="0BC279E6" w14:textId="77777777" w:rsidR="005E7857" w:rsidRPr="00190533" w:rsidRDefault="005E7857" w:rsidP="005E7857">
      <w:pPr>
        <w:jc w:val="center"/>
        <w:rPr>
          <w:b/>
          <w:caps/>
          <w:szCs w:val="22"/>
        </w:rPr>
      </w:pPr>
      <w:r w:rsidRPr="00190533">
        <w:rPr>
          <w:b/>
          <w:caps/>
          <w:szCs w:val="22"/>
        </w:rPr>
        <w:t>REGION </w:t>
      </w:r>
      <w:r>
        <w:rPr>
          <w:b/>
          <w:caps/>
          <w:szCs w:val="22"/>
        </w:rPr>
        <w:t>28 (Delaware, Southern New Jersey,</w:t>
      </w:r>
      <w:r w:rsidRPr="00FF5E31">
        <w:rPr>
          <w:b/>
          <w:caps/>
          <w:szCs w:val="22"/>
        </w:rPr>
        <w:t xml:space="preserve"> </w:t>
      </w:r>
      <w:r>
        <w:rPr>
          <w:b/>
          <w:caps/>
          <w:szCs w:val="22"/>
        </w:rPr>
        <w:t>Eastern Pennsylvania</w:t>
      </w:r>
      <w:r w:rsidRPr="00190533">
        <w:rPr>
          <w:b/>
          <w:caps/>
          <w:szCs w:val="22"/>
        </w:rPr>
        <w:t>) 700 mhz regional plan AMENDMENT</w:t>
      </w:r>
    </w:p>
    <w:p w14:paraId="3ECB347C" w14:textId="77777777" w:rsidR="005E7857" w:rsidRPr="00190533" w:rsidRDefault="005E7857" w:rsidP="005E7857">
      <w:pPr>
        <w:jc w:val="center"/>
        <w:rPr>
          <w:b/>
          <w:caps/>
          <w:szCs w:val="22"/>
        </w:rPr>
      </w:pPr>
    </w:p>
    <w:p w14:paraId="14A96146" w14:textId="77777777" w:rsidR="005E7857" w:rsidRPr="00190533" w:rsidRDefault="005E7857" w:rsidP="005E7857">
      <w:pPr>
        <w:spacing w:after="240"/>
        <w:jc w:val="center"/>
        <w:rPr>
          <w:b/>
          <w:szCs w:val="22"/>
        </w:rPr>
      </w:pPr>
      <w:r w:rsidRPr="00190533">
        <w:rPr>
          <w:b/>
          <w:szCs w:val="22"/>
        </w:rPr>
        <w:t>WT Docket No. 02-378</w:t>
      </w:r>
    </w:p>
    <w:p w14:paraId="4105874E" w14:textId="77777777" w:rsidR="005E7857" w:rsidRPr="00190533" w:rsidRDefault="005E7857" w:rsidP="005E7857">
      <w:pPr>
        <w:rPr>
          <w:b/>
          <w:szCs w:val="22"/>
        </w:rPr>
      </w:pPr>
      <w:r w:rsidRPr="00190533">
        <w:rPr>
          <w:b/>
          <w:szCs w:val="22"/>
        </w:rPr>
        <w:t xml:space="preserve">Comments Due:  </w:t>
      </w:r>
      <w:r>
        <w:rPr>
          <w:b/>
          <w:szCs w:val="22"/>
        </w:rPr>
        <w:t>July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0C24A31D" w14:textId="77777777" w:rsidR="005E7857" w:rsidRPr="00190533" w:rsidRDefault="005E7857" w:rsidP="005E7857">
      <w:pPr>
        <w:rPr>
          <w:b/>
          <w:szCs w:val="22"/>
        </w:rPr>
      </w:pPr>
    </w:p>
    <w:p w14:paraId="749258F6" w14:textId="77777777" w:rsidR="005E7857" w:rsidRPr="007D594B" w:rsidRDefault="005E7857" w:rsidP="005E7857">
      <w:pPr>
        <w:ind w:firstLine="720"/>
        <w:rPr>
          <w:szCs w:val="22"/>
        </w:rPr>
      </w:pPr>
      <w:r w:rsidRPr="00190533">
        <w:rPr>
          <w:i/>
          <w:iCs/>
          <w:szCs w:val="22"/>
        </w:rPr>
        <w:t xml:space="preserve">Introduction.  </w:t>
      </w:r>
      <w:r w:rsidRPr="00190533">
        <w:rPr>
          <w:szCs w:val="22"/>
        </w:rPr>
        <w:t xml:space="preserve">On </w:t>
      </w:r>
      <w:r>
        <w:rPr>
          <w:szCs w:val="22"/>
        </w:rPr>
        <w:t>October 31</w:t>
      </w:r>
      <w:r w:rsidRPr="00190533">
        <w:rPr>
          <w:szCs w:val="22"/>
        </w:rPr>
        <w:t xml:space="preserve">, 2015, the Region </w:t>
      </w:r>
      <w:r>
        <w:rPr>
          <w:szCs w:val="22"/>
        </w:rPr>
        <w:t>28</w:t>
      </w:r>
      <w:r w:rsidRPr="00190533">
        <w:rPr>
          <w:szCs w:val="22"/>
        </w:rPr>
        <w:t xml:space="preserve"> (</w:t>
      </w:r>
      <w:r>
        <w:rPr>
          <w:szCs w:val="22"/>
        </w:rPr>
        <w:t>Delaware, Southern New Jersey, Eastern Pennsylvania</w:t>
      </w:r>
      <w:r w:rsidRPr="00190533">
        <w:rPr>
          <w:szCs w:val="22"/>
        </w:rPr>
        <w:t>)</w:t>
      </w:r>
      <w:r w:rsidRPr="00190533">
        <w:rPr>
          <w:rStyle w:val="FootnoteReference"/>
          <w:szCs w:val="22"/>
        </w:rPr>
        <w:footnoteReference w:id="2"/>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3"/>
      </w:r>
      <w:r w:rsidRPr="00190533">
        <w:rPr>
          <w:szCs w:val="22"/>
        </w:rPr>
        <w:t xml:space="preserve"> for General Use spectrum in the 769-775/799-805 MHz band.</w:t>
      </w:r>
      <w:r w:rsidRPr="00190533">
        <w:rPr>
          <w:rStyle w:val="FootnoteReference"/>
          <w:szCs w:val="22"/>
        </w:rPr>
        <w:footnoteReference w:id="4"/>
      </w:r>
      <w:r w:rsidRPr="00190533">
        <w:rPr>
          <w:szCs w:val="22"/>
        </w:rPr>
        <w:t xml:space="preserve">  For the reasons discussed below, we seek comment on the Region </w:t>
      </w:r>
      <w:r>
        <w:rPr>
          <w:szCs w:val="22"/>
        </w:rPr>
        <w:t>28</w:t>
      </w:r>
      <w:r w:rsidRPr="00190533">
        <w:rPr>
          <w:szCs w:val="22"/>
        </w:rPr>
        <w:t xml:space="preserve"> 700 MHz Plan Amendment.</w:t>
      </w:r>
      <w:r w:rsidRPr="007D594B">
        <w:rPr>
          <w:szCs w:val="22"/>
        </w:rPr>
        <w:t xml:space="preserve">    </w:t>
      </w:r>
    </w:p>
    <w:p w14:paraId="2D6BD5DF" w14:textId="77777777" w:rsidR="005E7857" w:rsidRPr="007D594B" w:rsidRDefault="005E7857" w:rsidP="005E7857">
      <w:pPr>
        <w:ind w:firstLine="720"/>
        <w:rPr>
          <w:szCs w:val="22"/>
        </w:rPr>
      </w:pPr>
    </w:p>
    <w:p w14:paraId="1CF89345" w14:textId="77777777" w:rsidR="005E7857" w:rsidRPr="007D594B" w:rsidRDefault="005E7857" w:rsidP="005E7857">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5"/>
      </w:r>
      <w:r w:rsidRPr="007D594B">
        <w:rPr>
          <w:szCs w:val="22"/>
        </w:rPr>
        <w:t xml:space="preserve">  The Commission’s rules require each of the fifty-five RPCs to submit its plan for the General Use spectrum.</w:t>
      </w:r>
      <w:r w:rsidRPr="007D594B">
        <w:rPr>
          <w:rStyle w:val="FootnoteReference"/>
          <w:szCs w:val="22"/>
        </w:rPr>
        <w:footnoteReference w:id="6"/>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xml:space="preserve">, requiring notice, opportunity for comment, and reasonable </w:t>
      </w:r>
      <w:r w:rsidRPr="007D594B">
        <w:rPr>
          <w:szCs w:val="22"/>
        </w:rPr>
        <w:lastRenderedPageBreak/>
        <w:t>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7"/>
      </w:r>
      <w:r w:rsidRPr="007D594B">
        <w:rPr>
          <w:szCs w:val="22"/>
        </w:rPr>
        <w:t xml:space="preserve">   </w:t>
      </w:r>
    </w:p>
    <w:p w14:paraId="07368DF2" w14:textId="77777777" w:rsidR="005E7857" w:rsidRPr="007D594B" w:rsidRDefault="005E7857" w:rsidP="005E7857">
      <w:pPr>
        <w:ind w:firstLine="720"/>
        <w:rPr>
          <w:szCs w:val="22"/>
        </w:rPr>
      </w:pPr>
      <w:r w:rsidRPr="007D594B">
        <w:rPr>
          <w:szCs w:val="22"/>
        </w:rPr>
        <w:t xml:space="preserve"> </w:t>
      </w:r>
    </w:p>
    <w:p w14:paraId="52F02227" w14:textId="77777777" w:rsidR="005E7857" w:rsidRPr="007D594B" w:rsidRDefault="005E7857" w:rsidP="005E7857">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7D594B">
        <w:rPr>
          <w:rStyle w:val="FootnoteReference"/>
          <w:rFonts w:eastAsiaTheme="minorEastAsia"/>
          <w:szCs w:val="22"/>
        </w:rPr>
        <w:footnoteReference w:id="8"/>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7D594B">
        <w:rPr>
          <w:rStyle w:val="FootnoteReference"/>
          <w:rFonts w:eastAsiaTheme="minorEastAsia"/>
          <w:szCs w:val="22"/>
        </w:rPr>
        <w:footnoteReference w:id="9"/>
      </w:r>
      <w:r w:rsidRPr="007D594B">
        <w:rPr>
          <w:szCs w:val="22"/>
        </w:rPr>
        <w:t xml:space="preserve">  </w:t>
      </w:r>
    </w:p>
    <w:p w14:paraId="615B1692" w14:textId="77777777" w:rsidR="005E7857" w:rsidRPr="007D594B" w:rsidRDefault="005E7857" w:rsidP="005E7857">
      <w:pPr>
        <w:ind w:firstLine="720"/>
        <w:rPr>
          <w:szCs w:val="22"/>
        </w:rPr>
      </w:pPr>
    </w:p>
    <w:p w14:paraId="7E7DC829" w14:textId="77777777" w:rsidR="005E7857" w:rsidRPr="007D594B" w:rsidRDefault="005E7857" w:rsidP="005E7857">
      <w:pPr>
        <w:ind w:firstLine="720"/>
        <w:rPr>
          <w:szCs w:val="22"/>
        </w:rPr>
      </w:pPr>
      <w:r w:rsidRPr="007D594B">
        <w:rPr>
          <w:szCs w:val="22"/>
        </w:rPr>
        <w:t>In the T-Band markets,</w:t>
      </w:r>
      <w:r w:rsidRPr="007D594B">
        <w:rPr>
          <w:rStyle w:val="FootnoteReference"/>
          <w:rFonts w:eastAsiaTheme="minorEastAsia"/>
          <w:szCs w:val="22"/>
        </w:rPr>
        <w:footnoteReference w:id="10"/>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7D594B">
        <w:rPr>
          <w:rStyle w:val="FootnoteReference"/>
          <w:rFonts w:eastAsiaTheme="minorEastAsia"/>
          <w:szCs w:val="22"/>
        </w:rPr>
        <w:footnoteReference w:id="11"/>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7D594B">
        <w:rPr>
          <w:rStyle w:val="FootnoteReference"/>
          <w:rFonts w:eastAsiaTheme="minorEastAsia"/>
          <w:szCs w:val="22"/>
        </w:rPr>
        <w:footnoteReference w:id="12"/>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D594B">
        <w:rPr>
          <w:rStyle w:val="FootnoteReference"/>
          <w:rFonts w:eastAsiaTheme="minorEastAsia"/>
          <w:szCs w:val="22"/>
        </w:rPr>
        <w:footnoteReference w:id="13"/>
      </w:r>
      <w:r w:rsidRPr="007D594B">
        <w:rPr>
          <w:szCs w:val="22"/>
        </w:rPr>
        <w:t xml:space="preserve">  Thus, the Commission stated, “RPCs have the flexibility to designate a mixture of General Use and temporary (deployable trunked infrastructure) channels in their Regional Plans.”</w:t>
      </w:r>
      <w:r w:rsidRPr="007D594B">
        <w:rPr>
          <w:rStyle w:val="FootnoteReference"/>
          <w:rFonts w:eastAsiaTheme="minorEastAsia"/>
          <w:szCs w:val="22"/>
        </w:rPr>
        <w:footnoteReference w:id="14"/>
      </w:r>
      <w:r w:rsidRPr="007D594B">
        <w:rPr>
          <w:szCs w:val="22"/>
        </w:rPr>
        <w:t xml:space="preserve">   </w:t>
      </w:r>
    </w:p>
    <w:p w14:paraId="3A74C707" w14:textId="77777777" w:rsidR="005E7857" w:rsidRPr="007D594B" w:rsidRDefault="005E7857" w:rsidP="005E7857">
      <w:pPr>
        <w:ind w:firstLine="720"/>
        <w:rPr>
          <w:szCs w:val="22"/>
        </w:rPr>
      </w:pPr>
    </w:p>
    <w:p w14:paraId="2D043461" w14:textId="77777777" w:rsidR="005E7857" w:rsidRDefault="005E7857" w:rsidP="005E7857">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5"/>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6"/>
      </w:r>
      <w:r w:rsidRPr="007D594B">
        <w:rPr>
          <w:szCs w:val="22"/>
        </w:rPr>
        <w:t xml:space="preserve">  Regional plan amendments</w:t>
      </w:r>
      <w:r>
        <w:rPr>
          <w:szCs w:val="22"/>
        </w:rPr>
        <w:t xml:space="preserve"> were</w:t>
      </w:r>
      <w:r w:rsidRPr="007D594B">
        <w:rPr>
          <w:szCs w:val="22"/>
        </w:rPr>
        <w:t xml:space="preserve"> due by October 30, 2015.</w:t>
      </w:r>
      <w:r w:rsidRPr="007D594B">
        <w:rPr>
          <w:rStyle w:val="FootnoteReference"/>
          <w:szCs w:val="22"/>
        </w:rPr>
        <w:footnoteReference w:id="17"/>
      </w:r>
      <w:r w:rsidRPr="007D594B">
        <w:rPr>
          <w:szCs w:val="22"/>
        </w:rPr>
        <w:t xml:space="preserve">  </w:t>
      </w:r>
    </w:p>
    <w:p w14:paraId="155A491A" w14:textId="77777777" w:rsidR="005E7857" w:rsidRDefault="005E7857" w:rsidP="005E7857">
      <w:pPr>
        <w:ind w:firstLine="720"/>
        <w:rPr>
          <w:szCs w:val="22"/>
        </w:rPr>
      </w:pPr>
    </w:p>
    <w:p w14:paraId="43B33872" w14:textId="77777777" w:rsidR="005E7857" w:rsidRPr="00F26E3D" w:rsidRDefault="005E7857" w:rsidP="005E7857">
      <w:pPr>
        <w:autoSpaceDE w:val="0"/>
        <w:autoSpaceDN w:val="0"/>
        <w:adjustRightInd w:val="0"/>
        <w:ind w:firstLine="720"/>
        <w:rPr>
          <w:szCs w:val="22"/>
        </w:rPr>
      </w:pPr>
      <w:r w:rsidRPr="00F26E3D">
        <w:rPr>
          <w:i/>
          <w:szCs w:val="22"/>
        </w:rPr>
        <w:t>Region 28 Major Amendments</w:t>
      </w:r>
      <w:r w:rsidRPr="00F26E3D">
        <w:rPr>
          <w:szCs w:val="22"/>
        </w:rPr>
        <w:t>.  The Region 28 Plan Amendment changes the plan to incorporate the former reserve channels.</w:t>
      </w:r>
      <w:r w:rsidRPr="00F26E3D">
        <w:rPr>
          <w:rStyle w:val="FootnoteReference"/>
          <w:szCs w:val="22"/>
        </w:rPr>
        <w:footnoteReference w:id="18"/>
      </w:r>
      <w:r w:rsidRPr="00F26E3D">
        <w:rPr>
          <w:szCs w:val="22"/>
        </w:rPr>
        <w:t xml:space="preserve">  The modified plan allocates all 24 reserve channels as general use channels </w:t>
      </w:r>
      <w:r w:rsidRPr="00F26E3D">
        <w:rPr>
          <w:szCs w:val="22"/>
        </w:rPr>
        <w:lastRenderedPageBreak/>
        <w:t xml:space="preserve">with priority access for T-Band incumbents within the Philadelphia T-Band area, available in accordance with the </w:t>
      </w:r>
      <w:r w:rsidRPr="00F26E3D">
        <w:rPr>
          <w:i/>
          <w:iCs/>
          <w:szCs w:val="22"/>
        </w:rPr>
        <w:t>Report and Order</w:t>
      </w:r>
      <w:r w:rsidRPr="00F26E3D">
        <w:rPr>
          <w:szCs w:val="22"/>
        </w:rPr>
        <w:t>.</w:t>
      </w:r>
      <w:r w:rsidRPr="00F26E3D">
        <w:rPr>
          <w:rStyle w:val="FootnoteReference"/>
          <w:szCs w:val="22"/>
        </w:rPr>
        <w:footnoteReference w:id="19"/>
      </w:r>
      <w:r w:rsidRPr="00F26E3D">
        <w:rPr>
          <w:szCs w:val="22"/>
        </w:rPr>
        <w:t xml:space="preserve">  In addition, where T-Band incumbents have obtained waivers to exceed the 128 km radius, Region 28 will afford priority access to the former reserve channels in the geographic areas covered by the waiver outside the 128 km radius.</w:t>
      </w:r>
      <w:r w:rsidRPr="00F26E3D">
        <w:rPr>
          <w:rStyle w:val="FootnoteReference"/>
          <w:szCs w:val="22"/>
        </w:rPr>
        <w:footnoteReference w:id="20"/>
      </w:r>
      <w:r w:rsidRPr="00F26E3D">
        <w:rPr>
          <w:szCs w:val="22"/>
        </w:rPr>
        <w:t xml:space="preserve">  Outside the Philadelphia T-Band area, the Region 28 Plan Amendment allocates six reserve channels for Deployable Trunked Systems as recommended by NPSTC and the NRPC.</w:t>
      </w:r>
      <w:r w:rsidRPr="00F26E3D">
        <w:rPr>
          <w:rStyle w:val="FootnoteReference"/>
          <w:szCs w:val="22"/>
        </w:rPr>
        <w:footnoteReference w:id="21"/>
      </w:r>
      <w:r w:rsidRPr="00F26E3D">
        <w:rPr>
          <w:szCs w:val="22"/>
        </w:rPr>
        <w:t xml:space="preserve">  </w:t>
      </w:r>
    </w:p>
    <w:p w14:paraId="4D894AA0" w14:textId="77777777" w:rsidR="005E7857" w:rsidRPr="00F26E3D" w:rsidRDefault="005E7857" w:rsidP="005E7857">
      <w:pPr>
        <w:rPr>
          <w:szCs w:val="22"/>
        </w:rPr>
      </w:pPr>
    </w:p>
    <w:p w14:paraId="2700B478" w14:textId="77777777" w:rsidR="005E7857" w:rsidRPr="00E77C23" w:rsidRDefault="005E7857" w:rsidP="005E7857">
      <w:pPr>
        <w:autoSpaceDE w:val="0"/>
        <w:autoSpaceDN w:val="0"/>
        <w:adjustRightInd w:val="0"/>
        <w:ind w:firstLine="720"/>
        <w:rPr>
          <w:rFonts w:ascii="TimesNewRomanPSMT" w:hAnsi="TimesNewRomanPSMT" w:cs="TimesNewRomanPSMT"/>
          <w:sz w:val="24"/>
          <w:szCs w:val="24"/>
        </w:rPr>
      </w:pPr>
      <w:r w:rsidRPr="00F26E3D">
        <w:rPr>
          <w:szCs w:val="22"/>
        </w:rPr>
        <w:t xml:space="preserve">Additionally, Region 28 revises the plan to explicitly permit the assignment of channels to </w:t>
      </w:r>
      <w:r w:rsidRPr="00F26E3D">
        <w:rPr>
          <w:rFonts w:ascii="TimesNewRomanPSMT" w:hAnsi="TimesNewRomanPSMT" w:cs="TimesNewRomanPSMT"/>
          <w:szCs w:val="22"/>
        </w:rPr>
        <w:t xml:space="preserve">any eligible user within a county, </w:t>
      </w:r>
      <w:r w:rsidRPr="00F26E3D">
        <w:rPr>
          <w:szCs w:val="22"/>
        </w:rPr>
        <w:t>establishes that the CAPRAD (Computer Assisted Pre-Coordination Resource and Database System) table of assignments will be utilized as a baseline from which assignments are initiated;</w:t>
      </w:r>
      <w:r w:rsidRPr="00F26E3D">
        <w:rPr>
          <w:rStyle w:val="FootnoteReference"/>
          <w:szCs w:val="22"/>
        </w:rPr>
        <w:footnoteReference w:id="22"/>
      </w:r>
      <w:r w:rsidRPr="00F26E3D">
        <w:rPr>
          <w:szCs w:val="22"/>
        </w:rPr>
        <w:t xml:space="preserve"> and modifies the prioritization for spectrum allotments.</w:t>
      </w:r>
      <w:r w:rsidRPr="00F26E3D">
        <w:rPr>
          <w:rStyle w:val="FootnoteReference"/>
          <w:szCs w:val="22"/>
        </w:rPr>
        <w:footnoteReference w:id="23"/>
      </w:r>
      <w:r w:rsidRPr="00F26E3D">
        <w:rPr>
          <w:szCs w:val="22"/>
        </w:rPr>
        <w:t xml:space="preserve">  Region 28 also amends the application content package;</w:t>
      </w:r>
      <w:r w:rsidRPr="00F26E3D">
        <w:rPr>
          <w:rStyle w:val="FootnoteReference"/>
          <w:szCs w:val="22"/>
        </w:rPr>
        <w:footnoteReference w:id="24"/>
      </w:r>
      <w:r w:rsidRPr="00F26E3D">
        <w:rPr>
          <w:szCs w:val="22"/>
        </w:rPr>
        <w:t xml:space="preserve"> system design and efficiency criteria;</w:t>
      </w:r>
      <w:r w:rsidRPr="00F26E3D">
        <w:rPr>
          <w:rStyle w:val="FootnoteReference"/>
          <w:szCs w:val="22"/>
        </w:rPr>
        <w:footnoteReference w:id="25"/>
      </w:r>
      <w:r w:rsidRPr="00F26E3D">
        <w:rPr>
          <w:szCs w:val="22"/>
        </w:rPr>
        <w:t xml:space="preserve"> and the definition of “geographic area,” which is used as a guideline in the reuse of “orphaned” channels.</w:t>
      </w:r>
      <w:r w:rsidRPr="00F26E3D">
        <w:rPr>
          <w:rStyle w:val="FootnoteReference"/>
          <w:szCs w:val="22"/>
        </w:rPr>
        <w:footnoteReference w:id="26"/>
      </w:r>
      <w:r w:rsidRPr="00F26E3D">
        <w:rPr>
          <w:szCs w:val="22"/>
        </w:rPr>
        <w:t xml:space="preserve">  Region 28 adopts the same interference criteria as Region 8 (</w:t>
      </w:r>
      <w:r w:rsidRPr="00F26E3D">
        <w:rPr>
          <w:color w:val="010101"/>
          <w:szCs w:val="22"/>
        </w:rPr>
        <w:t>New York Metropolitan Area)</w:t>
      </w:r>
      <w:r w:rsidRPr="00F26E3D">
        <w:rPr>
          <w:szCs w:val="22"/>
        </w:rPr>
        <w:t xml:space="preserve"> to harmonize the inter-regional coordination process,</w:t>
      </w:r>
      <w:r w:rsidRPr="00F26E3D">
        <w:rPr>
          <w:rStyle w:val="FootnoteReference"/>
          <w:szCs w:val="22"/>
        </w:rPr>
        <w:footnoteReference w:id="27"/>
      </w:r>
      <w:r w:rsidRPr="00F26E3D">
        <w:rPr>
          <w:szCs w:val="22"/>
        </w:rPr>
        <w:t xml:space="preserve"> updates Standard Propagation Model values;</w:t>
      </w:r>
      <w:r w:rsidRPr="00F26E3D">
        <w:rPr>
          <w:rStyle w:val="FootnoteReference"/>
          <w:szCs w:val="22"/>
        </w:rPr>
        <w:footnoteReference w:id="28"/>
      </w:r>
      <w:r w:rsidRPr="00F26E3D">
        <w:rPr>
          <w:szCs w:val="22"/>
        </w:rPr>
        <w:t xml:space="preserve"> updates inter-regional dispute resolution procedures</w:t>
      </w:r>
      <w:r w:rsidRPr="00F26E3D">
        <w:rPr>
          <w:rStyle w:val="FootnoteReference"/>
          <w:szCs w:val="22"/>
        </w:rPr>
        <w:footnoteReference w:id="29"/>
      </w:r>
      <w:r w:rsidRPr="00F26E3D">
        <w:rPr>
          <w:szCs w:val="22"/>
        </w:rPr>
        <w:t xml:space="preserve"> and provides guidelines for interference protection criteria and system-design specifications.</w:t>
      </w:r>
      <w:r w:rsidRPr="00F26E3D">
        <w:rPr>
          <w:rStyle w:val="FootnoteReference"/>
          <w:szCs w:val="22"/>
        </w:rPr>
        <w:footnoteReference w:id="30"/>
      </w:r>
      <w:r w:rsidRPr="00F26E3D">
        <w:rPr>
          <w:szCs w:val="22"/>
        </w:rPr>
        <w:t xml:space="preserve"> </w:t>
      </w:r>
    </w:p>
    <w:p w14:paraId="611818FD" w14:textId="77777777" w:rsidR="005E7857" w:rsidRPr="00600647" w:rsidRDefault="005E7857" w:rsidP="005E7857">
      <w:pPr>
        <w:rPr>
          <w:szCs w:val="22"/>
          <w:highlight w:val="yellow"/>
        </w:rPr>
      </w:pPr>
    </w:p>
    <w:p w14:paraId="748380FE" w14:textId="77777777" w:rsidR="005E7857" w:rsidRPr="00230005" w:rsidRDefault="005E7857" w:rsidP="005E7857">
      <w:pPr>
        <w:autoSpaceDE w:val="0"/>
        <w:autoSpaceDN w:val="0"/>
        <w:adjustRightInd w:val="0"/>
        <w:ind w:firstLine="720"/>
        <w:rPr>
          <w:rFonts w:ascii="TimesNewRoman" w:hAnsi="TimesNewRoman" w:cs="TimesNewRoman"/>
          <w:color w:val="010101"/>
          <w:szCs w:val="22"/>
        </w:rPr>
      </w:pPr>
      <w:r w:rsidRPr="00F26E3D">
        <w:rPr>
          <w:color w:val="010101"/>
          <w:szCs w:val="22"/>
        </w:rPr>
        <w:t>The Region 28 Plan Amendment was coordinated with all five regions adjacent to Region 28, including: Region 8 (New York Metropolitan Area), Region 20 (District of Columbia, Maryland and Northern Virginia), Region 30 (New York-Albany), Region 36 (Western Pennsylvania), and Region 55 (New York-Buffalo).</w:t>
      </w:r>
      <w:r w:rsidRPr="00F26E3D">
        <w:rPr>
          <w:rStyle w:val="FootnoteReference"/>
          <w:szCs w:val="22"/>
        </w:rPr>
        <w:footnoteReference w:id="31"/>
      </w:r>
      <w:r w:rsidRPr="00F26E3D">
        <w:rPr>
          <w:szCs w:val="22"/>
        </w:rPr>
        <w:t xml:space="preserve">  We have reviewed the Region 28 Plan Amendment and tentatively accept the Plan Amendment.</w:t>
      </w:r>
      <w:r w:rsidRPr="00F26E3D">
        <w:rPr>
          <w:rStyle w:val="FootnoteReference"/>
          <w:szCs w:val="22"/>
        </w:rPr>
        <w:footnoteReference w:id="32"/>
      </w:r>
      <w:r w:rsidRPr="00230005">
        <w:rPr>
          <w:szCs w:val="22"/>
        </w:rPr>
        <w:t xml:space="preserve">    </w:t>
      </w:r>
    </w:p>
    <w:p w14:paraId="73F87D5E" w14:textId="77777777" w:rsidR="005E7857" w:rsidRPr="00084027" w:rsidRDefault="005E7857" w:rsidP="005E7857">
      <w:pPr>
        <w:ind w:firstLine="720"/>
        <w:rPr>
          <w:szCs w:val="22"/>
        </w:rPr>
      </w:pPr>
    </w:p>
    <w:p w14:paraId="1EEE6AF9" w14:textId="77777777" w:rsidR="005E7857" w:rsidRPr="00CF2600" w:rsidRDefault="005E7857" w:rsidP="005E7857">
      <w:pPr>
        <w:ind w:firstLine="720"/>
        <w:rPr>
          <w:szCs w:val="22"/>
        </w:rPr>
      </w:pPr>
      <w:r w:rsidRPr="00230005">
        <w:rPr>
          <w:i/>
          <w:color w:val="000000"/>
          <w:szCs w:val="22"/>
        </w:rPr>
        <w:t>Request for</w:t>
      </w:r>
      <w:r w:rsidRPr="00CF2600">
        <w:rPr>
          <w:i/>
          <w:color w:val="000000"/>
          <w:szCs w:val="22"/>
        </w:rPr>
        <w:t xml:space="preserve"> Comments on the Region 2</w:t>
      </w:r>
      <w:r>
        <w:rPr>
          <w:i/>
          <w:color w:val="000000"/>
          <w:szCs w:val="22"/>
        </w:rPr>
        <w:t>8</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 solicit comments on the Region 2</w:t>
      </w:r>
      <w:r>
        <w:rPr>
          <w:color w:val="000000"/>
          <w:szCs w:val="22"/>
        </w:rPr>
        <w:t>8</w:t>
      </w:r>
      <w:r w:rsidRPr="00CF2600">
        <w:rPr>
          <w:color w:val="000000"/>
          <w:szCs w:val="22"/>
        </w:rPr>
        <w:t xml:space="preserve"> Plan Amendment.  If no party raises an objection during the comment period, the Region 2</w:t>
      </w:r>
      <w:r>
        <w:rPr>
          <w:color w:val="000000"/>
          <w:szCs w:val="22"/>
        </w:rPr>
        <w:t xml:space="preserve">8 </w:t>
      </w:r>
      <w:r w:rsidRPr="00CF2600">
        <w:rPr>
          <w:color w:val="000000"/>
          <w:szCs w:val="22"/>
        </w:rPr>
        <w:t xml:space="preserve">Plan Amendment will be deemed approved </w:t>
      </w:r>
      <w:r w:rsidRPr="00CF2600">
        <w:rPr>
          <w:szCs w:val="22"/>
        </w:rPr>
        <w:t>without further action</w:t>
      </w:r>
      <w:r w:rsidRPr="00CF2600">
        <w:rPr>
          <w:color w:val="000000"/>
          <w:szCs w:val="22"/>
        </w:rPr>
        <w:t xml:space="preserve"> by the PSHSB.</w:t>
      </w:r>
      <w:r w:rsidRPr="00CF2600">
        <w:rPr>
          <w:rStyle w:val="FootnoteReference"/>
          <w:color w:val="000000"/>
          <w:szCs w:val="22"/>
        </w:rPr>
        <w:footnoteReference w:id="33"/>
      </w:r>
    </w:p>
    <w:p w14:paraId="3B8A949F" w14:textId="77777777" w:rsidR="005E7857" w:rsidRPr="00CF2600" w:rsidRDefault="005E7857" w:rsidP="005E7857">
      <w:pPr>
        <w:ind w:firstLine="720"/>
        <w:rPr>
          <w:szCs w:val="22"/>
        </w:rPr>
      </w:pPr>
    </w:p>
    <w:p w14:paraId="4E745A26" w14:textId="77777777" w:rsidR="005E7857" w:rsidRPr="00CF2600" w:rsidRDefault="005E7857" w:rsidP="005E7857">
      <w:pPr>
        <w:ind w:firstLine="720"/>
        <w:rPr>
          <w:szCs w:val="22"/>
        </w:rPr>
      </w:pPr>
      <w:r w:rsidRPr="00CF2600">
        <w:rPr>
          <w:color w:val="000000"/>
          <w:szCs w:val="22"/>
        </w:rPr>
        <w:t xml:space="preserve">Pursuant to Sections 1.415 and 1.419 of the Commission’s rules, 47 </w:t>
      </w:r>
      <w:r>
        <w:rPr>
          <w:color w:val="000000"/>
          <w:szCs w:val="22"/>
        </w:rPr>
        <w:t>C</w:t>
      </w:r>
      <w:r w:rsidRPr="00CF2600">
        <w:rPr>
          <w:color w:val="000000"/>
          <w:szCs w:val="22"/>
        </w:rPr>
        <w:t xml:space="preserve">FR §§ 1.415, 1.419, interested parties may file comments on the </w:t>
      </w:r>
      <w:r>
        <w:rPr>
          <w:color w:val="000000"/>
          <w:szCs w:val="22"/>
        </w:rPr>
        <w:t>P</w:t>
      </w:r>
      <w:r w:rsidRPr="00CF2600">
        <w:rPr>
          <w:color w:val="000000"/>
          <w:szCs w:val="22"/>
        </w:rPr>
        <w:t xml:space="preserve">lan </w:t>
      </w:r>
      <w:r>
        <w:rPr>
          <w:color w:val="000000"/>
          <w:szCs w:val="22"/>
        </w:rPr>
        <w:t>A</w:t>
      </w:r>
      <w:r w:rsidRPr="00CF2600">
        <w:rPr>
          <w:color w:val="000000"/>
          <w:szCs w:val="22"/>
        </w:rPr>
        <w:t xml:space="preserve">mendment </w:t>
      </w:r>
      <w:r w:rsidRPr="00CF2600">
        <w:rPr>
          <w:szCs w:val="22"/>
        </w:rPr>
        <w:t>on or before</w:t>
      </w:r>
      <w:r w:rsidRPr="00CF2600">
        <w:rPr>
          <w:b/>
          <w:szCs w:val="22"/>
        </w:rPr>
        <w:t xml:space="preserve"> </w:t>
      </w:r>
      <w:r>
        <w:rPr>
          <w:b/>
          <w:szCs w:val="22"/>
        </w:rPr>
        <w:t>July</w:t>
      </w:r>
      <w:r w:rsidRPr="00CF2600">
        <w:rPr>
          <w:b/>
          <w:szCs w:val="22"/>
        </w:rPr>
        <w:t xml:space="preserve"> </w:t>
      </w:r>
      <w:r>
        <w:rPr>
          <w:b/>
          <w:szCs w:val="22"/>
        </w:rPr>
        <w:t>11</w:t>
      </w:r>
      <w:r w:rsidRPr="00CF2600">
        <w:rPr>
          <w:b/>
          <w:szCs w:val="22"/>
        </w:rPr>
        <w:t>,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w:t>
      </w:r>
      <w:r>
        <w:rPr>
          <w:color w:val="000000"/>
          <w:szCs w:val="22"/>
        </w:rPr>
        <w:t>P</w:t>
      </w:r>
      <w:r w:rsidRPr="00CF2600">
        <w:rPr>
          <w:color w:val="000000"/>
          <w:szCs w:val="22"/>
        </w:rPr>
        <w:t xml:space="preserve">lan </w:t>
      </w:r>
      <w:r>
        <w:rPr>
          <w:color w:val="000000"/>
          <w:szCs w:val="22"/>
        </w:rPr>
        <w:t>A</w:t>
      </w:r>
      <w:r w:rsidRPr="00CF2600">
        <w:rPr>
          <w:color w:val="000000"/>
          <w:szCs w:val="22"/>
        </w:rPr>
        <w:t xml:space="preserve">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and reply 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14:paraId="60B33B18" w14:textId="77777777" w:rsidR="005E7857" w:rsidRPr="00CF2600" w:rsidRDefault="005E7857" w:rsidP="005E7857">
      <w:pPr>
        <w:ind w:left="1440" w:hanging="720"/>
        <w:rPr>
          <w:szCs w:val="22"/>
        </w:rPr>
      </w:pPr>
    </w:p>
    <w:p w14:paraId="56EEF902" w14:textId="77777777" w:rsidR="005E7857" w:rsidRPr="00CF2600" w:rsidRDefault="005E7857" w:rsidP="005E7857">
      <w:pPr>
        <w:widowControl/>
        <w:numPr>
          <w:ilvl w:val="0"/>
          <w:numId w:val="10"/>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14:paraId="28D3B425" w14:textId="77777777" w:rsidR="005E7857" w:rsidRPr="00CF2600" w:rsidRDefault="005E7857" w:rsidP="005E7857">
      <w:pPr>
        <w:ind w:left="720"/>
        <w:rPr>
          <w:szCs w:val="22"/>
        </w:rPr>
      </w:pPr>
    </w:p>
    <w:p w14:paraId="5CB2B0ED" w14:textId="77777777" w:rsidR="005E7857" w:rsidRPr="00CF2600" w:rsidRDefault="005E7857" w:rsidP="005E7857">
      <w:pPr>
        <w:widowControl/>
        <w:numPr>
          <w:ilvl w:val="0"/>
          <w:numId w:val="10"/>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14:paraId="4E3A6ADC" w14:textId="77777777" w:rsidR="005E7857" w:rsidRPr="00CF2600" w:rsidRDefault="005E7857" w:rsidP="005E7857">
      <w:pPr>
        <w:rPr>
          <w:rFonts w:cs="Courier New"/>
          <w:szCs w:val="22"/>
          <w:u w:val="single"/>
        </w:rPr>
      </w:pPr>
    </w:p>
    <w:p w14:paraId="32224FF1" w14:textId="77777777" w:rsidR="005E7857" w:rsidRPr="00CF2600" w:rsidRDefault="005E7857" w:rsidP="005E7857">
      <w:pPr>
        <w:widowControl/>
        <w:numPr>
          <w:ilvl w:val="0"/>
          <w:numId w:val="10"/>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14:paraId="6961981B" w14:textId="77777777" w:rsidR="005E7857" w:rsidRPr="00CF2600" w:rsidRDefault="005E7857" w:rsidP="005E7857">
      <w:pPr>
        <w:ind w:firstLine="720"/>
        <w:rPr>
          <w:szCs w:val="22"/>
        </w:rPr>
      </w:pPr>
    </w:p>
    <w:p w14:paraId="60152F8E" w14:textId="77777777" w:rsidR="005E7857" w:rsidRPr="00CF2600" w:rsidRDefault="005E7857" w:rsidP="005E7857">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27CE3C12" w14:textId="77777777" w:rsidR="005E7857" w:rsidRPr="00CF2600" w:rsidRDefault="005E7857" w:rsidP="005E7857">
      <w:pPr>
        <w:ind w:left="1440" w:hanging="720"/>
        <w:rPr>
          <w:szCs w:val="22"/>
        </w:rPr>
      </w:pPr>
    </w:p>
    <w:p w14:paraId="2DE33E14" w14:textId="77777777" w:rsidR="005E7857" w:rsidRPr="00CF2600" w:rsidRDefault="005E7857" w:rsidP="005E7857">
      <w:pPr>
        <w:widowControl/>
        <w:numPr>
          <w:ilvl w:val="0"/>
          <w:numId w:val="10"/>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14:paraId="01D1604F" w14:textId="77777777" w:rsidR="005E7857" w:rsidRPr="00CF2600" w:rsidRDefault="005E7857" w:rsidP="005E7857">
      <w:pPr>
        <w:ind w:left="1440" w:hanging="720"/>
        <w:rPr>
          <w:szCs w:val="22"/>
        </w:rPr>
      </w:pPr>
    </w:p>
    <w:p w14:paraId="58685E69" w14:textId="77777777" w:rsidR="005E7857" w:rsidRPr="00CF2600" w:rsidRDefault="005E7857" w:rsidP="005E7857">
      <w:pPr>
        <w:widowControl/>
        <w:numPr>
          <w:ilvl w:val="0"/>
          <w:numId w:val="10"/>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14:paraId="36FAC654" w14:textId="77777777" w:rsidR="005E7857" w:rsidRPr="00CF2600" w:rsidRDefault="005E7857" w:rsidP="005E7857">
      <w:pPr>
        <w:ind w:left="1440" w:hanging="720"/>
        <w:rPr>
          <w:szCs w:val="22"/>
        </w:rPr>
      </w:pPr>
    </w:p>
    <w:p w14:paraId="4D974960" w14:textId="77777777" w:rsidR="005E7857" w:rsidRPr="00CF2600" w:rsidRDefault="005E7857" w:rsidP="005E7857">
      <w:pPr>
        <w:widowControl/>
        <w:numPr>
          <w:ilvl w:val="0"/>
          <w:numId w:val="10"/>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14:paraId="3FE6BEF1" w14:textId="77777777" w:rsidR="005E7857" w:rsidRPr="00CF2600" w:rsidRDefault="005E7857" w:rsidP="005E7857">
      <w:pPr>
        <w:rPr>
          <w:rFonts w:eastAsia="Batang"/>
          <w:szCs w:val="22"/>
        </w:rPr>
      </w:pPr>
    </w:p>
    <w:p w14:paraId="1237FFF1" w14:textId="77777777" w:rsidR="005E7857" w:rsidRPr="00CF2600" w:rsidRDefault="005E7857" w:rsidP="005E7857">
      <w:pPr>
        <w:widowControl/>
        <w:numPr>
          <w:ilvl w:val="0"/>
          <w:numId w:val="10"/>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14:paraId="0962729B" w14:textId="77777777" w:rsidR="005E7857" w:rsidRPr="00CF2600" w:rsidRDefault="005E7857" w:rsidP="005E7857">
      <w:pPr>
        <w:rPr>
          <w:szCs w:val="22"/>
        </w:rPr>
      </w:pPr>
    </w:p>
    <w:p w14:paraId="20D364AD" w14:textId="77777777" w:rsidR="005E7857" w:rsidRPr="00CF2600" w:rsidRDefault="005E7857" w:rsidP="005E7857">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14:paraId="68C9F572" w14:textId="77777777" w:rsidR="005E7857" w:rsidRPr="00CF2600" w:rsidRDefault="005E7857" w:rsidP="005E7857">
      <w:pPr>
        <w:ind w:firstLine="720"/>
        <w:rPr>
          <w:szCs w:val="22"/>
        </w:rPr>
      </w:pPr>
    </w:p>
    <w:p w14:paraId="26DA03E3" w14:textId="77777777" w:rsidR="005E7857" w:rsidRPr="00CF2600" w:rsidRDefault="005E7857" w:rsidP="005E7857">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ecfs@fcc.gov.  Region 2</w:t>
      </w:r>
      <w:r>
        <w:rPr>
          <w:szCs w:val="22"/>
        </w:rPr>
        <w:t>8</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14:paraId="14D3DD68" w14:textId="77777777" w:rsidR="005E7857" w:rsidRPr="00CF2600" w:rsidRDefault="005E7857" w:rsidP="005E7857">
      <w:pPr>
        <w:tabs>
          <w:tab w:val="left" w:pos="6030"/>
        </w:tabs>
        <w:autoSpaceDE w:val="0"/>
        <w:autoSpaceDN w:val="0"/>
        <w:adjustRightInd w:val="0"/>
        <w:ind w:firstLine="720"/>
        <w:rPr>
          <w:iCs/>
          <w:color w:val="000000"/>
          <w:szCs w:val="22"/>
        </w:rPr>
      </w:pPr>
    </w:p>
    <w:p w14:paraId="1EE18C44" w14:textId="77777777" w:rsidR="005E7857" w:rsidRPr="00CF2600" w:rsidRDefault="005E7857" w:rsidP="005E7857">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14:paraId="4DCEC9FE" w14:textId="77777777" w:rsidR="005E7857" w:rsidRPr="00CF2600" w:rsidRDefault="005E7857" w:rsidP="005E7857">
      <w:pPr>
        <w:rPr>
          <w:szCs w:val="22"/>
        </w:rPr>
      </w:pPr>
    </w:p>
    <w:p w14:paraId="11280572" w14:textId="77777777" w:rsidR="005E7857" w:rsidRPr="00CF2600" w:rsidRDefault="005E7857" w:rsidP="005E7857">
      <w:pPr>
        <w:autoSpaceDE w:val="0"/>
        <w:autoSpaceDN w:val="0"/>
        <w:adjustRightInd w:val="0"/>
        <w:jc w:val="center"/>
        <w:rPr>
          <w:szCs w:val="22"/>
        </w:rPr>
      </w:pPr>
      <w:r w:rsidRPr="00CF2600">
        <w:rPr>
          <w:szCs w:val="22"/>
        </w:rPr>
        <w:t>- FCC -</w:t>
      </w:r>
    </w:p>
    <w:p w14:paraId="53A29935" w14:textId="6C9347FC" w:rsidR="00A34CFD" w:rsidRPr="002B0454" w:rsidRDefault="00A34CFD" w:rsidP="005E7857">
      <w:pPr>
        <w:jc w:val="right"/>
        <w:rPr>
          <w:color w:val="00B050"/>
          <w:sz w:val="24"/>
          <w:szCs w:val="24"/>
        </w:rPr>
      </w:pPr>
    </w:p>
    <w:sectPr w:rsidR="00A34CFD" w:rsidRPr="002B0454" w:rsidSect="00FB3A8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476E" w14:textId="77777777" w:rsidR="00F72B15" w:rsidRDefault="00F72B15">
      <w:pPr>
        <w:spacing w:line="20" w:lineRule="exact"/>
      </w:pPr>
    </w:p>
  </w:endnote>
  <w:endnote w:type="continuationSeparator" w:id="0">
    <w:p w14:paraId="139CD304" w14:textId="77777777" w:rsidR="00F72B15" w:rsidRDefault="00F72B15">
      <w:r>
        <w:t xml:space="preserve"> </w:t>
      </w:r>
    </w:p>
  </w:endnote>
  <w:endnote w:type="continuationNotice" w:id="1">
    <w:p w14:paraId="02D40789" w14:textId="77777777" w:rsidR="00F72B15" w:rsidRDefault="00F72B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5F5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41CE5BF" w14:textId="77777777" w:rsidR="00D25FB5" w:rsidRDefault="00D25FB5">
    <w:pPr>
      <w:pStyle w:val="Footer"/>
    </w:pPr>
  </w:p>
  <w:p w14:paraId="73A6B95C"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9453"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0255C">
      <w:rPr>
        <w:noProof/>
      </w:rPr>
      <w:t>2</w:t>
    </w:r>
    <w:r>
      <w:fldChar w:fldCharType="end"/>
    </w:r>
  </w:p>
  <w:p w14:paraId="6D7127B0"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664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A624C" w14:textId="77777777" w:rsidR="00F72B15" w:rsidRDefault="00F72B15">
      <w:r>
        <w:separator/>
      </w:r>
    </w:p>
  </w:footnote>
  <w:footnote w:type="continuationSeparator" w:id="0">
    <w:p w14:paraId="72BEFAEC" w14:textId="77777777" w:rsidR="00F72B15" w:rsidRDefault="00F72B15" w:rsidP="00C721AC">
      <w:pPr>
        <w:spacing w:before="120"/>
        <w:rPr>
          <w:sz w:val="20"/>
        </w:rPr>
      </w:pPr>
      <w:r>
        <w:rPr>
          <w:sz w:val="20"/>
        </w:rPr>
        <w:t xml:space="preserve">(Continued from previous page)  </w:t>
      </w:r>
      <w:r>
        <w:rPr>
          <w:sz w:val="20"/>
        </w:rPr>
        <w:separator/>
      </w:r>
    </w:p>
  </w:footnote>
  <w:footnote w:type="continuationNotice" w:id="1">
    <w:p w14:paraId="4717904B" w14:textId="77777777" w:rsidR="00F72B15" w:rsidRDefault="00F72B15" w:rsidP="00C721AC">
      <w:pPr>
        <w:jc w:val="right"/>
        <w:rPr>
          <w:sz w:val="20"/>
        </w:rPr>
      </w:pPr>
      <w:r>
        <w:rPr>
          <w:sz w:val="20"/>
        </w:rPr>
        <w:t>(continued….)</w:t>
      </w:r>
    </w:p>
  </w:footnote>
  <w:footnote w:id="2">
    <w:p w14:paraId="476596AB" w14:textId="77777777" w:rsidR="005E7857" w:rsidRPr="0019349D" w:rsidRDefault="005E7857" w:rsidP="005E7857">
      <w:pPr>
        <w:autoSpaceDE w:val="0"/>
        <w:autoSpaceDN w:val="0"/>
        <w:adjustRightInd w:val="0"/>
        <w:rPr>
          <w:sz w:val="20"/>
        </w:rPr>
      </w:pPr>
      <w:r w:rsidRPr="0019349D">
        <w:rPr>
          <w:rStyle w:val="FootnoteReference"/>
        </w:rPr>
        <w:footnoteRef/>
      </w:r>
      <w:r w:rsidRPr="0019349D">
        <w:rPr>
          <w:sz w:val="20"/>
        </w:rPr>
        <w:t xml:space="preserve"> The Region 28 (Delaware, Eastern Pennsylvania, Southern New Jersey) regional planning area includes the entire</w:t>
      </w:r>
    </w:p>
    <w:p w14:paraId="1F51F710" w14:textId="77777777" w:rsidR="005E7857" w:rsidRPr="0019349D" w:rsidRDefault="005E7857" w:rsidP="005E7857">
      <w:pPr>
        <w:autoSpaceDE w:val="0"/>
        <w:autoSpaceDN w:val="0"/>
        <w:adjustRightInd w:val="0"/>
        <w:spacing w:after="120"/>
        <w:rPr>
          <w:sz w:val="20"/>
        </w:rPr>
      </w:pPr>
      <w:r w:rsidRPr="0019349D">
        <w:rPr>
          <w:sz w:val="20"/>
        </w:rPr>
        <w:t>state of Delaware, the Pennsylvania counties of Berks, Bradford, Bucks, Carbon, Chester, Columbia, Dauphin,</w:t>
      </w:r>
      <w:r>
        <w:rPr>
          <w:sz w:val="20"/>
        </w:rPr>
        <w:t xml:space="preserve"> </w:t>
      </w:r>
      <w:r w:rsidRPr="0019349D">
        <w:rPr>
          <w:sz w:val="20"/>
        </w:rPr>
        <w:t>Delaware, Lackawanna, Lancaster, Lebanon, Lehigh, Luzerne, Lycoming, Monroe, Montgomery, Montour,</w:t>
      </w:r>
      <w:r>
        <w:rPr>
          <w:sz w:val="20"/>
        </w:rPr>
        <w:t xml:space="preserve"> </w:t>
      </w:r>
      <w:r w:rsidRPr="0019349D">
        <w:rPr>
          <w:sz w:val="20"/>
        </w:rPr>
        <w:t>Northampton, Northumberland, Philadelphia, Pike, Schuylkill, Sullivan, Susquehanna, Tioga, Wayne, Wyoming,</w:t>
      </w:r>
      <w:r>
        <w:rPr>
          <w:sz w:val="20"/>
        </w:rPr>
        <w:t xml:space="preserve"> </w:t>
      </w:r>
      <w:r w:rsidRPr="0019349D">
        <w:rPr>
          <w:sz w:val="20"/>
        </w:rPr>
        <w:t>and York, and the Southern New Jersey counties of Atlantic, Burlington, Camden, Cape May, Cumberland,</w:t>
      </w:r>
      <w:r>
        <w:rPr>
          <w:sz w:val="20"/>
        </w:rPr>
        <w:t xml:space="preserve"> </w:t>
      </w:r>
      <w:r w:rsidRPr="0019349D">
        <w:rPr>
          <w:sz w:val="20"/>
        </w:rPr>
        <w:t>Gloucester, Ocean, and Salem.</w:t>
      </w:r>
    </w:p>
  </w:footnote>
  <w:footnote w:id="3">
    <w:p w14:paraId="267FEB98" w14:textId="77777777" w:rsidR="005E7857" w:rsidRPr="007D594B" w:rsidRDefault="005E7857" w:rsidP="005E7857">
      <w:pPr>
        <w:spacing w:after="120"/>
        <w:ind w:right="-18"/>
        <w:rPr>
          <w:sz w:val="20"/>
        </w:rPr>
      </w:pPr>
      <w:r w:rsidRPr="0019349D">
        <w:rPr>
          <w:rStyle w:val="FootnoteReference"/>
        </w:rPr>
        <w:footnoteRef/>
      </w:r>
      <w:r w:rsidRPr="0019349D">
        <w:rPr>
          <w:sz w:val="20"/>
        </w:rPr>
        <w:t xml:space="preserve"> </w:t>
      </w:r>
      <w:r w:rsidRPr="0019349D">
        <w:rPr>
          <w:i/>
          <w:sz w:val="20"/>
        </w:rPr>
        <w:t xml:space="preserve">See </w:t>
      </w:r>
      <w:r w:rsidRPr="0019349D">
        <w:rPr>
          <w:sz w:val="20"/>
        </w:rPr>
        <w:t>Letter from</w:t>
      </w:r>
      <w:r>
        <w:rPr>
          <w:sz w:val="20"/>
        </w:rPr>
        <w:t xml:space="preserve"> William Carrow</w:t>
      </w:r>
      <w:r w:rsidRPr="0019349D">
        <w:rPr>
          <w:sz w:val="20"/>
        </w:rPr>
        <w:t>, Chair, R</w:t>
      </w:r>
      <w:r w:rsidRPr="00190533">
        <w:rPr>
          <w:sz w:val="20"/>
        </w:rPr>
        <w:t xml:space="preserve">egion </w:t>
      </w:r>
      <w:r>
        <w:rPr>
          <w:sz w:val="20"/>
        </w:rPr>
        <w:t>28</w:t>
      </w:r>
      <w:r w:rsidRPr="00190533">
        <w:rPr>
          <w:sz w:val="20"/>
        </w:rPr>
        <w:t xml:space="preserve"> 700 MHz Regional Planning Committee, to Chief, Public Safety and Homeland Security Bureau, Federal Communications Commission, WT Docket No. 02-378 (filed </w:t>
      </w:r>
      <w:r>
        <w:rPr>
          <w:sz w:val="20"/>
        </w:rPr>
        <w:t>October 31</w:t>
      </w:r>
      <w:r w:rsidRPr="00190533">
        <w:rPr>
          <w:sz w:val="20"/>
        </w:rPr>
        <w:t>, 2015)</w:t>
      </w:r>
      <w:r w:rsidRPr="007D594B">
        <w:rPr>
          <w:sz w:val="20"/>
        </w:rPr>
        <w:t xml:space="preserve"> (Cover Letter) and accompanying Plan Amendment.      </w:t>
      </w:r>
    </w:p>
  </w:footnote>
  <w:footnote w:id="4">
    <w:p w14:paraId="147DE456" w14:textId="77777777" w:rsidR="005E7857" w:rsidRPr="007D594B" w:rsidRDefault="005E7857" w:rsidP="005E7857">
      <w:pPr>
        <w:pStyle w:val="FootnoteText"/>
        <w:tabs>
          <w:tab w:val="left" w:pos="6930"/>
        </w:tabs>
      </w:pPr>
      <w:r w:rsidRPr="007D594B">
        <w:rPr>
          <w:rStyle w:val="FootnoteReference"/>
        </w:rPr>
        <w:footnoteRef/>
      </w:r>
      <w:r w:rsidRPr="007D594B">
        <w:t xml:space="preserve"> The General Use spectrum is administered by </w:t>
      </w:r>
      <w:r>
        <w:t xml:space="preserve">RPCs </w:t>
      </w:r>
      <w:r w:rsidRPr="007D594B">
        <w:t>and is licensed</w:t>
      </w:r>
      <w:r>
        <w:t xml:space="preserve"> by the Commission</w:t>
      </w:r>
      <w:r w:rsidRPr="007D594B">
        <w:t xml:space="preserve"> for public safety services on a site-by-site basis in accordance with the relevant Commission-approved regional plan and frequency coordination. </w:t>
      </w:r>
    </w:p>
  </w:footnote>
  <w:footnote w:id="5">
    <w:p w14:paraId="3CAD80F9" w14:textId="77777777" w:rsidR="005E7857" w:rsidRPr="007D594B" w:rsidRDefault="005E7857" w:rsidP="005E7857">
      <w:pPr>
        <w:tabs>
          <w:tab w:val="center" w:pos="4680"/>
        </w:tabs>
        <w:suppressAutoHyphens/>
        <w:spacing w:after="120"/>
        <w:rPr>
          <w:sz w:val="20"/>
        </w:rPr>
      </w:pPr>
      <w:r w:rsidRPr="007D594B">
        <w:rPr>
          <w:rStyle w:val="FootnoteReference"/>
        </w:rPr>
        <w:footnoteRef/>
      </w:r>
      <w:r w:rsidRPr="007D594B">
        <w:rPr>
          <w:sz w:val="20"/>
        </w:rPr>
        <w:t xml:space="preserve"> </w:t>
      </w:r>
      <w:r w:rsidRPr="007D594B">
        <w:rPr>
          <w:i/>
          <w:sz w:val="20"/>
        </w:rPr>
        <w:t>See</w:t>
      </w:r>
      <w:r w:rsidRPr="007D594B">
        <w:rPr>
          <w:sz w:val="20"/>
        </w:rPr>
        <w:t xml:space="preserve"> 47 </w:t>
      </w:r>
      <w:r>
        <w:rPr>
          <w:sz w:val="20"/>
        </w:rPr>
        <w:t>CFR</w:t>
      </w:r>
      <w:r w:rsidRPr="007D594B">
        <w:rPr>
          <w:sz w:val="20"/>
        </w:rPr>
        <w:t xml:space="preserve"> § 90.527; </w:t>
      </w:r>
      <w:r w:rsidRPr="007D594B">
        <w:rPr>
          <w:i/>
          <w:sz w:val="20"/>
        </w:rPr>
        <w:t xml:space="preserve">see also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First Report and Order and Third Notice of Proposed Rulemaking</w:t>
      </w:r>
      <w:r w:rsidRPr="007D594B">
        <w:rPr>
          <w:i/>
          <w:sz w:val="20"/>
        </w:rPr>
        <w:t>,</w:t>
      </w:r>
      <w:r w:rsidRPr="007D594B">
        <w:rPr>
          <w:sz w:val="20"/>
        </w:rPr>
        <w:t xml:space="preserve"> 14 FCC Rcd 152 (1998) (</w:t>
      </w:r>
      <w:r w:rsidRPr="007D594B">
        <w:rPr>
          <w:i/>
          <w:sz w:val="20"/>
        </w:rPr>
        <w:t>First Report and Order</w:t>
      </w:r>
      <w:r w:rsidRPr="007D594B">
        <w:rPr>
          <w:sz w:val="20"/>
        </w:rPr>
        <w:t xml:space="preserve">); </w:t>
      </w:r>
      <w:r w:rsidRPr="00CF2600">
        <w:rPr>
          <w:i/>
          <w:sz w:val="20"/>
        </w:rPr>
        <w:t xml:space="preserve">Development of Operational, Technical and Spectrum Requirements </w:t>
      </w:r>
      <w:r>
        <w:rPr>
          <w:i/>
          <w:sz w:val="20"/>
        </w:rPr>
        <w:t>f</w:t>
      </w:r>
      <w:r w:rsidRPr="00CF2600">
        <w:rPr>
          <w:i/>
          <w:sz w:val="20"/>
        </w:rPr>
        <w:t>or Meeting Federal, State and Local Public Safety Agency Communication Requirements Through the Year 2010</w:t>
      </w:r>
      <w:r w:rsidRPr="007D594B">
        <w:rPr>
          <w:sz w:val="20"/>
        </w:rPr>
        <w:t xml:space="preserve">, </w:t>
      </w:r>
      <w:r w:rsidRPr="00CF2600">
        <w:rPr>
          <w:sz w:val="20"/>
        </w:rPr>
        <w:t>Second Memorandum Opinion and Order</w:t>
      </w:r>
      <w:r w:rsidRPr="007D594B">
        <w:rPr>
          <w:sz w:val="20"/>
        </w:rPr>
        <w:t xml:space="preserve">, 15 FCC Rcd 16844 (2000).  </w:t>
      </w:r>
    </w:p>
  </w:footnote>
  <w:footnote w:id="6">
    <w:p w14:paraId="6739A01B" w14:textId="77777777" w:rsidR="005E7857" w:rsidRPr="007D594B" w:rsidRDefault="005E7857" w:rsidP="005E7857">
      <w:pPr>
        <w:pStyle w:val="FootnoteText"/>
      </w:pPr>
      <w:r w:rsidRPr="007D594B">
        <w:rPr>
          <w:rStyle w:val="FootnoteReference"/>
        </w:rPr>
        <w:footnoteRef/>
      </w:r>
      <w:r w:rsidRPr="007D594B">
        <w:t xml:space="preserve"> </w:t>
      </w:r>
      <w:r w:rsidRPr="007D594B">
        <w:rPr>
          <w:i/>
        </w:rPr>
        <w:t xml:space="preserve">See </w:t>
      </w:r>
      <w:r w:rsidRPr="007D594B">
        <w:t xml:space="preserve">47 </w:t>
      </w:r>
      <w:r>
        <w:t>CFR</w:t>
      </w:r>
      <w:r w:rsidRPr="007D594B">
        <w:t xml:space="preserve"> § 90.527.  Each RPC must incorporate certain common elements into its 700 MHz plan.  A list of 700 MHz RPCs and region activities is available at http://www.fcc.gov/pshs/public-safety-spectrum/700-MHz/.  </w:t>
      </w:r>
    </w:p>
  </w:footnote>
  <w:footnote w:id="7">
    <w:p w14:paraId="28C008DF" w14:textId="77777777" w:rsidR="005E7857" w:rsidRPr="007D594B" w:rsidRDefault="005E7857" w:rsidP="005E7857">
      <w:pPr>
        <w:pStyle w:val="FootnoteText"/>
      </w:pPr>
      <w:r w:rsidRPr="007D594B">
        <w:rPr>
          <w:rStyle w:val="FootnoteReference"/>
        </w:rPr>
        <w:footnoteRef/>
      </w:r>
      <w:r w:rsidRPr="007D594B">
        <w:t xml:space="preserve"> </w:t>
      </w:r>
      <w:r w:rsidRPr="007D594B">
        <w:rPr>
          <w:i/>
        </w:rPr>
        <w:t>First Report and Order</w:t>
      </w:r>
      <w:r w:rsidRPr="007D594B">
        <w:t xml:space="preserve">, 14 FCC Rcd at 195 </w:t>
      </w:r>
      <w:r>
        <w:t>para.</w:t>
      </w:r>
      <w:r w:rsidRPr="007D594B">
        <w:t xml:space="preserve"> 87.</w:t>
      </w:r>
    </w:p>
  </w:footnote>
  <w:footnote w:id="8">
    <w:p w14:paraId="6A211D6A" w14:textId="77777777" w:rsidR="005E7857" w:rsidRPr="00CF2600" w:rsidRDefault="005E7857" w:rsidP="005E7857">
      <w:pPr>
        <w:pStyle w:val="FootnoteText"/>
      </w:pPr>
      <w:r w:rsidRPr="00CF2600">
        <w:rPr>
          <w:rStyle w:val="FootnoteReference"/>
          <w:rFonts w:eastAsiaTheme="minorEastAsia"/>
        </w:rPr>
        <w:footnoteRef/>
      </w:r>
      <w:r w:rsidRPr="00CF2600">
        <w:t xml:space="preserve"> </w:t>
      </w:r>
      <w:r w:rsidRPr="00CF2600">
        <w:rPr>
          <w:i/>
        </w:rPr>
        <w:t>Proposed Amendments to the Service Rules Governing Public Safety Narrowband Operations in the 769-775/799-805 MHz Bands</w:t>
      </w:r>
      <w:r w:rsidRPr="00CF2600">
        <w:t xml:space="preserve">, </w:t>
      </w:r>
      <w:r w:rsidRPr="00CF2600">
        <w:rPr>
          <w:iCs/>
        </w:rPr>
        <w:t xml:space="preserve">Report and Order, 29 FCC Rcd 13283 (2014) </w:t>
      </w:r>
      <w:r w:rsidRPr="00CF2600">
        <w:t>(</w:t>
      </w:r>
      <w:r w:rsidRPr="00CF2600">
        <w:rPr>
          <w:i/>
          <w:iCs/>
        </w:rPr>
        <w:t>Report and Order</w:t>
      </w:r>
      <w:r w:rsidRPr="00CF2600">
        <w:t>).</w:t>
      </w:r>
    </w:p>
  </w:footnote>
  <w:footnote w:id="9">
    <w:p w14:paraId="13725383" w14:textId="77777777" w:rsidR="005E7857" w:rsidRPr="00CF2600" w:rsidRDefault="005E7857" w:rsidP="005E7857">
      <w:pPr>
        <w:pStyle w:val="FootnoteText"/>
      </w:pPr>
      <w:r w:rsidRPr="00CF2600">
        <w:rPr>
          <w:rStyle w:val="FootnoteReference"/>
          <w:rFonts w:eastAsiaTheme="minorEastAsia"/>
        </w:rPr>
        <w:footnoteRef/>
      </w:r>
      <w:r w:rsidRPr="00CF2600">
        <w:t xml:space="preserve"> </w:t>
      </w:r>
      <w:r w:rsidRPr="00CF2600">
        <w:rPr>
          <w:i/>
        </w:rPr>
        <w:t>Id</w:t>
      </w:r>
      <w:r w:rsidRPr="00CF2600">
        <w:t xml:space="preserve">. at 13297 para. 39.  47 </w:t>
      </w:r>
      <w:r>
        <w:t>CFR</w:t>
      </w:r>
      <w:r w:rsidRPr="00CF2600">
        <w:t xml:space="preserve"> § 90.531(b)(2).</w:t>
      </w:r>
    </w:p>
  </w:footnote>
  <w:footnote w:id="10">
    <w:p w14:paraId="23FA8090" w14:textId="77777777" w:rsidR="005E7857" w:rsidRPr="00CF2600" w:rsidRDefault="005E7857" w:rsidP="005E7857">
      <w:pPr>
        <w:pStyle w:val="FootnoteText"/>
      </w:pPr>
      <w:r w:rsidRPr="00CF2600">
        <w:rPr>
          <w:rStyle w:val="FootnoteReference"/>
          <w:rFonts w:eastAsiaTheme="minorEastAsia"/>
        </w:rPr>
        <w:footnoteRef/>
      </w:r>
      <w:r w:rsidRPr="00CF2600">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CF2600">
        <w:rPr>
          <w:i/>
        </w:rPr>
        <w:t xml:space="preserve">See </w:t>
      </w:r>
      <w:r w:rsidRPr="00CF2600">
        <w:t xml:space="preserve">47 </w:t>
      </w:r>
      <w:r>
        <w:t>CFR</w:t>
      </w:r>
      <w:r w:rsidRPr="00CF2600">
        <w:t xml:space="preserve"> § 90.303.  There are no T-Band public safety incumbents in Cleveland, Ohio, or Detroit, Michigan.  </w:t>
      </w:r>
      <w:r w:rsidRPr="00CF2600">
        <w:rPr>
          <w:i/>
        </w:rPr>
        <w:t>Id</w:t>
      </w:r>
      <w:r w:rsidRPr="00CF2600">
        <w:t>.</w:t>
      </w:r>
    </w:p>
  </w:footnote>
  <w:footnote w:id="11">
    <w:p w14:paraId="5C22E216" w14:textId="77777777" w:rsidR="005E7857" w:rsidRPr="00CF2600" w:rsidRDefault="005E7857" w:rsidP="005E7857">
      <w:pPr>
        <w:pStyle w:val="FootnoteText"/>
      </w:pPr>
      <w:r w:rsidRPr="00CF2600">
        <w:rPr>
          <w:rStyle w:val="FootnoteReference"/>
          <w:rFonts w:eastAsiaTheme="minorEastAsia"/>
        </w:rPr>
        <w:footnoteRef/>
      </w:r>
      <w:r w:rsidRPr="00CF2600">
        <w:t xml:space="preserve"> 47 </w:t>
      </w:r>
      <w:r>
        <w:t>CFR</w:t>
      </w:r>
      <w:r w:rsidRPr="00CF2600">
        <w:t xml:space="preserve"> §§ 90.303, 90.305.</w:t>
      </w:r>
    </w:p>
  </w:footnote>
  <w:footnote w:id="12">
    <w:p w14:paraId="414854A9" w14:textId="77777777" w:rsidR="005E7857" w:rsidRPr="00CF2600" w:rsidRDefault="005E7857" w:rsidP="005E7857">
      <w:pPr>
        <w:pStyle w:val="FootnoteText"/>
      </w:pPr>
      <w:r w:rsidRPr="00CF2600">
        <w:rPr>
          <w:rStyle w:val="FootnoteReference"/>
          <w:rFonts w:eastAsiaTheme="minorEastAsia"/>
        </w:rPr>
        <w:footnoteRef/>
      </w:r>
      <w:r w:rsidRPr="00CF2600">
        <w:t xml:space="preserve"> </w:t>
      </w:r>
      <w:r w:rsidRPr="00CF2600">
        <w:rPr>
          <w:i/>
          <w:iCs/>
          <w:color w:val="000000"/>
        </w:rPr>
        <w:t>Report and Order</w:t>
      </w:r>
      <w:r w:rsidRPr="00CF2600">
        <w:rPr>
          <w:iCs/>
          <w:color w:val="000000"/>
        </w:rPr>
        <w:t xml:space="preserve">, 29 FCC Rcd at13298-99 paras. 43-45.  </w:t>
      </w:r>
    </w:p>
  </w:footnote>
  <w:footnote w:id="13">
    <w:p w14:paraId="0EE4BC1A" w14:textId="77777777" w:rsidR="005E7857" w:rsidRPr="00CF2600" w:rsidRDefault="005E7857" w:rsidP="005E7857">
      <w:pPr>
        <w:pStyle w:val="FootnoteText"/>
      </w:pPr>
      <w:r w:rsidRPr="00CF2600">
        <w:rPr>
          <w:rStyle w:val="FootnoteReference"/>
          <w:rFonts w:eastAsiaTheme="minorEastAsia"/>
        </w:rPr>
        <w:footnoteRef/>
      </w:r>
      <w:r w:rsidRPr="00CF2600">
        <w:t xml:space="preserve"> </w:t>
      </w:r>
      <w:r w:rsidRPr="00CF2600">
        <w:rPr>
          <w:i/>
        </w:rPr>
        <w:t>Id</w:t>
      </w:r>
      <w:r w:rsidRPr="00CF2600">
        <w:t xml:space="preserve">. at 13299 </w:t>
      </w:r>
      <w:r w:rsidRPr="00CF2600">
        <w:rPr>
          <w:iCs/>
          <w:color w:val="000000"/>
        </w:rPr>
        <w:t xml:space="preserve">para. 46, 13301 para. 51.  </w:t>
      </w:r>
    </w:p>
  </w:footnote>
  <w:footnote w:id="14">
    <w:p w14:paraId="7810E9B7" w14:textId="77777777" w:rsidR="005E7857" w:rsidRPr="00CF2600" w:rsidRDefault="005E7857" w:rsidP="005E7857">
      <w:pPr>
        <w:pStyle w:val="FootnoteText"/>
      </w:pPr>
      <w:r w:rsidRPr="00CF2600">
        <w:rPr>
          <w:rStyle w:val="FootnoteReference"/>
          <w:rFonts w:eastAsiaTheme="minorEastAsia"/>
        </w:rPr>
        <w:footnoteRef/>
      </w:r>
      <w:r w:rsidRPr="00CF2600">
        <w:t xml:space="preserve"> </w:t>
      </w:r>
      <w:r w:rsidRPr="00CF2600">
        <w:rPr>
          <w:i/>
        </w:rPr>
        <w:t>Id</w:t>
      </w:r>
      <w:r w:rsidRPr="00CF2600">
        <w:t>. at foot</w:t>
      </w:r>
      <w:r w:rsidRPr="00CF2600">
        <w:rPr>
          <w:iCs/>
          <w:color w:val="000000"/>
        </w:rPr>
        <w:t>note 126.</w:t>
      </w:r>
    </w:p>
  </w:footnote>
  <w:footnote w:id="15">
    <w:p w14:paraId="3BE2FB21" w14:textId="77777777" w:rsidR="005E7857" w:rsidRPr="00CF2600" w:rsidRDefault="005E7857" w:rsidP="005E7857">
      <w:pPr>
        <w:pStyle w:val="FootnoteText"/>
      </w:pPr>
      <w:r w:rsidRPr="00CF2600">
        <w:rPr>
          <w:rStyle w:val="FootnoteReference"/>
        </w:rPr>
        <w:footnoteRef/>
      </w:r>
      <w:r w:rsidRPr="00CF2600">
        <w:t xml:space="preserve"> </w:t>
      </w:r>
      <w:r w:rsidRPr="00CF2600">
        <w:rPr>
          <w:i/>
        </w:rPr>
        <w:t>Public Safety and Homeland Security Bureau Provides Guidance for Licensing Channels in the Former 700 MHz Narrowband Reserve Spectrum</w:t>
      </w:r>
      <w:r w:rsidRPr="00CF2600">
        <w:t>, Public Notice, 30 FCC Rcd 124 (PSHSB 2015).</w:t>
      </w:r>
    </w:p>
  </w:footnote>
  <w:footnote w:id="16">
    <w:p w14:paraId="0DC8FF54" w14:textId="77777777" w:rsidR="005E7857" w:rsidRPr="00CF2600" w:rsidRDefault="005E7857" w:rsidP="005E7857">
      <w:pPr>
        <w:spacing w:after="120"/>
        <w:rPr>
          <w:b/>
          <w:sz w:val="20"/>
        </w:rPr>
      </w:pPr>
      <w:r w:rsidRPr="00CF2600">
        <w:rPr>
          <w:rStyle w:val="FootnoteReference"/>
        </w:rPr>
        <w:footnoteRef/>
      </w:r>
      <w:r w:rsidRPr="00CF2600">
        <w:rPr>
          <w:sz w:val="20"/>
        </w:rPr>
        <w:t xml:space="preserve"> </w:t>
      </w:r>
      <w:r w:rsidRPr="00CF2600">
        <w:rPr>
          <w:i/>
          <w:sz w:val="20"/>
        </w:rPr>
        <w:t>Public Safety and Homeland Security Bureau Approves Recommended Nationwide Channels for Deployable Trunked Systems in the 700 MHz Narrowband Public Safety Band</w:t>
      </w:r>
      <w:r w:rsidRPr="00CF2600">
        <w:rPr>
          <w:sz w:val="20"/>
        </w:rPr>
        <w:t>, Public Notice, 30 FCC Rcd 3723 (PSHSB 2015).</w:t>
      </w:r>
    </w:p>
  </w:footnote>
  <w:footnote w:id="17">
    <w:p w14:paraId="72F7E0ED" w14:textId="77777777" w:rsidR="005E7857" w:rsidRPr="00CF2600" w:rsidRDefault="005E7857" w:rsidP="005E7857">
      <w:pPr>
        <w:pStyle w:val="FootnoteText"/>
      </w:pPr>
      <w:r w:rsidRPr="00CF2600">
        <w:rPr>
          <w:rStyle w:val="FootnoteReference"/>
        </w:rPr>
        <w:footnoteRef/>
      </w:r>
      <w:r w:rsidRPr="00CF2600">
        <w:t xml:space="preserve"> </w:t>
      </w:r>
      <w:r w:rsidRPr="00CF2600">
        <w:rPr>
          <w:i/>
        </w:rPr>
        <w:t>Proposed Amendments to the Service Rules Governing Public Safety Narrowband Operations in the 769-775/799-805 MHz Bands,</w:t>
      </w:r>
      <w:r w:rsidRPr="00CF2600">
        <w:t xml:space="preserve"> </w:t>
      </w:r>
      <w:r w:rsidRPr="00CF2600">
        <w:rPr>
          <w:i/>
        </w:rPr>
        <w:t>et al</w:t>
      </w:r>
      <w:r w:rsidRPr="00CF2600">
        <w:t>, Order, 30 FCC 3699 (PSHSB 2015).</w:t>
      </w:r>
    </w:p>
  </w:footnote>
  <w:footnote w:id="18">
    <w:p w14:paraId="2A7CD2C5" w14:textId="77777777" w:rsidR="005E7857" w:rsidRPr="00A20484" w:rsidRDefault="005E7857" w:rsidP="005E7857">
      <w:pPr>
        <w:pStyle w:val="FootnoteText"/>
      </w:pPr>
      <w:r w:rsidRPr="00A20484">
        <w:rPr>
          <w:rStyle w:val="FootnoteReference"/>
        </w:rPr>
        <w:footnoteRef/>
      </w:r>
      <w:r w:rsidRPr="00A20484">
        <w:t xml:space="preserve"> </w:t>
      </w:r>
      <w:r>
        <w:t>Plan Amendment at Appendix Q.</w:t>
      </w:r>
    </w:p>
  </w:footnote>
  <w:footnote w:id="19">
    <w:p w14:paraId="11AE8DFC" w14:textId="77777777" w:rsidR="005E7857" w:rsidRPr="00A20484" w:rsidRDefault="005E7857" w:rsidP="005E7857">
      <w:pPr>
        <w:pStyle w:val="FootnoteText"/>
      </w:pPr>
      <w:r w:rsidRPr="00A20484">
        <w:rPr>
          <w:rStyle w:val="FootnoteReference"/>
        </w:rPr>
        <w:footnoteRef/>
      </w:r>
      <w:r w:rsidRPr="00A20484">
        <w:t xml:space="preserve"> </w:t>
      </w:r>
      <w:r w:rsidRPr="00124FE9">
        <w:rPr>
          <w:i/>
        </w:rPr>
        <w:t>Id</w:t>
      </w:r>
      <w:r>
        <w:t>. at 54 and Appendix Q.</w:t>
      </w:r>
    </w:p>
  </w:footnote>
  <w:footnote w:id="20">
    <w:p w14:paraId="7089BBC9" w14:textId="77777777" w:rsidR="005E7857" w:rsidRPr="00124FE9" w:rsidRDefault="005E7857" w:rsidP="005E7857">
      <w:pPr>
        <w:pStyle w:val="FootnoteText"/>
      </w:pPr>
      <w:r>
        <w:rPr>
          <w:rStyle w:val="FootnoteReference"/>
        </w:rPr>
        <w:footnoteRef/>
      </w:r>
      <w:r>
        <w:t xml:space="preserve"> </w:t>
      </w:r>
      <w:r w:rsidRPr="00124FE9">
        <w:rPr>
          <w:i/>
        </w:rPr>
        <w:t>Id</w:t>
      </w:r>
      <w:r>
        <w:t>.</w:t>
      </w:r>
    </w:p>
  </w:footnote>
  <w:footnote w:id="21">
    <w:p w14:paraId="6EF5F38B" w14:textId="77777777" w:rsidR="005E7857" w:rsidRPr="00E77C23" w:rsidRDefault="005E7857" w:rsidP="005E7857">
      <w:pPr>
        <w:pStyle w:val="FootnoteText"/>
      </w:pPr>
      <w:r w:rsidRPr="00A20484">
        <w:rPr>
          <w:rStyle w:val="FootnoteReference"/>
        </w:rPr>
        <w:footnoteRef/>
      </w:r>
      <w:r w:rsidRPr="00A20484">
        <w:t xml:space="preserve"> </w:t>
      </w:r>
      <w:r w:rsidRPr="00124FE9">
        <w:rPr>
          <w:i/>
        </w:rPr>
        <w:t>Id</w:t>
      </w:r>
      <w:r>
        <w:t>.</w:t>
      </w:r>
      <w:r w:rsidRPr="00A20484">
        <w:t xml:space="preserve"> at 53.</w:t>
      </w:r>
    </w:p>
  </w:footnote>
  <w:footnote w:id="22">
    <w:p w14:paraId="6C8D207E" w14:textId="77777777" w:rsidR="005E7857" w:rsidRPr="00E77C23" w:rsidRDefault="005E7857" w:rsidP="005E7857">
      <w:pPr>
        <w:autoSpaceDE w:val="0"/>
        <w:autoSpaceDN w:val="0"/>
        <w:adjustRightInd w:val="0"/>
        <w:spacing w:after="120"/>
        <w:rPr>
          <w:sz w:val="20"/>
        </w:rPr>
      </w:pPr>
      <w:r w:rsidRPr="00E77C23">
        <w:rPr>
          <w:rStyle w:val="FootnoteReference"/>
        </w:rPr>
        <w:footnoteRef/>
      </w:r>
      <w:r w:rsidRPr="00E77C23">
        <w:rPr>
          <w:sz w:val="20"/>
        </w:rPr>
        <w:t xml:space="preserve"> </w:t>
      </w:r>
      <w:r>
        <w:rPr>
          <w:sz w:val="20"/>
        </w:rPr>
        <w:t xml:space="preserve">Region 28 may </w:t>
      </w:r>
      <w:r w:rsidRPr="00E77C23">
        <w:rPr>
          <w:sz w:val="20"/>
        </w:rPr>
        <w:t>reassign</w:t>
      </w:r>
      <w:r>
        <w:rPr>
          <w:sz w:val="20"/>
        </w:rPr>
        <w:t xml:space="preserve"> </w:t>
      </w:r>
      <w:r w:rsidRPr="00E77C23">
        <w:rPr>
          <w:sz w:val="20"/>
        </w:rPr>
        <w:t>from the CAPRAD sort of channels a limited number of assignments provided there is no harmful interference</w:t>
      </w:r>
      <w:r>
        <w:rPr>
          <w:sz w:val="20"/>
        </w:rPr>
        <w:t xml:space="preserve">.  </w:t>
      </w:r>
      <w:r w:rsidRPr="00E77C23">
        <w:rPr>
          <w:i/>
          <w:sz w:val="20"/>
        </w:rPr>
        <w:t>Id</w:t>
      </w:r>
      <w:r w:rsidRPr="00E77C23">
        <w:rPr>
          <w:sz w:val="20"/>
        </w:rPr>
        <w:t xml:space="preserve">. at 8.  </w:t>
      </w:r>
    </w:p>
  </w:footnote>
  <w:footnote w:id="23">
    <w:p w14:paraId="7D246B7E" w14:textId="77777777" w:rsidR="005E7857" w:rsidRPr="00E77C23" w:rsidRDefault="005E7857" w:rsidP="005E7857">
      <w:pPr>
        <w:pStyle w:val="FootnoteText"/>
      </w:pPr>
      <w:r w:rsidRPr="00E77C23">
        <w:rPr>
          <w:rStyle w:val="FootnoteReference"/>
        </w:rPr>
        <w:footnoteRef/>
      </w:r>
      <w:r w:rsidRPr="00E77C23">
        <w:t xml:space="preserve"> </w:t>
      </w:r>
      <w:r w:rsidRPr="00E77C23">
        <w:rPr>
          <w:i/>
        </w:rPr>
        <w:t>Id</w:t>
      </w:r>
      <w:r w:rsidRPr="00E77C23">
        <w:t>. at 8-9.</w:t>
      </w:r>
    </w:p>
  </w:footnote>
  <w:footnote w:id="24">
    <w:p w14:paraId="793CCC5D" w14:textId="77777777" w:rsidR="005E7857" w:rsidRPr="00CE61E1" w:rsidRDefault="005E7857" w:rsidP="005E7857">
      <w:pPr>
        <w:pStyle w:val="FootnoteText"/>
      </w:pPr>
      <w:r w:rsidRPr="00CE61E1">
        <w:rPr>
          <w:rStyle w:val="FootnoteReference"/>
        </w:rPr>
        <w:footnoteRef/>
      </w:r>
      <w:r w:rsidRPr="00CE61E1">
        <w:t xml:space="preserve"> </w:t>
      </w:r>
      <w:r w:rsidRPr="00CE61E1">
        <w:rPr>
          <w:i/>
        </w:rPr>
        <w:t>Id</w:t>
      </w:r>
      <w:r w:rsidRPr="00CE61E1">
        <w:t>. at 10-12.</w:t>
      </w:r>
    </w:p>
  </w:footnote>
  <w:footnote w:id="25">
    <w:p w14:paraId="2C78F4E9" w14:textId="77777777" w:rsidR="005E7857" w:rsidRPr="00CE61E1" w:rsidRDefault="005E7857" w:rsidP="005E7857">
      <w:pPr>
        <w:pStyle w:val="FootnoteText"/>
      </w:pPr>
      <w:r w:rsidRPr="00CE61E1">
        <w:rPr>
          <w:rStyle w:val="FootnoteReference"/>
        </w:rPr>
        <w:footnoteRef/>
      </w:r>
      <w:r w:rsidRPr="00CE61E1">
        <w:t xml:space="preserve"> </w:t>
      </w:r>
      <w:r w:rsidRPr="00CE61E1">
        <w:rPr>
          <w:i/>
        </w:rPr>
        <w:t>Id</w:t>
      </w:r>
      <w:r w:rsidRPr="00CE61E1">
        <w:t>. at 49-50.</w:t>
      </w:r>
    </w:p>
  </w:footnote>
  <w:footnote w:id="26">
    <w:p w14:paraId="3758627D" w14:textId="77777777" w:rsidR="005E7857" w:rsidRPr="00CE61E1" w:rsidRDefault="005E7857" w:rsidP="005E7857">
      <w:pPr>
        <w:autoSpaceDE w:val="0"/>
        <w:autoSpaceDN w:val="0"/>
        <w:adjustRightInd w:val="0"/>
        <w:spacing w:after="120"/>
        <w:rPr>
          <w:sz w:val="20"/>
        </w:rPr>
      </w:pPr>
      <w:r w:rsidRPr="00CE61E1">
        <w:rPr>
          <w:rStyle w:val="FootnoteReference"/>
        </w:rPr>
        <w:footnoteRef/>
      </w:r>
      <w:r w:rsidRPr="00CE61E1">
        <w:rPr>
          <w:sz w:val="20"/>
        </w:rPr>
        <w:t xml:space="preserve"> The definition of </w:t>
      </w:r>
      <w:r>
        <w:rPr>
          <w:sz w:val="20"/>
        </w:rPr>
        <w:t>“geographic area”</w:t>
      </w:r>
      <w:r w:rsidRPr="00CE61E1">
        <w:rPr>
          <w:sz w:val="20"/>
        </w:rPr>
        <w:t xml:space="preserve"> in this plan is the geographical/political</w:t>
      </w:r>
      <w:r>
        <w:rPr>
          <w:sz w:val="20"/>
        </w:rPr>
        <w:t xml:space="preserve"> </w:t>
      </w:r>
      <w:r w:rsidRPr="00CE61E1">
        <w:rPr>
          <w:sz w:val="20"/>
        </w:rPr>
        <w:t>boundaries of a given city or county, plus a distance of up to 30 miles outside of such boundaries</w:t>
      </w:r>
      <w:r>
        <w:rPr>
          <w:sz w:val="20"/>
        </w:rPr>
        <w:t xml:space="preserve"> </w:t>
      </w:r>
      <w:r w:rsidRPr="00CE61E1">
        <w:rPr>
          <w:sz w:val="20"/>
        </w:rPr>
        <w:t>of the geographic area of allotment.</w:t>
      </w:r>
      <w:r>
        <w:rPr>
          <w:sz w:val="20"/>
        </w:rPr>
        <w:t xml:space="preserve">  </w:t>
      </w:r>
      <w:r w:rsidRPr="00CE61E1">
        <w:rPr>
          <w:i/>
          <w:sz w:val="20"/>
        </w:rPr>
        <w:t>Id</w:t>
      </w:r>
      <w:r>
        <w:rPr>
          <w:sz w:val="20"/>
        </w:rPr>
        <w:t xml:space="preserve">. at 50. </w:t>
      </w:r>
    </w:p>
  </w:footnote>
  <w:footnote w:id="27">
    <w:p w14:paraId="54C73910" w14:textId="77777777" w:rsidR="005E7857" w:rsidRPr="005B6DAC" w:rsidRDefault="005E7857" w:rsidP="005E7857">
      <w:pPr>
        <w:pStyle w:val="FootnoteText"/>
      </w:pPr>
      <w:r w:rsidRPr="005B6DAC">
        <w:rPr>
          <w:rStyle w:val="FootnoteReference"/>
        </w:rPr>
        <w:footnoteRef/>
      </w:r>
      <w:r w:rsidRPr="005B6DAC">
        <w:t xml:space="preserve"> </w:t>
      </w:r>
      <w:r w:rsidRPr="005B6DAC">
        <w:rPr>
          <w:i/>
        </w:rPr>
        <w:t>Id</w:t>
      </w:r>
      <w:r w:rsidRPr="005B6DAC">
        <w:t>. at 56-58.</w:t>
      </w:r>
    </w:p>
  </w:footnote>
  <w:footnote w:id="28">
    <w:p w14:paraId="79E50AFA" w14:textId="77777777" w:rsidR="005E7857" w:rsidRPr="005B6DAC" w:rsidRDefault="005E7857" w:rsidP="005E7857">
      <w:pPr>
        <w:pStyle w:val="FootnoteText"/>
      </w:pPr>
      <w:r w:rsidRPr="005B6DAC">
        <w:rPr>
          <w:rStyle w:val="FootnoteReference"/>
        </w:rPr>
        <w:footnoteRef/>
      </w:r>
      <w:r w:rsidRPr="005B6DAC">
        <w:t xml:space="preserve"> </w:t>
      </w:r>
      <w:r w:rsidRPr="005B6DAC">
        <w:rPr>
          <w:i/>
        </w:rPr>
        <w:t>Id</w:t>
      </w:r>
      <w:r w:rsidRPr="005B6DAC">
        <w:t>. at Appendix N.</w:t>
      </w:r>
    </w:p>
  </w:footnote>
  <w:footnote w:id="29">
    <w:p w14:paraId="62E315CD" w14:textId="77777777" w:rsidR="005E7857" w:rsidRPr="005B6DAC" w:rsidRDefault="005E7857" w:rsidP="005E7857">
      <w:pPr>
        <w:pStyle w:val="FootnoteText"/>
      </w:pPr>
      <w:r w:rsidRPr="005B6DAC">
        <w:rPr>
          <w:rStyle w:val="FootnoteReference"/>
        </w:rPr>
        <w:footnoteRef/>
      </w:r>
      <w:r w:rsidRPr="005B6DAC">
        <w:t xml:space="preserve"> </w:t>
      </w:r>
      <w:r w:rsidRPr="005B6DAC">
        <w:rPr>
          <w:i/>
        </w:rPr>
        <w:t>Id</w:t>
      </w:r>
      <w:r w:rsidRPr="005B6DAC">
        <w:t>. at Appendix O</w:t>
      </w:r>
    </w:p>
  </w:footnote>
  <w:footnote w:id="30">
    <w:p w14:paraId="3CC8326A" w14:textId="77777777" w:rsidR="005E7857" w:rsidRPr="0002527D" w:rsidRDefault="005E7857" w:rsidP="005E7857">
      <w:pPr>
        <w:pStyle w:val="FootnoteText"/>
      </w:pPr>
      <w:r w:rsidRPr="0002527D">
        <w:rPr>
          <w:rStyle w:val="FootnoteReference"/>
        </w:rPr>
        <w:footnoteRef/>
      </w:r>
      <w:r w:rsidRPr="0002527D">
        <w:t xml:space="preserve"> </w:t>
      </w:r>
      <w:r w:rsidRPr="0002527D">
        <w:rPr>
          <w:i/>
        </w:rPr>
        <w:t>Id</w:t>
      </w:r>
      <w:r w:rsidRPr="0002527D">
        <w:t>. at Appendix P.</w:t>
      </w:r>
    </w:p>
  </w:footnote>
  <w:footnote w:id="31">
    <w:p w14:paraId="6742D749" w14:textId="77777777" w:rsidR="005E7857" w:rsidRPr="0002527D" w:rsidRDefault="005E7857" w:rsidP="005E7857">
      <w:pPr>
        <w:pStyle w:val="FootnoteText"/>
      </w:pPr>
      <w:r w:rsidRPr="0002527D">
        <w:rPr>
          <w:rStyle w:val="FootnoteReference"/>
        </w:rPr>
        <w:footnoteRef/>
      </w:r>
      <w:r w:rsidRPr="0002527D">
        <w:t xml:space="preserve"> Letters of Concurrence attached to Plan Amendment.</w:t>
      </w:r>
    </w:p>
  </w:footnote>
  <w:footnote w:id="32">
    <w:p w14:paraId="0A49F001" w14:textId="77777777" w:rsidR="005E7857" w:rsidRPr="00A20484" w:rsidRDefault="005E7857" w:rsidP="005E7857">
      <w:pPr>
        <w:autoSpaceDE w:val="0"/>
        <w:autoSpaceDN w:val="0"/>
        <w:adjustRightInd w:val="0"/>
        <w:spacing w:after="120"/>
        <w:rPr>
          <w:sz w:val="20"/>
        </w:rPr>
      </w:pPr>
      <w:r w:rsidRPr="00A20484">
        <w:rPr>
          <w:rStyle w:val="FootnoteReference"/>
        </w:rPr>
        <w:footnoteRef/>
      </w:r>
      <w:r w:rsidRPr="00A20484">
        <w:rPr>
          <w:sz w:val="20"/>
        </w:rPr>
        <w:t xml:space="preserve"> The Region 28 Plan Amendment </w:t>
      </w:r>
      <w:r>
        <w:rPr>
          <w:sz w:val="20"/>
        </w:rPr>
        <w:t xml:space="preserve">also </w:t>
      </w:r>
      <w:r w:rsidRPr="00A20484">
        <w:rPr>
          <w:sz w:val="20"/>
        </w:rPr>
        <w:t xml:space="preserve">contains certain ministerial updates and clarifications as requested by the membership or deletions of material.  Under the Commission’s rules, </w:t>
      </w:r>
      <w:r>
        <w:rPr>
          <w:sz w:val="20"/>
        </w:rPr>
        <w:t xml:space="preserve">these are </w:t>
      </w:r>
      <w:r w:rsidRPr="00A20484">
        <w:rPr>
          <w:sz w:val="20"/>
        </w:rPr>
        <w:t>minor</w:t>
      </w:r>
      <w:r>
        <w:rPr>
          <w:sz w:val="20"/>
        </w:rPr>
        <w:t xml:space="preserve"> </w:t>
      </w:r>
      <w:r w:rsidRPr="00A20484">
        <w:rPr>
          <w:sz w:val="20"/>
        </w:rPr>
        <w:t xml:space="preserve">amendments not subject to comment.  47 </w:t>
      </w:r>
      <w:r>
        <w:rPr>
          <w:sz w:val="20"/>
        </w:rPr>
        <w:t>CFR</w:t>
      </w:r>
      <w:r w:rsidRPr="00A20484">
        <w:rPr>
          <w:sz w:val="20"/>
        </w:rPr>
        <w:t xml:space="preserve"> § 90.527(b)(2).</w:t>
      </w:r>
    </w:p>
  </w:footnote>
  <w:footnote w:id="33">
    <w:p w14:paraId="5188F9BB" w14:textId="77777777" w:rsidR="005E7857" w:rsidRPr="002343B0" w:rsidRDefault="005E7857" w:rsidP="005E7857">
      <w:pPr>
        <w:pStyle w:val="FootnoteText"/>
      </w:pPr>
      <w:r w:rsidRPr="002343B0">
        <w:rPr>
          <w:rStyle w:val="FootnoteReference"/>
        </w:rPr>
        <w:footnoteRef/>
      </w:r>
      <w:r w:rsidRPr="002343B0">
        <w:t xml:space="preserve"> </w:t>
      </w:r>
      <w:r w:rsidRPr="002343B0">
        <w:rPr>
          <w:i/>
        </w:rPr>
        <w:t xml:space="preserve">See </w:t>
      </w:r>
      <w:r w:rsidRPr="002343B0">
        <w:t xml:space="preserve">47 </w:t>
      </w:r>
      <w:r>
        <w:t>CFR</w:t>
      </w:r>
      <w:r w:rsidRPr="002343B0">
        <w:t xml:space="preserve"> § 90.527(b); </w:t>
      </w:r>
      <w:r w:rsidRPr="00CF2600">
        <w:rPr>
          <w:i/>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t xml:space="preserve">, </w:t>
      </w:r>
      <w:r w:rsidRPr="00CF2600">
        <w:rPr>
          <w:iCs/>
          <w:color w:val="000000"/>
        </w:rPr>
        <w:t>Seventh Report and Order, Notice of Proposed Rulemaking</w:t>
      </w:r>
      <w:r w:rsidRPr="002343B0">
        <w:rPr>
          <w:iCs/>
          <w:color w:val="000000"/>
        </w:rPr>
        <w:t xml:space="preserve">, 28 FCC Rcd 4783, </w:t>
      </w:r>
      <w:r w:rsidRPr="002343B0">
        <w:t xml:space="preserve">4804 </w:t>
      </w:r>
      <w:r>
        <w:t>para.</w:t>
      </w:r>
      <w:r w:rsidRPr="002343B0">
        <w:t xml:space="preserve"> 66</w:t>
      </w:r>
      <w:r w:rsidRPr="002343B0">
        <w:rPr>
          <w:iCs/>
          <w:color w:val="000000"/>
        </w:rPr>
        <w:t xml:space="preserve"> </w:t>
      </w:r>
      <w:r w:rsidRPr="002343B0">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B1EE" w14:textId="77777777" w:rsidR="00F353BC" w:rsidRDefault="00F35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F6BE" w14:textId="77777777" w:rsidR="00F353BC" w:rsidRDefault="00F35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EFE0"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64CD85F9" wp14:editId="3B999DB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142A5" w14:textId="77777777" w:rsidR="00D47505" w:rsidRDefault="00D47505" w:rsidP="00D47505">
                          <w:pPr>
                            <w:rPr>
                              <w:rFonts w:ascii="Arial" w:hAnsi="Arial"/>
                              <w:b/>
                            </w:rPr>
                          </w:pPr>
                          <w:r>
                            <w:rPr>
                              <w:rFonts w:ascii="Arial" w:hAnsi="Arial"/>
                              <w:b/>
                            </w:rPr>
                            <w:t>Federal Communications Commission</w:t>
                          </w:r>
                        </w:p>
                        <w:p w14:paraId="68067101"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2A34F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CD85F9"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52142A5" w14:textId="77777777" w:rsidR="00D47505" w:rsidRDefault="00D47505" w:rsidP="00D47505">
                    <w:pPr>
                      <w:rPr>
                        <w:rFonts w:ascii="Arial" w:hAnsi="Arial"/>
                        <w:b/>
                      </w:rPr>
                    </w:pPr>
                    <w:r>
                      <w:rPr>
                        <w:rFonts w:ascii="Arial" w:hAnsi="Arial"/>
                        <w:b/>
                      </w:rPr>
                      <w:t>Federal Communications Commission</w:t>
                    </w:r>
                  </w:p>
                  <w:p w14:paraId="68067101"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2A34FD"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F4348ED" wp14:editId="2351535D">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27ED46FC"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1F7D129" wp14:editId="1B1FB21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628B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A00E06D" wp14:editId="7EAE709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1F2A5"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C76794A" w14:textId="62E1EFFE"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0255C">
                            <w:rPr>
                              <w:rFonts w:ascii="Arial" w:hAnsi="Arial"/>
                              <w:b/>
                              <w:sz w:val="16"/>
                            </w:rPr>
                            <w:instrText>HYPERLINK "https://www.fcc.gov/"</w:instrText>
                          </w:r>
                          <w:r w:rsidR="00D0255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0817BB17"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671F2A5"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C76794A" w14:textId="62E1EFFE"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0255C">
                      <w:rPr>
                        <w:rFonts w:ascii="Arial" w:hAnsi="Arial"/>
                        <w:b/>
                        <w:sz w:val="16"/>
                      </w:rPr>
                      <w:instrText>HYPERLINK "https://www.fcc.gov/"</w:instrText>
                    </w:r>
                    <w:r w:rsidR="00D0255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0817BB17"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10F2F"/>
    <w:multiLevelType w:val="hybridMultilevel"/>
    <w:tmpl w:val="580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527CD"/>
    <w:multiLevelType w:val="hybridMultilevel"/>
    <w:tmpl w:val="1B08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0"/>
    <w:rsid w:val="00001642"/>
    <w:rsid w:val="00011F8F"/>
    <w:rsid w:val="000120CF"/>
    <w:rsid w:val="00032E53"/>
    <w:rsid w:val="00036039"/>
    <w:rsid w:val="00037F90"/>
    <w:rsid w:val="000415AF"/>
    <w:rsid w:val="00051ED0"/>
    <w:rsid w:val="00064110"/>
    <w:rsid w:val="000644B2"/>
    <w:rsid w:val="000673F0"/>
    <w:rsid w:val="0008149F"/>
    <w:rsid w:val="000875BF"/>
    <w:rsid w:val="00091F4E"/>
    <w:rsid w:val="00096D8C"/>
    <w:rsid w:val="000A76FF"/>
    <w:rsid w:val="000B3F7B"/>
    <w:rsid w:val="000C0B65"/>
    <w:rsid w:val="000C31C7"/>
    <w:rsid w:val="000C491C"/>
    <w:rsid w:val="000D7754"/>
    <w:rsid w:val="000E05FE"/>
    <w:rsid w:val="000E3D42"/>
    <w:rsid w:val="000E6B39"/>
    <w:rsid w:val="00100E9C"/>
    <w:rsid w:val="00105341"/>
    <w:rsid w:val="00106456"/>
    <w:rsid w:val="00114A1A"/>
    <w:rsid w:val="00122BD5"/>
    <w:rsid w:val="00130521"/>
    <w:rsid w:val="00133F79"/>
    <w:rsid w:val="00134375"/>
    <w:rsid w:val="00143340"/>
    <w:rsid w:val="00143806"/>
    <w:rsid w:val="001612B3"/>
    <w:rsid w:val="00177006"/>
    <w:rsid w:val="00184E32"/>
    <w:rsid w:val="00194A66"/>
    <w:rsid w:val="001B0633"/>
    <w:rsid w:val="001B1251"/>
    <w:rsid w:val="001D6BCF"/>
    <w:rsid w:val="001E01CA"/>
    <w:rsid w:val="001E326C"/>
    <w:rsid w:val="001F28DB"/>
    <w:rsid w:val="002148EE"/>
    <w:rsid w:val="0023793E"/>
    <w:rsid w:val="00242ED5"/>
    <w:rsid w:val="00255ABC"/>
    <w:rsid w:val="002645D8"/>
    <w:rsid w:val="00274219"/>
    <w:rsid w:val="00275A78"/>
    <w:rsid w:val="00275CF5"/>
    <w:rsid w:val="0028301F"/>
    <w:rsid w:val="00285017"/>
    <w:rsid w:val="00293904"/>
    <w:rsid w:val="002939E0"/>
    <w:rsid w:val="002A2D2E"/>
    <w:rsid w:val="002B0454"/>
    <w:rsid w:val="002B2336"/>
    <w:rsid w:val="002B611B"/>
    <w:rsid w:val="002C00E8"/>
    <w:rsid w:val="002C1808"/>
    <w:rsid w:val="002C6D37"/>
    <w:rsid w:val="002D34BC"/>
    <w:rsid w:val="002E683D"/>
    <w:rsid w:val="002F4A69"/>
    <w:rsid w:val="0030236C"/>
    <w:rsid w:val="00343749"/>
    <w:rsid w:val="003460D3"/>
    <w:rsid w:val="003660ED"/>
    <w:rsid w:val="00376B7E"/>
    <w:rsid w:val="00381BC5"/>
    <w:rsid w:val="003A43B4"/>
    <w:rsid w:val="003B0550"/>
    <w:rsid w:val="003B50BA"/>
    <w:rsid w:val="003B694F"/>
    <w:rsid w:val="003C748E"/>
    <w:rsid w:val="003D155F"/>
    <w:rsid w:val="003E5249"/>
    <w:rsid w:val="003E7379"/>
    <w:rsid w:val="003E7E3E"/>
    <w:rsid w:val="003F171C"/>
    <w:rsid w:val="00405AE8"/>
    <w:rsid w:val="00412FC5"/>
    <w:rsid w:val="00422276"/>
    <w:rsid w:val="004242F1"/>
    <w:rsid w:val="004338B6"/>
    <w:rsid w:val="00445A00"/>
    <w:rsid w:val="00451B0F"/>
    <w:rsid w:val="00470744"/>
    <w:rsid w:val="00485039"/>
    <w:rsid w:val="00487AFF"/>
    <w:rsid w:val="004958B2"/>
    <w:rsid w:val="00495974"/>
    <w:rsid w:val="004B520F"/>
    <w:rsid w:val="004C2EE3"/>
    <w:rsid w:val="004C325D"/>
    <w:rsid w:val="004D334D"/>
    <w:rsid w:val="004E17F3"/>
    <w:rsid w:val="004E4A22"/>
    <w:rsid w:val="00511968"/>
    <w:rsid w:val="00512EE2"/>
    <w:rsid w:val="00514E30"/>
    <w:rsid w:val="005204DD"/>
    <w:rsid w:val="00530E74"/>
    <w:rsid w:val="00533A83"/>
    <w:rsid w:val="00535FD0"/>
    <w:rsid w:val="00555B71"/>
    <w:rsid w:val="0055614C"/>
    <w:rsid w:val="00560FFD"/>
    <w:rsid w:val="00570BCF"/>
    <w:rsid w:val="00575740"/>
    <w:rsid w:val="00581680"/>
    <w:rsid w:val="005A2DC2"/>
    <w:rsid w:val="005C5B4C"/>
    <w:rsid w:val="005E14C2"/>
    <w:rsid w:val="005E7857"/>
    <w:rsid w:val="005F6B0D"/>
    <w:rsid w:val="00607BA5"/>
    <w:rsid w:val="00607D56"/>
    <w:rsid w:val="0061180A"/>
    <w:rsid w:val="00626EB6"/>
    <w:rsid w:val="006363A8"/>
    <w:rsid w:val="00636F93"/>
    <w:rsid w:val="00640715"/>
    <w:rsid w:val="00652610"/>
    <w:rsid w:val="0065332C"/>
    <w:rsid w:val="00655D03"/>
    <w:rsid w:val="00661960"/>
    <w:rsid w:val="006728E7"/>
    <w:rsid w:val="00683388"/>
    <w:rsid w:val="006834DD"/>
    <w:rsid w:val="00683F84"/>
    <w:rsid w:val="00685583"/>
    <w:rsid w:val="0068656D"/>
    <w:rsid w:val="006925FF"/>
    <w:rsid w:val="006975F5"/>
    <w:rsid w:val="006A1F49"/>
    <w:rsid w:val="006A495C"/>
    <w:rsid w:val="006A6A81"/>
    <w:rsid w:val="006B1456"/>
    <w:rsid w:val="006B1CD0"/>
    <w:rsid w:val="006B2B27"/>
    <w:rsid w:val="006C0E71"/>
    <w:rsid w:val="006F2CC9"/>
    <w:rsid w:val="006F7393"/>
    <w:rsid w:val="0070224F"/>
    <w:rsid w:val="007115F7"/>
    <w:rsid w:val="00711AF5"/>
    <w:rsid w:val="00715726"/>
    <w:rsid w:val="007328D5"/>
    <w:rsid w:val="007459BA"/>
    <w:rsid w:val="0075750A"/>
    <w:rsid w:val="00773D93"/>
    <w:rsid w:val="00785689"/>
    <w:rsid w:val="0079277F"/>
    <w:rsid w:val="00793784"/>
    <w:rsid w:val="00795B31"/>
    <w:rsid w:val="0079754B"/>
    <w:rsid w:val="007A1E6D"/>
    <w:rsid w:val="007A75A4"/>
    <w:rsid w:val="007B0EB2"/>
    <w:rsid w:val="007B1146"/>
    <w:rsid w:val="007C79EF"/>
    <w:rsid w:val="007F413A"/>
    <w:rsid w:val="00801BD6"/>
    <w:rsid w:val="00810B6F"/>
    <w:rsid w:val="00820032"/>
    <w:rsid w:val="00822CE0"/>
    <w:rsid w:val="008345A4"/>
    <w:rsid w:val="00835DE1"/>
    <w:rsid w:val="00841AB1"/>
    <w:rsid w:val="00885AFD"/>
    <w:rsid w:val="00893345"/>
    <w:rsid w:val="008B56D9"/>
    <w:rsid w:val="008B5AE5"/>
    <w:rsid w:val="008C68F1"/>
    <w:rsid w:val="008F4054"/>
    <w:rsid w:val="008F47DC"/>
    <w:rsid w:val="00921803"/>
    <w:rsid w:val="0092368B"/>
    <w:rsid w:val="00925EC3"/>
    <w:rsid w:val="00926503"/>
    <w:rsid w:val="00943CD4"/>
    <w:rsid w:val="0094473C"/>
    <w:rsid w:val="00947EE3"/>
    <w:rsid w:val="009562A8"/>
    <w:rsid w:val="009646C5"/>
    <w:rsid w:val="009650D6"/>
    <w:rsid w:val="009726D8"/>
    <w:rsid w:val="00980492"/>
    <w:rsid w:val="009A05FF"/>
    <w:rsid w:val="009D708B"/>
    <w:rsid w:val="009F00D7"/>
    <w:rsid w:val="009F57D4"/>
    <w:rsid w:val="009F76DB"/>
    <w:rsid w:val="00A06694"/>
    <w:rsid w:val="00A311A2"/>
    <w:rsid w:val="00A32C3B"/>
    <w:rsid w:val="00A34CFD"/>
    <w:rsid w:val="00A43693"/>
    <w:rsid w:val="00A45F4F"/>
    <w:rsid w:val="00A47C41"/>
    <w:rsid w:val="00A563F9"/>
    <w:rsid w:val="00A600A9"/>
    <w:rsid w:val="00A60AEF"/>
    <w:rsid w:val="00A93BF3"/>
    <w:rsid w:val="00A9751F"/>
    <w:rsid w:val="00AA03FF"/>
    <w:rsid w:val="00AA55B7"/>
    <w:rsid w:val="00AA5B9E"/>
    <w:rsid w:val="00AB2407"/>
    <w:rsid w:val="00AB53DF"/>
    <w:rsid w:val="00AC424B"/>
    <w:rsid w:val="00AF2524"/>
    <w:rsid w:val="00AF46DC"/>
    <w:rsid w:val="00B07E5C"/>
    <w:rsid w:val="00B107D5"/>
    <w:rsid w:val="00B20363"/>
    <w:rsid w:val="00B22F4C"/>
    <w:rsid w:val="00B2433E"/>
    <w:rsid w:val="00B26264"/>
    <w:rsid w:val="00B27971"/>
    <w:rsid w:val="00B31B20"/>
    <w:rsid w:val="00B338A9"/>
    <w:rsid w:val="00B34B68"/>
    <w:rsid w:val="00B36FE6"/>
    <w:rsid w:val="00B4544E"/>
    <w:rsid w:val="00B63F43"/>
    <w:rsid w:val="00B679AB"/>
    <w:rsid w:val="00B7155B"/>
    <w:rsid w:val="00B76DB8"/>
    <w:rsid w:val="00B77A92"/>
    <w:rsid w:val="00B811F7"/>
    <w:rsid w:val="00B83519"/>
    <w:rsid w:val="00B86848"/>
    <w:rsid w:val="00BA21AC"/>
    <w:rsid w:val="00BA4457"/>
    <w:rsid w:val="00BA5DC6"/>
    <w:rsid w:val="00BA6196"/>
    <w:rsid w:val="00BB1465"/>
    <w:rsid w:val="00BC1E1C"/>
    <w:rsid w:val="00BC2A88"/>
    <w:rsid w:val="00BC68A6"/>
    <w:rsid w:val="00BC6D8C"/>
    <w:rsid w:val="00BE1B73"/>
    <w:rsid w:val="00BE3F12"/>
    <w:rsid w:val="00C1628C"/>
    <w:rsid w:val="00C2348B"/>
    <w:rsid w:val="00C34006"/>
    <w:rsid w:val="00C426B1"/>
    <w:rsid w:val="00C451B5"/>
    <w:rsid w:val="00C52239"/>
    <w:rsid w:val="00C53F7A"/>
    <w:rsid w:val="00C55666"/>
    <w:rsid w:val="00C62D22"/>
    <w:rsid w:val="00C66160"/>
    <w:rsid w:val="00C6660A"/>
    <w:rsid w:val="00C721AC"/>
    <w:rsid w:val="00C90D6A"/>
    <w:rsid w:val="00C9619B"/>
    <w:rsid w:val="00CA247E"/>
    <w:rsid w:val="00CB6348"/>
    <w:rsid w:val="00CC72B6"/>
    <w:rsid w:val="00CC776F"/>
    <w:rsid w:val="00CE4B9E"/>
    <w:rsid w:val="00CE6514"/>
    <w:rsid w:val="00CF084D"/>
    <w:rsid w:val="00CF2C7F"/>
    <w:rsid w:val="00D0218D"/>
    <w:rsid w:val="00D0255C"/>
    <w:rsid w:val="00D03BD1"/>
    <w:rsid w:val="00D25FB5"/>
    <w:rsid w:val="00D44223"/>
    <w:rsid w:val="00D45CBC"/>
    <w:rsid w:val="00D47505"/>
    <w:rsid w:val="00D615A9"/>
    <w:rsid w:val="00D66624"/>
    <w:rsid w:val="00D9441A"/>
    <w:rsid w:val="00D967BE"/>
    <w:rsid w:val="00D97B7C"/>
    <w:rsid w:val="00DA1E95"/>
    <w:rsid w:val="00DA2529"/>
    <w:rsid w:val="00DB130A"/>
    <w:rsid w:val="00DB2EBB"/>
    <w:rsid w:val="00DB69F7"/>
    <w:rsid w:val="00DB7319"/>
    <w:rsid w:val="00DC10A1"/>
    <w:rsid w:val="00DC11BF"/>
    <w:rsid w:val="00DC655F"/>
    <w:rsid w:val="00DC7285"/>
    <w:rsid w:val="00DD0B59"/>
    <w:rsid w:val="00DD1B1C"/>
    <w:rsid w:val="00DD7EBD"/>
    <w:rsid w:val="00DE4C8D"/>
    <w:rsid w:val="00DE7D7F"/>
    <w:rsid w:val="00DF0810"/>
    <w:rsid w:val="00DF205E"/>
    <w:rsid w:val="00DF606C"/>
    <w:rsid w:val="00DF62B6"/>
    <w:rsid w:val="00E07225"/>
    <w:rsid w:val="00E123F3"/>
    <w:rsid w:val="00E326F7"/>
    <w:rsid w:val="00E34460"/>
    <w:rsid w:val="00E43BB7"/>
    <w:rsid w:val="00E5409F"/>
    <w:rsid w:val="00E54726"/>
    <w:rsid w:val="00E60B49"/>
    <w:rsid w:val="00E77E6B"/>
    <w:rsid w:val="00E81C38"/>
    <w:rsid w:val="00E8248A"/>
    <w:rsid w:val="00E85362"/>
    <w:rsid w:val="00EB17C7"/>
    <w:rsid w:val="00EB2686"/>
    <w:rsid w:val="00EB4ACC"/>
    <w:rsid w:val="00EB547D"/>
    <w:rsid w:val="00ED765D"/>
    <w:rsid w:val="00EE2EBF"/>
    <w:rsid w:val="00EE6488"/>
    <w:rsid w:val="00EE6A19"/>
    <w:rsid w:val="00F021FA"/>
    <w:rsid w:val="00F11A6D"/>
    <w:rsid w:val="00F353BC"/>
    <w:rsid w:val="00F414AA"/>
    <w:rsid w:val="00F62E97"/>
    <w:rsid w:val="00F64209"/>
    <w:rsid w:val="00F72B15"/>
    <w:rsid w:val="00F80B7E"/>
    <w:rsid w:val="00F8591E"/>
    <w:rsid w:val="00F93BF5"/>
    <w:rsid w:val="00F95410"/>
    <w:rsid w:val="00F962EC"/>
    <w:rsid w:val="00FA2FC5"/>
    <w:rsid w:val="00FB01BA"/>
    <w:rsid w:val="00FB3A8C"/>
    <w:rsid w:val="00FB6D4B"/>
    <w:rsid w:val="00FD4FE8"/>
    <w:rsid w:val="00FE0BE9"/>
    <w:rsid w:val="00FE2C64"/>
    <w:rsid w:val="033D44CD"/>
    <w:rsid w:val="0E40ACD1"/>
    <w:rsid w:val="1CE4AF50"/>
    <w:rsid w:val="1DFD076D"/>
    <w:rsid w:val="2AD28525"/>
    <w:rsid w:val="2F596CDD"/>
    <w:rsid w:val="3F19E02E"/>
    <w:rsid w:val="534AC353"/>
    <w:rsid w:val="62D48B47"/>
    <w:rsid w:val="6A7BB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6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link w:val="FootnoteTextChar"/>
    <w:rsid w:val="000E3D42"/>
    <w:pPr>
      <w:spacing w:after="120"/>
    </w:pPr>
  </w:style>
  <w:style w:type="character" w:styleId="FootnoteReference">
    <w:name w:val="footnote reference"/>
    <w:aliases w:val="Appel note de bas de p,Style 12,(NECG) Footnote Reference,Style 124,Style 13,o,fr,Style 3,Style 17,FR,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E7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link w:val="FootnoteTextChar"/>
    <w:rsid w:val="000E3D42"/>
    <w:pPr>
      <w:spacing w:after="120"/>
    </w:pPr>
  </w:style>
  <w:style w:type="character" w:styleId="FootnoteReference">
    <w:name w:val="footnote reference"/>
    <w:aliases w:val="Appel note de bas de p,Style 12,(NECG) Footnote Reference,Style 124,Style 13,o,fr,Style 3,Style 17,FR,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E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0570">
      <w:bodyDiv w:val="1"/>
      <w:marLeft w:val="0"/>
      <w:marRight w:val="0"/>
      <w:marTop w:val="0"/>
      <w:marBottom w:val="0"/>
      <w:divBdr>
        <w:top w:val="none" w:sz="0" w:space="0" w:color="auto"/>
        <w:left w:val="none" w:sz="0" w:space="0" w:color="auto"/>
        <w:bottom w:val="none" w:sz="0" w:space="0" w:color="auto"/>
        <w:right w:val="none" w:sz="0" w:space="0" w:color="auto"/>
      </w:divBdr>
    </w:div>
    <w:div w:id="1785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A382F8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A382F8E</Template>
  <TotalTime>0</TotalTime>
  <Pages>3</Pages>
  <Words>1306</Words>
  <Characters>7481</Characters>
  <Application>Microsoft Office Word</Application>
  <DocSecurity>0</DocSecurity>
  <Lines>135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2015-08-19T21:08:00Z</cp:lastPrinted>
  <dcterms:created xsi:type="dcterms:W3CDTF">2016-06-08T17:48:00Z</dcterms:created>
  <dcterms:modified xsi:type="dcterms:W3CDTF">2016-06-08T17:48:00Z</dcterms:modified>
  <cp:category> </cp:category>
  <cp:contentStatus> </cp:contentStatus>
</cp:coreProperties>
</file>