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DD9AD" w14:textId="77777777" w:rsidR="00204CE3" w:rsidRDefault="00FD4118" w:rsidP="00FD4118">
      <w:pPr>
        <w:tabs>
          <w:tab w:val="left" w:pos="4020"/>
        </w:tabs>
        <w:rPr>
          <w:sz w:val="22"/>
          <w:szCs w:val="22"/>
        </w:rPr>
      </w:pPr>
      <w:bookmarkStart w:id="0" w:name="_GoBack"/>
      <w:bookmarkEnd w:id="0"/>
      <w:r>
        <w:rPr>
          <w:sz w:val="22"/>
          <w:szCs w:val="22"/>
        </w:rPr>
        <w:tab/>
      </w:r>
    </w:p>
    <w:p w14:paraId="47449AF0" w14:textId="5E7380CF" w:rsidR="000A4A8F" w:rsidRPr="00282B93" w:rsidRDefault="001B6BDF" w:rsidP="001B6BDF">
      <w:pPr>
        <w:tabs>
          <w:tab w:val="left" w:pos="7080"/>
        </w:tabs>
        <w:rPr>
          <w:b/>
          <w:sz w:val="22"/>
          <w:szCs w:val="22"/>
        </w:rPr>
      </w:pPr>
      <w:r>
        <w:rPr>
          <w:sz w:val="22"/>
          <w:szCs w:val="22"/>
        </w:rPr>
        <w:tab/>
      </w:r>
      <w:r w:rsidR="00282B93">
        <w:rPr>
          <w:sz w:val="22"/>
          <w:szCs w:val="22"/>
        </w:rPr>
        <w:tab/>
      </w:r>
      <w:r w:rsidR="00282B93">
        <w:rPr>
          <w:sz w:val="22"/>
          <w:szCs w:val="22"/>
        </w:rPr>
        <w:tab/>
      </w:r>
      <w:r w:rsidR="00DA1327" w:rsidRPr="00DA1327">
        <w:rPr>
          <w:b/>
          <w:sz w:val="22"/>
          <w:szCs w:val="22"/>
        </w:rPr>
        <w:t xml:space="preserve">DA 16- </w:t>
      </w:r>
      <w:r w:rsidR="003F0C59">
        <w:rPr>
          <w:b/>
          <w:sz w:val="22"/>
          <w:szCs w:val="22"/>
        </w:rPr>
        <w:t>651</w:t>
      </w:r>
    </w:p>
    <w:p w14:paraId="2DF8C1E7" w14:textId="159528BC" w:rsidR="000A4A8F" w:rsidRDefault="00391A36">
      <w:pPr>
        <w:rPr>
          <w:sz w:val="22"/>
          <w:szCs w:val="22"/>
        </w:rPr>
      </w:pPr>
      <w:r>
        <w:rPr>
          <w:sz w:val="22"/>
          <w:szCs w:val="22"/>
        </w:rPr>
        <w:t>Suzanne S</w:t>
      </w:r>
      <w:r w:rsidR="00E65776">
        <w:rPr>
          <w:sz w:val="22"/>
          <w:szCs w:val="22"/>
        </w:rPr>
        <w:t>.</w:t>
      </w:r>
      <w:r>
        <w:rPr>
          <w:sz w:val="22"/>
          <w:szCs w:val="22"/>
        </w:rPr>
        <w:t xml:space="preserve"> Goodwyn</w:t>
      </w:r>
      <w:r w:rsidR="00866464">
        <w:rPr>
          <w:sz w:val="22"/>
          <w:szCs w:val="22"/>
        </w:rPr>
        <w:t>, Esq.</w:t>
      </w:r>
    </w:p>
    <w:p w14:paraId="3B339728" w14:textId="77777777" w:rsidR="00A21467" w:rsidRDefault="00391A36">
      <w:pPr>
        <w:rPr>
          <w:sz w:val="22"/>
          <w:szCs w:val="22"/>
        </w:rPr>
      </w:pPr>
      <w:r>
        <w:rPr>
          <w:sz w:val="22"/>
          <w:szCs w:val="22"/>
        </w:rPr>
        <w:t>Law Office of Suzanne S. Goodwyn</w:t>
      </w:r>
    </w:p>
    <w:p w14:paraId="453AA403" w14:textId="77777777" w:rsidR="000A4A8F" w:rsidRDefault="00391A36">
      <w:pPr>
        <w:rPr>
          <w:sz w:val="22"/>
          <w:szCs w:val="22"/>
        </w:rPr>
      </w:pPr>
      <w:r>
        <w:rPr>
          <w:sz w:val="22"/>
          <w:szCs w:val="22"/>
        </w:rPr>
        <w:t>1234 Tottenham Court</w:t>
      </w:r>
    </w:p>
    <w:p w14:paraId="75B2CFB1" w14:textId="77777777" w:rsidR="00391A36" w:rsidRDefault="00391A36">
      <w:pPr>
        <w:rPr>
          <w:sz w:val="22"/>
          <w:szCs w:val="22"/>
        </w:rPr>
      </w:pPr>
      <w:r>
        <w:rPr>
          <w:sz w:val="22"/>
          <w:szCs w:val="22"/>
        </w:rPr>
        <w:t>Reston, VA</w:t>
      </w:r>
      <w:r w:rsidR="00DA1327">
        <w:rPr>
          <w:sz w:val="22"/>
          <w:szCs w:val="22"/>
        </w:rPr>
        <w:t xml:space="preserve"> 20194</w:t>
      </w:r>
    </w:p>
    <w:p w14:paraId="67D6B9E0" w14:textId="06B14C5C" w:rsidR="00391A36" w:rsidRDefault="00391A36">
      <w:pPr>
        <w:rPr>
          <w:sz w:val="22"/>
          <w:szCs w:val="22"/>
        </w:rPr>
      </w:pPr>
    </w:p>
    <w:p w14:paraId="33A5BAE4" w14:textId="77777777" w:rsidR="000A4A8F" w:rsidRDefault="000A4A8F">
      <w:pPr>
        <w:rPr>
          <w:sz w:val="22"/>
          <w:szCs w:val="22"/>
        </w:rPr>
      </w:pPr>
    </w:p>
    <w:p w14:paraId="77FF819C" w14:textId="77777777" w:rsidR="00D17D71" w:rsidRPr="002A41BB" w:rsidRDefault="00D17D71">
      <w:pPr>
        <w:rPr>
          <w:sz w:val="22"/>
          <w:szCs w:val="22"/>
        </w:rPr>
      </w:pPr>
      <w:r w:rsidRPr="002A41BB">
        <w:rPr>
          <w:sz w:val="22"/>
          <w:szCs w:val="22"/>
        </w:rPr>
        <w:t xml:space="preserve">Dear </w:t>
      </w:r>
      <w:r w:rsidR="00391A36">
        <w:rPr>
          <w:sz w:val="22"/>
          <w:szCs w:val="22"/>
        </w:rPr>
        <w:t>Ms. Goodwyn</w:t>
      </w:r>
      <w:r w:rsidRPr="002A41BB">
        <w:rPr>
          <w:sz w:val="22"/>
          <w:szCs w:val="22"/>
        </w:rPr>
        <w:t>:</w:t>
      </w:r>
    </w:p>
    <w:p w14:paraId="201C3423" w14:textId="77777777" w:rsidR="00A21467" w:rsidRPr="002A41BB" w:rsidRDefault="00A21467" w:rsidP="00FE10E2">
      <w:pPr>
        <w:ind w:firstLine="720"/>
        <w:rPr>
          <w:sz w:val="22"/>
          <w:szCs w:val="22"/>
        </w:rPr>
      </w:pPr>
    </w:p>
    <w:p w14:paraId="7508DCEE" w14:textId="56FAB554" w:rsidR="00A21467" w:rsidRPr="00AF10E1" w:rsidRDefault="00A21467" w:rsidP="009126A4">
      <w:pPr>
        <w:ind w:firstLine="720"/>
        <w:rPr>
          <w:sz w:val="22"/>
          <w:szCs w:val="22"/>
        </w:rPr>
      </w:pPr>
      <w:r w:rsidRPr="002A41BB">
        <w:rPr>
          <w:sz w:val="22"/>
          <w:szCs w:val="22"/>
        </w:rPr>
        <w:t xml:space="preserve">On </w:t>
      </w:r>
      <w:r w:rsidR="00391A36">
        <w:rPr>
          <w:sz w:val="22"/>
          <w:szCs w:val="22"/>
        </w:rPr>
        <w:t>October 28, 2015</w:t>
      </w:r>
      <w:r w:rsidRPr="002A41BB">
        <w:rPr>
          <w:sz w:val="22"/>
          <w:szCs w:val="22"/>
        </w:rPr>
        <w:t xml:space="preserve">, the </w:t>
      </w:r>
      <w:r w:rsidR="00391A36">
        <w:rPr>
          <w:sz w:val="22"/>
          <w:szCs w:val="22"/>
        </w:rPr>
        <w:t>Shekinah Network</w:t>
      </w:r>
      <w:r w:rsidRPr="002A41BB">
        <w:rPr>
          <w:sz w:val="22"/>
          <w:szCs w:val="22"/>
        </w:rPr>
        <w:t xml:space="preserve"> filed a “</w:t>
      </w:r>
      <w:r w:rsidR="00391A36">
        <w:rPr>
          <w:sz w:val="22"/>
          <w:szCs w:val="22"/>
        </w:rPr>
        <w:t>Motion for Declaratory Ruling” (Motion</w:t>
      </w:r>
      <w:r w:rsidRPr="00AF10E1">
        <w:rPr>
          <w:sz w:val="22"/>
          <w:szCs w:val="22"/>
        </w:rPr>
        <w:t>) with the</w:t>
      </w:r>
      <w:r w:rsidR="00391A36">
        <w:rPr>
          <w:sz w:val="22"/>
          <w:szCs w:val="22"/>
        </w:rPr>
        <w:t xml:space="preserve"> Federal Communication Commission</w:t>
      </w:r>
      <w:r w:rsidRPr="00AF10E1">
        <w:rPr>
          <w:sz w:val="22"/>
          <w:szCs w:val="22"/>
        </w:rPr>
        <w:t>.</w:t>
      </w:r>
      <w:r w:rsidR="00F74E1E" w:rsidRPr="00AF10E1">
        <w:rPr>
          <w:rStyle w:val="FootnoteReference"/>
          <w:sz w:val="22"/>
          <w:szCs w:val="22"/>
        </w:rPr>
        <w:footnoteReference w:id="1"/>
      </w:r>
      <w:r w:rsidRPr="00AF10E1">
        <w:rPr>
          <w:sz w:val="22"/>
          <w:szCs w:val="22"/>
        </w:rPr>
        <w:t xml:space="preserve">  In its </w:t>
      </w:r>
      <w:r w:rsidR="00627168">
        <w:rPr>
          <w:sz w:val="22"/>
          <w:szCs w:val="22"/>
        </w:rPr>
        <w:t>Motion</w:t>
      </w:r>
      <w:r w:rsidR="00BA29A7" w:rsidRPr="00AF10E1">
        <w:rPr>
          <w:b/>
          <w:sz w:val="22"/>
          <w:szCs w:val="22"/>
        </w:rPr>
        <w:t>,</w:t>
      </w:r>
      <w:r w:rsidRPr="00AF10E1">
        <w:rPr>
          <w:sz w:val="22"/>
          <w:szCs w:val="22"/>
        </w:rPr>
        <w:t xml:space="preserve"> </w:t>
      </w:r>
      <w:r w:rsidR="00EF5152">
        <w:rPr>
          <w:sz w:val="22"/>
          <w:szCs w:val="22"/>
        </w:rPr>
        <w:t>Shekinah Network</w:t>
      </w:r>
      <w:r w:rsidRPr="00AF10E1">
        <w:rPr>
          <w:sz w:val="22"/>
          <w:szCs w:val="22"/>
        </w:rPr>
        <w:t xml:space="preserve"> asks the</w:t>
      </w:r>
      <w:r w:rsidR="00DB1FCB" w:rsidRPr="00AF10E1">
        <w:rPr>
          <w:sz w:val="22"/>
          <w:szCs w:val="22"/>
        </w:rPr>
        <w:t xml:space="preserve"> </w:t>
      </w:r>
      <w:r w:rsidR="00391A36">
        <w:rPr>
          <w:sz w:val="22"/>
          <w:szCs w:val="22"/>
        </w:rPr>
        <w:t>Commission</w:t>
      </w:r>
      <w:r w:rsidRPr="00AF10E1">
        <w:rPr>
          <w:sz w:val="22"/>
          <w:szCs w:val="22"/>
        </w:rPr>
        <w:t xml:space="preserve"> to use </w:t>
      </w:r>
      <w:r w:rsidR="00EF5152">
        <w:rPr>
          <w:sz w:val="22"/>
          <w:szCs w:val="22"/>
        </w:rPr>
        <w:t>its</w:t>
      </w:r>
      <w:r w:rsidRPr="00AF10E1">
        <w:rPr>
          <w:sz w:val="22"/>
          <w:szCs w:val="22"/>
        </w:rPr>
        <w:t xml:space="preserve"> authority under Section </w:t>
      </w:r>
      <w:r w:rsidR="00391A36">
        <w:rPr>
          <w:sz w:val="22"/>
          <w:szCs w:val="22"/>
        </w:rPr>
        <w:t xml:space="preserve">1.2 </w:t>
      </w:r>
      <w:r w:rsidRPr="00AF10E1">
        <w:rPr>
          <w:sz w:val="22"/>
          <w:szCs w:val="22"/>
        </w:rPr>
        <w:t xml:space="preserve">of the Commission’s rules to </w:t>
      </w:r>
      <w:r w:rsidR="00EF5152">
        <w:rPr>
          <w:sz w:val="22"/>
          <w:szCs w:val="22"/>
        </w:rPr>
        <w:t>clarify whether the IT</w:t>
      </w:r>
      <w:r w:rsidR="008A1538">
        <w:rPr>
          <w:sz w:val="22"/>
          <w:szCs w:val="22"/>
        </w:rPr>
        <w:t>F</w:t>
      </w:r>
      <w:r w:rsidR="00EF5152">
        <w:rPr>
          <w:sz w:val="22"/>
          <w:szCs w:val="22"/>
        </w:rPr>
        <w:t>S Air Time Lease Agreement</w:t>
      </w:r>
      <w:r w:rsidR="009126A4">
        <w:rPr>
          <w:sz w:val="22"/>
          <w:szCs w:val="22"/>
        </w:rPr>
        <w:t xml:space="preserve"> (Lease)</w:t>
      </w:r>
      <w:r w:rsidR="00EF5152">
        <w:rPr>
          <w:sz w:val="22"/>
          <w:szCs w:val="22"/>
        </w:rPr>
        <w:t xml:space="preserve"> between </w:t>
      </w:r>
      <w:r w:rsidR="009126A4">
        <w:rPr>
          <w:sz w:val="22"/>
          <w:szCs w:val="22"/>
        </w:rPr>
        <w:t>Shekinah Network and Des Moines F MPSG Partnership (Partnership) for the use of the excess capacity of EBS Station WND4</w:t>
      </w:r>
      <w:r w:rsidR="00DA1327">
        <w:rPr>
          <w:sz w:val="22"/>
          <w:szCs w:val="22"/>
        </w:rPr>
        <w:t>0</w:t>
      </w:r>
      <w:r w:rsidR="009126A4">
        <w:rPr>
          <w:sz w:val="22"/>
          <w:szCs w:val="22"/>
        </w:rPr>
        <w:t>1 in Des Moine</w:t>
      </w:r>
      <w:r w:rsidR="00286591">
        <w:rPr>
          <w:sz w:val="22"/>
          <w:szCs w:val="22"/>
        </w:rPr>
        <w:t>s</w:t>
      </w:r>
      <w:r w:rsidR="009126A4">
        <w:rPr>
          <w:sz w:val="22"/>
          <w:szCs w:val="22"/>
        </w:rPr>
        <w:t>, Iowa</w:t>
      </w:r>
      <w:r w:rsidR="00627168">
        <w:rPr>
          <w:sz w:val="22"/>
          <w:szCs w:val="22"/>
        </w:rPr>
        <w:t xml:space="preserve"> can continue</w:t>
      </w:r>
      <w:r w:rsidR="009126A4">
        <w:rPr>
          <w:sz w:val="22"/>
          <w:szCs w:val="22"/>
        </w:rPr>
        <w:t>.</w:t>
      </w:r>
      <w:r w:rsidR="00FE2709" w:rsidRPr="00AF10E1">
        <w:rPr>
          <w:rStyle w:val="FootnoteReference"/>
          <w:sz w:val="22"/>
          <w:szCs w:val="22"/>
        </w:rPr>
        <w:footnoteReference w:id="2"/>
      </w:r>
      <w:r w:rsidRPr="00AF10E1">
        <w:rPr>
          <w:sz w:val="22"/>
          <w:szCs w:val="22"/>
        </w:rPr>
        <w:t xml:space="preserve"> </w:t>
      </w:r>
      <w:r w:rsidR="008A1538">
        <w:rPr>
          <w:sz w:val="22"/>
          <w:szCs w:val="22"/>
        </w:rPr>
        <w:t xml:space="preserve"> </w:t>
      </w:r>
      <w:r w:rsidR="002A41BB" w:rsidRPr="00AF10E1">
        <w:rPr>
          <w:sz w:val="22"/>
          <w:szCs w:val="22"/>
        </w:rPr>
        <w:t>For the reasons s</w:t>
      </w:r>
      <w:r w:rsidR="00627168">
        <w:rPr>
          <w:sz w:val="22"/>
          <w:szCs w:val="22"/>
        </w:rPr>
        <w:t xml:space="preserve">tated below, we deny the </w:t>
      </w:r>
      <w:r w:rsidR="00DA1327">
        <w:rPr>
          <w:sz w:val="22"/>
          <w:szCs w:val="22"/>
        </w:rPr>
        <w:t>M</w:t>
      </w:r>
      <w:r w:rsidR="00627168">
        <w:rPr>
          <w:sz w:val="22"/>
          <w:szCs w:val="22"/>
        </w:rPr>
        <w:t>otion</w:t>
      </w:r>
      <w:r w:rsidR="002A41BB" w:rsidRPr="00AF10E1">
        <w:rPr>
          <w:sz w:val="22"/>
          <w:szCs w:val="22"/>
        </w:rPr>
        <w:t>.</w:t>
      </w:r>
      <w:r w:rsidR="00B37513">
        <w:rPr>
          <w:rStyle w:val="FootnoteReference"/>
          <w:szCs w:val="22"/>
        </w:rPr>
        <w:footnoteReference w:id="3"/>
      </w:r>
      <w:r w:rsidR="00BA29A7" w:rsidRPr="00AF10E1">
        <w:rPr>
          <w:sz w:val="22"/>
          <w:szCs w:val="22"/>
        </w:rPr>
        <w:t xml:space="preserve"> </w:t>
      </w:r>
    </w:p>
    <w:p w14:paraId="70109BD5" w14:textId="77777777" w:rsidR="00BA29A7" w:rsidRPr="00AF10E1" w:rsidRDefault="00BA29A7" w:rsidP="00FE10E2">
      <w:pPr>
        <w:ind w:firstLine="720"/>
        <w:rPr>
          <w:sz w:val="22"/>
          <w:szCs w:val="22"/>
        </w:rPr>
      </w:pPr>
    </w:p>
    <w:p w14:paraId="48372082" w14:textId="77777777" w:rsidR="002A41BB" w:rsidRDefault="00B95618" w:rsidP="00D17D71">
      <w:pPr>
        <w:ind w:firstLine="720"/>
        <w:rPr>
          <w:sz w:val="22"/>
          <w:szCs w:val="22"/>
        </w:rPr>
      </w:pPr>
      <w:r w:rsidRPr="008234DF">
        <w:rPr>
          <w:sz w:val="22"/>
          <w:szCs w:val="22"/>
        </w:rPr>
        <w:t>The Commission has</w:t>
      </w:r>
      <w:r w:rsidR="00627168">
        <w:rPr>
          <w:sz w:val="22"/>
          <w:szCs w:val="22"/>
        </w:rPr>
        <w:t xml:space="preserve"> broad</w:t>
      </w:r>
      <w:r w:rsidRPr="008234DF">
        <w:rPr>
          <w:sz w:val="22"/>
          <w:szCs w:val="22"/>
        </w:rPr>
        <w:t xml:space="preserve"> discretion whether or not to consider </w:t>
      </w:r>
      <w:r w:rsidR="00DA1327">
        <w:rPr>
          <w:sz w:val="22"/>
          <w:szCs w:val="22"/>
        </w:rPr>
        <w:t xml:space="preserve">a request for </w:t>
      </w:r>
      <w:r w:rsidR="00CD5228">
        <w:rPr>
          <w:sz w:val="22"/>
          <w:szCs w:val="22"/>
        </w:rPr>
        <w:t>declaratory relief</w:t>
      </w:r>
      <w:r w:rsidRPr="008234DF">
        <w:rPr>
          <w:sz w:val="22"/>
          <w:szCs w:val="22"/>
        </w:rPr>
        <w:t>.</w:t>
      </w:r>
      <w:r w:rsidRPr="008234DF">
        <w:rPr>
          <w:rStyle w:val="FootnoteReference"/>
          <w:sz w:val="22"/>
          <w:szCs w:val="22"/>
        </w:rPr>
        <w:footnoteReference w:id="4"/>
      </w:r>
      <w:r w:rsidR="00AF10E1" w:rsidRPr="008234DF">
        <w:rPr>
          <w:sz w:val="22"/>
          <w:szCs w:val="22"/>
        </w:rPr>
        <w:t xml:space="preserve">  In this case, we conclude that the </w:t>
      </w:r>
      <w:r w:rsidR="00286591">
        <w:rPr>
          <w:sz w:val="22"/>
          <w:szCs w:val="22"/>
        </w:rPr>
        <w:t>Motion</w:t>
      </w:r>
      <w:r w:rsidR="00AF10E1" w:rsidRPr="008234DF">
        <w:rPr>
          <w:sz w:val="22"/>
          <w:szCs w:val="22"/>
        </w:rPr>
        <w:t xml:space="preserve"> should not be considered because the Commission is not the appropriate forum for the relief </w:t>
      </w:r>
      <w:r w:rsidR="00286591">
        <w:rPr>
          <w:sz w:val="22"/>
          <w:szCs w:val="22"/>
        </w:rPr>
        <w:t>Shekinah</w:t>
      </w:r>
      <w:r w:rsidR="00AF10E1" w:rsidRPr="008234DF">
        <w:rPr>
          <w:sz w:val="22"/>
          <w:szCs w:val="22"/>
        </w:rPr>
        <w:t xml:space="preserve"> seeks.</w:t>
      </w:r>
    </w:p>
    <w:p w14:paraId="05E6E4E3" w14:textId="77777777" w:rsidR="004F64A8" w:rsidRDefault="004F64A8" w:rsidP="00D17D71">
      <w:pPr>
        <w:ind w:firstLine="720"/>
        <w:rPr>
          <w:sz w:val="22"/>
          <w:szCs w:val="22"/>
        </w:rPr>
      </w:pPr>
    </w:p>
    <w:p w14:paraId="05E77AC9" w14:textId="77777777" w:rsidR="004F64A8" w:rsidRDefault="004F64A8" w:rsidP="00D17D71">
      <w:pPr>
        <w:ind w:firstLine="720"/>
        <w:rPr>
          <w:sz w:val="22"/>
          <w:szCs w:val="22"/>
        </w:rPr>
      </w:pPr>
      <w:r>
        <w:rPr>
          <w:sz w:val="22"/>
          <w:szCs w:val="22"/>
        </w:rPr>
        <w:t xml:space="preserve">In 2004, </w:t>
      </w:r>
      <w:r w:rsidRPr="004F64A8">
        <w:rPr>
          <w:sz w:val="22"/>
          <w:szCs w:val="22"/>
        </w:rPr>
        <w:t>the Commission applied the spectrum leasing rules established in the Secondary Markets proceeding to EBS (formerly ITFS) excess capacity leases for new leases entered into after the effective date of that order (which was January 10, 2005), while grandfathering existing leases under the previous ITFS rules, which limited such leases to a term of no more than fifteen years.</w:t>
      </w:r>
      <w:r>
        <w:rPr>
          <w:rStyle w:val="FootnoteReference"/>
          <w:szCs w:val="22"/>
        </w:rPr>
        <w:footnoteReference w:id="5"/>
      </w:r>
      <w:r>
        <w:rPr>
          <w:sz w:val="22"/>
          <w:szCs w:val="22"/>
        </w:rPr>
        <w:t xml:space="preserve">  There were disputes </w:t>
      </w:r>
      <w:r w:rsidR="00FC738D">
        <w:rPr>
          <w:sz w:val="22"/>
          <w:szCs w:val="22"/>
        </w:rPr>
        <w:t>between commercial parties and EBS licensees concerning how to apply the fifteen year limit for grandfathered leases.  Finally, in 2009, the Commission adopted a compromise proposal jointly submitted by the Wireless Communications Association International and the National EBS Association.</w:t>
      </w:r>
      <w:r w:rsidR="00FC738D">
        <w:rPr>
          <w:rStyle w:val="FootnoteReference"/>
          <w:szCs w:val="22"/>
        </w:rPr>
        <w:footnoteReference w:id="6"/>
      </w:r>
      <w:r w:rsidR="00AF6FD6">
        <w:rPr>
          <w:sz w:val="22"/>
          <w:szCs w:val="22"/>
        </w:rPr>
        <w:t xml:space="preserve">  Among other things, the proposal adopted by the Commission provided:</w:t>
      </w:r>
    </w:p>
    <w:p w14:paraId="1C5E2BD7" w14:textId="77777777" w:rsidR="00AF6FD6" w:rsidRDefault="00AF6FD6" w:rsidP="00D17D71">
      <w:pPr>
        <w:ind w:firstLine="720"/>
        <w:rPr>
          <w:sz w:val="22"/>
          <w:szCs w:val="22"/>
        </w:rPr>
      </w:pPr>
    </w:p>
    <w:p w14:paraId="63C4A122" w14:textId="77777777" w:rsidR="00AF6FD6" w:rsidRPr="00AF10E1" w:rsidRDefault="00AF6FD6" w:rsidP="00AF6FD6">
      <w:pPr>
        <w:ind w:left="720" w:right="720"/>
        <w:rPr>
          <w:sz w:val="22"/>
          <w:szCs w:val="22"/>
        </w:rPr>
      </w:pPr>
      <w:r w:rsidRPr="00AF6FD6">
        <w:rPr>
          <w:sz w:val="22"/>
          <w:szCs w:val="22"/>
        </w:rPr>
        <w:lastRenderedPageBreak/>
        <w:t>“any agreement entered into between January 24, 1999 and January 9, 2005 that provided for the spectrum leasing to commence at a point following execution of the document will be grandfathered for up to 15 years from the spectrum leasing start date agreed to by the parties in the agreement.”</w:t>
      </w:r>
      <w:r>
        <w:rPr>
          <w:rStyle w:val="FootnoteReference"/>
          <w:szCs w:val="22"/>
        </w:rPr>
        <w:footnoteReference w:id="7"/>
      </w:r>
    </w:p>
    <w:p w14:paraId="096680E1" w14:textId="77777777" w:rsidR="002A41BB" w:rsidRPr="00AF10E1" w:rsidRDefault="002A41BB" w:rsidP="00D17D71">
      <w:pPr>
        <w:ind w:firstLine="720"/>
        <w:rPr>
          <w:sz w:val="22"/>
          <w:szCs w:val="22"/>
        </w:rPr>
      </w:pPr>
    </w:p>
    <w:p w14:paraId="1606EBEF" w14:textId="7F5B1408" w:rsidR="00E84ED9" w:rsidRDefault="00F42889" w:rsidP="00ED6505">
      <w:pPr>
        <w:ind w:firstLine="720"/>
        <w:rPr>
          <w:sz w:val="22"/>
          <w:szCs w:val="22"/>
        </w:rPr>
      </w:pPr>
      <w:r>
        <w:rPr>
          <w:sz w:val="22"/>
          <w:szCs w:val="22"/>
        </w:rPr>
        <w:t xml:space="preserve">In order to determine </w:t>
      </w:r>
      <w:r w:rsidR="00C061C1">
        <w:rPr>
          <w:sz w:val="22"/>
          <w:szCs w:val="22"/>
        </w:rPr>
        <w:t xml:space="preserve">the </w:t>
      </w:r>
      <w:r>
        <w:rPr>
          <w:sz w:val="22"/>
          <w:szCs w:val="22"/>
        </w:rPr>
        <w:t>limitation on</w:t>
      </w:r>
      <w:r w:rsidR="00286591">
        <w:rPr>
          <w:sz w:val="22"/>
          <w:szCs w:val="22"/>
        </w:rPr>
        <w:t xml:space="preserve"> a lease</w:t>
      </w:r>
      <w:r>
        <w:rPr>
          <w:sz w:val="22"/>
          <w:szCs w:val="22"/>
        </w:rPr>
        <w:t xml:space="preserve"> </w:t>
      </w:r>
      <w:r w:rsidR="00286591">
        <w:rPr>
          <w:sz w:val="22"/>
          <w:szCs w:val="22"/>
        </w:rPr>
        <w:t>executed</w:t>
      </w:r>
      <w:r>
        <w:rPr>
          <w:sz w:val="22"/>
          <w:szCs w:val="22"/>
        </w:rPr>
        <w:t xml:space="preserve"> prior to 2005, </w:t>
      </w:r>
      <w:r w:rsidR="00E00ADB">
        <w:rPr>
          <w:sz w:val="22"/>
          <w:szCs w:val="22"/>
        </w:rPr>
        <w:t>the Commission need</w:t>
      </w:r>
      <w:r w:rsidR="00286591">
        <w:rPr>
          <w:sz w:val="22"/>
          <w:szCs w:val="22"/>
        </w:rPr>
        <w:t>s</w:t>
      </w:r>
      <w:r w:rsidR="00E00ADB">
        <w:rPr>
          <w:sz w:val="22"/>
          <w:szCs w:val="22"/>
        </w:rPr>
        <w:t xml:space="preserve"> to know the actual start date of</w:t>
      </w:r>
      <w:r w:rsidR="00286591">
        <w:rPr>
          <w:sz w:val="22"/>
          <w:szCs w:val="22"/>
        </w:rPr>
        <w:t xml:space="preserve"> said </w:t>
      </w:r>
      <w:r w:rsidR="00E00ADB">
        <w:rPr>
          <w:sz w:val="22"/>
          <w:szCs w:val="22"/>
        </w:rPr>
        <w:t>lease.</w:t>
      </w:r>
      <w:r w:rsidR="00627168">
        <w:rPr>
          <w:sz w:val="22"/>
          <w:szCs w:val="22"/>
        </w:rPr>
        <w:t xml:space="preserve">  The Lease was executed on August 15</w:t>
      </w:r>
      <w:r w:rsidR="00C47F26">
        <w:rPr>
          <w:sz w:val="22"/>
          <w:szCs w:val="22"/>
        </w:rPr>
        <w:t>, 2000; thus</w:t>
      </w:r>
      <w:r w:rsidR="00C061C1">
        <w:rPr>
          <w:sz w:val="22"/>
          <w:szCs w:val="22"/>
        </w:rPr>
        <w:t>,</w:t>
      </w:r>
      <w:r w:rsidR="00C47F26">
        <w:rPr>
          <w:sz w:val="22"/>
          <w:szCs w:val="22"/>
        </w:rPr>
        <w:t xml:space="preserve"> its effect is limited</w:t>
      </w:r>
      <w:r w:rsidR="004855A0">
        <w:rPr>
          <w:sz w:val="22"/>
          <w:szCs w:val="22"/>
        </w:rPr>
        <w:t xml:space="preserve"> to</w:t>
      </w:r>
      <w:r w:rsidR="00C47F26">
        <w:rPr>
          <w:sz w:val="22"/>
          <w:szCs w:val="22"/>
        </w:rPr>
        <w:t xml:space="preserve"> 15 years after the start date</w:t>
      </w:r>
      <w:r w:rsidR="00C061C1">
        <w:rPr>
          <w:sz w:val="22"/>
          <w:szCs w:val="22"/>
        </w:rPr>
        <w:t>, as defined by the parties</w:t>
      </w:r>
      <w:r w:rsidR="00C47F26">
        <w:rPr>
          <w:sz w:val="22"/>
          <w:szCs w:val="22"/>
        </w:rPr>
        <w:t>.</w:t>
      </w:r>
      <w:r w:rsidR="00CD5228">
        <w:rPr>
          <w:rStyle w:val="FootnoteReference"/>
          <w:szCs w:val="22"/>
        </w:rPr>
        <w:footnoteReference w:id="8"/>
      </w:r>
      <w:r w:rsidR="00C47F26">
        <w:rPr>
          <w:sz w:val="22"/>
          <w:szCs w:val="22"/>
        </w:rPr>
        <w:t xml:space="preserve">  </w:t>
      </w:r>
      <w:r w:rsidR="00C061C1">
        <w:rPr>
          <w:sz w:val="22"/>
          <w:szCs w:val="22"/>
        </w:rPr>
        <w:t xml:space="preserve">We cannot determine </w:t>
      </w:r>
      <w:r w:rsidR="00286591">
        <w:rPr>
          <w:sz w:val="22"/>
          <w:szCs w:val="22"/>
        </w:rPr>
        <w:t xml:space="preserve">the start date </w:t>
      </w:r>
      <w:r w:rsidR="00C061C1">
        <w:rPr>
          <w:sz w:val="22"/>
          <w:szCs w:val="22"/>
        </w:rPr>
        <w:t xml:space="preserve">of the lease because the start date </w:t>
      </w:r>
      <w:r w:rsidR="00286591">
        <w:rPr>
          <w:sz w:val="22"/>
          <w:szCs w:val="22"/>
        </w:rPr>
        <w:t xml:space="preserve">is </w:t>
      </w:r>
      <w:r w:rsidR="00C47F26">
        <w:rPr>
          <w:sz w:val="22"/>
          <w:szCs w:val="22"/>
        </w:rPr>
        <w:t xml:space="preserve">conditional on </w:t>
      </w:r>
      <w:r w:rsidR="00DA1327">
        <w:rPr>
          <w:sz w:val="22"/>
          <w:szCs w:val="22"/>
        </w:rPr>
        <w:t xml:space="preserve">multiple </w:t>
      </w:r>
      <w:r w:rsidR="00C47F26">
        <w:rPr>
          <w:sz w:val="22"/>
          <w:szCs w:val="22"/>
        </w:rPr>
        <w:t>events.</w:t>
      </w:r>
      <w:r w:rsidR="00C47F26">
        <w:rPr>
          <w:rStyle w:val="FootnoteReference"/>
          <w:szCs w:val="22"/>
        </w:rPr>
        <w:footnoteReference w:id="9"/>
      </w:r>
      <w:r w:rsidR="00C47F26">
        <w:rPr>
          <w:sz w:val="22"/>
          <w:szCs w:val="22"/>
        </w:rPr>
        <w:t xml:space="preserve">  Neither party has provided </w:t>
      </w:r>
      <w:r w:rsidR="00871B26">
        <w:rPr>
          <w:sz w:val="22"/>
          <w:szCs w:val="22"/>
        </w:rPr>
        <w:t xml:space="preserve">evidence of </w:t>
      </w:r>
      <w:r w:rsidR="00C47F26">
        <w:rPr>
          <w:sz w:val="22"/>
          <w:szCs w:val="22"/>
        </w:rPr>
        <w:t xml:space="preserve">when, if at all, </w:t>
      </w:r>
      <w:r w:rsidR="0087504A">
        <w:rPr>
          <w:sz w:val="22"/>
          <w:szCs w:val="22"/>
        </w:rPr>
        <w:t xml:space="preserve">all </w:t>
      </w:r>
      <w:r w:rsidR="00C47F26">
        <w:rPr>
          <w:sz w:val="22"/>
          <w:szCs w:val="22"/>
        </w:rPr>
        <w:t xml:space="preserve">these conditions were met, nor is the Commission the proper authority to adjudicate such matters. </w:t>
      </w:r>
      <w:r w:rsidR="00E00ADB">
        <w:rPr>
          <w:sz w:val="22"/>
          <w:szCs w:val="22"/>
        </w:rPr>
        <w:t xml:space="preserve"> </w:t>
      </w:r>
      <w:r>
        <w:rPr>
          <w:sz w:val="22"/>
          <w:szCs w:val="22"/>
        </w:rPr>
        <w:t xml:space="preserve"> </w:t>
      </w:r>
      <w:r w:rsidR="00871B26">
        <w:rPr>
          <w:sz w:val="22"/>
          <w:szCs w:val="22"/>
        </w:rPr>
        <w:t>To the extent there is a factual dispute regarding the start date of the lease, we believe the proper forum for resolving that dispute is a forum that normally handles contractual disputes, such as a court of competent jurisdiction or an arbitrator.</w:t>
      </w:r>
      <w:r w:rsidR="00293564">
        <w:rPr>
          <w:sz w:val="22"/>
          <w:szCs w:val="22"/>
        </w:rPr>
        <w:t xml:space="preserve">  </w:t>
      </w:r>
      <w:r w:rsidR="00293564" w:rsidRPr="00293564">
        <w:rPr>
          <w:sz w:val="22"/>
          <w:szCs w:val="22"/>
        </w:rPr>
        <w:t>Our decision here is consistent with prior Commission precedent where the Commission has consistently refused to become involved in private contractual matters that can best be resolved in a court of competent jurisdiction.</w:t>
      </w:r>
      <w:r w:rsidR="00293564" w:rsidRPr="00293564">
        <w:rPr>
          <w:sz w:val="22"/>
          <w:szCs w:val="22"/>
          <w:vertAlign w:val="superscript"/>
        </w:rPr>
        <w:footnoteReference w:id="10"/>
      </w:r>
      <w:r w:rsidR="00293564" w:rsidRPr="00293564">
        <w:rPr>
          <w:sz w:val="22"/>
          <w:szCs w:val="22"/>
        </w:rPr>
        <w:t xml:space="preserve">  The Commission has held that it “generally does not adjudicate private contractual disputes, but instead attempts to reach a fair accommodation between its exclusive authority over licensing matters and the authority of state and local courts through procedures that defer contractual matters to courts to decide under state and local law.”</w:t>
      </w:r>
      <w:r w:rsidR="00293564" w:rsidRPr="00293564">
        <w:rPr>
          <w:sz w:val="22"/>
          <w:szCs w:val="22"/>
          <w:vertAlign w:val="superscript"/>
        </w:rPr>
        <w:footnoteReference w:id="11"/>
      </w:r>
      <w:r w:rsidR="00293564" w:rsidRPr="00293564">
        <w:rPr>
          <w:sz w:val="22"/>
          <w:szCs w:val="22"/>
        </w:rPr>
        <w:t xml:space="preserve">  We see no reason to depart from that principle in this case.</w:t>
      </w:r>
      <w:r w:rsidR="00ED6505">
        <w:rPr>
          <w:sz w:val="22"/>
          <w:szCs w:val="22"/>
        </w:rPr>
        <w:t xml:space="preserve">  </w:t>
      </w:r>
      <w:r w:rsidR="00ED6505" w:rsidRPr="00ED6505">
        <w:rPr>
          <w:sz w:val="22"/>
          <w:szCs w:val="22"/>
        </w:rPr>
        <w:t xml:space="preserve">Our denial of the </w:t>
      </w:r>
      <w:r w:rsidR="00ED6505">
        <w:rPr>
          <w:sz w:val="22"/>
          <w:szCs w:val="22"/>
        </w:rPr>
        <w:t xml:space="preserve">Motion </w:t>
      </w:r>
      <w:r w:rsidR="00ED6505" w:rsidRPr="00ED6505">
        <w:rPr>
          <w:sz w:val="22"/>
          <w:szCs w:val="22"/>
        </w:rPr>
        <w:t xml:space="preserve">is without prejudice to either </w:t>
      </w:r>
      <w:r w:rsidR="00ED6505">
        <w:rPr>
          <w:sz w:val="22"/>
          <w:szCs w:val="22"/>
        </w:rPr>
        <w:t xml:space="preserve">Shekinah </w:t>
      </w:r>
      <w:r w:rsidR="00ED6505" w:rsidRPr="00ED6505">
        <w:rPr>
          <w:sz w:val="22"/>
          <w:szCs w:val="22"/>
        </w:rPr>
        <w:t xml:space="preserve">or </w:t>
      </w:r>
      <w:r w:rsidR="00ED6505">
        <w:rPr>
          <w:sz w:val="22"/>
          <w:szCs w:val="22"/>
        </w:rPr>
        <w:t xml:space="preserve">the Partnership </w:t>
      </w:r>
      <w:r w:rsidR="00ED6505" w:rsidRPr="00ED6505">
        <w:rPr>
          <w:sz w:val="22"/>
          <w:szCs w:val="22"/>
        </w:rPr>
        <w:t xml:space="preserve">filing such requests for relief as they deem appropriate following the conclusion of </w:t>
      </w:r>
      <w:r w:rsidR="00ED6505">
        <w:rPr>
          <w:sz w:val="22"/>
          <w:szCs w:val="22"/>
        </w:rPr>
        <w:t xml:space="preserve">any </w:t>
      </w:r>
      <w:r w:rsidR="00ED6505" w:rsidRPr="00ED6505">
        <w:rPr>
          <w:sz w:val="22"/>
          <w:szCs w:val="22"/>
        </w:rPr>
        <w:t>civil litigation</w:t>
      </w:r>
      <w:r w:rsidR="00ED6505">
        <w:rPr>
          <w:sz w:val="22"/>
          <w:szCs w:val="22"/>
        </w:rPr>
        <w:t xml:space="preserve"> or arbitration proceeding</w:t>
      </w:r>
      <w:r w:rsidR="00ED6505" w:rsidRPr="00ED6505">
        <w:rPr>
          <w:sz w:val="22"/>
          <w:szCs w:val="22"/>
        </w:rPr>
        <w:t>.</w:t>
      </w:r>
    </w:p>
    <w:p w14:paraId="641C6E0A" w14:textId="77777777" w:rsidR="00E84ED9" w:rsidRDefault="00E84ED9">
      <w:pPr>
        <w:rPr>
          <w:sz w:val="22"/>
          <w:szCs w:val="22"/>
        </w:rPr>
      </w:pPr>
      <w:r>
        <w:rPr>
          <w:sz w:val="22"/>
          <w:szCs w:val="22"/>
        </w:rPr>
        <w:br w:type="page"/>
      </w:r>
    </w:p>
    <w:p w14:paraId="0D6C8F4B" w14:textId="31B66EA5" w:rsidR="00FA280A" w:rsidRPr="002A41BB" w:rsidRDefault="00FA280A" w:rsidP="00FA280A">
      <w:pPr>
        <w:ind w:firstLine="720"/>
        <w:rPr>
          <w:sz w:val="22"/>
          <w:szCs w:val="22"/>
        </w:rPr>
      </w:pPr>
      <w:r w:rsidRPr="002A41BB">
        <w:rPr>
          <w:sz w:val="22"/>
          <w:szCs w:val="22"/>
        </w:rPr>
        <w:lastRenderedPageBreak/>
        <w:t xml:space="preserve">For the reasons stated above, IT IS ORDERED, pursuant to </w:t>
      </w:r>
      <w:r w:rsidR="00627168">
        <w:rPr>
          <w:sz w:val="22"/>
          <w:szCs w:val="22"/>
        </w:rPr>
        <w:t>Section</w:t>
      </w:r>
      <w:r w:rsidR="00CD5228">
        <w:rPr>
          <w:sz w:val="22"/>
          <w:szCs w:val="22"/>
        </w:rPr>
        <w:t xml:space="preserve"> 1.2</w:t>
      </w:r>
      <w:r w:rsidR="004E7E0E">
        <w:rPr>
          <w:sz w:val="22"/>
          <w:szCs w:val="22"/>
        </w:rPr>
        <w:t xml:space="preserve"> of the Comm</w:t>
      </w:r>
      <w:r w:rsidR="00CD5228">
        <w:rPr>
          <w:sz w:val="22"/>
          <w:szCs w:val="22"/>
        </w:rPr>
        <w:t>ission’s rules, 47 C.F.R. § 1.2</w:t>
      </w:r>
      <w:r w:rsidR="004E7E0E">
        <w:rPr>
          <w:sz w:val="22"/>
          <w:szCs w:val="22"/>
        </w:rPr>
        <w:t xml:space="preserve">, </w:t>
      </w:r>
      <w:r w:rsidRPr="002A41BB">
        <w:rPr>
          <w:sz w:val="22"/>
          <w:szCs w:val="22"/>
        </w:rPr>
        <w:t xml:space="preserve">that the </w:t>
      </w:r>
      <w:r w:rsidR="00627168">
        <w:rPr>
          <w:sz w:val="22"/>
          <w:szCs w:val="22"/>
        </w:rPr>
        <w:t>Motion for Declaratory Ruling</w:t>
      </w:r>
      <w:r w:rsidR="00F74E1E" w:rsidRPr="002A41BB">
        <w:rPr>
          <w:sz w:val="22"/>
          <w:szCs w:val="22"/>
        </w:rPr>
        <w:t xml:space="preserve"> </w:t>
      </w:r>
      <w:r w:rsidRPr="002A41BB">
        <w:rPr>
          <w:sz w:val="22"/>
          <w:szCs w:val="22"/>
        </w:rPr>
        <w:t xml:space="preserve">filed by </w:t>
      </w:r>
      <w:r w:rsidR="00F74E1E" w:rsidRPr="002A41BB">
        <w:rPr>
          <w:sz w:val="22"/>
          <w:szCs w:val="22"/>
        </w:rPr>
        <w:t xml:space="preserve">the </w:t>
      </w:r>
      <w:r w:rsidR="00627168">
        <w:rPr>
          <w:sz w:val="22"/>
          <w:szCs w:val="22"/>
        </w:rPr>
        <w:t>Shekinah Network</w:t>
      </w:r>
      <w:r w:rsidR="00F74E1E" w:rsidRPr="002A41BB">
        <w:rPr>
          <w:sz w:val="22"/>
          <w:szCs w:val="22"/>
        </w:rPr>
        <w:t xml:space="preserve"> </w:t>
      </w:r>
      <w:r w:rsidRPr="002A41BB">
        <w:rPr>
          <w:sz w:val="22"/>
          <w:szCs w:val="22"/>
        </w:rPr>
        <w:t xml:space="preserve">on </w:t>
      </w:r>
      <w:r w:rsidR="00627168">
        <w:rPr>
          <w:sz w:val="22"/>
          <w:szCs w:val="22"/>
        </w:rPr>
        <w:t xml:space="preserve">October 28, </w:t>
      </w:r>
      <w:r w:rsidRPr="002A41BB">
        <w:rPr>
          <w:sz w:val="22"/>
          <w:szCs w:val="22"/>
        </w:rPr>
        <w:t>201</w:t>
      </w:r>
      <w:r w:rsidR="00627168">
        <w:rPr>
          <w:sz w:val="22"/>
          <w:szCs w:val="22"/>
        </w:rPr>
        <w:t>5</w:t>
      </w:r>
      <w:r w:rsidRPr="002A41BB">
        <w:rPr>
          <w:sz w:val="22"/>
          <w:szCs w:val="22"/>
        </w:rPr>
        <w:t xml:space="preserve"> IS </w:t>
      </w:r>
      <w:r w:rsidR="00F74E1E" w:rsidRPr="002A41BB">
        <w:rPr>
          <w:sz w:val="22"/>
          <w:szCs w:val="22"/>
        </w:rPr>
        <w:t>DENIED</w:t>
      </w:r>
      <w:r w:rsidRPr="002A41BB">
        <w:rPr>
          <w:sz w:val="22"/>
          <w:szCs w:val="22"/>
        </w:rPr>
        <w:t>.</w:t>
      </w:r>
    </w:p>
    <w:p w14:paraId="18C1D87C" w14:textId="77777777" w:rsidR="00125291" w:rsidRPr="002A41BB" w:rsidRDefault="00125291" w:rsidP="00FA280A">
      <w:pPr>
        <w:ind w:firstLine="720"/>
        <w:rPr>
          <w:sz w:val="22"/>
          <w:szCs w:val="22"/>
        </w:rPr>
      </w:pPr>
    </w:p>
    <w:p w14:paraId="5F9AD547" w14:textId="03752FB3" w:rsidR="00125291" w:rsidRPr="002A41BB" w:rsidRDefault="00622C53" w:rsidP="00FA280A">
      <w:pPr>
        <w:ind w:firstLine="720"/>
        <w:rPr>
          <w:sz w:val="22"/>
          <w:szCs w:val="22"/>
        </w:rPr>
      </w:pPr>
      <w:r w:rsidRPr="00622C53">
        <w:rPr>
          <w:sz w:val="22"/>
          <w:szCs w:val="22"/>
        </w:rPr>
        <w:t>Th</w:t>
      </w:r>
      <w:r>
        <w:rPr>
          <w:sz w:val="22"/>
          <w:szCs w:val="22"/>
        </w:rPr>
        <w:t>i</w:t>
      </w:r>
      <w:r w:rsidRPr="00622C53">
        <w:rPr>
          <w:sz w:val="22"/>
          <w:szCs w:val="22"/>
        </w:rPr>
        <w:t xml:space="preserve">s action </w:t>
      </w:r>
      <w:r>
        <w:rPr>
          <w:sz w:val="22"/>
          <w:szCs w:val="22"/>
        </w:rPr>
        <w:t xml:space="preserve">is </w:t>
      </w:r>
      <w:r w:rsidRPr="00622C53">
        <w:rPr>
          <w:sz w:val="22"/>
          <w:szCs w:val="22"/>
        </w:rPr>
        <w:t>taken under delegated authority pursuant to Sections 0.131 and 0.331 of the Commission’s rules, 47 C.F.R. §§ 0.131, 0.331.</w:t>
      </w:r>
    </w:p>
    <w:p w14:paraId="51F4E287" w14:textId="77777777" w:rsidR="00125291" w:rsidRPr="002A41BB" w:rsidRDefault="00125291" w:rsidP="00FA280A">
      <w:pPr>
        <w:ind w:firstLine="720"/>
        <w:rPr>
          <w:sz w:val="22"/>
          <w:szCs w:val="22"/>
        </w:rPr>
      </w:pPr>
    </w:p>
    <w:p w14:paraId="3AA337CD" w14:textId="77777777" w:rsidR="00FA280A" w:rsidRPr="002A41BB" w:rsidRDefault="00FA280A" w:rsidP="00FA280A">
      <w:pPr>
        <w:ind w:left="3600"/>
        <w:rPr>
          <w:caps/>
          <w:sz w:val="22"/>
          <w:szCs w:val="22"/>
        </w:rPr>
      </w:pPr>
      <w:r w:rsidRPr="002A41BB">
        <w:rPr>
          <w:caps/>
          <w:sz w:val="22"/>
          <w:szCs w:val="22"/>
        </w:rPr>
        <w:t>Federal Communications Commission</w:t>
      </w:r>
    </w:p>
    <w:p w14:paraId="22A07663" w14:textId="77777777" w:rsidR="00FA280A" w:rsidRPr="002A41BB" w:rsidRDefault="00FA280A" w:rsidP="00FA280A">
      <w:pPr>
        <w:ind w:firstLine="990"/>
        <w:rPr>
          <w:sz w:val="22"/>
          <w:szCs w:val="22"/>
        </w:rPr>
      </w:pPr>
    </w:p>
    <w:p w14:paraId="00EA6F50" w14:textId="77777777" w:rsidR="00FA280A" w:rsidRPr="002A41BB" w:rsidRDefault="00FA280A" w:rsidP="00FA280A">
      <w:pPr>
        <w:ind w:firstLine="990"/>
        <w:rPr>
          <w:sz w:val="22"/>
          <w:szCs w:val="22"/>
        </w:rPr>
      </w:pPr>
    </w:p>
    <w:p w14:paraId="3CBCFE25" w14:textId="77777777" w:rsidR="00FA280A" w:rsidRPr="002A41BB" w:rsidRDefault="00FA280A" w:rsidP="00FA280A">
      <w:pPr>
        <w:ind w:firstLine="990"/>
        <w:rPr>
          <w:sz w:val="22"/>
          <w:szCs w:val="22"/>
        </w:rPr>
      </w:pPr>
    </w:p>
    <w:p w14:paraId="396EA01E" w14:textId="77777777" w:rsidR="00FA280A" w:rsidRPr="002A41BB" w:rsidRDefault="00FA280A" w:rsidP="00FA280A">
      <w:pPr>
        <w:pStyle w:val="ParaNumChar1"/>
        <w:tabs>
          <w:tab w:val="clear" w:pos="990"/>
        </w:tabs>
        <w:spacing w:after="0"/>
        <w:ind w:left="2880"/>
        <w:jc w:val="left"/>
        <w:rPr>
          <w:szCs w:val="22"/>
        </w:rPr>
      </w:pPr>
      <w:r w:rsidRPr="002A41BB">
        <w:rPr>
          <w:szCs w:val="22"/>
        </w:rPr>
        <w:t>John J. Schauble</w:t>
      </w:r>
    </w:p>
    <w:p w14:paraId="6401798F" w14:textId="77777777" w:rsidR="00FA280A" w:rsidRPr="002A41BB" w:rsidRDefault="00FA280A" w:rsidP="00FA280A">
      <w:pPr>
        <w:pStyle w:val="ParaNumChar1"/>
        <w:tabs>
          <w:tab w:val="clear" w:pos="990"/>
        </w:tabs>
        <w:spacing w:after="0"/>
        <w:ind w:left="2880"/>
        <w:jc w:val="left"/>
        <w:rPr>
          <w:szCs w:val="22"/>
        </w:rPr>
      </w:pPr>
      <w:r w:rsidRPr="002A41BB">
        <w:rPr>
          <w:szCs w:val="22"/>
        </w:rPr>
        <w:t>Deputy Chief, Broadband Division</w:t>
      </w:r>
    </w:p>
    <w:p w14:paraId="27A15AE9" w14:textId="77777777" w:rsidR="00FA280A" w:rsidRPr="002A41BB" w:rsidRDefault="00FA280A" w:rsidP="00FA280A">
      <w:pPr>
        <w:pStyle w:val="ParaNumChar1"/>
        <w:tabs>
          <w:tab w:val="clear" w:pos="990"/>
        </w:tabs>
        <w:spacing w:after="0"/>
        <w:ind w:left="2880"/>
        <w:jc w:val="left"/>
        <w:rPr>
          <w:szCs w:val="22"/>
        </w:rPr>
      </w:pPr>
      <w:r w:rsidRPr="002A41BB">
        <w:rPr>
          <w:szCs w:val="22"/>
        </w:rPr>
        <w:t>Wireless Telecommunications Bureau</w:t>
      </w:r>
    </w:p>
    <w:p w14:paraId="74296F10" w14:textId="77777777" w:rsidR="000A4A8F" w:rsidRPr="002A41BB" w:rsidRDefault="000A4A8F" w:rsidP="00FE10E2">
      <w:pPr>
        <w:ind w:firstLine="720"/>
        <w:rPr>
          <w:sz w:val="22"/>
          <w:szCs w:val="22"/>
        </w:rPr>
      </w:pPr>
    </w:p>
    <w:p w14:paraId="7496B185" w14:textId="77777777" w:rsidR="00DA353E" w:rsidRPr="002A41BB" w:rsidRDefault="00DA353E" w:rsidP="00FE10E2">
      <w:pPr>
        <w:ind w:firstLine="720"/>
        <w:rPr>
          <w:sz w:val="22"/>
          <w:szCs w:val="22"/>
        </w:rPr>
      </w:pPr>
    </w:p>
    <w:p w14:paraId="54252D22" w14:textId="77777777" w:rsidR="00DA353E" w:rsidRDefault="00DA353E" w:rsidP="00FE10E2">
      <w:pPr>
        <w:ind w:firstLine="720"/>
        <w:rPr>
          <w:sz w:val="22"/>
          <w:szCs w:val="22"/>
        </w:rPr>
      </w:pPr>
      <w:r>
        <w:rPr>
          <w:sz w:val="22"/>
          <w:szCs w:val="22"/>
        </w:rPr>
        <w:t>cc:</w:t>
      </w:r>
      <w:r w:rsidR="004E7E0E">
        <w:rPr>
          <w:sz w:val="22"/>
          <w:szCs w:val="22"/>
        </w:rPr>
        <w:tab/>
      </w:r>
      <w:r w:rsidR="00C47F26">
        <w:rPr>
          <w:sz w:val="22"/>
          <w:szCs w:val="22"/>
        </w:rPr>
        <w:t>Steven A Lancelotta,</w:t>
      </w:r>
      <w:r w:rsidR="004E7E0E">
        <w:rPr>
          <w:sz w:val="22"/>
          <w:szCs w:val="22"/>
        </w:rPr>
        <w:t xml:space="preserve"> Esq.</w:t>
      </w:r>
    </w:p>
    <w:p w14:paraId="314147E5" w14:textId="77777777" w:rsidR="00182DD2" w:rsidRDefault="00C47F26" w:rsidP="00C47F26">
      <w:pPr>
        <w:rPr>
          <w:sz w:val="22"/>
          <w:szCs w:val="22"/>
        </w:rPr>
      </w:pPr>
      <w:r>
        <w:rPr>
          <w:sz w:val="22"/>
          <w:szCs w:val="22"/>
        </w:rPr>
        <w:tab/>
      </w:r>
      <w:r>
        <w:rPr>
          <w:sz w:val="22"/>
          <w:szCs w:val="22"/>
        </w:rPr>
        <w:tab/>
        <w:t>Butzel Long P.C.</w:t>
      </w:r>
    </w:p>
    <w:p w14:paraId="306FEE2A" w14:textId="77777777" w:rsidR="00182DD2" w:rsidRDefault="00C47F26" w:rsidP="004E7E0E">
      <w:pPr>
        <w:ind w:left="720" w:firstLine="720"/>
        <w:rPr>
          <w:sz w:val="22"/>
          <w:szCs w:val="22"/>
        </w:rPr>
      </w:pPr>
      <w:r>
        <w:rPr>
          <w:sz w:val="22"/>
          <w:szCs w:val="22"/>
        </w:rPr>
        <w:t>1747 Pennsylvania Avenue</w:t>
      </w:r>
      <w:r w:rsidR="00182DD2">
        <w:rPr>
          <w:sz w:val="22"/>
          <w:szCs w:val="22"/>
        </w:rPr>
        <w:t>, NW</w:t>
      </w:r>
    </w:p>
    <w:p w14:paraId="51109028" w14:textId="77777777" w:rsidR="00182DD2" w:rsidRDefault="00C47F26" w:rsidP="004E7E0E">
      <w:pPr>
        <w:ind w:left="720" w:firstLine="720"/>
        <w:rPr>
          <w:sz w:val="22"/>
          <w:szCs w:val="22"/>
        </w:rPr>
      </w:pPr>
      <w:r>
        <w:rPr>
          <w:sz w:val="22"/>
          <w:szCs w:val="22"/>
        </w:rPr>
        <w:t>Washington DC 20006</w:t>
      </w:r>
    </w:p>
    <w:p w14:paraId="037732A4" w14:textId="77777777" w:rsidR="00182DD2" w:rsidRDefault="00182DD2" w:rsidP="00FE10E2">
      <w:pPr>
        <w:ind w:firstLine="720"/>
        <w:rPr>
          <w:sz w:val="22"/>
          <w:szCs w:val="22"/>
        </w:rPr>
      </w:pPr>
    </w:p>
    <w:p w14:paraId="0EDE6478" w14:textId="77777777" w:rsidR="00182DD2" w:rsidRPr="00204CE3" w:rsidRDefault="00182DD2" w:rsidP="00FE10E2">
      <w:pPr>
        <w:ind w:firstLine="720"/>
        <w:rPr>
          <w:sz w:val="22"/>
          <w:szCs w:val="22"/>
        </w:rPr>
      </w:pPr>
      <w:r>
        <w:rPr>
          <w:sz w:val="22"/>
          <w:szCs w:val="22"/>
        </w:rPr>
        <w:tab/>
      </w:r>
    </w:p>
    <w:sectPr w:rsidR="00182DD2"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CD677" w14:textId="77777777" w:rsidR="00C45085" w:rsidRDefault="00C45085">
      <w:r>
        <w:separator/>
      </w:r>
    </w:p>
  </w:endnote>
  <w:endnote w:type="continuationSeparator" w:id="0">
    <w:p w14:paraId="05BA0DB2" w14:textId="77777777" w:rsidR="00C45085" w:rsidRDefault="00C4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945B6" w14:textId="77777777" w:rsidR="008B1A92" w:rsidRDefault="008B1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66C2" w14:textId="77777777" w:rsidR="008B1A92" w:rsidRDefault="008B1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5A2D5" w14:textId="77777777" w:rsidR="008B1A92" w:rsidRDefault="008B1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CF8B9" w14:textId="77777777" w:rsidR="00C45085" w:rsidRDefault="00C45085">
      <w:r>
        <w:separator/>
      </w:r>
    </w:p>
  </w:footnote>
  <w:footnote w:type="continuationSeparator" w:id="0">
    <w:p w14:paraId="567564EB" w14:textId="77777777" w:rsidR="00C45085" w:rsidRDefault="00C45085">
      <w:r>
        <w:continuationSeparator/>
      </w:r>
    </w:p>
  </w:footnote>
  <w:footnote w:id="1">
    <w:p w14:paraId="15384A94" w14:textId="77777777" w:rsidR="00F74E1E" w:rsidRDefault="00F74E1E">
      <w:pPr>
        <w:pStyle w:val="FootnoteText"/>
      </w:pPr>
      <w:r>
        <w:rPr>
          <w:rStyle w:val="FootnoteReference"/>
        </w:rPr>
        <w:footnoteRef/>
      </w:r>
      <w:r>
        <w:t xml:space="preserve"> </w:t>
      </w:r>
      <w:r w:rsidR="00391A36">
        <w:t>Shekinah Network</w:t>
      </w:r>
      <w:r w:rsidR="00FE2709">
        <w:t xml:space="preserve">, </w:t>
      </w:r>
      <w:r w:rsidR="00391A36">
        <w:t>Motion for Declaratory Ruling (filed Oct.</w:t>
      </w:r>
      <w:r w:rsidR="00FC738D">
        <w:t xml:space="preserve"> </w:t>
      </w:r>
      <w:r w:rsidR="00391A36">
        <w:t>28, 2015</w:t>
      </w:r>
      <w:r w:rsidR="00FE2709">
        <w:t>) (</w:t>
      </w:r>
      <w:r w:rsidR="00391A36">
        <w:t>Motion</w:t>
      </w:r>
      <w:r w:rsidR="00FE2709">
        <w:t>).</w:t>
      </w:r>
    </w:p>
  </w:footnote>
  <w:footnote w:id="2">
    <w:p w14:paraId="2B91D9CC" w14:textId="376A514F" w:rsidR="00FE2709" w:rsidRPr="00FC738D" w:rsidRDefault="00FE2709">
      <w:pPr>
        <w:pStyle w:val="FootnoteText"/>
      </w:pPr>
      <w:r>
        <w:rPr>
          <w:rStyle w:val="FootnoteReference"/>
        </w:rPr>
        <w:footnoteRef/>
      </w:r>
      <w:r>
        <w:t xml:space="preserve"> </w:t>
      </w:r>
      <w:r w:rsidRPr="00FE2709">
        <w:rPr>
          <w:i/>
        </w:rPr>
        <w:t>Id</w:t>
      </w:r>
      <w:r w:rsidR="00391A36">
        <w:t>. at 1</w:t>
      </w:r>
      <w:r>
        <w:t>.</w:t>
      </w:r>
      <w:r w:rsidR="00FC738D">
        <w:t xml:space="preserve">  </w:t>
      </w:r>
      <w:r w:rsidR="009126A4">
        <w:t>In the</w:t>
      </w:r>
      <w:r w:rsidR="00FC738D">
        <w:t xml:space="preserve"> original Motion</w:t>
      </w:r>
      <w:r w:rsidR="009126A4">
        <w:t xml:space="preserve">, the Station was erroneously identified as </w:t>
      </w:r>
      <w:r w:rsidR="00FC738D">
        <w:t xml:space="preserve">Station </w:t>
      </w:r>
      <w:r w:rsidR="009126A4">
        <w:t>WND471</w:t>
      </w:r>
      <w:r w:rsidR="00FC738D">
        <w:t xml:space="preserve">.  </w:t>
      </w:r>
      <w:r w:rsidR="00FC738D">
        <w:rPr>
          <w:i/>
        </w:rPr>
        <w:t>See</w:t>
      </w:r>
      <w:r w:rsidR="00FC738D">
        <w:t xml:space="preserve"> Erratum to Motion for Declaratory Ruling (filed Oct. 28, 2015).</w:t>
      </w:r>
    </w:p>
  </w:footnote>
  <w:footnote w:id="3">
    <w:p w14:paraId="155D2C45" w14:textId="04BE0591" w:rsidR="00B37513" w:rsidRPr="00FD4118" w:rsidRDefault="00B37513" w:rsidP="00FD4118">
      <w:pPr>
        <w:pStyle w:val="FootnoteText"/>
      </w:pPr>
      <w:r>
        <w:rPr>
          <w:rStyle w:val="FootnoteReference"/>
        </w:rPr>
        <w:footnoteRef/>
      </w:r>
      <w:r>
        <w:t xml:space="preserve"> </w:t>
      </w:r>
      <w:r w:rsidR="008367E3">
        <w:t>Des Moines F MPSG Partnership</w:t>
      </w:r>
      <w:r>
        <w:t xml:space="preserve"> f</w:t>
      </w:r>
      <w:r w:rsidR="00C96C48">
        <w:t>iled its opposition on November 6, 2015</w:t>
      </w:r>
      <w:r w:rsidR="008367E3">
        <w:t>. Des Moines F MPSG Partnership, Opposition and Request for Summary Dismissal (filed</w:t>
      </w:r>
      <w:r w:rsidR="00AB0292">
        <w:t xml:space="preserve"> Nov. 6, 2015) (Opposition).  Shekinah replied to this Opposition.  Shekinah Network, Reply (filed Nov. 11, 2915) (Reply).</w:t>
      </w:r>
      <w:r w:rsidR="008367E3">
        <w:t xml:space="preserve"> </w:t>
      </w:r>
    </w:p>
  </w:footnote>
  <w:footnote w:id="4">
    <w:p w14:paraId="32781FA5" w14:textId="4BF9A98C" w:rsidR="00B95618" w:rsidRDefault="00B95618" w:rsidP="00B95618">
      <w:pPr>
        <w:pStyle w:val="FootnoteText"/>
      </w:pPr>
      <w:r>
        <w:rPr>
          <w:rStyle w:val="FootnoteReference"/>
        </w:rPr>
        <w:footnoteRef/>
      </w:r>
      <w:r>
        <w:t xml:space="preserve"> </w:t>
      </w:r>
      <w:r>
        <w:rPr>
          <w:i/>
          <w:iCs/>
        </w:rPr>
        <w:t>See, e.g</w:t>
      </w:r>
      <w:r w:rsidRPr="00CD5228">
        <w:rPr>
          <w:i/>
          <w:iCs/>
        </w:rPr>
        <w:t>.,</w:t>
      </w:r>
      <w:r w:rsidRPr="00CD5228">
        <w:rPr>
          <w:i/>
        </w:rPr>
        <w:t xml:space="preserve"> </w:t>
      </w:r>
      <w:r w:rsidR="00CD5228" w:rsidRPr="00CD5228">
        <w:rPr>
          <w:i/>
        </w:rPr>
        <w:t>Yakima Valley Cablevision, Inc. v. F.C.C.</w:t>
      </w:r>
      <w:r w:rsidR="00CD5228">
        <w:t>, 794 F.2d 737, 747 (D.C. Cir. 1986)</w:t>
      </w:r>
      <w:r w:rsidR="00A630CF">
        <w:t>.</w:t>
      </w:r>
    </w:p>
  </w:footnote>
  <w:footnote w:id="5">
    <w:p w14:paraId="4562C8D8" w14:textId="77777777" w:rsidR="004F64A8" w:rsidRDefault="004F64A8">
      <w:pPr>
        <w:pStyle w:val="FootnoteText"/>
      </w:pPr>
      <w:r>
        <w:rPr>
          <w:rStyle w:val="FootnoteReference"/>
        </w:rPr>
        <w:footnoteRef/>
      </w:r>
      <w:r>
        <w:t xml:space="preserve"> </w:t>
      </w:r>
      <w:r w:rsidRPr="004F64A8">
        <w:rPr>
          <w:i/>
        </w:rPr>
        <w:t>Amendment of Parts 1, 21, 73, 74 and 101 of the Commission’s Rules to Facilitate the Provision of Fixed and Mobile Broadband Access, Educational and Other Advanced Services in the 2150-2162 and 2500-2690 MHz Bands</w:t>
      </w:r>
      <w:r w:rsidRPr="004F64A8">
        <w:t>, Report and Order and Further Notice of Proposed Rulemaking</w:t>
      </w:r>
      <w:r w:rsidRPr="004F64A8">
        <w:rPr>
          <w:i/>
        </w:rPr>
        <w:t>,</w:t>
      </w:r>
      <w:r w:rsidRPr="004F64A8">
        <w:t xml:space="preserve"> 19 FCC Rcd 14165, 14169 </w:t>
      </w:r>
      <w:r w:rsidR="00FC738D">
        <w:t>para.</w:t>
      </w:r>
      <w:r w:rsidRPr="004F64A8">
        <w:t xml:space="preserve"> 6 (2004)</w:t>
      </w:r>
      <w:r w:rsidR="00FC738D">
        <w:t>.</w:t>
      </w:r>
    </w:p>
  </w:footnote>
  <w:footnote w:id="6">
    <w:p w14:paraId="79BFE061" w14:textId="77777777" w:rsidR="00FC738D" w:rsidRDefault="00FC738D">
      <w:pPr>
        <w:pStyle w:val="FootnoteText"/>
      </w:pPr>
      <w:r>
        <w:rPr>
          <w:rStyle w:val="FootnoteReference"/>
        </w:rPr>
        <w:footnoteRef/>
      </w:r>
      <w:r>
        <w:t xml:space="preserve"> </w:t>
      </w:r>
      <w:r w:rsidRPr="00FC738D">
        <w:rPr>
          <w:i/>
        </w:rPr>
        <w:t>Amendment of Parts 1, 21, 73, 74 and 101 of the Commission’s Rules to Facilitate the Provision of Fixed and Mobile Broadband Access, Educational and Other Advanced Services in the 2150-2162 and 2500-2690 MHz Bands</w:t>
      </w:r>
      <w:r w:rsidRPr="00FC738D">
        <w:t xml:space="preserve">, </w:t>
      </w:r>
      <w:r>
        <w:t xml:space="preserve">Fifth Memorandum Opinion </w:t>
      </w:r>
      <w:r w:rsidRPr="00FC738D">
        <w:t xml:space="preserve">and Order and </w:t>
      </w:r>
      <w:r>
        <w:t xml:space="preserve">Third </w:t>
      </w:r>
      <w:r w:rsidRPr="00FC738D">
        <w:t>Further Notice of Proposed Rulemaking</w:t>
      </w:r>
      <w:r w:rsidRPr="00FC738D">
        <w:rPr>
          <w:i/>
        </w:rPr>
        <w:t>,</w:t>
      </w:r>
      <w:r w:rsidRPr="00FC738D">
        <w:t xml:space="preserve"> </w:t>
      </w:r>
      <w:r>
        <w:t>24</w:t>
      </w:r>
      <w:r w:rsidRPr="00FC738D">
        <w:t xml:space="preserve"> FCC Rcd 1</w:t>
      </w:r>
      <w:r>
        <w:t>2258</w:t>
      </w:r>
      <w:r w:rsidRPr="00FC738D">
        <w:t>, 1</w:t>
      </w:r>
      <w:r>
        <w:t>2259-65</w:t>
      </w:r>
      <w:r w:rsidRPr="00FC738D">
        <w:t xml:space="preserve"> </w:t>
      </w:r>
      <w:r>
        <w:t>paras.</w:t>
      </w:r>
      <w:r w:rsidRPr="00FC738D">
        <w:t xml:space="preserve"> </w:t>
      </w:r>
      <w:r>
        <w:t>4-1</w:t>
      </w:r>
      <w:r w:rsidRPr="00FC738D">
        <w:t>6 (200</w:t>
      </w:r>
      <w:r>
        <w:t>9</w:t>
      </w:r>
      <w:r w:rsidRPr="00FC738D">
        <w:t>)</w:t>
      </w:r>
      <w:r w:rsidR="00C061C1">
        <w:t xml:space="preserve"> (</w:t>
      </w:r>
      <w:r w:rsidR="00C061C1">
        <w:rPr>
          <w:i/>
        </w:rPr>
        <w:t>BRS/EBS Fifth MO&amp;O</w:t>
      </w:r>
      <w:r w:rsidR="00C061C1">
        <w:t>)</w:t>
      </w:r>
      <w:r w:rsidRPr="00FC738D">
        <w:t>.</w:t>
      </w:r>
    </w:p>
  </w:footnote>
  <w:footnote w:id="7">
    <w:p w14:paraId="510FE83E" w14:textId="77777777" w:rsidR="00AF6FD6" w:rsidRPr="00AF6FD6" w:rsidRDefault="00AF6FD6">
      <w:pPr>
        <w:pStyle w:val="FootnoteText"/>
      </w:pPr>
      <w:r>
        <w:rPr>
          <w:rStyle w:val="FootnoteReference"/>
        </w:rPr>
        <w:footnoteRef/>
      </w:r>
      <w:r>
        <w:t xml:space="preserve"> </w:t>
      </w:r>
      <w:r>
        <w:rPr>
          <w:i/>
        </w:rPr>
        <w:t>Id.</w:t>
      </w:r>
      <w:r>
        <w:t xml:space="preserve"> at 12263 para. 13.</w:t>
      </w:r>
      <w:r w:rsidR="008A1538">
        <w:t xml:space="preserve">  Shekinah states that the lease was executed on August 15, 2000.  Motion at 1.</w:t>
      </w:r>
    </w:p>
  </w:footnote>
  <w:footnote w:id="8">
    <w:p w14:paraId="7490B77B" w14:textId="7D0703B3" w:rsidR="00CD5228" w:rsidRPr="00C061C1" w:rsidRDefault="00CD5228">
      <w:pPr>
        <w:pStyle w:val="FootnoteText"/>
      </w:pPr>
      <w:r>
        <w:rPr>
          <w:rStyle w:val="FootnoteReference"/>
        </w:rPr>
        <w:footnoteRef/>
      </w:r>
      <w:r>
        <w:t xml:space="preserve"> </w:t>
      </w:r>
      <w:r w:rsidR="00C061C1" w:rsidRPr="00C061C1">
        <w:rPr>
          <w:i/>
        </w:rPr>
        <w:t>BRS/EBS Fifth MO&amp;O</w:t>
      </w:r>
      <w:r w:rsidR="00C061C1" w:rsidRPr="00C061C1">
        <w:t xml:space="preserve">, </w:t>
      </w:r>
      <w:r w:rsidRPr="00E84ED9">
        <w:rPr>
          <w:color w:val="000000"/>
        </w:rPr>
        <w:t>24 FCC Rcd 1226</w:t>
      </w:r>
      <w:r w:rsidR="00C061C1" w:rsidRPr="00E84ED9">
        <w:rPr>
          <w:color w:val="000000"/>
        </w:rPr>
        <w:t>3</w:t>
      </w:r>
      <w:r w:rsidRPr="00E84ED9">
        <w:rPr>
          <w:color w:val="000000"/>
        </w:rPr>
        <w:t xml:space="preserve"> ¶ 1</w:t>
      </w:r>
      <w:r w:rsidR="00C061C1" w:rsidRPr="00E84ED9">
        <w:rPr>
          <w:color w:val="000000"/>
        </w:rPr>
        <w:t>3.</w:t>
      </w:r>
      <w:r w:rsidR="00627168" w:rsidRPr="00E84ED9">
        <w:rPr>
          <w:color w:val="000000"/>
        </w:rPr>
        <w:t xml:space="preserve"> </w:t>
      </w:r>
    </w:p>
  </w:footnote>
  <w:footnote w:id="9">
    <w:p w14:paraId="6EDBE4B7" w14:textId="740E0868" w:rsidR="00C47F26" w:rsidRDefault="00C47F26" w:rsidP="00C47F26">
      <w:pPr>
        <w:pStyle w:val="FootnoteText"/>
      </w:pPr>
      <w:r>
        <w:rPr>
          <w:rStyle w:val="FootnoteReference"/>
        </w:rPr>
        <w:footnoteRef/>
      </w:r>
      <w:r>
        <w:t xml:space="preserve"> </w:t>
      </w:r>
      <w:r w:rsidR="00DA1327">
        <w:t xml:space="preserve">Because the lease was filed on a confidential basis, we will not discuss in this letter the specifics of how the start date is defined in the lease. </w:t>
      </w:r>
    </w:p>
  </w:footnote>
  <w:footnote w:id="10">
    <w:p w14:paraId="04E22437" w14:textId="77777777" w:rsidR="00293564" w:rsidRDefault="00293564" w:rsidP="00293564">
      <w:pPr>
        <w:pStyle w:val="FootnoteText"/>
      </w:pPr>
      <w:r>
        <w:rPr>
          <w:rStyle w:val="FootnoteReference"/>
        </w:rPr>
        <w:footnoteRef/>
      </w:r>
      <w:r>
        <w:t xml:space="preserve"> </w:t>
      </w:r>
      <w:r w:rsidRPr="00AA67F2">
        <w:rPr>
          <w:i/>
        </w:rPr>
        <w:t>S.A. Dawson</w:t>
      </w:r>
      <w:r>
        <w:t xml:space="preserve">, </w:t>
      </w:r>
      <w:r w:rsidRPr="00AA67F2">
        <w:t>Memorandum Opinion and Order</w:t>
      </w:r>
      <w:r>
        <w:rPr>
          <w:i/>
        </w:rPr>
        <w:t xml:space="preserve">, </w:t>
      </w:r>
      <w:r>
        <w:t xml:space="preserve">17 FCC Rcd 472, 474 n.15 (WTB 2002) </w:t>
      </w:r>
      <w:r>
        <w:rPr>
          <w:i/>
          <w:color w:val="000000"/>
        </w:rPr>
        <w:t xml:space="preserve">citing </w:t>
      </w:r>
      <w:r w:rsidRPr="00AA67F2">
        <w:rPr>
          <w:i/>
          <w:color w:val="000000"/>
        </w:rPr>
        <w:t>Airtouch Paging, Inc.</w:t>
      </w:r>
      <w:r>
        <w:rPr>
          <w:color w:val="000000"/>
        </w:rPr>
        <w:t xml:space="preserve">, </w:t>
      </w:r>
      <w:r w:rsidRPr="00AA67F2">
        <w:rPr>
          <w:color w:val="000000"/>
        </w:rPr>
        <w:t>Order</w:t>
      </w:r>
      <w:r>
        <w:rPr>
          <w:color w:val="000000"/>
        </w:rPr>
        <w:t xml:space="preserve">, 14 FCC Rcd 9658 (WTB CWB P&amp;RB 1999); </w:t>
      </w:r>
      <w:r w:rsidRPr="00707F03">
        <w:rPr>
          <w:i/>
          <w:color w:val="000000"/>
        </w:rPr>
        <w:t>Listeners’ Guild, Inc. v. FCC</w:t>
      </w:r>
      <w:r>
        <w:rPr>
          <w:color w:val="000000"/>
        </w:rPr>
        <w:t xml:space="preserve">, 813 F.2d 465, 469 (D.C. Cir. 1987).  </w:t>
      </w:r>
      <w:r w:rsidRPr="00D17D71">
        <w:rPr>
          <w:i/>
          <w:color w:val="000000"/>
        </w:rPr>
        <w:t>See also</w:t>
      </w:r>
      <w:r>
        <w:rPr>
          <w:color w:val="000000"/>
        </w:rPr>
        <w:t xml:space="preserve"> </w:t>
      </w:r>
      <w:r w:rsidRPr="00AA67F2">
        <w:rPr>
          <w:i/>
          <w:color w:val="000000"/>
        </w:rPr>
        <w:t>Antilles Wireless, L.L.C. d/b/a USA Digital</w:t>
      </w:r>
      <w:r>
        <w:rPr>
          <w:color w:val="000000"/>
        </w:rPr>
        <w:t xml:space="preserve">, </w:t>
      </w:r>
      <w:r w:rsidRPr="00AA67F2">
        <w:rPr>
          <w:color w:val="000000"/>
        </w:rPr>
        <w:t>Order on Reconsideration</w:t>
      </w:r>
      <w:r>
        <w:rPr>
          <w:color w:val="000000"/>
        </w:rPr>
        <w:t>, 24 FCC Rcd 4696, 4699 ¶ 8 (WTB 2009).</w:t>
      </w:r>
    </w:p>
  </w:footnote>
  <w:footnote w:id="11">
    <w:p w14:paraId="7293FC76" w14:textId="77777777" w:rsidR="00293564" w:rsidRPr="00866464" w:rsidRDefault="00293564" w:rsidP="00293564">
      <w:pPr>
        <w:pStyle w:val="FootnoteText"/>
      </w:pPr>
      <w:r>
        <w:rPr>
          <w:rStyle w:val="FootnoteReference"/>
        </w:rPr>
        <w:footnoteRef/>
      </w:r>
      <w:r>
        <w:t xml:space="preserve"> </w:t>
      </w:r>
      <w:r w:rsidRPr="00AA67F2">
        <w:rPr>
          <w:i/>
        </w:rPr>
        <w:t>S.A. Dawson</w:t>
      </w:r>
      <w:r>
        <w:t xml:space="preserve">, </w:t>
      </w:r>
      <w:r>
        <w:rPr>
          <w:i/>
        </w:rPr>
        <w:t>supra</w:t>
      </w:r>
      <w:r>
        <w:t>, 17 FCC Rcd at 474 n.15.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C1518" w14:textId="77777777" w:rsidR="008B1A92" w:rsidRDefault="008B1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E743" w14:textId="77777777" w:rsidR="004E7E0E" w:rsidRPr="00B37513" w:rsidRDefault="00D305C7" w:rsidP="00B37513">
    <w:pPr>
      <w:pStyle w:val="Header"/>
      <w:rPr>
        <w:sz w:val="22"/>
        <w:szCs w:val="22"/>
      </w:rPr>
    </w:pPr>
    <w:r>
      <w:rPr>
        <w:sz w:val="22"/>
        <w:szCs w:val="22"/>
      </w:rPr>
      <w:t>Suzanne G. Goodwyn</w:t>
    </w:r>
    <w:r w:rsidR="00B37513" w:rsidRPr="00B37513">
      <w:rPr>
        <w:sz w:val="22"/>
        <w:szCs w:val="22"/>
      </w:rPr>
      <w:t>, Esq.</w:t>
    </w:r>
    <w:r w:rsidR="00B37513" w:rsidRPr="00B37513">
      <w:rPr>
        <w:sz w:val="22"/>
        <w:szCs w:val="22"/>
      </w:rPr>
      <w:tab/>
    </w:r>
    <w:r w:rsidR="00B37513" w:rsidRPr="00B37513">
      <w:rPr>
        <w:sz w:val="22"/>
        <w:szCs w:val="22"/>
      </w:rPr>
      <w:tab/>
    </w:r>
    <w:sdt>
      <w:sdtPr>
        <w:rPr>
          <w:sz w:val="22"/>
          <w:szCs w:val="22"/>
        </w:rPr>
        <w:id w:val="1912277724"/>
        <w:docPartObj>
          <w:docPartGallery w:val="Page Numbers (Top of Page)"/>
          <w:docPartUnique/>
        </w:docPartObj>
      </w:sdtPr>
      <w:sdtEndPr>
        <w:rPr>
          <w:noProof/>
        </w:rPr>
      </w:sdtEndPr>
      <w:sdtContent>
        <w:r w:rsidR="004E7E0E" w:rsidRPr="00B37513">
          <w:rPr>
            <w:sz w:val="22"/>
            <w:szCs w:val="22"/>
          </w:rPr>
          <w:fldChar w:fldCharType="begin"/>
        </w:r>
        <w:r w:rsidR="004E7E0E" w:rsidRPr="00B37513">
          <w:rPr>
            <w:sz w:val="22"/>
            <w:szCs w:val="22"/>
          </w:rPr>
          <w:instrText xml:space="preserve"> PAGE   \* MERGEFORMAT </w:instrText>
        </w:r>
        <w:r w:rsidR="004E7E0E" w:rsidRPr="00B37513">
          <w:rPr>
            <w:sz w:val="22"/>
            <w:szCs w:val="22"/>
          </w:rPr>
          <w:fldChar w:fldCharType="separate"/>
        </w:r>
        <w:r w:rsidR="009E1673">
          <w:rPr>
            <w:noProof/>
            <w:sz w:val="22"/>
            <w:szCs w:val="22"/>
          </w:rPr>
          <w:t>2</w:t>
        </w:r>
        <w:r w:rsidR="004E7E0E" w:rsidRPr="00B37513">
          <w:rPr>
            <w:noProof/>
            <w:sz w:val="22"/>
            <w:szCs w:val="22"/>
          </w:rPr>
          <w:fldChar w:fldCharType="end"/>
        </w:r>
      </w:sdtContent>
    </w:sdt>
  </w:p>
  <w:p w14:paraId="47699CD4" w14:textId="77777777" w:rsidR="00125291" w:rsidRPr="00B37513" w:rsidRDefault="00125291" w:rsidP="00125291">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3778" w14:textId="77777777" w:rsidR="002B54DB" w:rsidRDefault="009E1673">
    <w:pPr>
      <w:pStyle w:val="Header"/>
      <w:tabs>
        <w:tab w:val="clear" w:pos="4320"/>
        <w:tab w:val="clear" w:pos="8640"/>
      </w:tabs>
      <w:spacing w:before="360" w:line="228" w:lineRule="auto"/>
      <w:jc w:val="center"/>
    </w:pPr>
    <w:r>
      <w:rPr>
        <w:rFonts w:ascii="CG Times (W1)" w:hAnsi="CG Times (W1)"/>
        <w:sz w:val="28"/>
      </w:rPr>
      <w:pict w14:anchorId="464D0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27086895" r:id="rId2"/>
      </w:pict>
    </w:r>
    <w:r w:rsidR="002B54DB">
      <w:rPr>
        <w:rFonts w:ascii="CG Times (W1)" w:hAnsi="CG Times (W1)"/>
        <w:sz w:val="28"/>
      </w:rPr>
      <w:t>Federal Communications Commission</w:t>
    </w:r>
  </w:p>
  <w:p w14:paraId="27B1AF3E" w14:textId="77777777" w:rsidR="002B54DB" w:rsidRDefault="002B54DB">
    <w:pPr>
      <w:jc w:val="center"/>
    </w:pPr>
    <w:r>
      <w:rPr>
        <w:rFonts w:ascii="CG Times (W1)" w:hAnsi="CG Times (W1)"/>
        <w:sz w:val="28"/>
      </w:rPr>
      <w:t>Washington, D.C. 20554</w:t>
    </w:r>
  </w:p>
  <w:p w14:paraId="669C9D49" w14:textId="77777777" w:rsidR="002B54DB" w:rsidRDefault="002B54DB">
    <w:pPr>
      <w:pStyle w:val="Header"/>
      <w:tabs>
        <w:tab w:val="clear" w:pos="4320"/>
      </w:tabs>
      <w:jc w:val="center"/>
      <w:rPr>
        <w:sz w:val="22"/>
      </w:rPr>
    </w:pPr>
  </w:p>
  <w:p w14:paraId="214AE977" w14:textId="77777777" w:rsidR="002B54DB" w:rsidRDefault="002B54DB">
    <w:pPr>
      <w:pStyle w:val="Header"/>
      <w:tabs>
        <w:tab w:val="clear" w:pos="4320"/>
      </w:tabs>
      <w:jc w:val="center"/>
      <w:rPr>
        <w:sz w:val="22"/>
      </w:rPr>
    </w:pPr>
  </w:p>
  <w:p w14:paraId="51EB3BF1" w14:textId="608F4247" w:rsidR="002B54DB" w:rsidRDefault="00391A36">
    <w:pPr>
      <w:pStyle w:val="Header"/>
      <w:tabs>
        <w:tab w:val="clear" w:pos="4320"/>
      </w:tabs>
      <w:jc w:val="center"/>
      <w:rPr>
        <w:sz w:val="24"/>
      </w:rPr>
    </w:pPr>
    <w:r>
      <w:rPr>
        <w:sz w:val="24"/>
      </w:rPr>
      <w:t xml:space="preserve">June </w:t>
    </w:r>
    <w:r w:rsidR="00A630CF">
      <w:rPr>
        <w:sz w:val="24"/>
      </w:rPr>
      <w:t>13</w:t>
    </w:r>
    <w:r>
      <w:rPr>
        <w:sz w:val="24"/>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5"/>
    <w:rsid w:val="000752F3"/>
    <w:rsid w:val="0007742E"/>
    <w:rsid w:val="000A0279"/>
    <w:rsid w:val="000A4A8F"/>
    <w:rsid w:val="00105998"/>
    <w:rsid w:val="00125291"/>
    <w:rsid w:val="00130F04"/>
    <w:rsid w:val="00137768"/>
    <w:rsid w:val="0015438F"/>
    <w:rsid w:val="001657DC"/>
    <w:rsid w:val="00182DD2"/>
    <w:rsid w:val="001A68E7"/>
    <w:rsid w:val="001B6BDF"/>
    <w:rsid w:val="001C32A0"/>
    <w:rsid w:val="001C6A12"/>
    <w:rsid w:val="00204CE3"/>
    <w:rsid w:val="00233EEC"/>
    <w:rsid w:val="00237AE6"/>
    <w:rsid w:val="00282B93"/>
    <w:rsid w:val="002840F7"/>
    <w:rsid w:val="00286591"/>
    <w:rsid w:val="00293564"/>
    <w:rsid w:val="002A41BB"/>
    <w:rsid w:val="002B54DB"/>
    <w:rsid w:val="00300A0E"/>
    <w:rsid w:val="00321CE9"/>
    <w:rsid w:val="00383D55"/>
    <w:rsid w:val="00391A36"/>
    <w:rsid w:val="003C1676"/>
    <w:rsid w:val="003C2F77"/>
    <w:rsid w:val="003F0C59"/>
    <w:rsid w:val="003F7214"/>
    <w:rsid w:val="004208F6"/>
    <w:rsid w:val="004456C2"/>
    <w:rsid w:val="004855A0"/>
    <w:rsid w:val="00490076"/>
    <w:rsid w:val="004C1969"/>
    <w:rsid w:val="004C7070"/>
    <w:rsid w:val="004D3B53"/>
    <w:rsid w:val="004E7E0E"/>
    <w:rsid w:val="004F64A8"/>
    <w:rsid w:val="005409D1"/>
    <w:rsid w:val="005A245E"/>
    <w:rsid w:val="005A4CCF"/>
    <w:rsid w:val="005C2195"/>
    <w:rsid w:val="005D0E3A"/>
    <w:rsid w:val="005D44C3"/>
    <w:rsid w:val="006056D1"/>
    <w:rsid w:val="006075BC"/>
    <w:rsid w:val="00622C53"/>
    <w:rsid w:val="006266A5"/>
    <w:rsid w:val="00627168"/>
    <w:rsid w:val="006538D6"/>
    <w:rsid w:val="006A1F52"/>
    <w:rsid w:val="006B4A77"/>
    <w:rsid w:val="006C180C"/>
    <w:rsid w:val="00707F03"/>
    <w:rsid w:val="007303F3"/>
    <w:rsid w:val="00735605"/>
    <w:rsid w:val="0075262F"/>
    <w:rsid w:val="00776F1F"/>
    <w:rsid w:val="00785D01"/>
    <w:rsid w:val="00796598"/>
    <w:rsid w:val="007C6157"/>
    <w:rsid w:val="007D72EE"/>
    <w:rsid w:val="007D7E98"/>
    <w:rsid w:val="007E1F11"/>
    <w:rsid w:val="008234DF"/>
    <w:rsid w:val="008367E3"/>
    <w:rsid w:val="00846843"/>
    <w:rsid w:val="00866464"/>
    <w:rsid w:val="00871B26"/>
    <w:rsid w:val="0087504A"/>
    <w:rsid w:val="008855D4"/>
    <w:rsid w:val="008902D0"/>
    <w:rsid w:val="00893F01"/>
    <w:rsid w:val="008A1538"/>
    <w:rsid w:val="008A1C16"/>
    <w:rsid w:val="008A4C8B"/>
    <w:rsid w:val="008A53A8"/>
    <w:rsid w:val="008B1A92"/>
    <w:rsid w:val="008F1253"/>
    <w:rsid w:val="00904F1D"/>
    <w:rsid w:val="00905922"/>
    <w:rsid w:val="009126A4"/>
    <w:rsid w:val="00923891"/>
    <w:rsid w:val="009E1673"/>
    <w:rsid w:val="009E295A"/>
    <w:rsid w:val="009F0D47"/>
    <w:rsid w:val="00A21467"/>
    <w:rsid w:val="00A31696"/>
    <w:rsid w:val="00A32552"/>
    <w:rsid w:val="00A630CF"/>
    <w:rsid w:val="00AA695B"/>
    <w:rsid w:val="00AB0292"/>
    <w:rsid w:val="00AC7523"/>
    <w:rsid w:val="00AF10E1"/>
    <w:rsid w:val="00AF6FD6"/>
    <w:rsid w:val="00B23F15"/>
    <w:rsid w:val="00B37513"/>
    <w:rsid w:val="00B546EC"/>
    <w:rsid w:val="00B67DE6"/>
    <w:rsid w:val="00B83883"/>
    <w:rsid w:val="00B95618"/>
    <w:rsid w:val="00BA29A7"/>
    <w:rsid w:val="00C061C1"/>
    <w:rsid w:val="00C45085"/>
    <w:rsid w:val="00C47F26"/>
    <w:rsid w:val="00C96C48"/>
    <w:rsid w:val="00CD5228"/>
    <w:rsid w:val="00CD5845"/>
    <w:rsid w:val="00CF3547"/>
    <w:rsid w:val="00D17D71"/>
    <w:rsid w:val="00D305C7"/>
    <w:rsid w:val="00D567AC"/>
    <w:rsid w:val="00D56865"/>
    <w:rsid w:val="00DA1327"/>
    <w:rsid w:val="00DA353E"/>
    <w:rsid w:val="00DB1FCB"/>
    <w:rsid w:val="00DC77BF"/>
    <w:rsid w:val="00E00ADB"/>
    <w:rsid w:val="00E34B80"/>
    <w:rsid w:val="00E4753C"/>
    <w:rsid w:val="00E65776"/>
    <w:rsid w:val="00E84ED9"/>
    <w:rsid w:val="00E94075"/>
    <w:rsid w:val="00EA24B6"/>
    <w:rsid w:val="00EA2A0A"/>
    <w:rsid w:val="00ED6505"/>
    <w:rsid w:val="00EF5152"/>
    <w:rsid w:val="00F245E8"/>
    <w:rsid w:val="00F42889"/>
    <w:rsid w:val="00F74E1E"/>
    <w:rsid w:val="00FA280A"/>
    <w:rsid w:val="00FC6FC3"/>
    <w:rsid w:val="00FC738D"/>
    <w:rsid w:val="00FD4118"/>
    <w:rsid w:val="00FD6DB1"/>
    <w:rsid w:val="00FD7876"/>
    <w:rsid w:val="00FE0AD5"/>
    <w:rsid w:val="00FE10E2"/>
    <w:rsid w:val="00FE2709"/>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6B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n,f,ALTS FOOTNOTE,ft"/>
    <w:link w:val="FootnoteTextChar2"/>
    <w:rsid w:val="00FE10E2"/>
    <w:pPr>
      <w:spacing w:after="120"/>
    </w:pPr>
  </w:style>
  <w:style w:type="character" w:customStyle="1" w:styleId="FootnoteTextChar">
    <w:name w:val="Footnote Text Char"/>
    <w:aliases w:val="Footnote Text Char1 Char Char Char,Footnote Text Char Char Char Char Char,ft Char,ALTS FOOTNOTE Char"/>
    <w:basedOn w:val="DefaultParagraphFont"/>
    <w:rsid w:val="00FE10E2"/>
  </w:style>
  <w:style w:type="character" w:styleId="FootnoteReference">
    <w:name w:val="footnote reference"/>
    <w:aliases w:val="Appel note de bas de p,o,fr,Style 12,(NECG) Footnote Reference,Style 124,Style 3,Style 17,FR"/>
    <w:rsid w:val="00FE10E2"/>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f Char"/>
    <w:link w:val="FootnoteText"/>
    <w:rsid w:val="00FE10E2"/>
  </w:style>
  <w:style w:type="paragraph" w:customStyle="1" w:styleId="ParaNum">
    <w:name w:val="ParaNum"/>
    <w:basedOn w:val="Normal"/>
    <w:link w:val="ParaNumChar"/>
    <w:rsid w:val="00FA280A"/>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locked/>
    <w:rsid w:val="00FA280A"/>
    <w:rPr>
      <w:snapToGrid w:val="0"/>
      <w:kern w:val="28"/>
      <w:sz w:val="22"/>
    </w:rPr>
  </w:style>
  <w:style w:type="paragraph" w:customStyle="1" w:styleId="ParaNumChar1">
    <w:name w:val="ParaNum Char1"/>
    <w:basedOn w:val="Normal"/>
    <w:rsid w:val="00FA280A"/>
    <w:pPr>
      <w:widowControl w:val="0"/>
      <w:tabs>
        <w:tab w:val="num" w:pos="990"/>
      </w:tabs>
      <w:spacing w:after="220"/>
      <w:ind w:left="-90" w:firstLine="720"/>
      <w:jc w:val="both"/>
    </w:pPr>
    <w:rPr>
      <w:rFonts w:eastAsia="SimSun"/>
      <w:snapToGrid w:val="0"/>
      <w:kern w:val="28"/>
      <w:sz w:val="22"/>
    </w:rPr>
  </w:style>
  <w:style w:type="character" w:customStyle="1" w:styleId="HeaderChar">
    <w:name w:val="Header Char"/>
    <w:basedOn w:val="DefaultParagraphFont"/>
    <w:link w:val="Header"/>
    <w:uiPriority w:val="99"/>
    <w:rsid w:val="00125291"/>
  </w:style>
  <w:style w:type="paragraph" w:styleId="BalloonText">
    <w:name w:val="Balloon Text"/>
    <w:basedOn w:val="Normal"/>
    <w:link w:val="BalloonTextChar"/>
    <w:uiPriority w:val="99"/>
    <w:semiHidden/>
    <w:unhideWhenUsed/>
    <w:rsid w:val="00DA1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27"/>
    <w:rPr>
      <w:rFonts w:ascii="Segoe UI" w:hAnsi="Segoe UI" w:cs="Segoe UI"/>
      <w:sz w:val="18"/>
      <w:szCs w:val="18"/>
    </w:rPr>
  </w:style>
  <w:style w:type="character" w:styleId="CommentReference">
    <w:name w:val="annotation reference"/>
    <w:basedOn w:val="DefaultParagraphFont"/>
    <w:uiPriority w:val="99"/>
    <w:semiHidden/>
    <w:unhideWhenUsed/>
    <w:rsid w:val="00871B26"/>
    <w:rPr>
      <w:sz w:val="16"/>
      <w:szCs w:val="16"/>
    </w:rPr>
  </w:style>
  <w:style w:type="paragraph" w:styleId="CommentText">
    <w:name w:val="annotation text"/>
    <w:basedOn w:val="Normal"/>
    <w:link w:val="CommentTextChar"/>
    <w:uiPriority w:val="99"/>
    <w:semiHidden/>
    <w:unhideWhenUsed/>
    <w:rsid w:val="00871B26"/>
  </w:style>
  <w:style w:type="character" w:customStyle="1" w:styleId="CommentTextChar">
    <w:name w:val="Comment Text Char"/>
    <w:basedOn w:val="DefaultParagraphFont"/>
    <w:link w:val="CommentText"/>
    <w:uiPriority w:val="99"/>
    <w:semiHidden/>
    <w:rsid w:val="00871B26"/>
  </w:style>
  <w:style w:type="paragraph" w:styleId="CommentSubject">
    <w:name w:val="annotation subject"/>
    <w:basedOn w:val="CommentText"/>
    <w:next w:val="CommentText"/>
    <w:link w:val="CommentSubjectChar"/>
    <w:uiPriority w:val="99"/>
    <w:semiHidden/>
    <w:unhideWhenUsed/>
    <w:rsid w:val="00871B26"/>
    <w:rPr>
      <w:b/>
      <w:bCs/>
    </w:rPr>
  </w:style>
  <w:style w:type="character" w:customStyle="1" w:styleId="CommentSubjectChar">
    <w:name w:val="Comment Subject Char"/>
    <w:basedOn w:val="CommentTextChar"/>
    <w:link w:val="CommentSubject"/>
    <w:uiPriority w:val="99"/>
    <w:semiHidden/>
    <w:rsid w:val="00871B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n,f,ALTS FOOTNOTE,ft"/>
    <w:link w:val="FootnoteTextChar2"/>
    <w:rsid w:val="00FE10E2"/>
    <w:pPr>
      <w:spacing w:after="120"/>
    </w:pPr>
  </w:style>
  <w:style w:type="character" w:customStyle="1" w:styleId="FootnoteTextChar">
    <w:name w:val="Footnote Text Char"/>
    <w:aliases w:val="Footnote Text Char1 Char Char Char,Footnote Text Char Char Char Char Char,ft Char,ALTS FOOTNOTE Char"/>
    <w:basedOn w:val="DefaultParagraphFont"/>
    <w:rsid w:val="00FE10E2"/>
  </w:style>
  <w:style w:type="character" w:styleId="FootnoteReference">
    <w:name w:val="footnote reference"/>
    <w:aliases w:val="Appel note de bas de p,o,fr,Style 12,(NECG) Footnote Reference,Style 124,Style 3,Style 17,FR"/>
    <w:rsid w:val="00FE10E2"/>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f Char"/>
    <w:link w:val="FootnoteText"/>
    <w:rsid w:val="00FE10E2"/>
  </w:style>
  <w:style w:type="paragraph" w:customStyle="1" w:styleId="ParaNum">
    <w:name w:val="ParaNum"/>
    <w:basedOn w:val="Normal"/>
    <w:link w:val="ParaNumChar"/>
    <w:rsid w:val="00FA280A"/>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locked/>
    <w:rsid w:val="00FA280A"/>
    <w:rPr>
      <w:snapToGrid w:val="0"/>
      <w:kern w:val="28"/>
      <w:sz w:val="22"/>
    </w:rPr>
  </w:style>
  <w:style w:type="paragraph" w:customStyle="1" w:styleId="ParaNumChar1">
    <w:name w:val="ParaNum Char1"/>
    <w:basedOn w:val="Normal"/>
    <w:rsid w:val="00FA280A"/>
    <w:pPr>
      <w:widowControl w:val="0"/>
      <w:tabs>
        <w:tab w:val="num" w:pos="990"/>
      </w:tabs>
      <w:spacing w:after="220"/>
      <w:ind w:left="-90" w:firstLine="720"/>
      <w:jc w:val="both"/>
    </w:pPr>
    <w:rPr>
      <w:rFonts w:eastAsia="SimSun"/>
      <w:snapToGrid w:val="0"/>
      <w:kern w:val="28"/>
      <w:sz w:val="22"/>
    </w:rPr>
  </w:style>
  <w:style w:type="character" w:customStyle="1" w:styleId="HeaderChar">
    <w:name w:val="Header Char"/>
    <w:basedOn w:val="DefaultParagraphFont"/>
    <w:link w:val="Header"/>
    <w:uiPriority w:val="99"/>
    <w:rsid w:val="00125291"/>
  </w:style>
  <w:style w:type="paragraph" w:styleId="BalloonText">
    <w:name w:val="Balloon Text"/>
    <w:basedOn w:val="Normal"/>
    <w:link w:val="BalloonTextChar"/>
    <w:uiPriority w:val="99"/>
    <w:semiHidden/>
    <w:unhideWhenUsed/>
    <w:rsid w:val="00DA13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327"/>
    <w:rPr>
      <w:rFonts w:ascii="Segoe UI" w:hAnsi="Segoe UI" w:cs="Segoe UI"/>
      <w:sz w:val="18"/>
      <w:szCs w:val="18"/>
    </w:rPr>
  </w:style>
  <w:style w:type="character" w:styleId="CommentReference">
    <w:name w:val="annotation reference"/>
    <w:basedOn w:val="DefaultParagraphFont"/>
    <w:uiPriority w:val="99"/>
    <w:semiHidden/>
    <w:unhideWhenUsed/>
    <w:rsid w:val="00871B26"/>
    <w:rPr>
      <w:sz w:val="16"/>
      <w:szCs w:val="16"/>
    </w:rPr>
  </w:style>
  <w:style w:type="paragraph" w:styleId="CommentText">
    <w:name w:val="annotation text"/>
    <w:basedOn w:val="Normal"/>
    <w:link w:val="CommentTextChar"/>
    <w:uiPriority w:val="99"/>
    <w:semiHidden/>
    <w:unhideWhenUsed/>
    <w:rsid w:val="00871B26"/>
  </w:style>
  <w:style w:type="character" w:customStyle="1" w:styleId="CommentTextChar">
    <w:name w:val="Comment Text Char"/>
    <w:basedOn w:val="DefaultParagraphFont"/>
    <w:link w:val="CommentText"/>
    <w:uiPriority w:val="99"/>
    <w:semiHidden/>
    <w:rsid w:val="00871B26"/>
  </w:style>
  <w:style w:type="paragraph" w:styleId="CommentSubject">
    <w:name w:val="annotation subject"/>
    <w:basedOn w:val="CommentText"/>
    <w:next w:val="CommentText"/>
    <w:link w:val="CommentSubjectChar"/>
    <w:uiPriority w:val="99"/>
    <w:semiHidden/>
    <w:unhideWhenUsed/>
    <w:rsid w:val="00871B26"/>
    <w:rPr>
      <w:b/>
      <w:bCs/>
    </w:rPr>
  </w:style>
  <w:style w:type="character" w:customStyle="1" w:styleId="CommentSubjectChar">
    <w:name w:val="Comment Subject Char"/>
    <w:basedOn w:val="CommentTextChar"/>
    <w:link w:val="CommentSubject"/>
    <w:uiPriority w:val="99"/>
    <w:semiHidden/>
    <w:rsid w:val="00871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756084">
      <w:bodyDiv w:val="1"/>
      <w:marLeft w:val="0"/>
      <w:marRight w:val="0"/>
      <w:marTop w:val="0"/>
      <w:marBottom w:val="0"/>
      <w:divBdr>
        <w:top w:val="none" w:sz="0" w:space="0" w:color="auto"/>
        <w:left w:val="none" w:sz="0" w:space="0" w:color="auto"/>
        <w:bottom w:val="none" w:sz="0" w:space="0" w:color="auto"/>
        <w:right w:val="none" w:sz="0" w:space="0" w:color="auto"/>
      </w:divBdr>
    </w:div>
    <w:div w:id="16459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ancy.Zaczek\AppData\Local\Microsoft\Windows\Temporary%20Internet%20Files\Content.MSO\DC4D4F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DC4D4F10</Template>
  <TotalTime>0</TotalTime>
  <Pages>3</Pages>
  <Words>661</Words>
  <Characters>3498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2014-04-14T18:20:00Z</cp:lastPrinted>
  <dcterms:created xsi:type="dcterms:W3CDTF">2016-06-10T22:02:00Z</dcterms:created>
  <dcterms:modified xsi:type="dcterms:W3CDTF">2016-06-10T22:02:00Z</dcterms:modified>
  <cp:category> </cp:category>
  <cp:contentStatus> </cp:contentStatus>
</cp:coreProperties>
</file>