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45992"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5C6D1BA4" w14:textId="77777777" w:rsidR="00921803" w:rsidRDefault="00921803" w:rsidP="00921803">
      <w:pPr>
        <w:pStyle w:val="StyleBoldCentered"/>
      </w:pPr>
      <w:r>
        <w:t>F</w:t>
      </w:r>
      <w:r>
        <w:rPr>
          <w:caps w:val="0"/>
        </w:rPr>
        <w:t>ederal Communications Commission</w:t>
      </w:r>
    </w:p>
    <w:p w14:paraId="60CA481B" w14:textId="77777777" w:rsidR="004C2EE3" w:rsidRDefault="00810B6F" w:rsidP="00096D8C">
      <w:pPr>
        <w:pStyle w:val="StyleBoldCentered"/>
      </w:pPr>
      <w:r>
        <w:rPr>
          <w:caps w:val="0"/>
        </w:rPr>
        <w:t>Washington, D.C. 20554</w:t>
      </w:r>
    </w:p>
    <w:p w14:paraId="4B3D125E" w14:textId="77777777" w:rsidR="004C2EE3" w:rsidRDefault="004C2EE3" w:rsidP="0070224F"/>
    <w:p w14:paraId="00F682D5"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271A20F3" w14:textId="77777777">
        <w:tc>
          <w:tcPr>
            <w:tcW w:w="4698" w:type="dxa"/>
          </w:tcPr>
          <w:p w14:paraId="0C05E153" w14:textId="77777777" w:rsidR="004C2EE3" w:rsidRDefault="004C2EE3">
            <w:pPr>
              <w:tabs>
                <w:tab w:val="center" w:pos="4680"/>
              </w:tabs>
              <w:suppressAutoHyphens/>
              <w:rPr>
                <w:spacing w:val="-2"/>
              </w:rPr>
            </w:pPr>
            <w:r>
              <w:rPr>
                <w:spacing w:val="-2"/>
              </w:rPr>
              <w:t>In the Matter of</w:t>
            </w:r>
          </w:p>
          <w:p w14:paraId="58A1EC9E" w14:textId="77777777" w:rsidR="004C2EE3" w:rsidRDefault="004C2EE3">
            <w:pPr>
              <w:tabs>
                <w:tab w:val="center" w:pos="4680"/>
              </w:tabs>
              <w:suppressAutoHyphens/>
              <w:rPr>
                <w:spacing w:val="-2"/>
              </w:rPr>
            </w:pPr>
          </w:p>
          <w:p w14:paraId="56FF48F8" w14:textId="77777777" w:rsidR="00907A05" w:rsidRPr="00907A05" w:rsidRDefault="00907A05" w:rsidP="00907A05">
            <w:pPr>
              <w:widowControl/>
              <w:tabs>
                <w:tab w:val="center" w:pos="4680"/>
              </w:tabs>
              <w:suppressAutoHyphens/>
              <w:rPr>
                <w:rFonts w:eastAsia="Calibri"/>
                <w:snapToGrid/>
                <w:spacing w:val="-2"/>
                <w:kern w:val="0"/>
                <w:szCs w:val="22"/>
              </w:rPr>
            </w:pPr>
            <w:r w:rsidRPr="00907A05">
              <w:rPr>
                <w:rFonts w:eastAsia="Calibri"/>
                <w:snapToGrid/>
                <w:spacing w:val="-2"/>
                <w:kern w:val="0"/>
                <w:szCs w:val="22"/>
              </w:rPr>
              <w:t>KSQA, LLC</w:t>
            </w:r>
          </w:p>
          <w:p w14:paraId="1A9F32E7" w14:textId="77777777" w:rsidR="00907A05" w:rsidRDefault="00907A05" w:rsidP="00907A05">
            <w:pPr>
              <w:widowControl/>
              <w:tabs>
                <w:tab w:val="center" w:pos="4680"/>
              </w:tabs>
              <w:suppressAutoHyphens/>
              <w:rPr>
                <w:rFonts w:eastAsia="Calibri"/>
                <w:snapToGrid/>
                <w:spacing w:val="-2"/>
                <w:kern w:val="0"/>
                <w:szCs w:val="22"/>
              </w:rPr>
            </w:pPr>
            <w:r w:rsidRPr="00907A05">
              <w:rPr>
                <w:rFonts w:eastAsia="Calibri"/>
                <w:snapToGrid/>
                <w:spacing w:val="-2"/>
                <w:kern w:val="0"/>
                <w:szCs w:val="22"/>
              </w:rPr>
              <w:t>Licensee of Station</w:t>
            </w:r>
            <w:r>
              <w:rPr>
                <w:rFonts w:eastAsia="Calibri"/>
                <w:snapToGrid/>
                <w:spacing w:val="-2"/>
                <w:kern w:val="0"/>
                <w:szCs w:val="22"/>
              </w:rPr>
              <w:t xml:space="preserve"> KSQA</w:t>
            </w:r>
            <w:r w:rsidRPr="00907A05">
              <w:rPr>
                <w:rFonts w:eastAsia="Calibri"/>
                <w:snapToGrid/>
                <w:spacing w:val="-2"/>
                <w:kern w:val="0"/>
                <w:szCs w:val="22"/>
              </w:rPr>
              <w:t xml:space="preserve"> </w:t>
            </w:r>
          </w:p>
          <w:p w14:paraId="68709577" w14:textId="77777777" w:rsidR="00907A05" w:rsidRPr="00907A05" w:rsidRDefault="00907A05" w:rsidP="00907A05">
            <w:pPr>
              <w:widowControl/>
              <w:tabs>
                <w:tab w:val="center" w:pos="4680"/>
              </w:tabs>
              <w:suppressAutoHyphens/>
              <w:rPr>
                <w:rFonts w:eastAsia="Calibri"/>
                <w:snapToGrid/>
                <w:spacing w:val="-2"/>
                <w:kern w:val="0"/>
                <w:szCs w:val="22"/>
              </w:rPr>
            </w:pPr>
            <w:r w:rsidRPr="00907A05">
              <w:rPr>
                <w:rFonts w:eastAsia="Calibri"/>
                <w:snapToGrid/>
                <w:spacing w:val="-2"/>
                <w:kern w:val="0"/>
                <w:szCs w:val="22"/>
              </w:rPr>
              <w:t>Topeka, Kansas</w:t>
            </w:r>
          </w:p>
          <w:p w14:paraId="4222F65C" w14:textId="77777777" w:rsidR="009D0B9A" w:rsidRPr="007115F7" w:rsidRDefault="009D0B9A" w:rsidP="007115F7">
            <w:pPr>
              <w:tabs>
                <w:tab w:val="center" w:pos="4680"/>
              </w:tabs>
              <w:suppressAutoHyphens/>
              <w:rPr>
                <w:spacing w:val="-2"/>
              </w:rPr>
            </w:pPr>
          </w:p>
        </w:tc>
        <w:tc>
          <w:tcPr>
            <w:tcW w:w="630" w:type="dxa"/>
          </w:tcPr>
          <w:p w14:paraId="5251F220" w14:textId="77777777" w:rsidR="004C2EE3" w:rsidRDefault="004C2EE3">
            <w:pPr>
              <w:tabs>
                <w:tab w:val="center" w:pos="4680"/>
              </w:tabs>
              <w:suppressAutoHyphens/>
              <w:rPr>
                <w:b/>
                <w:spacing w:val="-2"/>
              </w:rPr>
            </w:pPr>
            <w:r>
              <w:rPr>
                <w:b/>
                <w:spacing w:val="-2"/>
              </w:rPr>
              <w:t>)</w:t>
            </w:r>
          </w:p>
          <w:p w14:paraId="2CC29323" w14:textId="77777777" w:rsidR="004C2EE3" w:rsidRDefault="004C2EE3">
            <w:pPr>
              <w:tabs>
                <w:tab w:val="center" w:pos="4680"/>
              </w:tabs>
              <w:suppressAutoHyphens/>
              <w:rPr>
                <w:b/>
                <w:spacing w:val="-2"/>
              </w:rPr>
            </w:pPr>
            <w:r>
              <w:rPr>
                <w:b/>
                <w:spacing w:val="-2"/>
              </w:rPr>
              <w:t>)</w:t>
            </w:r>
          </w:p>
          <w:p w14:paraId="3F937391" w14:textId="77777777" w:rsidR="004C2EE3" w:rsidRDefault="004C2EE3">
            <w:pPr>
              <w:tabs>
                <w:tab w:val="center" w:pos="4680"/>
              </w:tabs>
              <w:suppressAutoHyphens/>
              <w:rPr>
                <w:b/>
                <w:spacing w:val="-2"/>
              </w:rPr>
            </w:pPr>
            <w:r>
              <w:rPr>
                <w:b/>
                <w:spacing w:val="-2"/>
              </w:rPr>
              <w:t>)</w:t>
            </w:r>
          </w:p>
          <w:p w14:paraId="16C550F4" w14:textId="77777777" w:rsidR="004C2EE3" w:rsidRDefault="004C2EE3">
            <w:pPr>
              <w:tabs>
                <w:tab w:val="center" w:pos="4680"/>
              </w:tabs>
              <w:suppressAutoHyphens/>
              <w:rPr>
                <w:b/>
                <w:spacing w:val="-2"/>
              </w:rPr>
            </w:pPr>
            <w:r>
              <w:rPr>
                <w:b/>
                <w:spacing w:val="-2"/>
              </w:rPr>
              <w:t>)</w:t>
            </w:r>
          </w:p>
          <w:p w14:paraId="2ABF5ADD" w14:textId="77777777" w:rsidR="004C2EE3" w:rsidRPr="009D0B9A" w:rsidRDefault="004C2EE3">
            <w:pPr>
              <w:tabs>
                <w:tab w:val="center" w:pos="4680"/>
              </w:tabs>
              <w:suppressAutoHyphens/>
              <w:rPr>
                <w:b/>
                <w:spacing w:val="-2"/>
              </w:rPr>
            </w:pPr>
            <w:r>
              <w:rPr>
                <w:b/>
                <w:spacing w:val="-2"/>
              </w:rPr>
              <w:t>)</w:t>
            </w:r>
          </w:p>
        </w:tc>
        <w:tc>
          <w:tcPr>
            <w:tcW w:w="4248" w:type="dxa"/>
          </w:tcPr>
          <w:p w14:paraId="0A0D88EF" w14:textId="77777777" w:rsidR="004C2EE3" w:rsidRDefault="004C2EE3">
            <w:pPr>
              <w:tabs>
                <w:tab w:val="center" w:pos="4680"/>
              </w:tabs>
              <w:suppressAutoHyphens/>
              <w:rPr>
                <w:spacing w:val="-2"/>
              </w:rPr>
            </w:pPr>
          </w:p>
          <w:p w14:paraId="444AF897" w14:textId="77777777" w:rsidR="004C2EE3" w:rsidRDefault="004C2EE3">
            <w:pPr>
              <w:pStyle w:val="TOAHeading"/>
              <w:tabs>
                <w:tab w:val="clear" w:pos="9360"/>
                <w:tab w:val="center" w:pos="4680"/>
              </w:tabs>
              <w:rPr>
                <w:spacing w:val="-2"/>
              </w:rPr>
            </w:pPr>
          </w:p>
          <w:p w14:paraId="0B2F8270" w14:textId="77777777" w:rsidR="00907A05" w:rsidRPr="00907A05" w:rsidRDefault="00907A05" w:rsidP="00907A05">
            <w:pPr>
              <w:widowControl/>
              <w:tabs>
                <w:tab w:val="center" w:pos="4680"/>
              </w:tabs>
              <w:suppressAutoHyphens/>
              <w:rPr>
                <w:rFonts w:eastAsia="Calibri"/>
                <w:snapToGrid/>
                <w:spacing w:val="-2"/>
                <w:kern w:val="0"/>
                <w:szCs w:val="22"/>
              </w:rPr>
            </w:pPr>
            <w:r w:rsidRPr="00907A05">
              <w:rPr>
                <w:rFonts w:eastAsia="Calibri"/>
                <w:snapToGrid/>
                <w:spacing w:val="-2"/>
                <w:kern w:val="0"/>
                <w:szCs w:val="22"/>
              </w:rPr>
              <w:t xml:space="preserve">Facility ID No. </w:t>
            </w:r>
            <w:r w:rsidRPr="00907A05">
              <w:rPr>
                <w:rFonts w:eastAsia="Calibri"/>
                <w:snapToGrid/>
                <w:kern w:val="0"/>
                <w:szCs w:val="22"/>
              </w:rPr>
              <w:t>166546</w:t>
            </w:r>
          </w:p>
          <w:p w14:paraId="38ABC466" w14:textId="77777777" w:rsidR="00907A05" w:rsidRPr="00907A05" w:rsidRDefault="00907A05" w:rsidP="00907A05">
            <w:pPr>
              <w:widowControl/>
              <w:tabs>
                <w:tab w:val="center" w:pos="4680"/>
              </w:tabs>
              <w:suppressAutoHyphens/>
              <w:rPr>
                <w:rFonts w:eastAsia="Calibri"/>
                <w:snapToGrid/>
                <w:spacing w:val="-2"/>
                <w:kern w:val="0"/>
                <w:szCs w:val="22"/>
              </w:rPr>
            </w:pPr>
            <w:r w:rsidRPr="00907A05">
              <w:rPr>
                <w:rFonts w:eastAsia="Calibri"/>
                <w:snapToGrid/>
                <w:spacing w:val="-2"/>
                <w:kern w:val="0"/>
                <w:szCs w:val="22"/>
              </w:rPr>
              <w:t xml:space="preserve">NAL/Acct. No.: </w:t>
            </w:r>
            <w:r w:rsidRPr="00907A05">
              <w:rPr>
                <w:rFonts w:eastAsia="Calibri"/>
                <w:snapToGrid/>
                <w:kern w:val="0"/>
                <w:szCs w:val="22"/>
              </w:rPr>
              <w:t>201641420007</w:t>
            </w:r>
          </w:p>
          <w:p w14:paraId="309A625C" w14:textId="1A9A3FC6" w:rsidR="00907A05" w:rsidRPr="00907A05" w:rsidRDefault="00907A05" w:rsidP="00907A05">
            <w:pPr>
              <w:widowControl/>
              <w:tabs>
                <w:tab w:val="center" w:pos="4680"/>
              </w:tabs>
              <w:suppressAutoHyphens/>
              <w:rPr>
                <w:rFonts w:eastAsia="Calibri"/>
                <w:snapToGrid/>
                <w:spacing w:val="-2"/>
                <w:kern w:val="0"/>
                <w:szCs w:val="22"/>
              </w:rPr>
            </w:pPr>
            <w:r w:rsidRPr="00907A05">
              <w:rPr>
                <w:rFonts w:eastAsia="Calibri"/>
                <w:snapToGrid/>
                <w:spacing w:val="-2"/>
                <w:kern w:val="0"/>
                <w:szCs w:val="22"/>
              </w:rPr>
              <w:t>FRN:</w:t>
            </w:r>
            <w:r w:rsidR="00190737">
              <w:rPr>
                <w:rFonts w:eastAsia="Calibri"/>
                <w:snapToGrid/>
                <w:spacing w:val="-2"/>
                <w:kern w:val="0"/>
                <w:szCs w:val="22"/>
              </w:rPr>
              <w:t xml:space="preserve"> </w:t>
            </w:r>
            <w:r w:rsidRPr="00907A05">
              <w:rPr>
                <w:rFonts w:eastAsia="Calibri"/>
                <w:snapToGrid/>
                <w:kern w:val="0"/>
                <w:szCs w:val="22"/>
              </w:rPr>
              <w:t>19020957</w:t>
            </w:r>
          </w:p>
          <w:p w14:paraId="2DBC2D14" w14:textId="77777777" w:rsidR="009D0B9A" w:rsidRDefault="009D0B9A">
            <w:pPr>
              <w:tabs>
                <w:tab w:val="center" w:pos="4680"/>
              </w:tabs>
              <w:suppressAutoHyphens/>
              <w:rPr>
                <w:spacing w:val="-2"/>
              </w:rPr>
            </w:pPr>
          </w:p>
        </w:tc>
      </w:tr>
    </w:tbl>
    <w:p w14:paraId="306EC519" w14:textId="77777777" w:rsidR="004C2EE3" w:rsidRDefault="004C2EE3" w:rsidP="0070224F"/>
    <w:p w14:paraId="248C1A1D" w14:textId="77777777" w:rsidR="00841AB1" w:rsidRDefault="009D0B9A" w:rsidP="00F021FA">
      <w:pPr>
        <w:pStyle w:val="StyleBoldCentered"/>
      </w:pPr>
      <w:r>
        <w:t>Forfeiture Order</w:t>
      </w:r>
    </w:p>
    <w:p w14:paraId="2DD28FB2" w14:textId="77777777" w:rsidR="004C2EE3" w:rsidRDefault="004C2EE3">
      <w:pPr>
        <w:tabs>
          <w:tab w:val="left" w:pos="-720"/>
        </w:tabs>
        <w:suppressAutoHyphens/>
        <w:spacing w:line="227" w:lineRule="auto"/>
        <w:rPr>
          <w:spacing w:val="-2"/>
        </w:rPr>
      </w:pPr>
    </w:p>
    <w:p w14:paraId="01DF6C3F" w14:textId="456FF5FF" w:rsidR="004C2EE3" w:rsidRDefault="004C2EE3" w:rsidP="00133F79">
      <w:pPr>
        <w:tabs>
          <w:tab w:val="left" w:pos="720"/>
          <w:tab w:val="right" w:pos="9360"/>
        </w:tabs>
        <w:suppressAutoHyphens/>
        <w:spacing w:line="227" w:lineRule="auto"/>
        <w:rPr>
          <w:spacing w:val="-2"/>
        </w:rPr>
      </w:pPr>
      <w:r>
        <w:rPr>
          <w:b/>
          <w:spacing w:val="-2"/>
        </w:rPr>
        <w:t xml:space="preserve">Adopted:  </w:t>
      </w:r>
      <w:r w:rsidR="00A61F88">
        <w:rPr>
          <w:b/>
          <w:spacing w:val="-2"/>
        </w:rPr>
        <w:t>June 16, 2016</w:t>
      </w:r>
      <w:r>
        <w:rPr>
          <w:b/>
          <w:spacing w:val="-2"/>
        </w:rPr>
        <w:tab/>
      </w:r>
      <w:r w:rsidR="00822CE0">
        <w:rPr>
          <w:b/>
          <w:spacing w:val="-2"/>
        </w:rPr>
        <w:t>Released</w:t>
      </w:r>
      <w:r w:rsidR="00907A05">
        <w:rPr>
          <w:b/>
          <w:spacing w:val="-2"/>
        </w:rPr>
        <w:t xml:space="preserve">:   </w:t>
      </w:r>
      <w:r w:rsidR="00A61F88">
        <w:rPr>
          <w:b/>
          <w:spacing w:val="-2"/>
        </w:rPr>
        <w:t>June 16, 2016</w:t>
      </w:r>
    </w:p>
    <w:p w14:paraId="7348526C" w14:textId="77777777" w:rsidR="00822CE0" w:rsidRDefault="00822CE0"/>
    <w:p w14:paraId="388EF984" w14:textId="77777777" w:rsidR="004C2EE3" w:rsidRDefault="004C2EE3">
      <w:pPr>
        <w:rPr>
          <w:spacing w:val="-2"/>
        </w:rPr>
      </w:pPr>
      <w:r>
        <w:t xml:space="preserve">By </w:t>
      </w:r>
      <w:r w:rsidR="004E4A22">
        <w:t>the</w:t>
      </w:r>
      <w:r w:rsidR="002A2D2E">
        <w:t xml:space="preserve"> </w:t>
      </w:r>
      <w:r w:rsidR="009D0B9A">
        <w:rPr>
          <w:spacing w:val="-2"/>
        </w:rPr>
        <w:t>Chief, Video Division, Media Bureau</w:t>
      </w:r>
    </w:p>
    <w:p w14:paraId="6007064E" w14:textId="77777777" w:rsidR="00822CE0" w:rsidRDefault="00822CE0">
      <w:pPr>
        <w:rPr>
          <w:spacing w:val="-2"/>
        </w:rPr>
      </w:pPr>
    </w:p>
    <w:p w14:paraId="0889D7E0" w14:textId="77777777" w:rsidR="00412FC5" w:rsidRDefault="009D0B9A" w:rsidP="00253621">
      <w:pPr>
        <w:pStyle w:val="Heading1"/>
      </w:pPr>
      <w:r>
        <w:t>introduction</w:t>
      </w:r>
    </w:p>
    <w:p w14:paraId="2B2B5151" w14:textId="77777777" w:rsidR="009D0B9A" w:rsidRPr="009D0B9A" w:rsidRDefault="009D0B9A" w:rsidP="00253621">
      <w:pPr>
        <w:pStyle w:val="ParaNum"/>
      </w:pPr>
      <w:r w:rsidRPr="009D0B9A">
        <w:rPr>
          <w:spacing w:val="-2"/>
        </w:rPr>
        <w:t xml:space="preserve">In this </w:t>
      </w:r>
      <w:r w:rsidRPr="009D0B9A">
        <w:rPr>
          <w:i/>
          <w:spacing w:val="-2"/>
        </w:rPr>
        <w:t>Forfeiture Order</w:t>
      </w:r>
      <w:r w:rsidRPr="009D0B9A">
        <w:rPr>
          <w:spacing w:val="-2"/>
        </w:rPr>
        <w:t>, issued pursuant to Sec</w:t>
      </w:r>
      <w:r>
        <w:rPr>
          <w:spacing w:val="-2"/>
        </w:rPr>
        <w:t>tions 0.61(f)(1) and 1.80(a)(1),</w:t>
      </w:r>
      <w:r w:rsidRPr="009D0B9A">
        <w:rPr>
          <w:spacing w:val="-2"/>
        </w:rPr>
        <w:t>(2) of the Commission’s rules (Rules),</w:t>
      </w:r>
      <w:r w:rsidR="00A523DB" w:rsidRPr="009D0B9A">
        <w:rPr>
          <w:spacing w:val="-2"/>
          <w:sz w:val="20"/>
          <w:szCs w:val="22"/>
          <w:vertAlign w:val="superscript"/>
        </w:rPr>
        <w:footnoteReference w:id="2"/>
      </w:r>
      <w:r w:rsidRPr="009D0B9A">
        <w:rPr>
          <w:spacing w:val="-2"/>
        </w:rPr>
        <w:t xml:space="preserve"> </w:t>
      </w:r>
      <w:r w:rsidRPr="009D0B9A">
        <w:t xml:space="preserve">we find that </w:t>
      </w:r>
      <w:r w:rsidR="009939BF">
        <w:t>KSQA, LLC</w:t>
      </w:r>
      <w:r w:rsidRPr="009D0B9A">
        <w:t xml:space="preserve"> (Licensee), licensee of Station </w:t>
      </w:r>
      <w:r w:rsidR="009939BF">
        <w:t>KSQA, Topeka, Kansas (KSQA or Station</w:t>
      </w:r>
      <w:r w:rsidRPr="009D0B9A">
        <w:t xml:space="preserve">): </w:t>
      </w:r>
      <w:r>
        <w:t xml:space="preserve"> </w:t>
      </w:r>
      <w:r w:rsidRPr="009D0B9A">
        <w:t>(1) willfully and/or repeatedly violated Section 73.3526(e)(11)(iii) of the Rules</w:t>
      </w:r>
      <w:r w:rsidRPr="009D0B9A">
        <w:rPr>
          <w:vertAlign w:val="superscript"/>
        </w:rPr>
        <w:footnoteReference w:id="3"/>
      </w:r>
      <w:r w:rsidRPr="009D0B9A">
        <w:t xml:space="preserve"> by failing to file with the Commission in a timely manner Children’s Television Programming Reports (FCC Form 398) for</w:t>
      </w:r>
      <w:r w:rsidR="009939BF">
        <w:t xml:space="preserve"> fourteen</w:t>
      </w:r>
      <w:r w:rsidRPr="009D0B9A">
        <w:t xml:space="preserve"> quarters; and (2) willfully and/or repeatedly violated </w:t>
      </w:r>
      <w:r w:rsidRPr="009D0B9A">
        <w:rPr>
          <w:snapToGrid/>
        </w:rPr>
        <w:t>Section 73.3514(a) of the Rules</w:t>
      </w:r>
      <w:r w:rsidR="00EA63C0" w:rsidRPr="009D0B9A">
        <w:rPr>
          <w:snapToGrid/>
          <w:sz w:val="20"/>
          <w:vertAlign w:val="superscript"/>
        </w:rPr>
        <w:footnoteReference w:id="4"/>
      </w:r>
      <w:r w:rsidRPr="009D0B9A">
        <w:rPr>
          <w:snapToGrid/>
        </w:rPr>
        <w:t xml:space="preserve"> by failing to report those late filings in its renewal application.  </w:t>
      </w:r>
      <w:r w:rsidRPr="009D0B9A">
        <w:t xml:space="preserve">Based upon our review of the facts and circumstances before us, we conclude that the Licensee is liable for a monetary forfeiture in the amount of </w:t>
      </w:r>
      <w:r w:rsidR="009939BF">
        <w:t>Fifteen</w:t>
      </w:r>
      <w:r w:rsidRPr="009D0B9A">
        <w:t xml:space="preserve"> Thousand Dollars ($</w:t>
      </w:r>
      <w:r w:rsidR="009939BF">
        <w:t>15</w:t>
      </w:r>
      <w:r w:rsidRPr="009D0B9A">
        <w:t>,000).</w:t>
      </w:r>
    </w:p>
    <w:p w14:paraId="37DB58F5" w14:textId="77777777" w:rsidR="009D0B9A" w:rsidRPr="009D0B9A" w:rsidRDefault="009D0B9A" w:rsidP="00253621">
      <w:pPr>
        <w:pStyle w:val="Heading1"/>
      </w:pPr>
      <w:r w:rsidRPr="009D0B9A">
        <w:t>BACKGROUND</w:t>
      </w:r>
    </w:p>
    <w:p w14:paraId="74F0823F" w14:textId="77777777" w:rsidR="009D0B9A" w:rsidRPr="009D0B9A" w:rsidRDefault="009D0B9A" w:rsidP="00253621">
      <w:pPr>
        <w:pStyle w:val="ParaNum"/>
        <w:widowControl/>
      </w:pPr>
      <w:r w:rsidRPr="009D0B9A">
        <w:t>The Video Division issued a Notice of Apparent Liability (</w:t>
      </w:r>
      <w:r w:rsidRPr="00A37AC7">
        <w:t>NAL</w:t>
      </w:r>
      <w:r w:rsidRPr="009D0B9A">
        <w:t xml:space="preserve">) for Forfeiture on </w:t>
      </w:r>
      <w:r w:rsidR="00D57494">
        <w:t>April 7, 2016</w:t>
      </w:r>
      <w:r w:rsidRPr="009D0B9A">
        <w:t>.</w:t>
      </w:r>
      <w:r w:rsidR="00A523DB" w:rsidRPr="009D0B9A">
        <w:rPr>
          <w:spacing w:val="-2"/>
          <w:sz w:val="20"/>
          <w:szCs w:val="22"/>
          <w:vertAlign w:val="superscript"/>
        </w:rPr>
        <w:footnoteReference w:id="5"/>
      </w:r>
      <w:r w:rsidRPr="009D0B9A">
        <w:t xml:space="preserve">  The </w:t>
      </w:r>
      <w:r w:rsidRPr="00A37AC7">
        <w:t>NAL</w:t>
      </w:r>
      <w:r w:rsidR="00CE571E">
        <w:t xml:space="preserve"> notified the Licensee that</w:t>
      </w:r>
      <w:r w:rsidR="00E426D4">
        <w:t xml:space="preserve"> (1)</w:t>
      </w:r>
      <w:r w:rsidR="00AF2222">
        <w:t xml:space="preserve"> its failure to timely file the</w:t>
      </w:r>
      <w:r w:rsidRPr="009D0B9A">
        <w:t xml:space="preserve"> Station’s Children’s Television Programming Reports for </w:t>
      </w:r>
      <w:r w:rsidR="00B226FF">
        <w:t xml:space="preserve">fourteen </w:t>
      </w:r>
      <w:r w:rsidRPr="009D0B9A">
        <w:t>quarters</w:t>
      </w:r>
      <w:r w:rsidR="00530FC7" w:rsidRPr="009D0B9A">
        <w:rPr>
          <w:sz w:val="20"/>
          <w:vertAlign w:val="superscript"/>
        </w:rPr>
        <w:footnoteReference w:id="6"/>
      </w:r>
      <w:r w:rsidR="00CE571E">
        <w:t xml:space="preserve"> constituted</w:t>
      </w:r>
      <w:r w:rsidRPr="009D0B9A">
        <w:t xml:space="preserve"> an apparent willful and/or repeated violation of Section 73.3526(e)(11)(i</w:t>
      </w:r>
      <w:r w:rsidR="00E426D4">
        <w:t>ii) of the Rules and (2) its</w:t>
      </w:r>
      <w:r w:rsidRPr="009D0B9A">
        <w:t xml:space="preserve"> failure to report these violations in its renewal application</w:t>
      </w:r>
      <w:r w:rsidR="00B949B6" w:rsidRPr="009D0B9A">
        <w:rPr>
          <w:sz w:val="20"/>
          <w:vertAlign w:val="superscript"/>
        </w:rPr>
        <w:footnoteReference w:id="7"/>
      </w:r>
      <w:r w:rsidR="00CE571E">
        <w:t xml:space="preserve"> </w:t>
      </w:r>
      <w:r w:rsidRPr="009D0B9A">
        <w:t>constituted an apparent willful and/or repeated violation of Section 73.4514(a) of the Rules.  The Division concluded that the Licensee was apparently liable for a forfeiture in the amount of $</w:t>
      </w:r>
      <w:r w:rsidR="00704C01">
        <w:t>15</w:t>
      </w:r>
      <w:r w:rsidRPr="009D0B9A">
        <w:t xml:space="preserve">,000.  </w:t>
      </w:r>
    </w:p>
    <w:p w14:paraId="49C1A385" w14:textId="21C078DA" w:rsidR="009C5602" w:rsidRPr="00A219B3" w:rsidRDefault="009D0B9A" w:rsidP="00A219B3">
      <w:pPr>
        <w:pStyle w:val="ParaNum"/>
        <w:rPr>
          <w:spacing w:val="-2"/>
        </w:rPr>
      </w:pPr>
      <w:r w:rsidRPr="009D0B9A">
        <w:t xml:space="preserve">In its </w:t>
      </w:r>
      <w:r w:rsidR="00B43BB6">
        <w:t>R</w:t>
      </w:r>
      <w:r w:rsidRPr="009D0B9A">
        <w:t xml:space="preserve">esponse submitted on </w:t>
      </w:r>
      <w:r w:rsidR="00841208">
        <w:t>April 21, 2016</w:t>
      </w:r>
      <w:r w:rsidRPr="009D0B9A">
        <w:t>, the Licensee</w:t>
      </w:r>
      <w:r w:rsidR="0074363A">
        <w:t>, through its</w:t>
      </w:r>
      <w:r w:rsidR="0052502B">
        <w:t xml:space="preserve"> counsel</w:t>
      </w:r>
      <w:r w:rsidR="0074363A">
        <w:t>,</w:t>
      </w:r>
      <w:r w:rsidRPr="009D0B9A">
        <w:t xml:space="preserve"> </w:t>
      </w:r>
      <w:r w:rsidR="0074363A">
        <w:t>admits</w:t>
      </w:r>
      <w:r w:rsidR="0052502B">
        <w:t xml:space="preserve"> it recognizes, under Commission precedent, that inadvertent failure to file a required form is not a defense to a finding of “willful and/or repeated” </w:t>
      </w:r>
      <w:r w:rsidR="0074363A">
        <w:t xml:space="preserve">violation </w:t>
      </w:r>
      <w:r w:rsidR="0052502B">
        <w:t xml:space="preserve">of the rule.  Therefore, the Licensee </w:t>
      </w:r>
      <w:r w:rsidR="009C5602">
        <w:t>asserts</w:t>
      </w:r>
      <w:r w:rsidR="0074363A">
        <w:t xml:space="preserve"> it </w:t>
      </w:r>
      <w:r w:rsidR="0052502B">
        <w:t xml:space="preserve">does not </w:t>
      </w:r>
      <w:r w:rsidR="0074363A">
        <w:lastRenderedPageBreak/>
        <w:t xml:space="preserve">propose to </w:t>
      </w:r>
      <w:r w:rsidR="0052502B">
        <w:t xml:space="preserve">contest the </w:t>
      </w:r>
      <w:r w:rsidR="0052502B" w:rsidRPr="00A37AC7">
        <w:t>NAL</w:t>
      </w:r>
      <w:r w:rsidR="0052502B">
        <w:t>.</w:t>
      </w:r>
      <w:r w:rsidR="003D128E" w:rsidRPr="009D0B9A">
        <w:rPr>
          <w:sz w:val="20"/>
          <w:szCs w:val="22"/>
          <w:vertAlign w:val="superscript"/>
        </w:rPr>
        <w:footnoteReference w:id="8"/>
      </w:r>
      <w:r w:rsidR="00E426D4">
        <w:t xml:space="preserve">  Instead, it </w:t>
      </w:r>
      <w:r w:rsidR="0074363A" w:rsidRPr="0058062A">
        <w:rPr>
          <w:szCs w:val="22"/>
        </w:rPr>
        <w:t>requests “the benefit of the red light wai</w:t>
      </w:r>
      <w:r w:rsidR="002C5EF8" w:rsidRPr="0058062A">
        <w:rPr>
          <w:szCs w:val="22"/>
        </w:rPr>
        <w:t>ver announced by the Commission</w:t>
      </w:r>
      <w:r w:rsidR="0074363A" w:rsidRPr="0058062A">
        <w:rPr>
          <w:szCs w:val="22"/>
        </w:rPr>
        <w:t>”</w:t>
      </w:r>
      <w:r w:rsidR="002C5EF8" w:rsidRPr="0058062A">
        <w:rPr>
          <w:szCs w:val="22"/>
        </w:rPr>
        <w:t xml:space="preserve"> in its </w:t>
      </w:r>
      <w:r w:rsidR="002C5EF8" w:rsidRPr="0058062A">
        <w:rPr>
          <w:i/>
          <w:szCs w:val="22"/>
        </w:rPr>
        <w:t xml:space="preserve">Application Procedures </w:t>
      </w:r>
      <w:r w:rsidR="00AD10B9" w:rsidRPr="0058062A">
        <w:rPr>
          <w:i/>
          <w:szCs w:val="22"/>
        </w:rPr>
        <w:t>P</w:t>
      </w:r>
      <w:r w:rsidR="00391207" w:rsidRPr="0058062A">
        <w:rPr>
          <w:i/>
          <w:szCs w:val="22"/>
        </w:rPr>
        <w:t xml:space="preserve">ublic </w:t>
      </w:r>
      <w:r w:rsidR="00AD10B9" w:rsidRPr="0058062A">
        <w:rPr>
          <w:i/>
          <w:szCs w:val="22"/>
        </w:rPr>
        <w:t>N</w:t>
      </w:r>
      <w:r w:rsidR="00391207" w:rsidRPr="0058062A">
        <w:rPr>
          <w:i/>
          <w:szCs w:val="22"/>
        </w:rPr>
        <w:t>otice</w:t>
      </w:r>
      <w:r w:rsidR="002C5EF8" w:rsidRPr="0058062A">
        <w:rPr>
          <w:szCs w:val="22"/>
        </w:rPr>
        <w:t xml:space="preserve"> relating to the Incentive Auction.</w:t>
      </w:r>
      <w:r w:rsidR="0074363A" w:rsidRPr="0058062A">
        <w:rPr>
          <w:rStyle w:val="FootnoteReference"/>
          <w:sz w:val="22"/>
          <w:szCs w:val="22"/>
        </w:rPr>
        <w:footnoteReference w:id="9"/>
      </w:r>
      <w:r w:rsidR="0074363A" w:rsidRPr="0058062A">
        <w:rPr>
          <w:szCs w:val="22"/>
        </w:rPr>
        <w:t xml:space="preserve"> </w:t>
      </w:r>
      <w:r w:rsidR="009C5602">
        <w:rPr>
          <w:szCs w:val="22"/>
        </w:rPr>
        <w:t xml:space="preserve"> The Licensee contends that while it did not owe money to the Commission </w:t>
      </w:r>
      <w:r w:rsidR="00A80149">
        <w:rPr>
          <w:szCs w:val="22"/>
        </w:rPr>
        <w:t>when</w:t>
      </w:r>
      <w:r w:rsidR="009C5602">
        <w:rPr>
          <w:szCs w:val="22"/>
        </w:rPr>
        <w:t xml:space="preserve"> it filed to participate in the Auction and was therefore not subject to the red light rule</w:t>
      </w:r>
      <w:r w:rsidR="00A80149">
        <w:rPr>
          <w:szCs w:val="22"/>
        </w:rPr>
        <w:t xml:space="preserve"> at that time</w:t>
      </w:r>
      <w:r w:rsidR="009C5602">
        <w:rPr>
          <w:szCs w:val="22"/>
        </w:rPr>
        <w:t xml:space="preserve">, </w:t>
      </w:r>
      <w:r w:rsidR="009B3400">
        <w:rPr>
          <w:szCs w:val="22"/>
        </w:rPr>
        <w:t>the</w:t>
      </w:r>
      <w:r w:rsidR="009C5602">
        <w:rPr>
          <w:szCs w:val="22"/>
        </w:rPr>
        <w:t xml:space="preserve"> forfeiture </w:t>
      </w:r>
      <w:r w:rsidR="009B3400">
        <w:rPr>
          <w:szCs w:val="22"/>
        </w:rPr>
        <w:t xml:space="preserve">it is now apparently liable for </w:t>
      </w:r>
      <w:r w:rsidR="009C5602">
        <w:rPr>
          <w:szCs w:val="22"/>
        </w:rPr>
        <w:t>“could</w:t>
      </w:r>
      <w:r w:rsidR="009B3400">
        <w:rPr>
          <w:szCs w:val="22"/>
        </w:rPr>
        <w:t xml:space="preserve"> [make it]</w:t>
      </w:r>
      <w:r w:rsidR="009C5602">
        <w:rPr>
          <w:szCs w:val="22"/>
        </w:rPr>
        <w:t xml:space="preserve"> subject to the red</w:t>
      </w:r>
      <w:r w:rsidR="009B3400">
        <w:rPr>
          <w:szCs w:val="22"/>
        </w:rPr>
        <w:t xml:space="preserve"> light rule in the near future</w:t>
      </w:r>
      <w:r w:rsidR="009C5602">
        <w:rPr>
          <w:szCs w:val="22"/>
        </w:rPr>
        <w:t>”</w:t>
      </w:r>
      <w:r w:rsidR="009B3400">
        <w:rPr>
          <w:szCs w:val="22"/>
        </w:rPr>
        <w:t xml:space="preserve"> because </w:t>
      </w:r>
      <w:r w:rsidR="00A80149">
        <w:rPr>
          <w:szCs w:val="22"/>
        </w:rPr>
        <w:t>the Licensee is</w:t>
      </w:r>
      <w:r w:rsidR="009B3400">
        <w:rPr>
          <w:szCs w:val="22"/>
        </w:rPr>
        <w:t xml:space="preserve"> unable to pay it</w:t>
      </w:r>
      <w:r w:rsidR="00A80149">
        <w:rPr>
          <w:szCs w:val="22"/>
        </w:rPr>
        <w:t xml:space="preserve"> at this time</w:t>
      </w:r>
      <w:r w:rsidR="009B3400">
        <w:rPr>
          <w:szCs w:val="22"/>
        </w:rPr>
        <w:t>.</w:t>
      </w:r>
      <w:r w:rsidR="009C5602">
        <w:rPr>
          <w:szCs w:val="22"/>
        </w:rPr>
        <w:t xml:space="preserve"> </w:t>
      </w:r>
      <w:r w:rsidR="0074363A" w:rsidRPr="0058062A">
        <w:rPr>
          <w:szCs w:val="22"/>
        </w:rPr>
        <w:t xml:space="preserve"> </w:t>
      </w:r>
      <w:r w:rsidR="00A219B3">
        <w:t xml:space="preserve">Thus, </w:t>
      </w:r>
      <w:r w:rsidR="009B3400">
        <w:t xml:space="preserve">the Licensee </w:t>
      </w:r>
      <w:r w:rsidR="00A219B3">
        <w:t>requests that we defer any effort to collect the forfeiture until after the Incentive Auction ends.</w:t>
      </w:r>
      <w:r w:rsidR="00A219B3">
        <w:rPr>
          <w:rStyle w:val="FootnoteReference"/>
        </w:rPr>
        <w:footnoteReference w:id="10"/>
      </w:r>
      <w:r w:rsidR="00A219B3">
        <w:t xml:space="preserve">  </w:t>
      </w:r>
      <w:r w:rsidR="009B3400">
        <w:t>C</w:t>
      </w:r>
      <w:r w:rsidR="00A219B3">
        <w:t xml:space="preserve">onsistent with its reading of the </w:t>
      </w:r>
      <w:r w:rsidR="00A219B3" w:rsidRPr="00E426D4">
        <w:rPr>
          <w:i/>
        </w:rPr>
        <w:t>P</w:t>
      </w:r>
      <w:r w:rsidR="00A219B3">
        <w:rPr>
          <w:i/>
        </w:rPr>
        <w:t xml:space="preserve">ublic </w:t>
      </w:r>
      <w:r w:rsidR="00A219B3" w:rsidRPr="00E426D4">
        <w:rPr>
          <w:i/>
        </w:rPr>
        <w:t>N</w:t>
      </w:r>
      <w:r w:rsidR="00A219B3">
        <w:rPr>
          <w:i/>
        </w:rPr>
        <w:t>otice</w:t>
      </w:r>
      <w:r w:rsidR="00A219B3">
        <w:t xml:space="preserve">, the Licensee </w:t>
      </w:r>
      <w:r w:rsidR="00A80149">
        <w:t xml:space="preserve">specifically </w:t>
      </w:r>
      <w:r w:rsidR="00A219B3">
        <w:t>reque</w:t>
      </w:r>
      <w:r w:rsidR="00272AD9">
        <w:t xml:space="preserve">sts that we wait to collect </w:t>
      </w:r>
      <w:r w:rsidR="00A219B3">
        <w:t>the forfeiture from its proceeds if it is a winning bidder in the Auction.  If it is not a winning bidder, the Licensee requests that we grant it an extension of time—specifically 30 days from the conclusion of the Auction—to submit a response demonstrating its inability to pay the proposed forfeiture.</w:t>
      </w:r>
      <w:r w:rsidR="00A219B3">
        <w:rPr>
          <w:rStyle w:val="FootnoteReference"/>
        </w:rPr>
        <w:footnoteReference w:id="11"/>
      </w:r>
      <w:r w:rsidR="00A219B3">
        <w:t xml:space="preserve">  </w:t>
      </w:r>
    </w:p>
    <w:p w14:paraId="24AB103E" w14:textId="77777777" w:rsidR="009D0B9A" w:rsidRPr="009D0B9A" w:rsidRDefault="009D0B9A" w:rsidP="00253621">
      <w:pPr>
        <w:pStyle w:val="Heading1"/>
        <w:keepNext w:val="0"/>
        <w:suppressAutoHyphens w:val="0"/>
      </w:pPr>
      <w:r w:rsidRPr="009D0B9A">
        <w:t>DISCUSSION</w:t>
      </w:r>
    </w:p>
    <w:p w14:paraId="519AD5B7" w14:textId="77777777" w:rsidR="00881EA6" w:rsidRPr="009D0B9A" w:rsidRDefault="009D0B9A" w:rsidP="00253621">
      <w:pPr>
        <w:pStyle w:val="ParaNum"/>
        <w:rPr>
          <w:spacing w:val="-2"/>
        </w:rPr>
      </w:pPr>
      <w:r w:rsidRPr="009D0B9A">
        <w:t>The Commission is authorized to license radio and television broadcast stations and is responsible for enforcing the Commission’s rules and applicable statutory provisions concerning the operation of those stations.  Under section 503(b)(1) of the Act, any person who is determined by the Commission to have willfully or repeatedly failed to comply with any provision of the Act or any rule, regulation, or order issued by the Commission shall be liable to the United States for a forfeiture penalty.</w:t>
      </w:r>
      <w:r w:rsidR="00A523DB" w:rsidRPr="009D0B9A">
        <w:rPr>
          <w:color w:val="000000"/>
          <w:sz w:val="20"/>
          <w:szCs w:val="22"/>
          <w:vertAlign w:val="superscript"/>
        </w:rPr>
        <w:footnoteReference w:id="12"/>
      </w:r>
      <w:r w:rsidRPr="009D0B9A">
        <w:t xml:space="preserve">  In order to impose a forfeiture penalty, the Commission must issue a notice of apparent liability, the notice must be received, and the person against whom the notice has been issued must have an opportunity to show, in writing, why no such penalty should be imposed.</w:t>
      </w:r>
      <w:r w:rsidR="00A523DB" w:rsidRPr="009D0B9A">
        <w:rPr>
          <w:sz w:val="20"/>
          <w:szCs w:val="22"/>
          <w:vertAlign w:val="superscript"/>
        </w:rPr>
        <w:footnoteReference w:id="13"/>
      </w:r>
      <w:r w:rsidRPr="009D0B9A">
        <w:t xml:space="preserve">  The Commission will then issue a forfeiture order if it finds by a preponderance of the evidence that the person has violated the Act or a Commission rule.</w:t>
      </w:r>
      <w:r w:rsidR="00A523DB" w:rsidRPr="009D0B9A">
        <w:rPr>
          <w:sz w:val="20"/>
          <w:szCs w:val="22"/>
          <w:vertAlign w:val="superscript"/>
        </w:rPr>
        <w:footnoteReference w:id="14"/>
      </w:r>
      <w:r w:rsidRPr="009D0B9A">
        <w:t xml:space="preserve">  As we set forth in greater detail below, we conclude that the Licensee is liable for a forfeiture in the amount of $</w:t>
      </w:r>
      <w:r w:rsidR="007E11F7">
        <w:t>15</w:t>
      </w:r>
      <w:r w:rsidRPr="009D0B9A">
        <w:t>,000 for its repeated and/or willful violations of Sections 73.3526(e)(11)(iii) and 73.4514(a)</w:t>
      </w:r>
      <w:r w:rsidR="00B43BB6">
        <w:t xml:space="preserve"> </w:t>
      </w:r>
      <w:r w:rsidRPr="009D0B9A">
        <w:t xml:space="preserve">of the Rules.  </w:t>
      </w:r>
    </w:p>
    <w:p w14:paraId="3C05BA5A" w14:textId="77777777" w:rsidR="009018C2" w:rsidRPr="009018C2" w:rsidRDefault="009018C2" w:rsidP="00761488">
      <w:pPr>
        <w:pStyle w:val="ParaNum"/>
      </w:pPr>
      <w:r w:rsidRPr="00761488">
        <w:rPr>
          <w:szCs w:val="22"/>
        </w:rPr>
        <w:t xml:space="preserve">The Commission’s </w:t>
      </w:r>
      <w:r w:rsidRPr="003050A4">
        <w:rPr>
          <w:i/>
          <w:szCs w:val="22"/>
        </w:rPr>
        <w:t>Forfeiture Policy Statement</w:t>
      </w:r>
      <w:r w:rsidRPr="00761488">
        <w:rPr>
          <w:szCs w:val="22"/>
        </w:rPr>
        <w:t xml:space="preserve"> and Section 1.80(b) of the rules</w:t>
      </w:r>
      <w:r w:rsidRPr="00761488">
        <w:t xml:space="preserve"> establishes a base forfeiture amount of $3,000 for failure to file a required form or information.</w:t>
      </w:r>
      <w:r w:rsidRPr="00761488">
        <w:rPr>
          <w:spacing w:val="-2"/>
          <w:vertAlign w:val="superscript"/>
        </w:rPr>
        <w:footnoteReference w:id="15"/>
      </w:r>
      <w:r w:rsidRPr="00881EA6">
        <w:t xml:space="preserve">  In determining the appropriate forfeiture amount, the Commission may adjust the base amount upward or downward by considering the factors in Section 503(b</w:t>
      </w:r>
      <w:r>
        <w:t>)</w:t>
      </w:r>
      <w:r w:rsidRPr="00881EA6">
        <w:t>(2)(E), which include “the nature, circumstances, extent, and gravity of th</w:t>
      </w:r>
      <w:r w:rsidRPr="00761488">
        <w:t xml:space="preserve">e violation and, with respect to the violator, the degree of culpability, any history of prior offenses, ability to pay, and such other matters as justice may require.”  In the </w:t>
      </w:r>
      <w:r w:rsidRPr="00A37AC7">
        <w:t>NAL</w:t>
      </w:r>
      <w:r w:rsidRPr="00761488">
        <w:t xml:space="preserve">, the Division </w:t>
      </w:r>
      <w:r>
        <w:t xml:space="preserve">considered such factors </w:t>
      </w:r>
      <w:r w:rsidRPr="00761488">
        <w:t>and pr</w:t>
      </w:r>
      <w:r>
        <w:t>oposed a forfeiture amount of $15</w:t>
      </w:r>
      <w:r w:rsidRPr="00761488">
        <w:t>,000.</w:t>
      </w:r>
      <w:r w:rsidRPr="00761488">
        <w:rPr>
          <w:rStyle w:val="FootnoteReference"/>
          <w:sz w:val="22"/>
          <w:szCs w:val="22"/>
        </w:rPr>
        <w:footnoteReference w:id="16"/>
      </w:r>
      <w:r w:rsidRPr="00881EA6">
        <w:t xml:space="preserve">   </w:t>
      </w:r>
    </w:p>
    <w:p w14:paraId="04A30769" w14:textId="604EC553" w:rsidR="00B0552D" w:rsidRPr="00B0552D" w:rsidRDefault="009D0B9A" w:rsidP="00447279">
      <w:pPr>
        <w:pStyle w:val="ParaNum"/>
        <w:rPr>
          <w:spacing w:val="-2"/>
        </w:rPr>
      </w:pPr>
      <w:r w:rsidRPr="00563921">
        <w:rPr>
          <w:szCs w:val="22"/>
        </w:rPr>
        <w:lastRenderedPageBreak/>
        <w:t xml:space="preserve">The Licensee does not dispute </w:t>
      </w:r>
      <w:r w:rsidR="00E050B0" w:rsidRPr="00563921">
        <w:rPr>
          <w:szCs w:val="22"/>
        </w:rPr>
        <w:t>the substance of the NAL—</w:t>
      </w:r>
      <w:r w:rsidRPr="00563921">
        <w:rPr>
          <w:szCs w:val="22"/>
        </w:rPr>
        <w:t xml:space="preserve">that it failed to timely file </w:t>
      </w:r>
      <w:r w:rsidR="00451A51" w:rsidRPr="00563921">
        <w:rPr>
          <w:szCs w:val="22"/>
        </w:rPr>
        <w:t xml:space="preserve">with the Commission </w:t>
      </w:r>
      <w:r w:rsidR="00B43BB6" w:rsidRPr="00563921">
        <w:rPr>
          <w:szCs w:val="22"/>
        </w:rPr>
        <w:t>the Station’s</w:t>
      </w:r>
      <w:r w:rsidRPr="00563921">
        <w:rPr>
          <w:szCs w:val="22"/>
        </w:rPr>
        <w:t xml:space="preserve"> Children’s Television Programming Reports for </w:t>
      </w:r>
      <w:r w:rsidR="007E11F7" w:rsidRPr="00563921">
        <w:rPr>
          <w:szCs w:val="22"/>
        </w:rPr>
        <w:t xml:space="preserve">fourteen </w:t>
      </w:r>
      <w:r w:rsidRPr="00563921">
        <w:rPr>
          <w:szCs w:val="22"/>
        </w:rPr>
        <w:t>quarters</w:t>
      </w:r>
      <w:r w:rsidR="009B3400">
        <w:rPr>
          <w:szCs w:val="22"/>
        </w:rPr>
        <w:t xml:space="preserve"> and that</w:t>
      </w:r>
      <w:r w:rsidRPr="00563921">
        <w:rPr>
          <w:szCs w:val="22"/>
        </w:rPr>
        <w:t xml:space="preserve"> it failed to report </w:t>
      </w:r>
      <w:r w:rsidR="00B43BB6" w:rsidRPr="00563921">
        <w:rPr>
          <w:szCs w:val="22"/>
        </w:rPr>
        <w:t>those</w:t>
      </w:r>
      <w:r w:rsidRPr="00563921">
        <w:rPr>
          <w:szCs w:val="22"/>
        </w:rPr>
        <w:t xml:space="preserve"> violations in i</w:t>
      </w:r>
      <w:r w:rsidR="00A80149">
        <w:rPr>
          <w:szCs w:val="22"/>
        </w:rPr>
        <w:t>ts license renewal application—nor does it ask for</w:t>
      </w:r>
      <w:r w:rsidR="009B3400">
        <w:rPr>
          <w:szCs w:val="22"/>
        </w:rPr>
        <w:t xml:space="preserve"> a reduction or cancellation of the forfeiture.  </w:t>
      </w:r>
      <w:r w:rsidR="00B0552D">
        <w:rPr>
          <w:szCs w:val="22"/>
        </w:rPr>
        <w:t>Instead,</w:t>
      </w:r>
      <w:r w:rsidR="00A219B3" w:rsidRPr="00563921">
        <w:rPr>
          <w:szCs w:val="22"/>
        </w:rPr>
        <w:t xml:space="preserve"> the Licensee requests </w:t>
      </w:r>
      <w:r w:rsidR="00A80149">
        <w:rPr>
          <w:szCs w:val="22"/>
        </w:rPr>
        <w:t xml:space="preserve">that we grant KSQA a waiver of the red light rule </w:t>
      </w:r>
      <w:r w:rsidR="00A219B3" w:rsidRPr="00563921">
        <w:rPr>
          <w:szCs w:val="22"/>
        </w:rPr>
        <w:t>to allow it</w:t>
      </w:r>
      <w:r w:rsidR="009E31D4" w:rsidRPr="00563921">
        <w:rPr>
          <w:szCs w:val="22"/>
        </w:rPr>
        <w:t xml:space="preserve"> more </w:t>
      </w:r>
      <w:r w:rsidR="00D66796" w:rsidRPr="00563921">
        <w:rPr>
          <w:szCs w:val="22"/>
        </w:rPr>
        <w:t xml:space="preserve">time </w:t>
      </w:r>
      <w:r w:rsidR="009E31D4" w:rsidRPr="00563921">
        <w:rPr>
          <w:szCs w:val="22"/>
        </w:rPr>
        <w:t xml:space="preserve">to pay </w:t>
      </w:r>
      <w:r w:rsidR="008B3E58" w:rsidRPr="00563921">
        <w:rPr>
          <w:szCs w:val="22"/>
        </w:rPr>
        <w:t xml:space="preserve">the forfeiture </w:t>
      </w:r>
      <w:r w:rsidR="009E31D4" w:rsidRPr="00563921">
        <w:rPr>
          <w:szCs w:val="22"/>
        </w:rPr>
        <w:t>or respond</w:t>
      </w:r>
      <w:r w:rsidR="00932A2C" w:rsidRPr="00563921">
        <w:rPr>
          <w:szCs w:val="22"/>
        </w:rPr>
        <w:t xml:space="preserve"> to it</w:t>
      </w:r>
      <w:r w:rsidR="009A16AF" w:rsidRPr="00563921">
        <w:rPr>
          <w:szCs w:val="22"/>
        </w:rPr>
        <w:t>—d</w:t>
      </w:r>
      <w:r w:rsidR="00D66796" w:rsidRPr="00563921">
        <w:rPr>
          <w:szCs w:val="22"/>
        </w:rPr>
        <w:t xml:space="preserve">epending on the results of the Incentive Auction.  </w:t>
      </w:r>
      <w:r w:rsidR="00B0552D">
        <w:rPr>
          <w:szCs w:val="22"/>
        </w:rPr>
        <w:t xml:space="preserve">As explained below, we decline to grant the Licensee’s requests. </w:t>
      </w:r>
    </w:p>
    <w:p w14:paraId="3CF72E25" w14:textId="5CD1530C" w:rsidR="00B0552D" w:rsidRPr="00B0552D" w:rsidRDefault="00B0552D" w:rsidP="00447279">
      <w:pPr>
        <w:pStyle w:val="ParaNum"/>
        <w:rPr>
          <w:spacing w:val="-2"/>
        </w:rPr>
      </w:pPr>
      <w:r>
        <w:rPr>
          <w:szCs w:val="22"/>
        </w:rPr>
        <w:t>T</w:t>
      </w:r>
      <w:r w:rsidR="00E0013D" w:rsidRPr="00563921">
        <w:rPr>
          <w:szCs w:val="22"/>
        </w:rPr>
        <w:t xml:space="preserve">he </w:t>
      </w:r>
      <w:r w:rsidR="00E050B0" w:rsidRPr="00563921">
        <w:rPr>
          <w:szCs w:val="22"/>
        </w:rPr>
        <w:t xml:space="preserve">Commission waived the red light rule </w:t>
      </w:r>
      <w:r w:rsidR="00A80149">
        <w:rPr>
          <w:szCs w:val="22"/>
        </w:rPr>
        <w:t xml:space="preserve">for a limited purpose </w:t>
      </w:r>
      <w:r w:rsidR="009D7A83" w:rsidRPr="00563921">
        <w:rPr>
          <w:szCs w:val="22"/>
        </w:rPr>
        <w:t>at the start of the</w:t>
      </w:r>
      <w:r w:rsidR="00E050B0" w:rsidRPr="00563921">
        <w:rPr>
          <w:szCs w:val="22"/>
        </w:rPr>
        <w:t xml:space="preserve"> </w:t>
      </w:r>
      <w:r w:rsidR="009D7A83" w:rsidRPr="00563921">
        <w:rPr>
          <w:szCs w:val="22"/>
        </w:rPr>
        <w:t>Incentive Auction</w:t>
      </w:r>
      <w:r w:rsidR="009B3400">
        <w:rPr>
          <w:szCs w:val="22"/>
        </w:rPr>
        <w:t xml:space="preserve"> </w:t>
      </w:r>
      <w:r>
        <w:rPr>
          <w:szCs w:val="22"/>
        </w:rPr>
        <w:t>solely to</w:t>
      </w:r>
      <w:r w:rsidR="00E050B0" w:rsidRPr="00563921">
        <w:rPr>
          <w:szCs w:val="22"/>
        </w:rPr>
        <w:t xml:space="preserve"> </w:t>
      </w:r>
      <w:r w:rsidR="00E050B0">
        <w:t>allow</w:t>
      </w:r>
      <w:r w:rsidR="00E050B0" w:rsidRPr="0058062A">
        <w:t xml:space="preserve"> broadcaster</w:t>
      </w:r>
      <w:r w:rsidR="00E050B0">
        <w:t>s who owed debts to the Com</w:t>
      </w:r>
      <w:r w:rsidR="009B3400">
        <w:t>mission at the time they filed</w:t>
      </w:r>
      <w:r w:rsidR="00E050B0">
        <w:t xml:space="preserve"> reverse auction application</w:t>
      </w:r>
      <w:r w:rsidR="009B3400">
        <w:t>s</w:t>
      </w:r>
      <w:r w:rsidR="00E050B0">
        <w:t xml:space="preserve"> to</w:t>
      </w:r>
      <w:r w:rsidR="00E050B0" w:rsidRPr="0058062A">
        <w:t xml:space="preserve"> participat</w:t>
      </w:r>
      <w:r w:rsidR="00E050B0">
        <w:t>e</w:t>
      </w:r>
      <w:r w:rsidR="00E050B0" w:rsidRPr="0058062A">
        <w:t xml:space="preserve"> in the Auction</w:t>
      </w:r>
      <w:r w:rsidR="00E050B0">
        <w:t>.</w:t>
      </w:r>
      <w:r w:rsidR="00E050B0">
        <w:rPr>
          <w:rStyle w:val="FootnoteReference"/>
          <w:szCs w:val="22"/>
        </w:rPr>
        <w:footnoteReference w:id="17"/>
      </w:r>
      <w:r w:rsidR="00272AD9">
        <w:t xml:space="preserve">  </w:t>
      </w:r>
      <w:r>
        <w:rPr>
          <w:szCs w:val="22"/>
        </w:rPr>
        <w:t>The</w:t>
      </w:r>
      <w:r w:rsidR="009C5602" w:rsidRPr="00563921">
        <w:rPr>
          <w:szCs w:val="22"/>
        </w:rPr>
        <w:t xml:space="preserve"> Licensee acknowledges</w:t>
      </w:r>
      <w:r>
        <w:rPr>
          <w:szCs w:val="22"/>
        </w:rPr>
        <w:t xml:space="preserve"> that</w:t>
      </w:r>
      <w:r w:rsidR="008D3348" w:rsidRPr="00563921">
        <w:rPr>
          <w:szCs w:val="22"/>
        </w:rPr>
        <w:t xml:space="preserve"> KSQA did not owe money to the Commission at the time it filed to participate in the Auction</w:t>
      </w:r>
      <w:r w:rsidR="009D7A83" w:rsidRPr="00563921">
        <w:rPr>
          <w:szCs w:val="22"/>
        </w:rPr>
        <w:t xml:space="preserve">, so it </w:t>
      </w:r>
      <w:r w:rsidR="004E6490" w:rsidRPr="00563921">
        <w:rPr>
          <w:szCs w:val="22"/>
        </w:rPr>
        <w:t>was not subject to the red light rule at that time</w:t>
      </w:r>
      <w:r w:rsidR="009D7A83" w:rsidRPr="00563921">
        <w:rPr>
          <w:szCs w:val="22"/>
        </w:rPr>
        <w:t>, and therefore did not need the benefit of a waiver</w:t>
      </w:r>
      <w:r w:rsidR="00716BAA" w:rsidRPr="00563921">
        <w:rPr>
          <w:szCs w:val="22"/>
        </w:rPr>
        <w:t>.</w:t>
      </w:r>
      <w:r w:rsidR="004E6490">
        <w:rPr>
          <w:rStyle w:val="FootnoteReference"/>
          <w:szCs w:val="22"/>
        </w:rPr>
        <w:footnoteReference w:id="18"/>
      </w:r>
      <w:r w:rsidR="009C5602" w:rsidRPr="00563921">
        <w:rPr>
          <w:szCs w:val="22"/>
        </w:rPr>
        <w:t xml:space="preserve">  </w:t>
      </w:r>
      <w:r>
        <w:rPr>
          <w:szCs w:val="22"/>
        </w:rPr>
        <w:t xml:space="preserve">Nonetheless, the Licensee requests a waiver now because it believes the assessed forfeiture, which it claims it is unable to pay, may cause the Station to become redlighted in the near future.  The Licensee, however, is not subject to the red light rule </w:t>
      </w:r>
      <w:r w:rsidR="00716BAA" w:rsidRPr="00563921">
        <w:rPr>
          <w:szCs w:val="22"/>
        </w:rPr>
        <w:t xml:space="preserve">at </w:t>
      </w:r>
      <w:r w:rsidR="00A80149">
        <w:rPr>
          <w:szCs w:val="22"/>
        </w:rPr>
        <w:t xml:space="preserve">the current </w:t>
      </w:r>
      <w:r w:rsidR="00716BAA" w:rsidRPr="00563921">
        <w:rPr>
          <w:szCs w:val="22"/>
        </w:rPr>
        <w:t>stage</w:t>
      </w:r>
      <w:r>
        <w:rPr>
          <w:szCs w:val="22"/>
        </w:rPr>
        <w:t xml:space="preserve">, and therefore does not </w:t>
      </w:r>
      <w:r w:rsidR="003D176C">
        <w:rPr>
          <w:szCs w:val="22"/>
        </w:rPr>
        <w:t xml:space="preserve">need </w:t>
      </w:r>
      <w:r>
        <w:rPr>
          <w:szCs w:val="22"/>
        </w:rPr>
        <w:t>a waiver</w:t>
      </w:r>
      <w:r w:rsidR="00716BAA" w:rsidRPr="00563921">
        <w:rPr>
          <w:szCs w:val="22"/>
        </w:rPr>
        <w:t>.</w:t>
      </w:r>
      <w:r w:rsidR="00716BAA">
        <w:rPr>
          <w:rStyle w:val="FootnoteReference"/>
          <w:szCs w:val="22"/>
        </w:rPr>
        <w:footnoteReference w:id="19"/>
      </w:r>
      <w:r w:rsidR="00B2344E">
        <w:rPr>
          <w:szCs w:val="22"/>
        </w:rPr>
        <w:t xml:space="preserve">  </w:t>
      </w:r>
      <w:r w:rsidR="003D176C">
        <w:rPr>
          <w:szCs w:val="22"/>
        </w:rPr>
        <w:t xml:space="preserve">Any need for a waiver is prospective and speculative at this time.  </w:t>
      </w:r>
      <w:r w:rsidR="00B2344E">
        <w:rPr>
          <w:szCs w:val="22"/>
        </w:rPr>
        <w:t>Accordingly, we will not grant one.</w:t>
      </w:r>
      <w:r>
        <w:rPr>
          <w:szCs w:val="22"/>
        </w:rPr>
        <w:t xml:space="preserve"> </w:t>
      </w:r>
    </w:p>
    <w:p w14:paraId="7CD7867B" w14:textId="31EAED6E" w:rsidR="006E4BE6" w:rsidRPr="00C10919" w:rsidRDefault="00A80149" w:rsidP="00C10919">
      <w:pPr>
        <w:pStyle w:val="ParaNum"/>
        <w:rPr>
          <w:spacing w:val="-2"/>
        </w:rPr>
      </w:pPr>
      <w:r>
        <w:rPr>
          <w:szCs w:val="22"/>
        </w:rPr>
        <w:t>The</w:t>
      </w:r>
      <w:r w:rsidR="00B0552D">
        <w:rPr>
          <w:szCs w:val="22"/>
        </w:rPr>
        <w:t xml:space="preserve"> Licensee’s options upon receiving </w:t>
      </w:r>
      <w:r>
        <w:rPr>
          <w:szCs w:val="22"/>
        </w:rPr>
        <w:t>the</w:t>
      </w:r>
      <w:r w:rsidR="00B0552D">
        <w:rPr>
          <w:szCs w:val="22"/>
        </w:rPr>
        <w:t xml:space="preserve"> NAL include</w:t>
      </w:r>
      <w:r>
        <w:rPr>
          <w:szCs w:val="22"/>
        </w:rPr>
        <w:t>d</w:t>
      </w:r>
      <w:r w:rsidR="00B0552D">
        <w:rPr>
          <w:szCs w:val="22"/>
        </w:rPr>
        <w:t xml:space="preserve"> (1) paying the full amount of the proposed forfeiture or (2) seeking a reduction or cancellation of the proposed forfeiture.</w:t>
      </w:r>
      <w:r w:rsidR="00B2344E">
        <w:rPr>
          <w:rStyle w:val="FootnoteReference"/>
          <w:szCs w:val="22"/>
        </w:rPr>
        <w:footnoteReference w:id="20"/>
      </w:r>
      <w:r w:rsidR="00B0552D">
        <w:rPr>
          <w:szCs w:val="22"/>
        </w:rPr>
        <w:t xml:space="preserve">  The Licensee did neither in this case.  </w:t>
      </w:r>
      <w:r w:rsidR="00B0552D">
        <w:t>While the Commission did require Incentive Auction applicants to acknowledge and certify that the Commission may recover all debt owed to it by an applicant from that applicant’s share of auction proceeds,</w:t>
      </w:r>
      <w:r w:rsidR="00B0552D">
        <w:rPr>
          <w:rStyle w:val="FootnoteReference"/>
        </w:rPr>
        <w:footnoteReference w:id="21"/>
      </w:r>
      <w:r w:rsidR="00B0552D">
        <w:t xml:space="preserve"> </w:t>
      </w:r>
      <w:r w:rsidR="00C10919">
        <w:t>this acknowledgment d</w:t>
      </w:r>
      <w:r w:rsidR="00A80455">
        <w:t>id</w:t>
      </w:r>
      <w:r w:rsidR="00C10919">
        <w:t xml:space="preserve"> not relieve</w:t>
      </w:r>
      <w:r w:rsidR="00B0552D">
        <w:t xml:space="preserve"> </w:t>
      </w:r>
      <w:r w:rsidR="00A80455">
        <w:t>KSQA of</w:t>
      </w:r>
      <w:r w:rsidR="00B0552D">
        <w:t xml:space="preserve"> its </w:t>
      </w:r>
      <w:r w:rsidR="006D3AE0">
        <w:t xml:space="preserve">current </w:t>
      </w:r>
      <w:r w:rsidR="00B0552D">
        <w:t xml:space="preserve">responsibility </w:t>
      </w:r>
      <w:r w:rsidR="00C10919">
        <w:t xml:space="preserve">to respond to the </w:t>
      </w:r>
      <w:r w:rsidR="00B0552D">
        <w:t>NAL</w:t>
      </w:r>
      <w:r w:rsidR="00A80455">
        <w:t xml:space="preserve"> in one of the above-mentioned </w:t>
      </w:r>
      <w:r w:rsidR="00C10919">
        <w:t>ways</w:t>
      </w:r>
      <w:r w:rsidR="00B0552D">
        <w:t>.</w:t>
      </w:r>
      <w:r w:rsidR="00B0552D">
        <w:rPr>
          <w:rStyle w:val="FootnoteReference"/>
        </w:rPr>
        <w:footnoteReference w:id="22"/>
      </w:r>
      <w:r w:rsidR="00B0552D">
        <w:t xml:space="preserve">  </w:t>
      </w:r>
      <w:r w:rsidR="00A80455">
        <w:t>While t</w:t>
      </w:r>
      <w:r w:rsidR="00725C4F">
        <w:t>he Licensee</w:t>
      </w:r>
      <w:r w:rsidR="00A80455">
        <w:t xml:space="preserve"> did file a</w:t>
      </w:r>
      <w:r w:rsidR="006D3AE0">
        <w:t xml:space="preserve"> r</w:t>
      </w:r>
      <w:r w:rsidR="00725C4F">
        <w:t>espon</w:t>
      </w:r>
      <w:r w:rsidR="00C10919">
        <w:t>se</w:t>
      </w:r>
      <w:r w:rsidR="006D3AE0">
        <w:t xml:space="preserve">, the Response </w:t>
      </w:r>
      <w:r w:rsidR="00C10919">
        <w:t>does not seek a reduction or</w:t>
      </w:r>
      <w:r w:rsidR="00725C4F">
        <w:t xml:space="preserve"> a cancellation of the proposed forfeiture.  </w:t>
      </w:r>
      <w:r w:rsidR="00C10919">
        <w:t xml:space="preserve">It only </w:t>
      </w:r>
      <w:r w:rsidR="00A80455">
        <w:t>asserts</w:t>
      </w:r>
      <w:r w:rsidR="00725C4F">
        <w:t xml:space="preserve"> that </w:t>
      </w:r>
      <w:r w:rsidR="00D725C5">
        <w:rPr>
          <w:spacing w:val="-2"/>
        </w:rPr>
        <w:t>the Licensee</w:t>
      </w:r>
      <w:r w:rsidR="00725C4F" w:rsidRPr="00C10919">
        <w:rPr>
          <w:spacing w:val="-2"/>
        </w:rPr>
        <w:t xml:space="preserve"> is</w:t>
      </w:r>
      <w:r w:rsidR="009E31D4" w:rsidRPr="00C10919">
        <w:rPr>
          <w:szCs w:val="22"/>
        </w:rPr>
        <w:t xml:space="preserve"> “unable to pay the forfeiture at this time.”</w:t>
      </w:r>
      <w:r w:rsidR="009E31D4">
        <w:rPr>
          <w:rStyle w:val="FootnoteReference"/>
          <w:szCs w:val="22"/>
        </w:rPr>
        <w:footnoteReference w:id="23"/>
      </w:r>
      <w:r w:rsidR="008B3E58" w:rsidRPr="00C10919">
        <w:rPr>
          <w:szCs w:val="22"/>
        </w:rPr>
        <w:t xml:space="preserve">  </w:t>
      </w:r>
      <w:r w:rsidR="00C10919">
        <w:rPr>
          <w:szCs w:val="22"/>
        </w:rPr>
        <w:t>The Response</w:t>
      </w:r>
      <w:r w:rsidR="00AA315F" w:rsidRPr="00C10919">
        <w:rPr>
          <w:szCs w:val="22"/>
        </w:rPr>
        <w:t xml:space="preserve"> </w:t>
      </w:r>
      <w:r w:rsidR="00C10919">
        <w:rPr>
          <w:szCs w:val="22"/>
        </w:rPr>
        <w:t>fails</w:t>
      </w:r>
      <w:r w:rsidR="00E0013D" w:rsidRPr="00C10919">
        <w:rPr>
          <w:szCs w:val="22"/>
        </w:rPr>
        <w:t xml:space="preserve"> to</w:t>
      </w:r>
      <w:r w:rsidR="00AA315F" w:rsidRPr="00C10919">
        <w:rPr>
          <w:szCs w:val="22"/>
        </w:rPr>
        <w:t xml:space="preserve"> provide any</w:t>
      </w:r>
      <w:r w:rsidR="008B3E58" w:rsidRPr="00C10919">
        <w:rPr>
          <w:szCs w:val="22"/>
        </w:rPr>
        <w:t xml:space="preserve"> documentation </w:t>
      </w:r>
      <w:r w:rsidR="00B33EFB" w:rsidRPr="00C10919">
        <w:rPr>
          <w:szCs w:val="22"/>
        </w:rPr>
        <w:t>to</w:t>
      </w:r>
      <w:r w:rsidR="008B3E58" w:rsidRPr="00C10919">
        <w:rPr>
          <w:szCs w:val="22"/>
        </w:rPr>
        <w:t xml:space="preserve"> </w:t>
      </w:r>
      <w:r w:rsidR="00932A2C" w:rsidRPr="00C10919">
        <w:rPr>
          <w:szCs w:val="22"/>
        </w:rPr>
        <w:t>support such a statement</w:t>
      </w:r>
      <w:r w:rsidR="008B3E58" w:rsidRPr="00C10919">
        <w:rPr>
          <w:szCs w:val="22"/>
        </w:rPr>
        <w:t>, as required by the NAL</w:t>
      </w:r>
      <w:r w:rsidR="004C7F4B" w:rsidRPr="00C10919">
        <w:rPr>
          <w:szCs w:val="22"/>
        </w:rPr>
        <w:t>, and therefore has not demonstrated an inability to pay</w:t>
      </w:r>
      <w:r w:rsidR="008B3E58" w:rsidRPr="00C10919">
        <w:rPr>
          <w:szCs w:val="22"/>
        </w:rPr>
        <w:t>.</w:t>
      </w:r>
      <w:r w:rsidR="0089355E">
        <w:rPr>
          <w:rStyle w:val="FootnoteReference"/>
          <w:szCs w:val="22"/>
        </w:rPr>
        <w:footnoteReference w:id="24"/>
      </w:r>
      <w:r w:rsidR="00725C4F" w:rsidRPr="00C10919">
        <w:rPr>
          <w:szCs w:val="22"/>
        </w:rPr>
        <w:t xml:space="preserve"> </w:t>
      </w:r>
      <w:r w:rsidR="004C7F4B" w:rsidRPr="00C10919">
        <w:rPr>
          <w:szCs w:val="22"/>
        </w:rPr>
        <w:t xml:space="preserve"> </w:t>
      </w:r>
      <w:r w:rsidR="00093E90" w:rsidRPr="00C10919">
        <w:rPr>
          <w:szCs w:val="22"/>
        </w:rPr>
        <w:t xml:space="preserve">We therefore </w:t>
      </w:r>
      <w:r w:rsidR="00C10919">
        <w:rPr>
          <w:szCs w:val="22"/>
        </w:rPr>
        <w:t xml:space="preserve">decline to </w:t>
      </w:r>
      <w:r w:rsidR="00093E90" w:rsidRPr="00C10919">
        <w:rPr>
          <w:szCs w:val="22"/>
        </w:rPr>
        <w:t xml:space="preserve">defer </w:t>
      </w:r>
      <w:r w:rsidR="00A80455">
        <w:rPr>
          <w:szCs w:val="22"/>
        </w:rPr>
        <w:t>our efforts to collect the forfeiture</w:t>
      </w:r>
      <w:r w:rsidR="00093E90" w:rsidRPr="00C10919">
        <w:rPr>
          <w:szCs w:val="22"/>
        </w:rPr>
        <w:t xml:space="preserve"> at this time.</w:t>
      </w:r>
      <w:r w:rsidR="00C10919">
        <w:rPr>
          <w:szCs w:val="22"/>
        </w:rPr>
        <w:t xml:space="preserve">  We also decline to grant the Licensee an extension of time to demonstrate an inability to pay if it is not successful in the Auction.  </w:t>
      </w:r>
      <w:r w:rsidR="00A80455">
        <w:rPr>
          <w:szCs w:val="22"/>
        </w:rPr>
        <w:t xml:space="preserve">If </w:t>
      </w:r>
      <w:r w:rsidR="003D176C">
        <w:rPr>
          <w:szCs w:val="22"/>
        </w:rPr>
        <w:t xml:space="preserve">the Licensee </w:t>
      </w:r>
      <w:r w:rsidR="00A80455">
        <w:rPr>
          <w:szCs w:val="22"/>
        </w:rPr>
        <w:t xml:space="preserve">is </w:t>
      </w:r>
      <w:r w:rsidR="006D3AE0">
        <w:rPr>
          <w:szCs w:val="22"/>
        </w:rPr>
        <w:t xml:space="preserve">currently </w:t>
      </w:r>
      <w:r w:rsidR="00A80455">
        <w:rPr>
          <w:szCs w:val="22"/>
        </w:rPr>
        <w:t xml:space="preserve">unable to pay </w:t>
      </w:r>
      <w:r w:rsidR="006D3AE0">
        <w:rPr>
          <w:szCs w:val="22"/>
        </w:rPr>
        <w:t>as it says it is,</w:t>
      </w:r>
      <w:r w:rsidR="00A80455">
        <w:rPr>
          <w:szCs w:val="22"/>
        </w:rPr>
        <w:t xml:space="preserve"> </w:t>
      </w:r>
      <w:r w:rsidR="006D3AE0">
        <w:rPr>
          <w:szCs w:val="22"/>
        </w:rPr>
        <w:t>it</w:t>
      </w:r>
      <w:r w:rsidR="00C10919">
        <w:rPr>
          <w:szCs w:val="22"/>
        </w:rPr>
        <w:t xml:space="preserve"> could </w:t>
      </w:r>
      <w:r w:rsidR="003D176C">
        <w:rPr>
          <w:szCs w:val="22"/>
        </w:rPr>
        <w:t xml:space="preserve">have submitted evidence to support its position </w:t>
      </w:r>
      <w:r w:rsidR="00A80455">
        <w:rPr>
          <w:szCs w:val="22"/>
        </w:rPr>
        <w:t>in its Response.</w:t>
      </w:r>
      <w:r w:rsidR="00093E90" w:rsidRPr="00C10919">
        <w:rPr>
          <w:szCs w:val="22"/>
        </w:rPr>
        <w:t xml:space="preserve">  </w:t>
      </w:r>
    </w:p>
    <w:p w14:paraId="734F23B4" w14:textId="77777777" w:rsidR="009D0B9A" w:rsidRPr="00761488" w:rsidRDefault="0047766B" w:rsidP="00761488">
      <w:pPr>
        <w:pStyle w:val="ParaNum"/>
      </w:pPr>
      <w:r>
        <w:t>In light of the specific facts and circumstances before us, we find</w:t>
      </w:r>
      <w:r w:rsidR="00881EA6" w:rsidRPr="00881EA6">
        <w:t xml:space="preserve"> the Licensee’s violations warrant the forfeiture </w:t>
      </w:r>
      <w:r>
        <w:t xml:space="preserve">proposed in the </w:t>
      </w:r>
      <w:r w:rsidRPr="00A37AC7">
        <w:t>NAL</w:t>
      </w:r>
      <w:r w:rsidR="00B43BB6" w:rsidRPr="00A37AC7">
        <w:rPr>
          <w:spacing w:val="-2"/>
        </w:rPr>
        <w:t>.</w:t>
      </w:r>
      <w:r w:rsidR="00B43BB6" w:rsidRPr="00881EA6">
        <w:rPr>
          <w:spacing w:val="-2"/>
        </w:rPr>
        <w:t xml:space="preserve">  Accordingly, we find that </w:t>
      </w:r>
      <w:r w:rsidR="009D0B9A" w:rsidRPr="00881EA6">
        <w:rPr>
          <w:spacing w:val="-2"/>
        </w:rPr>
        <w:t>the Licensee</w:t>
      </w:r>
      <w:r w:rsidR="00DC1172">
        <w:rPr>
          <w:spacing w:val="-2"/>
        </w:rPr>
        <w:t xml:space="preserve"> is liable in the amount of $15</w:t>
      </w:r>
      <w:r w:rsidR="009D0B9A" w:rsidRPr="00761488">
        <w:rPr>
          <w:spacing w:val="-2"/>
        </w:rPr>
        <w:t xml:space="preserve">,000 for its willful and/or repeated violations of Sections 73.3526(e)(11)(iii) and 73.3514(a) of the Rules. </w:t>
      </w:r>
    </w:p>
    <w:p w14:paraId="3E199685" w14:textId="77777777" w:rsidR="009D0B9A" w:rsidRPr="009D0B9A" w:rsidRDefault="009D0B9A" w:rsidP="00253621">
      <w:pPr>
        <w:pStyle w:val="Heading1"/>
      </w:pPr>
      <w:r w:rsidRPr="009D0B9A">
        <w:t>ORDERING CLAUSES</w:t>
      </w:r>
    </w:p>
    <w:p w14:paraId="76B035F8" w14:textId="77777777" w:rsidR="009D0B9A" w:rsidRPr="009D0B9A" w:rsidRDefault="009D0B9A" w:rsidP="00253621">
      <w:pPr>
        <w:pStyle w:val="ParaNum"/>
        <w:rPr>
          <w:szCs w:val="22"/>
        </w:rPr>
      </w:pPr>
      <w:r w:rsidRPr="009D0B9A">
        <w:t>ACCORDINGLY, IT IS ORDERED THAT, pursuant to section 503(b) of the Communications Act of 1934, as amended, and Sections 0.61(f)(1) and 1.80(a)(1) and (2) of the Commission’s rules</w:t>
      </w:r>
      <w:r w:rsidRPr="009D0B9A">
        <w:rPr>
          <w:spacing w:val="-2"/>
        </w:rPr>
        <w:t>,</w:t>
      </w:r>
      <w:r w:rsidR="00231B4F" w:rsidRPr="009D0B9A">
        <w:rPr>
          <w:spacing w:val="-2"/>
          <w:sz w:val="20"/>
          <w:szCs w:val="22"/>
          <w:vertAlign w:val="superscript"/>
        </w:rPr>
        <w:footnoteReference w:id="25"/>
      </w:r>
      <w:r w:rsidRPr="009D0B9A">
        <w:t xml:space="preserve"> </w:t>
      </w:r>
      <w:r w:rsidR="00757E4F">
        <w:t>KSQA, LLC</w:t>
      </w:r>
      <w:r w:rsidRPr="009D0B9A">
        <w:t xml:space="preserve"> SHALL FORFEIT to the United States the sum of </w:t>
      </w:r>
      <w:r w:rsidR="00757E4F">
        <w:t>Fifteen Thousand Dollars ($15</w:t>
      </w:r>
      <w:r w:rsidRPr="009D0B9A">
        <w:t>,000) for its willful and/or repeated violation</w:t>
      </w:r>
      <w:r w:rsidR="00757E4F">
        <w:t xml:space="preserve"> of</w:t>
      </w:r>
      <w:r w:rsidRPr="009D0B9A">
        <w:t xml:space="preserve"> Sections 73.3526(e)(11)(iii) and 73.3514(a) of the Rules.</w:t>
      </w:r>
      <w:r w:rsidRPr="009D0B9A">
        <w:rPr>
          <w:sz w:val="20"/>
          <w:vertAlign w:val="superscript"/>
        </w:rPr>
        <w:footnoteReference w:id="26"/>
      </w:r>
      <w:r w:rsidRPr="009D0B9A">
        <w:t xml:space="preserve">  </w:t>
      </w:r>
    </w:p>
    <w:p w14:paraId="61135A23" w14:textId="77777777" w:rsidR="009D0B9A" w:rsidRPr="002408E0" w:rsidRDefault="009D0B9A" w:rsidP="00253621">
      <w:pPr>
        <w:pStyle w:val="ParaNum"/>
      </w:pPr>
      <w:r w:rsidRPr="002408E0">
        <w:t xml:space="preserve">Payment of the forfeiture </w:t>
      </w:r>
      <w:r w:rsidR="00253621" w:rsidRPr="002408E0">
        <w:t>SHALL be m</w:t>
      </w:r>
      <w:r w:rsidRPr="002408E0">
        <w:t xml:space="preserve">ade in the manner provided for in Section 1.80(h) of the Commission’s rules within thirty (30) calendar days after the release date of this </w:t>
      </w:r>
      <w:r w:rsidRPr="002408E0">
        <w:rPr>
          <w:i/>
        </w:rPr>
        <w:t>Forfeiture Order</w:t>
      </w:r>
      <w:r w:rsidRPr="002408E0">
        <w:t>.</w:t>
      </w:r>
      <w:r w:rsidRPr="002408E0">
        <w:rPr>
          <w:sz w:val="20"/>
          <w:vertAlign w:val="superscript"/>
        </w:rPr>
        <w:footnoteReference w:id="27"/>
      </w:r>
      <w:r w:rsidRPr="002408E0">
        <w:t xml:space="preserve">  If the forfeiture is not paid within the period specified, the case may be referred to the U.S. Department of Justice for enforcement of the forfeiture pursuant to Section 504(a) of the Communications Act of 1934, as amended.</w:t>
      </w:r>
      <w:r w:rsidRPr="002408E0">
        <w:rPr>
          <w:sz w:val="20"/>
          <w:vertAlign w:val="superscript"/>
        </w:rPr>
        <w:footnoteReference w:id="28"/>
      </w:r>
      <w:r w:rsidRPr="002408E0">
        <w:t xml:space="preserve">  </w:t>
      </w:r>
    </w:p>
    <w:p w14:paraId="3E75D20C" w14:textId="77777777" w:rsidR="00253621" w:rsidRPr="00337FE3" w:rsidRDefault="00253621" w:rsidP="00761488">
      <w:pPr>
        <w:pStyle w:val="ParaNum"/>
        <w:widowControl/>
        <w:rPr>
          <w:szCs w:val="22"/>
        </w:rPr>
      </w:pPr>
      <w:r w:rsidRPr="00337FE3">
        <w:rPr>
          <w:szCs w:val="22"/>
        </w:rPr>
        <w:t xml:space="preserve">Payments of the </w:t>
      </w:r>
      <w:r w:rsidRPr="0005179A">
        <w:rPr>
          <w:szCs w:val="22"/>
        </w:rPr>
        <w:t xml:space="preserve">forfeiture must be made by check or similar instrument, wire transfer, or credit card, and must include the FRN referenced above.  </w:t>
      </w:r>
      <w:r w:rsidRPr="0005179A">
        <w:rPr>
          <w:iCs/>
        </w:rPr>
        <w:t>An FCC Form 159 (Remittance Advice) must be submitted with payment unless payment is made online at the Commission’s Fee Filer website</w:t>
      </w:r>
      <w:r w:rsidRPr="0005179A">
        <w:rPr>
          <w:szCs w:val="22"/>
        </w:rPr>
        <w:t>.</w:t>
      </w:r>
      <w:r w:rsidRPr="0005179A">
        <w:rPr>
          <w:rStyle w:val="FootnoteReference"/>
          <w:sz w:val="22"/>
          <w:szCs w:val="22"/>
        </w:rPr>
        <w:footnoteReference w:id="29"/>
      </w:r>
      <w:r>
        <w:rPr>
          <w:szCs w:val="22"/>
        </w:rPr>
        <w:t xml:space="preserve">  </w:t>
      </w:r>
      <w:r w:rsidRPr="0005179A">
        <w:rPr>
          <w:szCs w:val="22"/>
        </w:rPr>
        <w:t xml:space="preserve">When completing the FCC Form 159, enter the Account Number in block number 23A (call sign/other ID) and enter the letters “FORF” in block number 24A (payment type code).  Below are additional instructions you should follow based on the form of payment </w:t>
      </w:r>
      <w:r w:rsidRPr="00337FE3">
        <w:rPr>
          <w:szCs w:val="22"/>
        </w:rPr>
        <w:t>you select:</w:t>
      </w:r>
      <w:r w:rsidRPr="00337FE3">
        <w:rPr>
          <w:rStyle w:val="FootnoteReference"/>
          <w:sz w:val="22"/>
          <w:szCs w:val="22"/>
        </w:rPr>
        <w:footnoteReference w:id="30"/>
      </w:r>
      <w:r w:rsidRPr="00337FE3">
        <w:rPr>
          <w:szCs w:val="22"/>
        </w:rPr>
        <w:t xml:space="preserve"> </w:t>
      </w:r>
    </w:p>
    <w:p w14:paraId="4907EE53" w14:textId="77777777" w:rsidR="00253621" w:rsidRPr="00337FE3" w:rsidRDefault="00253621" w:rsidP="00253621">
      <w:pPr>
        <w:pStyle w:val="ParaNum"/>
        <w:numPr>
          <w:ilvl w:val="0"/>
          <w:numId w:val="11"/>
        </w:numPr>
        <w:rPr>
          <w:spacing w:val="-2"/>
          <w:szCs w:val="22"/>
        </w:rPr>
      </w:pPr>
      <w:r w:rsidRPr="00337FE3">
        <w:rPr>
          <w:spacing w:val="-2"/>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504EC96F" w14:textId="77777777" w:rsidR="00253621" w:rsidRPr="00337FE3" w:rsidRDefault="00253621" w:rsidP="00253621">
      <w:pPr>
        <w:pStyle w:val="ParaNum"/>
        <w:widowControl/>
        <w:numPr>
          <w:ilvl w:val="0"/>
          <w:numId w:val="11"/>
        </w:numPr>
        <w:rPr>
          <w:spacing w:val="-2"/>
          <w:szCs w:val="22"/>
        </w:rPr>
      </w:pPr>
      <w:r w:rsidRPr="00337FE3">
        <w:rPr>
          <w:spacing w:val="-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799274A6" w14:textId="77777777" w:rsidR="00253621" w:rsidRPr="00337FE3" w:rsidRDefault="00253621" w:rsidP="00253621">
      <w:pPr>
        <w:pStyle w:val="ParaNum"/>
        <w:numPr>
          <w:ilvl w:val="0"/>
          <w:numId w:val="11"/>
        </w:numPr>
        <w:rPr>
          <w:spacing w:val="-2"/>
          <w:szCs w:val="22"/>
        </w:rPr>
      </w:pPr>
      <w:r w:rsidRPr="00337FE3">
        <w:rPr>
          <w:spacing w:val="-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0291EF88" w14:textId="77777777" w:rsidR="00B43BB6" w:rsidRPr="00992A58" w:rsidRDefault="00B43BB6" w:rsidP="00253621">
      <w:pPr>
        <w:pStyle w:val="ParaNum"/>
      </w:pPr>
      <w:r w:rsidRPr="00992A58">
        <w:t xml:space="preserve">Requests for full payment of the forfeiture proposed in this </w:t>
      </w:r>
      <w:r>
        <w:rPr>
          <w:i/>
        </w:rPr>
        <w:t>Forfeiture Order</w:t>
      </w:r>
      <w:r w:rsidRPr="00992A58">
        <w:t xml:space="preserve"> under the installment plan should be sent to: Associate Managing Director- Financial Operations, 445 12th Street, S.W., Room 1-A625, Washington, D.C. 20554.</w:t>
      </w:r>
      <w:r w:rsidRPr="00992A58">
        <w:rPr>
          <w:rStyle w:val="FootnoteReference"/>
          <w:szCs w:val="22"/>
        </w:rPr>
        <w:footnoteReference w:id="31"/>
      </w:r>
    </w:p>
    <w:p w14:paraId="339EE530" w14:textId="77777777" w:rsidR="00253621" w:rsidRDefault="009D0B9A" w:rsidP="00253621">
      <w:pPr>
        <w:pStyle w:val="ParaNum"/>
      </w:pPr>
      <w:r w:rsidRPr="009D0B9A">
        <w:t xml:space="preserve"> IT IS FURTHER ORDERED THAT a copy of this </w:t>
      </w:r>
      <w:r w:rsidR="00B43BB6" w:rsidRPr="00B43BB6">
        <w:rPr>
          <w:i/>
        </w:rPr>
        <w:t>Forfeiture Order</w:t>
      </w:r>
      <w:r w:rsidRPr="009D0B9A">
        <w:t xml:space="preserve"> shall be sent by Certified Mail Return Receipt Requested to</w:t>
      </w:r>
      <w:r w:rsidRPr="009D0B9A">
        <w:rPr>
          <w:shd w:val="clear" w:color="auto" w:fill="FFFFFF"/>
        </w:rPr>
        <w:t xml:space="preserve"> </w:t>
      </w:r>
      <w:r w:rsidR="00757E4F" w:rsidRPr="002E31D1">
        <w:t>KSQA, LLC, 800 SW Jackson Street, #1407, Topeka, Kansas 66612</w:t>
      </w:r>
      <w:r w:rsidR="00757E4F">
        <w:t>,</w:t>
      </w:r>
      <w:r w:rsidR="00757E4F" w:rsidRPr="002E31D1">
        <w:t xml:space="preserve"> and to its counsel</w:t>
      </w:r>
      <w:r w:rsidR="00757E4F">
        <w:t>,</w:t>
      </w:r>
      <w:r w:rsidR="00757E4F" w:rsidRPr="002E31D1">
        <w:t xml:space="preserve"> James L. Winston, Rubin, Winston, Diercks, Harris &amp; Cooke, LLP, 1201 Connecticut Avenue, NW, Suite 200, Washington, DC 20036.</w:t>
      </w:r>
    </w:p>
    <w:p w14:paraId="71CB1F6E" w14:textId="77777777" w:rsidR="00253621" w:rsidRDefault="00253621" w:rsidP="00253621">
      <w:pPr>
        <w:pStyle w:val="ParaNum"/>
        <w:numPr>
          <w:ilvl w:val="0"/>
          <w:numId w:val="0"/>
        </w:numPr>
        <w:ind w:left="720"/>
      </w:pPr>
    </w:p>
    <w:p w14:paraId="1881AA43" w14:textId="77777777" w:rsidR="00253621" w:rsidRDefault="00253621" w:rsidP="00253621">
      <w:pPr>
        <w:pStyle w:val="ParaNum"/>
        <w:numPr>
          <w:ilvl w:val="0"/>
          <w:numId w:val="0"/>
        </w:numPr>
        <w:ind w:left="720"/>
      </w:pPr>
    </w:p>
    <w:p w14:paraId="416D8403" w14:textId="77777777" w:rsidR="00253621" w:rsidRPr="00253621" w:rsidRDefault="009D0B9A" w:rsidP="00253621">
      <w:pPr>
        <w:pStyle w:val="ParaNum"/>
        <w:numPr>
          <w:ilvl w:val="0"/>
          <w:numId w:val="0"/>
        </w:numPr>
        <w:ind w:left="3600" w:firstLine="720"/>
      </w:pPr>
      <w:r w:rsidRPr="00253621">
        <w:rPr>
          <w:rFonts w:eastAsia="Calibri"/>
          <w:snapToGrid/>
          <w:kern w:val="0"/>
          <w:szCs w:val="22"/>
        </w:rPr>
        <w:t>FEDERAL COMMUNICATIONS COMMISSION</w:t>
      </w:r>
    </w:p>
    <w:p w14:paraId="216E3F5C" w14:textId="77777777" w:rsidR="00253621" w:rsidRDefault="00253621" w:rsidP="00253621">
      <w:pPr>
        <w:widowControl/>
        <w:ind w:left="2160" w:firstLine="720"/>
        <w:jc w:val="both"/>
        <w:rPr>
          <w:rFonts w:eastAsia="Calibri"/>
          <w:snapToGrid/>
          <w:kern w:val="0"/>
          <w:szCs w:val="22"/>
        </w:rPr>
      </w:pPr>
    </w:p>
    <w:p w14:paraId="1D815EDA" w14:textId="77777777" w:rsidR="00253621" w:rsidRDefault="00253621" w:rsidP="00253621">
      <w:pPr>
        <w:widowControl/>
        <w:ind w:left="2160" w:firstLine="720"/>
        <w:jc w:val="both"/>
        <w:rPr>
          <w:rFonts w:eastAsia="Calibri"/>
          <w:snapToGrid/>
          <w:kern w:val="0"/>
          <w:szCs w:val="22"/>
        </w:rPr>
      </w:pPr>
    </w:p>
    <w:p w14:paraId="07208E0A" w14:textId="77777777" w:rsidR="00253621" w:rsidRDefault="00253621" w:rsidP="00253621">
      <w:pPr>
        <w:widowControl/>
        <w:ind w:left="2160" w:firstLine="720"/>
        <w:jc w:val="both"/>
        <w:rPr>
          <w:rFonts w:eastAsia="Calibri"/>
          <w:snapToGrid/>
          <w:kern w:val="0"/>
          <w:szCs w:val="22"/>
        </w:rPr>
      </w:pPr>
    </w:p>
    <w:p w14:paraId="06F5DBFF" w14:textId="77777777" w:rsidR="009D0B9A" w:rsidRPr="009D0B9A" w:rsidRDefault="009D0B9A" w:rsidP="00253621">
      <w:pPr>
        <w:widowControl/>
        <w:ind w:left="3600" w:firstLine="720"/>
        <w:jc w:val="both"/>
        <w:rPr>
          <w:rFonts w:eastAsia="Calibri"/>
          <w:snapToGrid/>
          <w:kern w:val="0"/>
          <w:szCs w:val="22"/>
        </w:rPr>
      </w:pPr>
      <w:r w:rsidRPr="009D0B9A">
        <w:rPr>
          <w:rFonts w:eastAsia="Calibri"/>
          <w:snapToGrid/>
          <w:kern w:val="0"/>
          <w:szCs w:val="22"/>
        </w:rPr>
        <w:t>Barbara</w:t>
      </w:r>
      <w:r w:rsidR="00253621">
        <w:rPr>
          <w:rFonts w:eastAsia="Calibri"/>
          <w:snapToGrid/>
          <w:kern w:val="0"/>
          <w:szCs w:val="22"/>
        </w:rPr>
        <w:tab/>
      </w:r>
      <w:r w:rsidRPr="009D0B9A">
        <w:rPr>
          <w:rFonts w:eastAsia="Calibri"/>
          <w:snapToGrid/>
          <w:kern w:val="0"/>
          <w:szCs w:val="22"/>
        </w:rPr>
        <w:t>A. Kreisman</w:t>
      </w:r>
    </w:p>
    <w:p w14:paraId="21056841" w14:textId="77777777" w:rsidR="009D0B9A" w:rsidRPr="009D0B9A" w:rsidRDefault="00253621" w:rsidP="009D0B9A">
      <w:pPr>
        <w:widowControl/>
        <w:jc w:val="both"/>
        <w:rPr>
          <w:rFonts w:eastAsia="Calibri"/>
          <w:snapToGrid/>
          <w:kern w:val="0"/>
          <w:szCs w:val="22"/>
        </w:rPr>
      </w:pPr>
      <w:r>
        <w:rPr>
          <w:rFonts w:eastAsia="Calibri"/>
          <w:snapToGrid/>
          <w:kern w:val="0"/>
          <w:szCs w:val="22"/>
        </w:rPr>
        <w:tab/>
      </w:r>
      <w:r w:rsidR="009D0B9A" w:rsidRPr="009D0B9A">
        <w:rPr>
          <w:rFonts w:eastAsia="Calibri"/>
          <w:snapToGrid/>
          <w:kern w:val="0"/>
          <w:szCs w:val="22"/>
        </w:rPr>
        <w:tab/>
      </w:r>
      <w:r w:rsidR="009D0B9A" w:rsidRPr="009D0B9A">
        <w:rPr>
          <w:rFonts w:eastAsia="Calibri"/>
          <w:snapToGrid/>
          <w:kern w:val="0"/>
          <w:szCs w:val="22"/>
        </w:rPr>
        <w:tab/>
      </w:r>
      <w:r w:rsidR="009D0B9A" w:rsidRPr="009D0B9A">
        <w:rPr>
          <w:rFonts w:eastAsia="Calibri"/>
          <w:snapToGrid/>
          <w:kern w:val="0"/>
          <w:szCs w:val="22"/>
        </w:rPr>
        <w:tab/>
        <w:t xml:space="preserve">               </w:t>
      </w:r>
      <w:r w:rsidR="009D0B9A" w:rsidRPr="009D0B9A">
        <w:rPr>
          <w:rFonts w:eastAsia="Calibri"/>
          <w:snapToGrid/>
          <w:kern w:val="0"/>
          <w:szCs w:val="22"/>
        </w:rPr>
        <w:tab/>
        <w:t xml:space="preserve">Chief, Video Division </w:t>
      </w:r>
    </w:p>
    <w:p w14:paraId="677D5C4E" w14:textId="77777777" w:rsidR="002C00E8" w:rsidRPr="009D0B9A" w:rsidRDefault="009D0B9A" w:rsidP="00253621">
      <w:pPr>
        <w:widowControl/>
        <w:ind w:left="2160" w:firstLine="720"/>
        <w:jc w:val="both"/>
        <w:rPr>
          <w:rFonts w:eastAsia="Calibri"/>
          <w:snapToGrid/>
          <w:kern w:val="0"/>
          <w:szCs w:val="22"/>
        </w:rPr>
      </w:pPr>
      <w:r w:rsidRPr="009D0B9A">
        <w:rPr>
          <w:rFonts w:eastAsia="Calibri"/>
          <w:snapToGrid/>
          <w:kern w:val="0"/>
          <w:szCs w:val="22"/>
        </w:rPr>
        <w:t xml:space="preserve">               </w:t>
      </w:r>
      <w:r w:rsidRPr="009D0B9A">
        <w:rPr>
          <w:rFonts w:eastAsia="Calibri"/>
          <w:snapToGrid/>
          <w:kern w:val="0"/>
          <w:szCs w:val="22"/>
        </w:rPr>
        <w:tab/>
        <w:t>Media Bureau</w:t>
      </w:r>
    </w:p>
    <w:sectPr w:rsidR="002C00E8" w:rsidRPr="009D0B9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3EC98" w14:textId="77777777" w:rsidR="008439A7" w:rsidRDefault="008439A7">
      <w:pPr>
        <w:spacing w:line="20" w:lineRule="exact"/>
      </w:pPr>
    </w:p>
  </w:endnote>
  <w:endnote w:type="continuationSeparator" w:id="0">
    <w:p w14:paraId="71ED016F" w14:textId="77777777" w:rsidR="008439A7" w:rsidRDefault="008439A7">
      <w:r>
        <w:t xml:space="preserve"> </w:t>
      </w:r>
    </w:p>
  </w:endnote>
  <w:endnote w:type="continuationNotice" w:id="1">
    <w:p w14:paraId="04B88755" w14:textId="77777777" w:rsidR="008439A7" w:rsidRDefault="008439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E7C80" w14:textId="77777777" w:rsidR="008439A7" w:rsidRDefault="008439A7" w:rsidP="0055614C">
    <w:pPr>
      <w:pStyle w:val="Footer"/>
      <w:framePr w:wrap="around" w:vAnchor="text" w:hAnchor="margin" w:xAlign="center" w:y="1"/>
    </w:pPr>
    <w:r>
      <w:fldChar w:fldCharType="begin"/>
    </w:r>
    <w:r>
      <w:instrText xml:space="preserve">PAGE  </w:instrText>
    </w:r>
    <w:r>
      <w:fldChar w:fldCharType="end"/>
    </w:r>
  </w:p>
  <w:p w14:paraId="625B17EF" w14:textId="77777777" w:rsidR="008439A7" w:rsidRDefault="00843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89AEF" w14:textId="77777777" w:rsidR="008439A7" w:rsidRDefault="008439A7" w:rsidP="0055614C">
    <w:pPr>
      <w:pStyle w:val="Footer"/>
      <w:framePr w:wrap="around" w:vAnchor="text" w:hAnchor="margin" w:xAlign="center" w:y="1"/>
    </w:pPr>
    <w:r>
      <w:fldChar w:fldCharType="begin"/>
    </w:r>
    <w:r>
      <w:instrText xml:space="preserve">PAGE  </w:instrText>
    </w:r>
    <w:r>
      <w:fldChar w:fldCharType="separate"/>
    </w:r>
    <w:r w:rsidR="00FD16AD">
      <w:rPr>
        <w:noProof/>
      </w:rPr>
      <w:t>2</w:t>
    </w:r>
    <w:r>
      <w:fldChar w:fldCharType="end"/>
    </w:r>
  </w:p>
  <w:p w14:paraId="5FDCA308" w14:textId="77777777" w:rsidR="008439A7" w:rsidRDefault="008439A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1DDA" w14:textId="77777777" w:rsidR="008439A7" w:rsidRDefault="008439A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FFC78" w14:textId="77777777" w:rsidR="008439A7" w:rsidRDefault="008439A7">
      <w:r>
        <w:separator/>
      </w:r>
    </w:p>
  </w:footnote>
  <w:footnote w:type="continuationSeparator" w:id="0">
    <w:p w14:paraId="2DA56876" w14:textId="77777777" w:rsidR="008439A7" w:rsidRDefault="008439A7" w:rsidP="00C721AC">
      <w:pPr>
        <w:spacing w:before="120"/>
        <w:rPr>
          <w:sz w:val="20"/>
        </w:rPr>
      </w:pPr>
      <w:r>
        <w:rPr>
          <w:sz w:val="20"/>
        </w:rPr>
        <w:t xml:space="preserve">(Continued from previous page)  </w:t>
      </w:r>
      <w:r>
        <w:rPr>
          <w:sz w:val="20"/>
        </w:rPr>
        <w:separator/>
      </w:r>
    </w:p>
  </w:footnote>
  <w:footnote w:type="continuationNotice" w:id="1">
    <w:p w14:paraId="09808828" w14:textId="77777777" w:rsidR="008439A7" w:rsidRDefault="008439A7" w:rsidP="00C721AC">
      <w:pPr>
        <w:jc w:val="right"/>
        <w:rPr>
          <w:sz w:val="20"/>
        </w:rPr>
      </w:pPr>
      <w:r>
        <w:rPr>
          <w:sz w:val="20"/>
        </w:rPr>
        <w:t>(continued….)</w:t>
      </w:r>
    </w:p>
  </w:footnote>
  <w:footnote w:id="2">
    <w:p w14:paraId="2E6F7224" w14:textId="77777777" w:rsidR="008439A7" w:rsidRPr="002318D5" w:rsidRDefault="008439A7" w:rsidP="008804B0">
      <w:pPr>
        <w:pStyle w:val="FootnoteText"/>
      </w:pPr>
      <w:r w:rsidRPr="002318D5">
        <w:rPr>
          <w:rStyle w:val="FootnoteReference"/>
        </w:rPr>
        <w:footnoteRef/>
      </w:r>
      <w:r w:rsidRPr="002318D5">
        <w:t xml:space="preserve">  47 C.F</w:t>
      </w:r>
      <w:r>
        <w:t>.R. §§ 0.61(f)(1), 1.80(a)(1),</w:t>
      </w:r>
      <w:r w:rsidRPr="002318D5">
        <w:t>(2).</w:t>
      </w:r>
    </w:p>
  </w:footnote>
  <w:footnote w:id="3">
    <w:p w14:paraId="047A95AA" w14:textId="77777777" w:rsidR="008439A7" w:rsidRPr="002318D5" w:rsidRDefault="008439A7" w:rsidP="008804B0">
      <w:pPr>
        <w:pStyle w:val="FootnoteText"/>
      </w:pPr>
      <w:r w:rsidRPr="002318D5">
        <w:rPr>
          <w:rStyle w:val="FootnoteReference"/>
        </w:rPr>
        <w:footnoteRef/>
      </w:r>
      <w:r w:rsidRPr="002318D5">
        <w:t xml:space="preserve"> 47 C.F.R. § 73.3526(e)(11)(iii).</w:t>
      </w:r>
    </w:p>
  </w:footnote>
  <w:footnote w:id="4">
    <w:p w14:paraId="6DCC5247" w14:textId="77777777" w:rsidR="008439A7" w:rsidRPr="002318D5" w:rsidRDefault="008439A7" w:rsidP="008804B0">
      <w:pPr>
        <w:pStyle w:val="FootnoteText"/>
      </w:pPr>
      <w:r w:rsidRPr="002318D5">
        <w:rPr>
          <w:rStyle w:val="FootnoteReference"/>
        </w:rPr>
        <w:footnoteRef/>
      </w:r>
      <w:r w:rsidRPr="002318D5">
        <w:t xml:space="preserve"> 47 C.F.R. § 73.3514(a). </w:t>
      </w:r>
    </w:p>
  </w:footnote>
  <w:footnote w:id="5">
    <w:p w14:paraId="527D5E7C" w14:textId="77777777" w:rsidR="008439A7" w:rsidRPr="002318D5" w:rsidRDefault="008439A7" w:rsidP="008804B0">
      <w:pPr>
        <w:pStyle w:val="FootnoteText"/>
      </w:pPr>
      <w:r w:rsidRPr="002318D5">
        <w:rPr>
          <w:rStyle w:val="FootnoteReference"/>
        </w:rPr>
        <w:footnoteRef/>
      </w:r>
      <w:r w:rsidRPr="002318D5">
        <w:t xml:space="preserve"> </w:t>
      </w:r>
      <w:r>
        <w:rPr>
          <w:i/>
        </w:rPr>
        <w:t>KSQA, LLC</w:t>
      </w:r>
      <w:r w:rsidRPr="002318D5">
        <w:t xml:space="preserve">, Notice of Apparent Liability for Forfeiture, </w:t>
      </w:r>
      <w:r>
        <w:t>DA 16-373 (Vid. Div. 2016</w:t>
      </w:r>
      <w:r w:rsidRPr="002318D5">
        <w:t>)</w:t>
      </w:r>
      <w:r>
        <w:t xml:space="preserve"> (</w:t>
      </w:r>
      <w:r w:rsidRPr="00A37AC7">
        <w:t>NAL</w:t>
      </w:r>
      <w:r>
        <w:t>).</w:t>
      </w:r>
    </w:p>
  </w:footnote>
  <w:footnote w:id="6">
    <w:p w14:paraId="2E9E9C15" w14:textId="77777777" w:rsidR="008439A7" w:rsidRPr="002318D5" w:rsidRDefault="008439A7" w:rsidP="008804B0">
      <w:pPr>
        <w:pStyle w:val="FootnoteText"/>
      </w:pPr>
      <w:r w:rsidRPr="002318D5">
        <w:rPr>
          <w:rStyle w:val="FootnoteReference"/>
        </w:rPr>
        <w:footnoteRef/>
      </w:r>
      <w:r w:rsidRPr="002318D5">
        <w:t xml:space="preserve"> </w:t>
      </w:r>
      <w:r w:rsidRPr="00022EAA">
        <w:t xml:space="preserve">The Licensee </w:t>
      </w:r>
      <w:r>
        <w:t>filed its quarterly</w:t>
      </w:r>
      <w:r w:rsidRPr="00022EAA">
        <w:t xml:space="preserve"> Children’s Television Programming Reports </w:t>
      </w:r>
      <w:r>
        <w:t>late for the</w:t>
      </w:r>
      <w:r w:rsidRPr="00022EAA">
        <w:t xml:space="preserve"> fourth quarter of 2011, all four quarters of 2012, the second through fourth quarters of 2013, the first through third quarters of 2014, and the first and second quarters of 2015. </w:t>
      </w:r>
      <w:r w:rsidRPr="00A37AC7">
        <w:t xml:space="preserve"> NAL</w:t>
      </w:r>
      <w:r>
        <w:t xml:space="preserve"> at n.6. </w:t>
      </w:r>
    </w:p>
  </w:footnote>
  <w:footnote w:id="7">
    <w:p w14:paraId="15D68DB9" w14:textId="77777777" w:rsidR="008439A7" w:rsidRDefault="008439A7" w:rsidP="008804B0">
      <w:pPr>
        <w:pStyle w:val="FootnoteText"/>
      </w:pPr>
      <w:r w:rsidRPr="002318D5">
        <w:rPr>
          <w:rStyle w:val="FootnoteReference"/>
        </w:rPr>
        <w:footnoteRef/>
      </w:r>
      <w:r>
        <w:t xml:space="preserve"> File No. BRCDT-20140129ACP.</w:t>
      </w:r>
    </w:p>
    <w:p w14:paraId="6307BF9B" w14:textId="77777777" w:rsidR="008439A7" w:rsidRDefault="008439A7" w:rsidP="008804B0">
      <w:pPr>
        <w:pStyle w:val="FootnoteText"/>
      </w:pPr>
    </w:p>
  </w:footnote>
  <w:footnote w:id="8">
    <w:p w14:paraId="3B4E8F80" w14:textId="77777777" w:rsidR="008439A7" w:rsidRPr="00467B61" w:rsidRDefault="008439A7" w:rsidP="008804B0">
      <w:pPr>
        <w:pStyle w:val="FootnoteText"/>
      </w:pPr>
      <w:r w:rsidRPr="00467B61">
        <w:rPr>
          <w:rStyle w:val="FootnoteReference"/>
        </w:rPr>
        <w:footnoteRef/>
      </w:r>
      <w:r w:rsidRPr="00467B61">
        <w:t xml:space="preserve"> Licensee Response to Notice of Apparent Liability </w:t>
      </w:r>
      <w:r>
        <w:t>for Forfeiture at 2 (Apr. 21, 2016) (Licensee Response).</w:t>
      </w:r>
    </w:p>
  </w:footnote>
  <w:footnote w:id="9">
    <w:p w14:paraId="4FE3F472" w14:textId="77777777" w:rsidR="008439A7" w:rsidRDefault="008439A7" w:rsidP="008804B0">
      <w:pPr>
        <w:pStyle w:val="FootnoteText"/>
      </w:pPr>
      <w:r>
        <w:rPr>
          <w:rStyle w:val="FootnoteReference"/>
        </w:rPr>
        <w:footnoteRef/>
      </w:r>
      <w:r>
        <w:t xml:space="preserve"> </w:t>
      </w:r>
      <w:r w:rsidRPr="0074363A">
        <w:rPr>
          <w:i/>
        </w:rPr>
        <w:t>Id.</w:t>
      </w:r>
      <w:r>
        <w:t xml:space="preserve"> at 2</w:t>
      </w:r>
      <w:r w:rsidRPr="00822AD9">
        <w:t xml:space="preserve">.  </w:t>
      </w:r>
      <w:r w:rsidRPr="00822AD9">
        <w:rPr>
          <w:i/>
        </w:rPr>
        <w:t>See Application Procedures for Broadcast Incentive Auction Scheduled to Begin on March 29, 2016, Public Notice</w:t>
      </w:r>
      <w:r w:rsidRPr="00822AD9">
        <w:t>, P</w:t>
      </w:r>
      <w:r w:rsidR="008E1D30" w:rsidRPr="00822AD9">
        <w:t xml:space="preserve">ublic Notice, 30 FCC Rcd 11034 </w:t>
      </w:r>
      <w:r w:rsidRPr="00822AD9">
        <w:t>(2015) (</w:t>
      </w:r>
      <w:r w:rsidRPr="00822AD9">
        <w:rPr>
          <w:i/>
        </w:rPr>
        <w:t xml:space="preserve">Application Procedures </w:t>
      </w:r>
      <w:r w:rsidR="00063293" w:rsidRPr="00822AD9">
        <w:rPr>
          <w:i/>
        </w:rPr>
        <w:t xml:space="preserve">Public Notice </w:t>
      </w:r>
      <w:r w:rsidR="00063293" w:rsidRPr="00822AD9">
        <w:t xml:space="preserve">or </w:t>
      </w:r>
      <w:r w:rsidR="00063293" w:rsidRPr="00822AD9">
        <w:rPr>
          <w:i/>
        </w:rPr>
        <w:t>Public Notice</w:t>
      </w:r>
      <w:r w:rsidRPr="00822AD9">
        <w:t>).</w:t>
      </w:r>
      <w:r>
        <w:t xml:space="preserve"> </w:t>
      </w:r>
    </w:p>
  </w:footnote>
  <w:footnote w:id="10">
    <w:p w14:paraId="7725962C" w14:textId="77777777" w:rsidR="00A219B3" w:rsidRDefault="00A219B3" w:rsidP="008804B0">
      <w:pPr>
        <w:pStyle w:val="FootnoteText"/>
      </w:pPr>
      <w:r>
        <w:rPr>
          <w:rStyle w:val="FootnoteReference"/>
        </w:rPr>
        <w:footnoteRef/>
      </w:r>
      <w:r>
        <w:t xml:space="preserve"> Licensee Response at 3.</w:t>
      </w:r>
    </w:p>
  </w:footnote>
  <w:footnote w:id="11">
    <w:p w14:paraId="77FF113D" w14:textId="77777777" w:rsidR="00A219B3" w:rsidRDefault="00A219B3" w:rsidP="008804B0">
      <w:pPr>
        <w:pStyle w:val="FootnoteText"/>
      </w:pPr>
      <w:r>
        <w:rPr>
          <w:rStyle w:val="FootnoteReference"/>
        </w:rPr>
        <w:footnoteRef/>
      </w:r>
      <w:r>
        <w:t xml:space="preserve"> Licensee Response at 3.</w:t>
      </w:r>
    </w:p>
  </w:footnote>
  <w:footnote w:id="12">
    <w:p w14:paraId="0F4549B9" w14:textId="77777777" w:rsidR="008439A7" w:rsidRPr="00467B61" w:rsidRDefault="008439A7" w:rsidP="008804B0">
      <w:pPr>
        <w:pStyle w:val="FootnoteText"/>
      </w:pPr>
      <w:r w:rsidRPr="00467B61">
        <w:rPr>
          <w:rStyle w:val="FootnoteReference"/>
        </w:rPr>
        <w:footnoteRef/>
      </w:r>
      <w:r w:rsidRPr="00467B61">
        <w:t xml:space="preserve"> 47 U.S.C. § 503(b)(1)</w:t>
      </w:r>
      <w:r>
        <w:t>,</w:t>
      </w:r>
      <w:r w:rsidRPr="00467B61">
        <w:t>(A)</w:t>
      </w:r>
      <w:r>
        <w:t>,(B); 47 C.F.R. § 1.80(a)(1),</w:t>
      </w:r>
      <w:r w:rsidRPr="00467B61">
        <w:t xml:space="preserve">(2).  The Commission may assess a forfeiture order for violations that are merely repeated, and not willful.  </w:t>
      </w:r>
      <w:r w:rsidRPr="00467B61">
        <w:rPr>
          <w:i/>
        </w:rPr>
        <w:t>See, e.g.,</w:t>
      </w:r>
      <w:r w:rsidRPr="00467B61">
        <w:t xml:space="preserve"> </w:t>
      </w:r>
      <w:r w:rsidRPr="00467B61">
        <w:rPr>
          <w:i/>
        </w:rPr>
        <w:t>Callais Cablevision, Inc., Grand Isle, Louisiana</w:t>
      </w:r>
      <w:r w:rsidRPr="00467B61">
        <w:t>, Notice of Apparent Liability for Monetary Forf</w:t>
      </w:r>
      <w:r>
        <w:t xml:space="preserve">eiture, 16 FCC Rcd 1359, 1362, </w:t>
      </w:r>
      <w:r w:rsidRPr="00467B61">
        <w:t xml:space="preserve">(2001) (issuing a Notice of Apparent Liability for a cable television operator’s repeated violations of the Commission’s signal leakage rules). </w:t>
      </w:r>
      <w:r w:rsidRPr="00467B61">
        <w:rPr>
          <w:i/>
        </w:rPr>
        <w:t xml:space="preserve"> </w:t>
      </w:r>
      <w:r w:rsidRPr="00467B61">
        <w:t xml:space="preserve">“Repeated” means that the act was committed or omitted more than once.  </w:t>
      </w:r>
      <w:r w:rsidRPr="00467B61">
        <w:rPr>
          <w:i/>
        </w:rPr>
        <w:t xml:space="preserve">Southern California Broadcasting Co., </w:t>
      </w:r>
      <w:r w:rsidRPr="00467B61">
        <w:t>Memorandum Opinion and Order, 6 FCC Rcd 4387, 4388 (1991).</w:t>
      </w:r>
    </w:p>
  </w:footnote>
  <w:footnote w:id="13">
    <w:p w14:paraId="7029FBB8" w14:textId="77777777" w:rsidR="008439A7" w:rsidRPr="00467B61" w:rsidRDefault="008439A7" w:rsidP="008804B0">
      <w:pPr>
        <w:pStyle w:val="FootnoteText"/>
      </w:pPr>
      <w:r w:rsidRPr="00467B61">
        <w:rPr>
          <w:rStyle w:val="FootnoteReference"/>
        </w:rPr>
        <w:footnoteRef/>
      </w:r>
      <w:r w:rsidRPr="00467B61">
        <w:t xml:space="preserve"> 47 U.S.C. § 503(b); 47 C.F.R. § 1.80(f).</w:t>
      </w:r>
    </w:p>
  </w:footnote>
  <w:footnote w:id="14">
    <w:p w14:paraId="15AAC6EB" w14:textId="77777777" w:rsidR="008439A7" w:rsidRDefault="008439A7" w:rsidP="008804B0">
      <w:pPr>
        <w:pStyle w:val="FootnoteText"/>
      </w:pPr>
      <w:r w:rsidRPr="00467B61">
        <w:rPr>
          <w:rStyle w:val="FootnoteReference"/>
        </w:rPr>
        <w:footnoteRef/>
      </w:r>
      <w:r w:rsidRPr="00467B61">
        <w:t xml:space="preserve"> </w:t>
      </w:r>
      <w:r w:rsidRPr="00467B61">
        <w:rPr>
          <w:i/>
        </w:rPr>
        <w:t>See, e.g., SBC Communications, Inc.</w:t>
      </w:r>
      <w:r w:rsidRPr="00467B61">
        <w:t>, Forfeiture Order, 17 FCC Rcd 7589, 7591 (2002).</w:t>
      </w:r>
      <w:r>
        <w:t xml:space="preserve"> </w:t>
      </w:r>
    </w:p>
  </w:footnote>
  <w:footnote w:id="15">
    <w:p w14:paraId="539DEFA0" w14:textId="77777777" w:rsidR="008439A7" w:rsidRPr="00B43BB6" w:rsidRDefault="008439A7" w:rsidP="008804B0">
      <w:pPr>
        <w:pStyle w:val="FootnoteText"/>
      </w:pPr>
      <w:r w:rsidRPr="00B43BB6">
        <w:rPr>
          <w:rStyle w:val="FootnoteReference"/>
        </w:rPr>
        <w:footnoteRef/>
      </w:r>
      <w:r w:rsidRPr="00B43BB6">
        <w:t xml:space="preserve"> </w:t>
      </w:r>
      <w:r w:rsidRPr="00B43BB6">
        <w:rPr>
          <w:i/>
        </w:rPr>
        <w:t>See Forfeiture Policy Statement</w:t>
      </w:r>
      <w:r w:rsidRPr="00B43BB6">
        <w:t>, 12 FCC Rcd at 17113-15; 47 C.F.R. § 1.80(b), note</w:t>
      </w:r>
      <w:r>
        <w:t xml:space="preserve"> to para</w:t>
      </w:r>
      <w:r w:rsidR="00686FCE">
        <w:t>.</w:t>
      </w:r>
      <w:r>
        <w:t xml:space="preserve"> (b)(8), Section I.</w:t>
      </w:r>
    </w:p>
  </w:footnote>
  <w:footnote w:id="16">
    <w:p w14:paraId="6CFEA730" w14:textId="77777777" w:rsidR="008439A7" w:rsidRDefault="008439A7" w:rsidP="008804B0">
      <w:pPr>
        <w:pStyle w:val="FootnoteText"/>
      </w:pPr>
      <w:r>
        <w:rPr>
          <w:rStyle w:val="FootnoteReference"/>
        </w:rPr>
        <w:footnoteRef/>
      </w:r>
      <w:r w:rsidRPr="00A37AC7">
        <w:t xml:space="preserve"> NAL</w:t>
      </w:r>
      <w:r>
        <w:rPr>
          <w:i/>
        </w:rPr>
        <w:t xml:space="preserve"> </w:t>
      </w:r>
      <w:r w:rsidRPr="009018C2">
        <w:t>at</w:t>
      </w:r>
      <w:r>
        <w:t xml:space="preserve"> 3.</w:t>
      </w:r>
    </w:p>
  </w:footnote>
  <w:footnote w:id="17">
    <w:p w14:paraId="0060C305" w14:textId="77777777" w:rsidR="00E050B0" w:rsidRPr="00FB53A6" w:rsidRDefault="00E050B0" w:rsidP="008804B0">
      <w:pPr>
        <w:widowControl/>
        <w:spacing w:after="120"/>
        <w:rPr>
          <w:sz w:val="20"/>
        </w:rPr>
      </w:pPr>
      <w:r w:rsidRPr="00FB53A6">
        <w:rPr>
          <w:rStyle w:val="FootnoteReference"/>
        </w:rPr>
        <w:footnoteRef/>
      </w:r>
      <w:r w:rsidRPr="00FB53A6">
        <w:rPr>
          <w:sz w:val="20"/>
        </w:rPr>
        <w:t xml:space="preserve"> </w:t>
      </w:r>
      <w:r w:rsidRPr="00FB53A6">
        <w:rPr>
          <w:i/>
          <w:sz w:val="20"/>
        </w:rPr>
        <w:t>See</w:t>
      </w:r>
      <w:r w:rsidRPr="00FB53A6">
        <w:rPr>
          <w:sz w:val="20"/>
        </w:rPr>
        <w:t xml:space="preserve"> </w:t>
      </w:r>
      <w:r w:rsidRPr="00FB53A6">
        <w:rPr>
          <w:i/>
          <w:sz w:val="20"/>
        </w:rPr>
        <w:t>Application Procedures Public Notice</w:t>
      </w:r>
      <w:r w:rsidRPr="00FB53A6">
        <w:rPr>
          <w:sz w:val="20"/>
        </w:rPr>
        <w:t>, 30 FCC Rcd at 11041</w:t>
      </w:r>
      <w:r>
        <w:rPr>
          <w:sz w:val="20"/>
        </w:rPr>
        <w:t>, para. 12</w:t>
      </w:r>
      <w:r w:rsidRPr="00FB53A6">
        <w:rPr>
          <w:i/>
          <w:sz w:val="20"/>
        </w:rPr>
        <w:t xml:space="preserve"> </w:t>
      </w:r>
      <w:r w:rsidRPr="00FB53A6">
        <w:rPr>
          <w:sz w:val="20"/>
        </w:rPr>
        <w:t>(stating “</w:t>
      </w:r>
      <w:r w:rsidRPr="00FB53A6">
        <w:rPr>
          <w:snapToGrid/>
          <w:kern w:val="0"/>
          <w:sz w:val="20"/>
        </w:rPr>
        <w:t xml:space="preserve">we waive the red light rule for the limited purpose of permitting any eligible broadcast licensee that is red lighted for debt owed to the Commission at the time it submits a reverse auction application to participate in the reverse auction…”). </w:t>
      </w:r>
    </w:p>
  </w:footnote>
  <w:footnote w:id="18">
    <w:p w14:paraId="1B263D8F" w14:textId="4B1AD989" w:rsidR="004E6490" w:rsidRDefault="004E6490" w:rsidP="008804B0">
      <w:pPr>
        <w:pStyle w:val="FootnoteText"/>
      </w:pPr>
      <w:r>
        <w:rPr>
          <w:rStyle w:val="FootnoteReference"/>
        </w:rPr>
        <w:footnoteRef/>
      </w:r>
      <w:r>
        <w:t xml:space="preserve"> Licensee Response at 3.</w:t>
      </w:r>
    </w:p>
  </w:footnote>
  <w:footnote w:id="19">
    <w:p w14:paraId="251446E8" w14:textId="3DCA57F7" w:rsidR="00716BAA" w:rsidRDefault="00716BAA" w:rsidP="008804B0">
      <w:pPr>
        <w:pStyle w:val="FootnoteText"/>
      </w:pPr>
      <w:r w:rsidRPr="00341EC4">
        <w:rPr>
          <w:rStyle w:val="FootnoteReference"/>
        </w:rPr>
        <w:footnoteRef/>
      </w:r>
      <w:r w:rsidRPr="00341EC4">
        <w:t xml:space="preserve"> </w:t>
      </w:r>
      <w:r w:rsidRPr="00341EC4">
        <w:rPr>
          <w:i/>
        </w:rPr>
        <w:t>See</w:t>
      </w:r>
      <w:r w:rsidR="00A0721E" w:rsidRPr="00341EC4">
        <w:rPr>
          <w:i/>
        </w:rPr>
        <w:t xml:space="preserve"> FCC Announces Brief Delay in Enforcement of the Red Light Rule</w:t>
      </w:r>
      <w:r w:rsidR="00A0721E" w:rsidRPr="00341EC4">
        <w:t>, 19 FCC Rcd 19452, 19452 (2004)(stating that</w:t>
      </w:r>
      <w:r w:rsidRPr="00341EC4">
        <w:t xml:space="preserve"> </w:t>
      </w:r>
      <w:r w:rsidR="00A0721E" w:rsidRPr="00341EC4">
        <w:t xml:space="preserve">“anyone filing an application or seeking a benefit that is discovered to be delinquent in debt owed to the FCC will be notified of the delinquency and given 30 days to pay the debt in full or make other satisfactory arrangements. Failure to do so will result in dismissal of the application or other request for a benefit.”); </w:t>
      </w:r>
      <w:r w:rsidR="00341EC4" w:rsidRPr="00341EC4">
        <w:rPr>
          <w:i/>
        </w:rPr>
        <w:t>but see also</w:t>
      </w:r>
      <w:r w:rsidR="00341EC4">
        <w:t xml:space="preserve"> </w:t>
      </w:r>
      <w:r w:rsidR="00A0721E" w:rsidRPr="00341EC4">
        <w:rPr>
          <w:i/>
        </w:rPr>
        <w:t>Glenn A. Baxter Application to Renew License for Amateur Radio Service Station K1MAN</w:t>
      </w:r>
      <w:r w:rsidR="00A0721E" w:rsidRPr="00341EC4">
        <w:t>, Memorandum Opinion and Order, 2013 WL 5870097 (2013)(</w:t>
      </w:r>
      <w:r w:rsidR="00341EC4">
        <w:t>holding that</w:t>
      </w:r>
      <w:r w:rsidR="00A0721E" w:rsidRPr="00341EC4">
        <w:t xml:space="preserve"> “The Red Light Rule protects applicants that challenge delinquent debts from prematurely having their applications terminated…under Commission rules, Mr. Baxter’s debt could not be declared delinquent until the District Court proceeding and any further appeals had concluded.”). </w:t>
      </w:r>
      <w:r w:rsidR="00D725C5">
        <w:t xml:space="preserve"> </w:t>
      </w:r>
      <w:r w:rsidR="007A185D">
        <w:t>At the current time,</w:t>
      </w:r>
      <w:r w:rsidR="00A0721E" w:rsidRPr="00341EC4">
        <w:t xml:space="preserve"> KSQA has not been notified of any delinquency</w:t>
      </w:r>
      <w:r w:rsidR="007A185D">
        <w:t xml:space="preserve"> or found to be delinquent in debt owed to the Commission.  T</w:t>
      </w:r>
      <w:r w:rsidR="00B875B5">
        <w:t>herefore the Licensee is</w:t>
      </w:r>
      <w:r w:rsidR="007A185D">
        <w:t xml:space="preserve"> </w:t>
      </w:r>
      <w:r w:rsidR="00341EC4">
        <w:t xml:space="preserve">not </w:t>
      </w:r>
      <w:r w:rsidR="007A185D">
        <w:t xml:space="preserve">currently </w:t>
      </w:r>
      <w:r w:rsidR="00341EC4">
        <w:t>subject to the red light rule</w:t>
      </w:r>
      <w:r w:rsidR="00A0721E" w:rsidRPr="00341EC4">
        <w:t>.</w:t>
      </w:r>
    </w:p>
  </w:footnote>
  <w:footnote w:id="20">
    <w:p w14:paraId="1538A115" w14:textId="41EFCA4B" w:rsidR="00B2344E" w:rsidRDefault="00B2344E" w:rsidP="008804B0">
      <w:pPr>
        <w:pStyle w:val="FootnoteText"/>
      </w:pPr>
      <w:r>
        <w:rPr>
          <w:rStyle w:val="FootnoteReference"/>
        </w:rPr>
        <w:footnoteRef/>
      </w:r>
      <w:r>
        <w:t xml:space="preserve"> </w:t>
      </w:r>
      <w:r w:rsidRPr="005D311C">
        <w:rPr>
          <w:i/>
        </w:rPr>
        <w:t>See</w:t>
      </w:r>
      <w:r>
        <w:t xml:space="preserve"> NAL at 3, para. 8.</w:t>
      </w:r>
    </w:p>
  </w:footnote>
  <w:footnote w:id="21">
    <w:p w14:paraId="15F49240" w14:textId="77777777" w:rsidR="00B0552D" w:rsidRDefault="00B0552D" w:rsidP="008804B0">
      <w:pPr>
        <w:pStyle w:val="FootnoteText"/>
      </w:pPr>
      <w:r>
        <w:rPr>
          <w:rStyle w:val="FootnoteReference"/>
        </w:rPr>
        <w:footnoteRef/>
      </w:r>
      <w:r>
        <w:t xml:space="preserve"> </w:t>
      </w:r>
      <w:r>
        <w:rPr>
          <w:i/>
        </w:rPr>
        <w:t>Application Procedures Public Notice</w:t>
      </w:r>
      <w:r>
        <w:t xml:space="preserve">, 30 FCC Rcd at 11041.  </w:t>
      </w:r>
    </w:p>
  </w:footnote>
  <w:footnote w:id="22">
    <w:p w14:paraId="629B5E77" w14:textId="41D30EA7" w:rsidR="00B0552D" w:rsidRDefault="00B0552D" w:rsidP="008804B0">
      <w:pPr>
        <w:pStyle w:val="FootnoteText"/>
      </w:pPr>
      <w:r>
        <w:rPr>
          <w:rStyle w:val="FootnoteReference"/>
        </w:rPr>
        <w:footnoteRef/>
      </w:r>
      <w:r>
        <w:t xml:space="preserve"> </w:t>
      </w:r>
      <w:r w:rsidRPr="005D311C">
        <w:rPr>
          <w:i/>
        </w:rPr>
        <w:t>See</w:t>
      </w:r>
      <w:r>
        <w:t xml:space="preserve"> NAL at 3</w:t>
      </w:r>
      <w:r w:rsidR="005D311C">
        <w:t>, para. 8</w:t>
      </w:r>
      <w:r w:rsidR="007752C9">
        <w:t xml:space="preserve"> (</w:t>
      </w:r>
      <w:r w:rsidR="005D311C">
        <w:t>ordering</w:t>
      </w:r>
      <w:r w:rsidR="007752C9">
        <w:t xml:space="preserve"> that “</w:t>
      </w:r>
      <w:r w:rsidR="005D311C">
        <w:t>within thirty (30) days…</w:t>
      </w:r>
      <w:r w:rsidR="007752C9">
        <w:t>KSQA, LLC SHALL PAY the full amou</w:t>
      </w:r>
      <w:r w:rsidR="005D311C">
        <w:t>nt of the proposed forfeiture or</w:t>
      </w:r>
      <w:r w:rsidR="007752C9">
        <w:t xml:space="preserve"> SHALL FILE a written statement seeking reduction or cancellation of the proposed forfeiture</w:t>
      </w:r>
      <w:r>
        <w:t>.</w:t>
      </w:r>
      <w:r w:rsidR="007752C9">
        <w:t>”).</w:t>
      </w:r>
      <w:r>
        <w:t xml:space="preserve"> </w:t>
      </w:r>
    </w:p>
  </w:footnote>
  <w:footnote w:id="23">
    <w:p w14:paraId="775B8934" w14:textId="77777777" w:rsidR="008439A7" w:rsidRDefault="008439A7" w:rsidP="008804B0">
      <w:pPr>
        <w:pStyle w:val="FootnoteText"/>
      </w:pPr>
      <w:r>
        <w:rPr>
          <w:rStyle w:val="FootnoteReference"/>
        </w:rPr>
        <w:footnoteRef/>
      </w:r>
      <w:r>
        <w:t xml:space="preserve"> Licensee Response at 3. </w:t>
      </w:r>
    </w:p>
  </w:footnote>
  <w:footnote w:id="24">
    <w:p w14:paraId="0DAB8947" w14:textId="77777777" w:rsidR="008439A7" w:rsidRDefault="008439A7" w:rsidP="008804B0">
      <w:pPr>
        <w:pStyle w:val="FootnoteText"/>
      </w:pPr>
      <w:r>
        <w:rPr>
          <w:rStyle w:val="FootnoteReference"/>
        </w:rPr>
        <w:footnoteRef/>
      </w:r>
      <w:r>
        <w:t xml:space="preserve"> The </w:t>
      </w:r>
      <w:r w:rsidRPr="00114CA1">
        <w:t>NAL</w:t>
      </w:r>
      <w:r>
        <w:t xml:space="preserve"> clearly states that the Licensee “shall pay the full amount of the proposed forfeiture or shall file a written statement </w:t>
      </w:r>
      <w:r w:rsidRPr="00DD2D25">
        <w:t>seeking reduction or cancellation of the proposed forfeiture.</w:t>
      </w:r>
      <w:r>
        <w:t xml:space="preserve">” The </w:t>
      </w:r>
      <w:r w:rsidRPr="00A37AC7">
        <w:t>NAL</w:t>
      </w:r>
      <w:r>
        <w:t xml:space="preserve"> further states that “[t]</w:t>
      </w:r>
      <w:r w:rsidRPr="00436E1C">
        <w: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t xml:space="preserve">.” </w:t>
      </w:r>
      <w:r w:rsidRPr="00A37AC7">
        <w:t>NAL at</w:t>
      </w:r>
      <w:r>
        <w:t xml:space="preserve"> 3-4.</w:t>
      </w:r>
    </w:p>
  </w:footnote>
  <w:footnote w:id="25">
    <w:p w14:paraId="01CAC3AC" w14:textId="77777777" w:rsidR="008439A7" w:rsidRPr="00B43BB6" w:rsidRDefault="008439A7" w:rsidP="008804B0">
      <w:pPr>
        <w:pStyle w:val="FootnoteText"/>
      </w:pPr>
      <w:r w:rsidRPr="00B43BB6">
        <w:rPr>
          <w:rStyle w:val="FootnoteReference"/>
        </w:rPr>
        <w:footnoteRef/>
      </w:r>
      <w:r w:rsidRPr="00B43BB6">
        <w:t xml:space="preserve"> 47 U.S.C. § 503(b); 47 C.F.R. §§ 0.61(f)(1) &amp; 1.80(a)(1),(2).</w:t>
      </w:r>
    </w:p>
  </w:footnote>
  <w:footnote w:id="26">
    <w:p w14:paraId="5AC1499E" w14:textId="77777777" w:rsidR="008439A7" w:rsidRPr="00B43BB6" w:rsidRDefault="008439A7" w:rsidP="008804B0">
      <w:pPr>
        <w:pStyle w:val="FootnoteText"/>
      </w:pPr>
      <w:r w:rsidRPr="00B43BB6">
        <w:rPr>
          <w:rStyle w:val="FootnoteReference"/>
        </w:rPr>
        <w:footnoteRef/>
      </w:r>
      <w:r w:rsidRPr="00B43BB6">
        <w:t xml:space="preserve"> 47 C.F.R. §§ 73.3526(e)(11)(iii) and 73.3514(a).</w:t>
      </w:r>
    </w:p>
  </w:footnote>
  <w:footnote w:id="27">
    <w:p w14:paraId="44320BB7" w14:textId="77777777" w:rsidR="008439A7" w:rsidRPr="00B43BB6" w:rsidRDefault="008439A7" w:rsidP="008804B0">
      <w:pPr>
        <w:pStyle w:val="FootnoteText"/>
      </w:pPr>
      <w:r w:rsidRPr="00B43BB6">
        <w:rPr>
          <w:rStyle w:val="FootnoteReference"/>
        </w:rPr>
        <w:footnoteRef/>
      </w:r>
      <w:r w:rsidRPr="00B43BB6">
        <w:t xml:space="preserve"> 47 C.F.R. § 1.80(h).</w:t>
      </w:r>
    </w:p>
  </w:footnote>
  <w:footnote w:id="28">
    <w:p w14:paraId="4EF849BD" w14:textId="77777777" w:rsidR="008439A7" w:rsidRPr="00B43BB6" w:rsidRDefault="008439A7" w:rsidP="008804B0">
      <w:pPr>
        <w:pStyle w:val="FootnoteText"/>
      </w:pPr>
      <w:r w:rsidRPr="00B43BB6">
        <w:rPr>
          <w:rStyle w:val="FootnoteReference"/>
        </w:rPr>
        <w:footnoteRef/>
      </w:r>
      <w:r w:rsidRPr="00B43BB6">
        <w:t xml:space="preserve"> 47 U.S.C. § 504(a).</w:t>
      </w:r>
    </w:p>
  </w:footnote>
  <w:footnote w:id="29">
    <w:p w14:paraId="2631C4D5" w14:textId="39F8413C" w:rsidR="008439A7" w:rsidRDefault="008439A7" w:rsidP="008804B0">
      <w:pPr>
        <w:pStyle w:val="FootnoteText"/>
        <w:widowControl w:val="0"/>
      </w:pPr>
      <w:r>
        <w:rPr>
          <w:rStyle w:val="FootnoteReference"/>
        </w:rPr>
        <w:footnoteRef/>
      </w:r>
      <w:r>
        <w:t xml:space="preserve"> </w:t>
      </w:r>
      <w:r w:rsidRPr="00436E1C">
        <w:rPr>
          <w:rFonts w:eastAsia="MS Mincho" w:cs="Arial"/>
        </w:rPr>
        <w:t xml:space="preserve">Payment may be made </w:t>
      </w:r>
      <w:r w:rsidR="00532F56">
        <w:rPr>
          <w:rFonts w:eastAsia="MS Mincho" w:cs="Arial"/>
        </w:rPr>
        <w:t xml:space="preserve">online at the Commission’s </w:t>
      </w:r>
      <w:r w:rsidRPr="00436E1C">
        <w:rPr>
          <w:rFonts w:eastAsia="MS Mincho" w:cs="Arial"/>
        </w:rPr>
        <w:t xml:space="preserve">Fee Filer website: https://www.fcc.gov/encyclopedia/fee-filer. </w:t>
      </w:r>
      <w:r w:rsidR="00532F56">
        <w:rPr>
          <w:rFonts w:eastAsia="MS Mincho" w:cs="Arial"/>
        </w:rPr>
        <w:t>Online payments do not require Licensees to submit FCC Form 159.  Alternatively, p</w:t>
      </w:r>
      <w:r w:rsidR="00532F56" w:rsidRPr="006807E0">
        <w:rPr>
          <w:rFonts w:eastAsia="MS Mincho" w:cs="Arial"/>
        </w:rPr>
        <w:t xml:space="preserve">ayment may be made </w:t>
      </w:r>
      <w:r w:rsidR="00532F56">
        <w:rPr>
          <w:rFonts w:eastAsia="MS Mincho" w:cs="Arial"/>
        </w:rPr>
        <w:t>using</w:t>
      </w:r>
      <w:r w:rsidR="00532F56" w:rsidRPr="006807E0">
        <w:rPr>
          <w:rFonts w:eastAsia="MS Mincho" w:cs="Arial"/>
        </w:rPr>
        <w:t xml:space="preserve"> FCC Form 159; detailed instructions for completing the form may be obtained at </w:t>
      </w:r>
      <w:r w:rsidR="00532F56" w:rsidRPr="000E7EF1">
        <w:rPr>
          <w:rFonts w:eastAsia="MS Mincho" w:cs="Arial"/>
        </w:rPr>
        <w:t>http</w:t>
      </w:r>
      <w:r w:rsidR="00532F56" w:rsidRPr="000E7EF1">
        <w:t>://www.fcc.gov/Forms/Form159/159.pdf</w:t>
      </w:r>
      <w:r w:rsidR="00532F56">
        <w:t>.</w:t>
      </w:r>
    </w:p>
  </w:footnote>
  <w:footnote w:id="30">
    <w:p w14:paraId="5E58EBCE" w14:textId="77777777" w:rsidR="008439A7" w:rsidRDefault="008439A7" w:rsidP="008804B0">
      <w:pPr>
        <w:pStyle w:val="FootnoteText"/>
      </w:pPr>
      <w:r>
        <w:rPr>
          <w:rStyle w:val="FootnoteReference"/>
        </w:rPr>
        <w:footnoteRef/>
      </w:r>
      <w:r>
        <w:t xml:space="preserve"> For q</w:t>
      </w:r>
      <w:r w:rsidRPr="001B654A">
        <w:t>uestions regardi</w:t>
      </w:r>
      <w:r>
        <w:t>ng payment procedures,</w:t>
      </w:r>
      <w:r w:rsidRPr="001B654A">
        <w:t xml:space="preserve"> contact the Financial Operations Group Help Desk b</w:t>
      </w:r>
      <w:r>
        <w:t>y phone at 1-877-480-3201 or e-</w:t>
      </w:r>
      <w:r w:rsidRPr="001B654A">
        <w:t>mail at ARINQUIRIES@fcc.gov.</w:t>
      </w:r>
    </w:p>
  </w:footnote>
  <w:footnote w:id="31">
    <w:p w14:paraId="145B222B" w14:textId="77777777" w:rsidR="008439A7" w:rsidRDefault="008439A7" w:rsidP="008804B0">
      <w:pPr>
        <w:pStyle w:val="FootnoteText"/>
      </w:pPr>
      <w:r w:rsidRPr="00825515">
        <w:rPr>
          <w:rStyle w:val="FootnoteReference"/>
        </w:rPr>
        <w:footnoteRef/>
      </w:r>
      <w:r w:rsidRPr="00825515">
        <w:t xml:space="preserve"> </w:t>
      </w:r>
      <w:r w:rsidRPr="00825515">
        <w:rPr>
          <w:i/>
        </w:rPr>
        <w:t>See</w:t>
      </w:r>
      <w:r w:rsidRPr="00825515">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6EF0C" w14:textId="77777777" w:rsidR="00B67F4D" w:rsidRDefault="00B67F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A1639" w14:textId="58C4C881" w:rsidR="008439A7" w:rsidRDefault="008439A7" w:rsidP="00810B6F">
    <w:pPr>
      <w:pStyle w:val="Header"/>
      <w:rPr>
        <w:b w:val="0"/>
      </w:rPr>
    </w:pPr>
    <w:r>
      <w:tab/>
      <w:t>Federal Communications Commission</w:t>
    </w:r>
    <w:r>
      <w:tab/>
      <w:t>DA 16-</w:t>
    </w:r>
    <w:r w:rsidR="00A61F88">
      <w:t>670</w:t>
    </w:r>
  </w:p>
  <w:p w14:paraId="6C636FF5" w14:textId="77777777" w:rsidR="008439A7" w:rsidRDefault="008439A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695E7D1" wp14:editId="7FEB082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1BEF2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DCAEF62" w14:textId="77777777" w:rsidR="008439A7" w:rsidRDefault="008439A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C390E" w14:textId="7D30EB6E" w:rsidR="008439A7" w:rsidRDefault="008439A7" w:rsidP="00810B6F">
    <w:pPr>
      <w:pStyle w:val="Header"/>
      <w:rPr>
        <w:b w:val="0"/>
      </w:rPr>
    </w:pPr>
    <w:r>
      <w:rPr>
        <w:noProof/>
      </w:rPr>
      <mc:AlternateContent>
        <mc:Choice Requires="wps">
          <w:drawing>
            <wp:anchor distT="0" distB="0" distL="114300" distR="114300" simplePos="0" relativeHeight="251658240" behindDoc="1" locked="0" layoutInCell="0" allowOverlap="1" wp14:anchorId="76A4BF18" wp14:editId="2943F08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20E89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16-</w:t>
    </w:r>
    <w:r w:rsidR="00A61F88">
      <w:rPr>
        <w:spacing w:val="-2"/>
      </w:rPr>
      <w:t>670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3B0330"/>
    <w:multiLevelType w:val="hybridMultilevel"/>
    <w:tmpl w:val="12FC92C6"/>
    <w:lvl w:ilvl="0" w:tplc="04090001">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2A0C38"/>
    <w:multiLevelType w:val="hybridMultilevel"/>
    <w:tmpl w:val="CDBE93EE"/>
    <w:lvl w:ilvl="0" w:tplc="04090001">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341241F"/>
    <w:multiLevelType w:val="singleLevel"/>
    <w:tmpl w:val="90407C64"/>
    <w:lvl w:ilvl="0">
      <w:start w:val="1"/>
      <w:numFmt w:val="decimal"/>
      <w:pStyle w:val="NumberedList"/>
      <w:lvlText w:val="%1."/>
      <w:lvlJc w:val="left"/>
      <w:pPr>
        <w:tabs>
          <w:tab w:val="num" w:pos="990"/>
        </w:tabs>
        <w:ind w:left="-90" w:firstLine="720"/>
      </w:pPr>
      <w:rPr>
        <w:rFonts w:ascii="Times New Roman" w:hAnsi="Times New Roman" w:hint="default"/>
        <w:b w:val="0"/>
        <w:i w:val="0"/>
        <w:sz w:val="22"/>
        <w:u w:val="none"/>
      </w:rPr>
    </w:lvl>
  </w:abstractNum>
  <w:abstractNum w:abstractNumId="10">
    <w:nsid w:val="61182925"/>
    <w:multiLevelType w:val="singleLevel"/>
    <w:tmpl w:val="22F0B588"/>
    <w:lvl w:ilvl="0">
      <w:start w:val="1"/>
      <w:numFmt w:val="decimal"/>
      <w:pStyle w:val="ParaNum"/>
      <w:lvlText w:val="%1."/>
      <w:lvlJc w:val="left"/>
      <w:pPr>
        <w:tabs>
          <w:tab w:val="num" w:pos="1080"/>
        </w:tabs>
        <w:ind w:left="0" w:firstLine="720"/>
      </w:pPr>
      <w:rPr>
        <w:color w:val="auto"/>
      </w:rPr>
    </w:lvl>
  </w:abstractNum>
  <w:num w:numId="1">
    <w:abstractNumId w:val="2"/>
  </w:num>
  <w:num w:numId="2">
    <w:abstractNumId w:val="10"/>
  </w:num>
  <w:num w:numId="3">
    <w:abstractNumId w:val="4"/>
  </w:num>
  <w:num w:numId="4">
    <w:abstractNumId w:val="8"/>
  </w:num>
  <w:num w:numId="5">
    <w:abstractNumId w:val="3"/>
  </w:num>
  <w:num w:numId="6">
    <w:abstractNumId w:val="0"/>
  </w:num>
  <w:num w:numId="7">
    <w:abstractNumId w:val="9"/>
  </w:num>
  <w:num w:numId="8">
    <w:abstractNumId w:val="6"/>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9A"/>
    <w:rsid w:val="00013AC7"/>
    <w:rsid w:val="0002022A"/>
    <w:rsid w:val="000333A9"/>
    <w:rsid w:val="00036039"/>
    <w:rsid w:val="00037F90"/>
    <w:rsid w:val="00044908"/>
    <w:rsid w:val="00063293"/>
    <w:rsid w:val="000764AA"/>
    <w:rsid w:val="000875BF"/>
    <w:rsid w:val="00093A36"/>
    <w:rsid w:val="00093E90"/>
    <w:rsid w:val="00096D8C"/>
    <w:rsid w:val="000C0B65"/>
    <w:rsid w:val="000C5136"/>
    <w:rsid w:val="000C79EA"/>
    <w:rsid w:val="000E05FE"/>
    <w:rsid w:val="000E3D42"/>
    <w:rsid w:val="000E4C10"/>
    <w:rsid w:val="00114CA1"/>
    <w:rsid w:val="00122BD5"/>
    <w:rsid w:val="00133F79"/>
    <w:rsid w:val="00151A0B"/>
    <w:rsid w:val="00151AF0"/>
    <w:rsid w:val="00190737"/>
    <w:rsid w:val="00194011"/>
    <w:rsid w:val="00194A66"/>
    <w:rsid w:val="001A17AC"/>
    <w:rsid w:val="001C73B4"/>
    <w:rsid w:val="001D6BCF"/>
    <w:rsid w:val="001E01CA"/>
    <w:rsid w:val="002318D5"/>
    <w:rsid w:val="00231B4F"/>
    <w:rsid w:val="002408E0"/>
    <w:rsid w:val="00253621"/>
    <w:rsid w:val="0027009A"/>
    <w:rsid w:val="00272AD9"/>
    <w:rsid w:val="00275CF5"/>
    <w:rsid w:val="0028301F"/>
    <w:rsid w:val="0028391F"/>
    <w:rsid w:val="00283C37"/>
    <w:rsid w:val="00285017"/>
    <w:rsid w:val="002A2D2E"/>
    <w:rsid w:val="002B602D"/>
    <w:rsid w:val="002B7D73"/>
    <w:rsid w:val="002C00E8"/>
    <w:rsid w:val="002C3A5A"/>
    <w:rsid w:val="002C5EF8"/>
    <w:rsid w:val="002D16FC"/>
    <w:rsid w:val="003050A4"/>
    <w:rsid w:val="00341EC4"/>
    <w:rsid w:val="00342240"/>
    <w:rsid w:val="00343749"/>
    <w:rsid w:val="003660ED"/>
    <w:rsid w:val="0038436E"/>
    <w:rsid w:val="00391207"/>
    <w:rsid w:val="003B0550"/>
    <w:rsid w:val="003B694F"/>
    <w:rsid w:val="003D128E"/>
    <w:rsid w:val="003D176C"/>
    <w:rsid w:val="003D2A91"/>
    <w:rsid w:val="003D3F8C"/>
    <w:rsid w:val="003F171C"/>
    <w:rsid w:val="00402022"/>
    <w:rsid w:val="00412FC5"/>
    <w:rsid w:val="00422276"/>
    <w:rsid w:val="004242F1"/>
    <w:rsid w:val="00435727"/>
    <w:rsid w:val="00445A00"/>
    <w:rsid w:val="00451A51"/>
    <w:rsid w:val="00451B0F"/>
    <w:rsid w:val="00455A6B"/>
    <w:rsid w:val="00467B61"/>
    <w:rsid w:val="0047766B"/>
    <w:rsid w:val="004B7CC5"/>
    <w:rsid w:val="004C2EE3"/>
    <w:rsid w:val="004C7F4B"/>
    <w:rsid w:val="004D487E"/>
    <w:rsid w:val="004E086B"/>
    <w:rsid w:val="004E4A22"/>
    <w:rsid w:val="004E6490"/>
    <w:rsid w:val="004F05E9"/>
    <w:rsid w:val="00504EEE"/>
    <w:rsid w:val="00511968"/>
    <w:rsid w:val="0052502B"/>
    <w:rsid w:val="00530FC7"/>
    <w:rsid w:val="00532F56"/>
    <w:rsid w:val="00543383"/>
    <w:rsid w:val="0055614C"/>
    <w:rsid w:val="00563921"/>
    <w:rsid w:val="00564EB2"/>
    <w:rsid w:val="0058062A"/>
    <w:rsid w:val="005901A5"/>
    <w:rsid w:val="00592EB0"/>
    <w:rsid w:val="005A65BE"/>
    <w:rsid w:val="005D232E"/>
    <w:rsid w:val="005D311C"/>
    <w:rsid w:val="005E14C2"/>
    <w:rsid w:val="005E14EE"/>
    <w:rsid w:val="005E60F9"/>
    <w:rsid w:val="005F2E0E"/>
    <w:rsid w:val="005F3CD2"/>
    <w:rsid w:val="0060117F"/>
    <w:rsid w:val="00604D8F"/>
    <w:rsid w:val="00605D7C"/>
    <w:rsid w:val="00607BA5"/>
    <w:rsid w:val="0061180A"/>
    <w:rsid w:val="00614391"/>
    <w:rsid w:val="00626EB6"/>
    <w:rsid w:val="0063294D"/>
    <w:rsid w:val="00655D03"/>
    <w:rsid w:val="00656035"/>
    <w:rsid w:val="0065799F"/>
    <w:rsid w:val="00667EFE"/>
    <w:rsid w:val="00683388"/>
    <w:rsid w:val="00683F84"/>
    <w:rsid w:val="00686FCE"/>
    <w:rsid w:val="006A6A81"/>
    <w:rsid w:val="006C50AA"/>
    <w:rsid w:val="006D3AE0"/>
    <w:rsid w:val="006D6DA5"/>
    <w:rsid w:val="006E4BE6"/>
    <w:rsid w:val="006F7393"/>
    <w:rsid w:val="0070224F"/>
    <w:rsid w:val="00704C01"/>
    <w:rsid w:val="007115F7"/>
    <w:rsid w:val="00716BAA"/>
    <w:rsid w:val="00725C4F"/>
    <w:rsid w:val="0074363A"/>
    <w:rsid w:val="00755E1D"/>
    <w:rsid w:val="00757E4F"/>
    <w:rsid w:val="00761488"/>
    <w:rsid w:val="007752C9"/>
    <w:rsid w:val="00785689"/>
    <w:rsid w:val="0079754B"/>
    <w:rsid w:val="007A185D"/>
    <w:rsid w:val="007A1E6D"/>
    <w:rsid w:val="007A38AF"/>
    <w:rsid w:val="007B0EB2"/>
    <w:rsid w:val="007B0F6C"/>
    <w:rsid w:val="007B2429"/>
    <w:rsid w:val="007C3C8C"/>
    <w:rsid w:val="007C4876"/>
    <w:rsid w:val="007E11F7"/>
    <w:rsid w:val="007E6A35"/>
    <w:rsid w:val="00802A28"/>
    <w:rsid w:val="00810B6F"/>
    <w:rsid w:val="00822AD9"/>
    <w:rsid w:val="00822CE0"/>
    <w:rsid w:val="0083351B"/>
    <w:rsid w:val="008343B3"/>
    <w:rsid w:val="00841208"/>
    <w:rsid w:val="00841AB1"/>
    <w:rsid w:val="008439A7"/>
    <w:rsid w:val="00860456"/>
    <w:rsid w:val="00861A58"/>
    <w:rsid w:val="00862279"/>
    <w:rsid w:val="00865DBD"/>
    <w:rsid w:val="00866515"/>
    <w:rsid w:val="00871D8D"/>
    <w:rsid w:val="008804B0"/>
    <w:rsid w:val="00881EA6"/>
    <w:rsid w:val="0089355E"/>
    <w:rsid w:val="008A2F85"/>
    <w:rsid w:val="008B3E58"/>
    <w:rsid w:val="008C68F1"/>
    <w:rsid w:val="008D3348"/>
    <w:rsid w:val="008E0007"/>
    <w:rsid w:val="008E1D30"/>
    <w:rsid w:val="009018C2"/>
    <w:rsid w:val="00907A05"/>
    <w:rsid w:val="009168D9"/>
    <w:rsid w:val="00921803"/>
    <w:rsid w:val="009220E1"/>
    <w:rsid w:val="00926503"/>
    <w:rsid w:val="00932A2C"/>
    <w:rsid w:val="00951C4B"/>
    <w:rsid w:val="009726D8"/>
    <w:rsid w:val="0098521E"/>
    <w:rsid w:val="009939BF"/>
    <w:rsid w:val="009A16AF"/>
    <w:rsid w:val="009B3400"/>
    <w:rsid w:val="009C14E5"/>
    <w:rsid w:val="009C3C02"/>
    <w:rsid w:val="009C5602"/>
    <w:rsid w:val="009C5E10"/>
    <w:rsid w:val="009D0B9A"/>
    <w:rsid w:val="009D7A83"/>
    <w:rsid w:val="009E31D4"/>
    <w:rsid w:val="009F76DB"/>
    <w:rsid w:val="00A0285B"/>
    <w:rsid w:val="00A057A8"/>
    <w:rsid w:val="00A0721E"/>
    <w:rsid w:val="00A219B3"/>
    <w:rsid w:val="00A26C2D"/>
    <w:rsid w:val="00A32C3B"/>
    <w:rsid w:val="00A37AC7"/>
    <w:rsid w:val="00A45F4F"/>
    <w:rsid w:val="00A523DB"/>
    <w:rsid w:val="00A5476D"/>
    <w:rsid w:val="00A600A9"/>
    <w:rsid w:val="00A61F88"/>
    <w:rsid w:val="00A775B6"/>
    <w:rsid w:val="00A80149"/>
    <w:rsid w:val="00A80455"/>
    <w:rsid w:val="00A9002B"/>
    <w:rsid w:val="00AA315F"/>
    <w:rsid w:val="00AA55B7"/>
    <w:rsid w:val="00AA5B9E"/>
    <w:rsid w:val="00AB2407"/>
    <w:rsid w:val="00AB53DF"/>
    <w:rsid w:val="00AD10B9"/>
    <w:rsid w:val="00AF2222"/>
    <w:rsid w:val="00AF3A4A"/>
    <w:rsid w:val="00AF7695"/>
    <w:rsid w:val="00B0552D"/>
    <w:rsid w:val="00B07E5C"/>
    <w:rsid w:val="00B170E9"/>
    <w:rsid w:val="00B226FF"/>
    <w:rsid w:val="00B2344E"/>
    <w:rsid w:val="00B238B1"/>
    <w:rsid w:val="00B33EFB"/>
    <w:rsid w:val="00B43BB6"/>
    <w:rsid w:val="00B503F5"/>
    <w:rsid w:val="00B5733A"/>
    <w:rsid w:val="00B67F4D"/>
    <w:rsid w:val="00B76E62"/>
    <w:rsid w:val="00B811F7"/>
    <w:rsid w:val="00B83B90"/>
    <w:rsid w:val="00B875B5"/>
    <w:rsid w:val="00B949B6"/>
    <w:rsid w:val="00BA5DC6"/>
    <w:rsid w:val="00BA6196"/>
    <w:rsid w:val="00BB55A5"/>
    <w:rsid w:val="00BC6D8C"/>
    <w:rsid w:val="00BD6CEE"/>
    <w:rsid w:val="00C0169F"/>
    <w:rsid w:val="00C10919"/>
    <w:rsid w:val="00C245D4"/>
    <w:rsid w:val="00C34006"/>
    <w:rsid w:val="00C426B1"/>
    <w:rsid w:val="00C460CD"/>
    <w:rsid w:val="00C66160"/>
    <w:rsid w:val="00C71D2D"/>
    <w:rsid w:val="00C721AC"/>
    <w:rsid w:val="00C90D6A"/>
    <w:rsid w:val="00CA247E"/>
    <w:rsid w:val="00CA2740"/>
    <w:rsid w:val="00CC72B6"/>
    <w:rsid w:val="00CE571E"/>
    <w:rsid w:val="00D0218D"/>
    <w:rsid w:val="00D25FB5"/>
    <w:rsid w:val="00D4419D"/>
    <w:rsid w:val="00D44223"/>
    <w:rsid w:val="00D57494"/>
    <w:rsid w:val="00D66796"/>
    <w:rsid w:val="00D725C5"/>
    <w:rsid w:val="00D731EE"/>
    <w:rsid w:val="00D9650A"/>
    <w:rsid w:val="00DA2529"/>
    <w:rsid w:val="00DB130A"/>
    <w:rsid w:val="00DB2EBB"/>
    <w:rsid w:val="00DB554B"/>
    <w:rsid w:val="00DC10A1"/>
    <w:rsid w:val="00DC1172"/>
    <w:rsid w:val="00DC655F"/>
    <w:rsid w:val="00DC6FF5"/>
    <w:rsid w:val="00DD0B59"/>
    <w:rsid w:val="00DD7EBD"/>
    <w:rsid w:val="00DE306F"/>
    <w:rsid w:val="00DF62B6"/>
    <w:rsid w:val="00E0013D"/>
    <w:rsid w:val="00E050B0"/>
    <w:rsid w:val="00E07225"/>
    <w:rsid w:val="00E0788E"/>
    <w:rsid w:val="00E426D4"/>
    <w:rsid w:val="00E525F1"/>
    <w:rsid w:val="00E5409F"/>
    <w:rsid w:val="00E62952"/>
    <w:rsid w:val="00E84B82"/>
    <w:rsid w:val="00EA63C0"/>
    <w:rsid w:val="00EE6488"/>
    <w:rsid w:val="00F021FA"/>
    <w:rsid w:val="00F07EBB"/>
    <w:rsid w:val="00F16A03"/>
    <w:rsid w:val="00F3088C"/>
    <w:rsid w:val="00F62E97"/>
    <w:rsid w:val="00F64209"/>
    <w:rsid w:val="00F93BF5"/>
    <w:rsid w:val="00FB2D9F"/>
    <w:rsid w:val="00FB53A6"/>
    <w:rsid w:val="00FB6FAF"/>
    <w:rsid w:val="00FD16AD"/>
    <w:rsid w:val="00FF4F76"/>
    <w:rsid w:val="00FF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D77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t"/>
    <w:link w:val="FootnoteTextChar"/>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List">
    <w:name w:val="Numbered List"/>
    <w:basedOn w:val="Normal"/>
    <w:rsid w:val="009D0B9A"/>
    <w:pPr>
      <w:numPr>
        <w:numId w:val="7"/>
      </w:numPr>
      <w:spacing w:after="220"/>
    </w:p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link w:val="FootnoteText"/>
    <w:rsid w:val="009D0B9A"/>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rsid w:val="00B43BB6"/>
    <w:rPr>
      <w:lang w:val="en-US" w:eastAsia="en-US" w:bidi="ar-SA"/>
    </w:rPr>
  </w:style>
  <w:style w:type="character" w:customStyle="1" w:styleId="ParaNumChar">
    <w:name w:val="ParaNum Char"/>
    <w:link w:val="ParaNum"/>
    <w:rsid w:val="00253621"/>
    <w:rPr>
      <w:snapToGrid w:val="0"/>
      <w:kern w:val="28"/>
      <w:sz w:val="22"/>
    </w:rPr>
  </w:style>
  <w:style w:type="paragraph" w:styleId="BalloonText">
    <w:name w:val="Balloon Text"/>
    <w:basedOn w:val="Normal"/>
    <w:link w:val="BalloonTextChar"/>
    <w:rsid w:val="009220E1"/>
    <w:rPr>
      <w:rFonts w:ascii="Segoe UI" w:hAnsi="Segoe UI" w:cs="Segoe UI"/>
      <w:sz w:val="18"/>
      <w:szCs w:val="18"/>
    </w:rPr>
  </w:style>
  <w:style w:type="character" w:customStyle="1" w:styleId="BalloonTextChar">
    <w:name w:val="Balloon Text Char"/>
    <w:basedOn w:val="DefaultParagraphFont"/>
    <w:link w:val="BalloonText"/>
    <w:rsid w:val="009220E1"/>
    <w:rPr>
      <w:rFonts w:ascii="Segoe UI" w:hAnsi="Segoe UI" w:cs="Segoe UI"/>
      <w:snapToGrid w:val="0"/>
      <w:kern w:val="28"/>
      <w:sz w:val="18"/>
      <w:szCs w:val="18"/>
    </w:rPr>
  </w:style>
  <w:style w:type="character" w:customStyle="1" w:styleId="cosearchterm">
    <w:name w:val="co_searchterm"/>
    <w:basedOn w:val="DefaultParagraphFont"/>
    <w:rsid w:val="006E4BE6"/>
  </w:style>
  <w:style w:type="character" w:styleId="CommentReference">
    <w:name w:val="annotation reference"/>
    <w:basedOn w:val="DefaultParagraphFont"/>
    <w:semiHidden/>
    <w:unhideWhenUsed/>
    <w:rsid w:val="00093E90"/>
    <w:rPr>
      <w:sz w:val="16"/>
      <w:szCs w:val="16"/>
    </w:rPr>
  </w:style>
  <w:style w:type="paragraph" w:styleId="CommentText">
    <w:name w:val="annotation text"/>
    <w:basedOn w:val="Normal"/>
    <w:link w:val="CommentTextChar"/>
    <w:semiHidden/>
    <w:unhideWhenUsed/>
    <w:rsid w:val="00093E90"/>
    <w:rPr>
      <w:sz w:val="20"/>
    </w:rPr>
  </w:style>
  <w:style w:type="character" w:customStyle="1" w:styleId="CommentTextChar">
    <w:name w:val="Comment Text Char"/>
    <w:basedOn w:val="DefaultParagraphFont"/>
    <w:link w:val="CommentText"/>
    <w:semiHidden/>
    <w:rsid w:val="00093E90"/>
    <w:rPr>
      <w:snapToGrid w:val="0"/>
      <w:kern w:val="28"/>
    </w:rPr>
  </w:style>
  <w:style w:type="paragraph" w:styleId="CommentSubject">
    <w:name w:val="annotation subject"/>
    <w:basedOn w:val="CommentText"/>
    <w:next w:val="CommentText"/>
    <w:link w:val="CommentSubjectChar"/>
    <w:semiHidden/>
    <w:unhideWhenUsed/>
    <w:rsid w:val="00093E90"/>
    <w:rPr>
      <w:b/>
      <w:bCs/>
    </w:rPr>
  </w:style>
  <w:style w:type="character" w:customStyle="1" w:styleId="CommentSubjectChar">
    <w:name w:val="Comment Subject Char"/>
    <w:basedOn w:val="CommentTextChar"/>
    <w:link w:val="CommentSubject"/>
    <w:semiHidden/>
    <w:rsid w:val="00093E90"/>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t"/>
    <w:link w:val="FootnoteTextChar"/>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List">
    <w:name w:val="Numbered List"/>
    <w:basedOn w:val="Normal"/>
    <w:rsid w:val="009D0B9A"/>
    <w:pPr>
      <w:numPr>
        <w:numId w:val="7"/>
      </w:numPr>
      <w:spacing w:after="220"/>
    </w:p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link w:val="FootnoteText"/>
    <w:rsid w:val="009D0B9A"/>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rsid w:val="00B43BB6"/>
    <w:rPr>
      <w:lang w:val="en-US" w:eastAsia="en-US" w:bidi="ar-SA"/>
    </w:rPr>
  </w:style>
  <w:style w:type="character" w:customStyle="1" w:styleId="ParaNumChar">
    <w:name w:val="ParaNum Char"/>
    <w:link w:val="ParaNum"/>
    <w:rsid w:val="00253621"/>
    <w:rPr>
      <w:snapToGrid w:val="0"/>
      <w:kern w:val="28"/>
      <w:sz w:val="22"/>
    </w:rPr>
  </w:style>
  <w:style w:type="paragraph" w:styleId="BalloonText">
    <w:name w:val="Balloon Text"/>
    <w:basedOn w:val="Normal"/>
    <w:link w:val="BalloonTextChar"/>
    <w:rsid w:val="009220E1"/>
    <w:rPr>
      <w:rFonts w:ascii="Segoe UI" w:hAnsi="Segoe UI" w:cs="Segoe UI"/>
      <w:sz w:val="18"/>
      <w:szCs w:val="18"/>
    </w:rPr>
  </w:style>
  <w:style w:type="character" w:customStyle="1" w:styleId="BalloonTextChar">
    <w:name w:val="Balloon Text Char"/>
    <w:basedOn w:val="DefaultParagraphFont"/>
    <w:link w:val="BalloonText"/>
    <w:rsid w:val="009220E1"/>
    <w:rPr>
      <w:rFonts w:ascii="Segoe UI" w:hAnsi="Segoe UI" w:cs="Segoe UI"/>
      <w:snapToGrid w:val="0"/>
      <w:kern w:val="28"/>
      <w:sz w:val="18"/>
      <w:szCs w:val="18"/>
    </w:rPr>
  </w:style>
  <w:style w:type="character" w:customStyle="1" w:styleId="cosearchterm">
    <w:name w:val="co_searchterm"/>
    <w:basedOn w:val="DefaultParagraphFont"/>
    <w:rsid w:val="006E4BE6"/>
  </w:style>
  <w:style w:type="character" w:styleId="CommentReference">
    <w:name w:val="annotation reference"/>
    <w:basedOn w:val="DefaultParagraphFont"/>
    <w:semiHidden/>
    <w:unhideWhenUsed/>
    <w:rsid w:val="00093E90"/>
    <w:rPr>
      <w:sz w:val="16"/>
      <w:szCs w:val="16"/>
    </w:rPr>
  </w:style>
  <w:style w:type="paragraph" w:styleId="CommentText">
    <w:name w:val="annotation text"/>
    <w:basedOn w:val="Normal"/>
    <w:link w:val="CommentTextChar"/>
    <w:semiHidden/>
    <w:unhideWhenUsed/>
    <w:rsid w:val="00093E90"/>
    <w:rPr>
      <w:sz w:val="20"/>
    </w:rPr>
  </w:style>
  <w:style w:type="character" w:customStyle="1" w:styleId="CommentTextChar">
    <w:name w:val="Comment Text Char"/>
    <w:basedOn w:val="DefaultParagraphFont"/>
    <w:link w:val="CommentText"/>
    <w:semiHidden/>
    <w:rsid w:val="00093E90"/>
    <w:rPr>
      <w:snapToGrid w:val="0"/>
      <w:kern w:val="28"/>
    </w:rPr>
  </w:style>
  <w:style w:type="paragraph" w:styleId="CommentSubject">
    <w:name w:val="annotation subject"/>
    <w:basedOn w:val="CommentText"/>
    <w:next w:val="CommentText"/>
    <w:link w:val="CommentSubjectChar"/>
    <w:semiHidden/>
    <w:unhideWhenUsed/>
    <w:rsid w:val="00093E90"/>
    <w:rPr>
      <w:b/>
      <w:bCs/>
    </w:rPr>
  </w:style>
  <w:style w:type="character" w:customStyle="1" w:styleId="CommentSubjectChar">
    <w:name w:val="Comment Subject Char"/>
    <w:basedOn w:val="CommentTextChar"/>
    <w:link w:val="CommentSubject"/>
    <w:semiHidden/>
    <w:rsid w:val="00093E9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2037">
      <w:bodyDiv w:val="1"/>
      <w:marLeft w:val="0"/>
      <w:marRight w:val="0"/>
      <w:marTop w:val="0"/>
      <w:marBottom w:val="0"/>
      <w:divBdr>
        <w:top w:val="none" w:sz="0" w:space="0" w:color="auto"/>
        <w:left w:val="none" w:sz="0" w:space="0" w:color="auto"/>
        <w:bottom w:val="none" w:sz="0" w:space="0" w:color="auto"/>
        <w:right w:val="none" w:sz="0" w:space="0" w:color="auto"/>
      </w:divBdr>
      <w:divsChild>
        <w:div w:id="657265545">
          <w:marLeft w:val="0"/>
          <w:marRight w:val="0"/>
          <w:marTop w:val="0"/>
          <w:marBottom w:val="0"/>
          <w:divBdr>
            <w:top w:val="none" w:sz="0" w:space="0" w:color="auto"/>
            <w:left w:val="none" w:sz="0" w:space="0" w:color="auto"/>
            <w:bottom w:val="none" w:sz="0" w:space="0" w:color="auto"/>
            <w:right w:val="none" w:sz="0" w:space="0" w:color="auto"/>
          </w:divBdr>
          <w:divsChild>
            <w:div w:id="7402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99">
      <w:bodyDiv w:val="1"/>
      <w:marLeft w:val="0"/>
      <w:marRight w:val="0"/>
      <w:marTop w:val="0"/>
      <w:marBottom w:val="0"/>
      <w:divBdr>
        <w:top w:val="none" w:sz="0" w:space="0" w:color="auto"/>
        <w:left w:val="none" w:sz="0" w:space="0" w:color="auto"/>
        <w:bottom w:val="none" w:sz="0" w:space="0" w:color="auto"/>
        <w:right w:val="none" w:sz="0" w:space="0" w:color="auto"/>
      </w:divBdr>
      <w:divsChild>
        <w:div w:id="848914199">
          <w:marLeft w:val="0"/>
          <w:marRight w:val="0"/>
          <w:marTop w:val="0"/>
          <w:marBottom w:val="0"/>
          <w:divBdr>
            <w:top w:val="none" w:sz="0" w:space="0" w:color="auto"/>
            <w:left w:val="single" w:sz="6" w:space="0" w:color="BBBBBB"/>
            <w:bottom w:val="single" w:sz="6" w:space="0" w:color="BBBBBB"/>
            <w:right w:val="single" w:sz="6" w:space="0" w:color="BBBBBB"/>
          </w:divBdr>
          <w:divsChild>
            <w:div w:id="1331563011">
              <w:marLeft w:val="0"/>
              <w:marRight w:val="0"/>
              <w:marTop w:val="0"/>
              <w:marBottom w:val="0"/>
              <w:divBdr>
                <w:top w:val="none" w:sz="0" w:space="0" w:color="auto"/>
                <w:left w:val="none" w:sz="0" w:space="0" w:color="auto"/>
                <w:bottom w:val="none" w:sz="0" w:space="0" w:color="auto"/>
                <w:right w:val="none" w:sz="0" w:space="0" w:color="auto"/>
              </w:divBdr>
              <w:divsChild>
                <w:div w:id="2092660439">
                  <w:marLeft w:val="0"/>
                  <w:marRight w:val="0"/>
                  <w:marTop w:val="0"/>
                  <w:marBottom w:val="0"/>
                  <w:divBdr>
                    <w:top w:val="none" w:sz="0" w:space="0" w:color="auto"/>
                    <w:left w:val="none" w:sz="0" w:space="0" w:color="auto"/>
                    <w:bottom w:val="none" w:sz="0" w:space="0" w:color="auto"/>
                    <w:right w:val="none" w:sz="0" w:space="0" w:color="auto"/>
                  </w:divBdr>
                  <w:divsChild>
                    <w:div w:id="2142965013">
                      <w:marLeft w:val="0"/>
                      <w:marRight w:val="0"/>
                      <w:marTop w:val="0"/>
                      <w:marBottom w:val="0"/>
                      <w:divBdr>
                        <w:top w:val="none" w:sz="0" w:space="0" w:color="auto"/>
                        <w:left w:val="none" w:sz="0" w:space="0" w:color="auto"/>
                        <w:bottom w:val="none" w:sz="0" w:space="0" w:color="auto"/>
                        <w:right w:val="none" w:sz="0" w:space="0" w:color="auto"/>
                      </w:divBdr>
                      <w:divsChild>
                        <w:div w:id="1569655615">
                          <w:marLeft w:val="0"/>
                          <w:marRight w:val="0"/>
                          <w:marTop w:val="0"/>
                          <w:marBottom w:val="0"/>
                          <w:divBdr>
                            <w:top w:val="none" w:sz="0" w:space="0" w:color="auto"/>
                            <w:left w:val="none" w:sz="0" w:space="0" w:color="auto"/>
                            <w:bottom w:val="none" w:sz="0" w:space="0" w:color="auto"/>
                            <w:right w:val="none" w:sz="0" w:space="0" w:color="auto"/>
                          </w:divBdr>
                          <w:divsChild>
                            <w:div w:id="3359231">
                              <w:marLeft w:val="0"/>
                              <w:marRight w:val="0"/>
                              <w:marTop w:val="0"/>
                              <w:marBottom w:val="0"/>
                              <w:divBdr>
                                <w:top w:val="none" w:sz="0" w:space="0" w:color="auto"/>
                                <w:left w:val="none" w:sz="0" w:space="0" w:color="auto"/>
                                <w:bottom w:val="none" w:sz="0" w:space="0" w:color="auto"/>
                                <w:right w:val="none" w:sz="0" w:space="0" w:color="auto"/>
                              </w:divBdr>
                              <w:divsChild>
                                <w:div w:id="1584342409">
                                  <w:marLeft w:val="0"/>
                                  <w:marRight w:val="0"/>
                                  <w:marTop w:val="0"/>
                                  <w:marBottom w:val="0"/>
                                  <w:divBdr>
                                    <w:top w:val="none" w:sz="0" w:space="0" w:color="auto"/>
                                    <w:left w:val="none" w:sz="0" w:space="0" w:color="auto"/>
                                    <w:bottom w:val="none" w:sz="0" w:space="0" w:color="auto"/>
                                    <w:right w:val="none" w:sz="0" w:space="0" w:color="auto"/>
                                  </w:divBdr>
                                  <w:divsChild>
                                    <w:div w:id="37514333">
                                      <w:marLeft w:val="0"/>
                                      <w:marRight w:val="0"/>
                                      <w:marTop w:val="0"/>
                                      <w:marBottom w:val="0"/>
                                      <w:divBdr>
                                        <w:top w:val="none" w:sz="0" w:space="0" w:color="auto"/>
                                        <w:left w:val="none" w:sz="0" w:space="0" w:color="auto"/>
                                        <w:bottom w:val="none" w:sz="0" w:space="0" w:color="auto"/>
                                        <w:right w:val="none" w:sz="0" w:space="0" w:color="auto"/>
                                      </w:divBdr>
                                      <w:divsChild>
                                        <w:div w:id="693116743">
                                          <w:marLeft w:val="1200"/>
                                          <w:marRight w:val="1200"/>
                                          <w:marTop w:val="0"/>
                                          <w:marBottom w:val="0"/>
                                          <w:divBdr>
                                            <w:top w:val="none" w:sz="0" w:space="0" w:color="auto"/>
                                            <w:left w:val="none" w:sz="0" w:space="0" w:color="auto"/>
                                            <w:bottom w:val="none" w:sz="0" w:space="0" w:color="auto"/>
                                            <w:right w:val="none" w:sz="0" w:space="0" w:color="auto"/>
                                          </w:divBdr>
                                          <w:divsChild>
                                            <w:div w:id="1661352044">
                                              <w:marLeft w:val="0"/>
                                              <w:marRight w:val="0"/>
                                              <w:marTop w:val="0"/>
                                              <w:marBottom w:val="0"/>
                                              <w:divBdr>
                                                <w:top w:val="none" w:sz="0" w:space="0" w:color="auto"/>
                                                <w:left w:val="none" w:sz="0" w:space="0" w:color="auto"/>
                                                <w:bottom w:val="none" w:sz="0" w:space="0" w:color="auto"/>
                                                <w:right w:val="none" w:sz="0" w:space="0" w:color="auto"/>
                                              </w:divBdr>
                                              <w:divsChild>
                                                <w:div w:id="2065252039">
                                                  <w:marLeft w:val="0"/>
                                                  <w:marRight w:val="0"/>
                                                  <w:marTop w:val="240"/>
                                                  <w:marBottom w:val="0"/>
                                                  <w:divBdr>
                                                    <w:top w:val="none" w:sz="0" w:space="0" w:color="auto"/>
                                                    <w:left w:val="none" w:sz="0" w:space="0" w:color="auto"/>
                                                    <w:bottom w:val="none" w:sz="0" w:space="0" w:color="auto"/>
                                                    <w:right w:val="none" w:sz="0" w:space="0" w:color="auto"/>
                                                  </w:divBdr>
                                                  <w:divsChild>
                                                    <w:div w:id="58327273">
                                                      <w:marLeft w:val="0"/>
                                                      <w:marRight w:val="0"/>
                                                      <w:marTop w:val="0"/>
                                                      <w:marBottom w:val="0"/>
                                                      <w:divBdr>
                                                        <w:top w:val="none" w:sz="0" w:space="0" w:color="auto"/>
                                                        <w:left w:val="none" w:sz="0" w:space="0" w:color="auto"/>
                                                        <w:bottom w:val="none" w:sz="0" w:space="0" w:color="auto"/>
                                                        <w:right w:val="none" w:sz="0" w:space="0" w:color="auto"/>
                                                      </w:divBdr>
                                                      <w:divsChild>
                                                        <w:div w:id="1519276181">
                                                          <w:marLeft w:val="1275"/>
                                                          <w:marRight w:val="0"/>
                                                          <w:marTop w:val="0"/>
                                                          <w:marBottom w:val="0"/>
                                                          <w:divBdr>
                                                            <w:top w:val="none" w:sz="0" w:space="0" w:color="auto"/>
                                                            <w:left w:val="none" w:sz="0" w:space="0" w:color="auto"/>
                                                            <w:bottom w:val="none" w:sz="0" w:space="0" w:color="auto"/>
                                                            <w:right w:val="none" w:sz="0" w:space="0" w:color="auto"/>
                                                          </w:divBdr>
                                                          <w:divsChild>
                                                            <w:div w:id="1562716986">
                                                              <w:marLeft w:val="0"/>
                                                              <w:marRight w:val="0"/>
                                                              <w:marTop w:val="0"/>
                                                              <w:marBottom w:val="0"/>
                                                              <w:divBdr>
                                                                <w:top w:val="none" w:sz="0" w:space="0" w:color="auto"/>
                                                                <w:left w:val="none" w:sz="0" w:space="0" w:color="auto"/>
                                                                <w:bottom w:val="none" w:sz="0" w:space="0" w:color="auto"/>
                                                                <w:right w:val="none" w:sz="0" w:space="0" w:color="auto"/>
                                                              </w:divBdr>
                                                              <w:divsChild>
                                                                <w:div w:id="953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8530204">
      <w:bodyDiv w:val="1"/>
      <w:marLeft w:val="0"/>
      <w:marRight w:val="0"/>
      <w:marTop w:val="0"/>
      <w:marBottom w:val="0"/>
      <w:divBdr>
        <w:top w:val="none" w:sz="0" w:space="0" w:color="auto"/>
        <w:left w:val="none" w:sz="0" w:space="0" w:color="auto"/>
        <w:bottom w:val="none" w:sz="0" w:space="0" w:color="auto"/>
        <w:right w:val="none" w:sz="0" w:space="0" w:color="auto"/>
      </w:divBdr>
      <w:divsChild>
        <w:div w:id="138546635">
          <w:marLeft w:val="0"/>
          <w:marRight w:val="0"/>
          <w:marTop w:val="0"/>
          <w:marBottom w:val="0"/>
          <w:divBdr>
            <w:top w:val="none" w:sz="0" w:space="0" w:color="auto"/>
            <w:left w:val="none" w:sz="0" w:space="0" w:color="auto"/>
            <w:bottom w:val="none" w:sz="0" w:space="0" w:color="auto"/>
            <w:right w:val="none" w:sz="0" w:space="0" w:color="auto"/>
          </w:divBdr>
          <w:divsChild>
            <w:div w:id="6891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lison.Nemeth\AppData\Local\Microsoft\Windows\Temporary%20Internet%20Files\Content.MSO\CD520AC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CD520AC8</Template>
  <TotalTime>0</TotalTime>
  <Pages>3</Pages>
  <Words>1823</Words>
  <Characters>9419</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11306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2016-04-15T19:35:00Z</cp:lastPrinted>
  <dcterms:created xsi:type="dcterms:W3CDTF">2016-06-16T14:35:00Z</dcterms:created>
  <dcterms:modified xsi:type="dcterms:W3CDTF">2016-06-16T14:35:00Z</dcterms:modified>
  <cp:category> </cp:category>
  <cp:contentStatus> </cp:contentStatus>
</cp:coreProperties>
</file>