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599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C6D1BA4" w14:textId="77777777" w:rsidR="00921803" w:rsidRDefault="00921803" w:rsidP="00921803">
      <w:pPr>
        <w:pStyle w:val="StyleBoldCentered"/>
      </w:pPr>
      <w:r>
        <w:t>F</w:t>
      </w:r>
      <w:r>
        <w:rPr>
          <w:caps w:val="0"/>
        </w:rPr>
        <w:t>ederal Communications Commission</w:t>
      </w:r>
    </w:p>
    <w:p w14:paraId="60CA481B" w14:textId="77777777" w:rsidR="004C2EE3" w:rsidRDefault="00810B6F" w:rsidP="00096D8C">
      <w:pPr>
        <w:pStyle w:val="StyleBoldCentered"/>
      </w:pPr>
      <w:r>
        <w:rPr>
          <w:caps w:val="0"/>
        </w:rPr>
        <w:t>Washington, D.C. 20554</w:t>
      </w:r>
    </w:p>
    <w:p w14:paraId="4B3D125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71A20F3" w14:textId="77777777">
        <w:tc>
          <w:tcPr>
            <w:tcW w:w="4698" w:type="dxa"/>
          </w:tcPr>
          <w:p w14:paraId="76981529" w14:textId="77777777" w:rsidR="002A0AFF" w:rsidRDefault="002A0AFF">
            <w:pPr>
              <w:tabs>
                <w:tab w:val="center" w:pos="4680"/>
              </w:tabs>
              <w:suppressAutoHyphens/>
              <w:rPr>
                <w:spacing w:val="-2"/>
              </w:rPr>
            </w:pPr>
          </w:p>
          <w:p w14:paraId="0C05E153" w14:textId="7706B62B" w:rsidR="004C2EE3" w:rsidRDefault="004C2EE3">
            <w:pPr>
              <w:tabs>
                <w:tab w:val="center" w:pos="4680"/>
              </w:tabs>
              <w:suppressAutoHyphens/>
              <w:rPr>
                <w:spacing w:val="-2"/>
              </w:rPr>
            </w:pPr>
            <w:r>
              <w:rPr>
                <w:spacing w:val="-2"/>
              </w:rPr>
              <w:t>In the Matter of</w:t>
            </w:r>
          </w:p>
          <w:p w14:paraId="58A1EC9E" w14:textId="77777777" w:rsidR="004C2EE3" w:rsidRDefault="004C2EE3">
            <w:pPr>
              <w:tabs>
                <w:tab w:val="center" w:pos="4680"/>
              </w:tabs>
              <w:suppressAutoHyphens/>
              <w:rPr>
                <w:spacing w:val="-2"/>
              </w:rPr>
            </w:pPr>
          </w:p>
          <w:p w14:paraId="68709577" w14:textId="2A7167A4" w:rsidR="00907A05" w:rsidRDefault="00E12BAC" w:rsidP="00907A05">
            <w:pPr>
              <w:widowControl/>
              <w:tabs>
                <w:tab w:val="center" w:pos="4680"/>
              </w:tabs>
              <w:suppressAutoHyphens/>
              <w:rPr>
                <w:rFonts w:eastAsia="Calibri"/>
                <w:snapToGrid/>
                <w:spacing w:val="-2"/>
                <w:kern w:val="0"/>
                <w:szCs w:val="22"/>
              </w:rPr>
            </w:pPr>
            <w:r>
              <w:rPr>
                <w:rFonts w:eastAsia="Calibri"/>
                <w:snapToGrid/>
                <w:spacing w:val="-2"/>
                <w:kern w:val="0"/>
                <w:szCs w:val="22"/>
              </w:rPr>
              <w:t>Winstar Odessa, Inc.</w:t>
            </w:r>
          </w:p>
          <w:p w14:paraId="5BA1CFB9" w14:textId="77777777" w:rsidR="00E12BAC" w:rsidRDefault="00E12BAC" w:rsidP="00907A05">
            <w:pPr>
              <w:widowControl/>
              <w:tabs>
                <w:tab w:val="center" w:pos="4680"/>
              </w:tabs>
              <w:suppressAutoHyphens/>
              <w:rPr>
                <w:rFonts w:eastAsia="Calibri"/>
                <w:snapToGrid/>
                <w:spacing w:val="-2"/>
                <w:kern w:val="0"/>
                <w:szCs w:val="22"/>
              </w:rPr>
            </w:pPr>
            <w:r>
              <w:rPr>
                <w:rFonts w:eastAsia="Calibri"/>
                <w:snapToGrid/>
                <w:spacing w:val="-2"/>
                <w:kern w:val="0"/>
                <w:szCs w:val="22"/>
              </w:rPr>
              <w:t>Licensee of Station KWWT(TV)</w:t>
            </w:r>
          </w:p>
          <w:p w14:paraId="5B9B7C91" w14:textId="0CAAE8A7" w:rsidR="00E12BAC" w:rsidRPr="00907A05" w:rsidRDefault="00E12BAC" w:rsidP="00907A05">
            <w:pPr>
              <w:widowControl/>
              <w:tabs>
                <w:tab w:val="center" w:pos="4680"/>
              </w:tabs>
              <w:suppressAutoHyphens/>
              <w:rPr>
                <w:rFonts w:eastAsia="Calibri"/>
                <w:snapToGrid/>
                <w:spacing w:val="-2"/>
                <w:kern w:val="0"/>
                <w:szCs w:val="22"/>
              </w:rPr>
            </w:pPr>
            <w:r>
              <w:rPr>
                <w:rFonts w:eastAsia="Calibri"/>
                <w:snapToGrid/>
                <w:spacing w:val="-2"/>
                <w:kern w:val="0"/>
                <w:szCs w:val="22"/>
              </w:rPr>
              <w:t xml:space="preserve">Odessa, Texas </w:t>
            </w:r>
          </w:p>
          <w:p w14:paraId="4222F65C" w14:textId="77777777" w:rsidR="009D0B9A" w:rsidRPr="007115F7" w:rsidRDefault="009D0B9A" w:rsidP="007115F7">
            <w:pPr>
              <w:tabs>
                <w:tab w:val="center" w:pos="4680"/>
              </w:tabs>
              <w:suppressAutoHyphens/>
              <w:rPr>
                <w:spacing w:val="-2"/>
              </w:rPr>
            </w:pPr>
          </w:p>
        </w:tc>
        <w:tc>
          <w:tcPr>
            <w:tcW w:w="630" w:type="dxa"/>
          </w:tcPr>
          <w:p w14:paraId="5251F220" w14:textId="77777777" w:rsidR="004C2EE3" w:rsidRDefault="004C2EE3">
            <w:pPr>
              <w:tabs>
                <w:tab w:val="center" w:pos="4680"/>
              </w:tabs>
              <w:suppressAutoHyphens/>
              <w:rPr>
                <w:b/>
                <w:spacing w:val="-2"/>
              </w:rPr>
            </w:pPr>
            <w:r>
              <w:rPr>
                <w:b/>
                <w:spacing w:val="-2"/>
              </w:rPr>
              <w:t>)</w:t>
            </w:r>
          </w:p>
          <w:p w14:paraId="2CC29323" w14:textId="77777777" w:rsidR="004C2EE3" w:rsidRDefault="004C2EE3">
            <w:pPr>
              <w:tabs>
                <w:tab w:val="center" w:pos="4680"/>
              </w:tabs>
              <w:suppressAutoHyphens/>
              <w:rPr>
                <w:b/>
                <w:spacing w:val="-2"/>
              </w:rPr>
            </w:pPr>
            <w:r>
              <w:rPr>
                <w:b/>
                <w:spacing w:val="-2"/>
              </w:rPr>
              <w:t>)</w:t>
            </w:r>
          </w:p>
          <w:p w14:paraId="3F937391" w14:textId="77777777" w:rsidR="004C2EE3" w:rsidRDefault="004C2EE3">
            <w:pPr>
              <w:tabs>
                <w:tab w:val="center" w:pos="4680"/>
              </w:tabs>
              <w:suppressAutoHyphens/>
              <w:rPr>
                <w:b/>
                <w:spacing w:val="-2"/>
              </w:rPr>
            </w:pPr>
            <w:r>
              <w:rPr>
                <w:b/>
                <w:spacing w:val="-2"/>
              </w:rPr>
              <w:t>)</w:t>
            </w:r>
          </w:p>
          <w:p w14:paraId="16C550F4" w14:textId="77777777" w:rsidR="004C2EE3" w:rsidRDefault="004C2EE3">
            <w:pPr>
              <w:tabs>
                <w:tab w:val="center" w:pos="4680"/>
              </w:tabs>
              <w:suppressAutoHyphens/>
              <w:rPr>
                <w:b/>
                <w:spacing w:val="-2"/>
              </w:rPr>
            </w:pPr>
            <w:r>
              <w:rPr>
                <w:b/>
                <w:spacing w:val="-2"/>
              </w:rPr>
              <w:t>)</w:t>
            </w:r>
          </w:p>
          <w:p w14:paraId="2ABF5ADD" w14:textId="77777777" w:rsidR="004C2EE3" w:rsidRPr="009D0B9A" w:rsidRDefault="004C2EE3">
            <w:pPr>
              <w:tabs>
                <w:tab w:val="center" w:pos="4680"/>
              </w:tabs>
              <w:suppressAutoHyphens/>
              <w:rPr>
                <w:b/>
                <w:spacing w:val="-2"/>
              </w:rPr>
            </w:pPr>
            <w:r>
              <w:rPr>
                <w:b/>
                <w:spacing w:val="-2"/>
              </w:rPr>
              <w:t>)</w:t>
            </w:r>
          </w:p>
        </w:tc>
        <w:tc>
          <w:tcPr>
            <w:tcW w:w="4248" w:type="dxa"/>
          </w:tcPr>
          <w:p w14:paraId="0A0D88EF" w14:textId="77777777" w:rsidR="004C2EE3" w:rsidRDefault="004C2EE3">
            <w:pPr>
              <w:tabs>
                <w:tab w:val="center" w:pos="4680"/>
              </w:tabs>
              <w:suppressAutoHyphens/>
              <w:rPr>
                <w:spacing w:val="-2"/>
              </w:rPr>
            </w:pPr>
          </w:p>
          <w:p w14:paraId="444AF897" w14:textId="77777777" w:rsidR="004C2EE3" w:rsidRDefault="004C2EE3">
            <w:pPr>
              <w:pStyle w:val="TOAHeading"/>
              <w:tabs>
                <w:tab w:val="clear" w:pos="9360"/>
                <w:tab w:val="center" w:pos="4680"/>
              </w:tabs>
              <w:rPr>
                <w:spacing w:val="-2"/>
              </w:rPr>
            </w:pPr>
          </w:p>
          <w:p w14:paraId="0B2F8270" w14:textId="48D56E5E"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 xml:space="preserve">Facility ID No. </w:t>
            </w:r>
            <w:r w:rsidR="00E12BAC">
              <w:rPr>
                <w:rFonts w:eastAsia="Calibri"/>
                <w:snapToGrid/>
                <w:kern w:val="0"/>
                <w:szCs w:val="22"/>
              </w:rPr>
              <w:t>84410</w:t>
            </w:r>
          </w:p>
          <w:p w14:paraId="38ABC466" w14:textId="58622490"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 xml:space="preserve">NAL/Acct. No.: </w:t>
            </w:r>
            <w:r w:rsidR="00E12BAC" w:rsidRPr="002B5897">
              <w:rPr>
                <w:szCs w:val="22"/>
              </w:rPr>
              <w:t>201641420005</w:t>
            </w:r>
          </w:p>
          <w:p w14:paraId="309A625C" w14:textId="762AAD58"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FRN:</w:t>
            </w:r>
            <w:r w:rsidR="00190737">
              <w:rPr>
                <w:rFonts w:eastAsia="Calibri"/>
                <w:snapToGrid/>
                <w:spacing w:val="-2"/>
                <w:kern w:val="0"/>
                <w:szCs w:val="22"/>
              </w:rPr>
              <w:t xml:space="preserve"> </w:t>
            </w:r>
            <w:r w:rsidR="00E12BAC" w:rsidRPr="00B057B0">
              <w:rPr>
                <w:szCs w:val="22"/>
              </w:rPr>
              <w:t>0010908440</w:t>
            </w:r>
          </w:p>
          <w:p w14:paraId="2DBC2D14" w14:textId="77777777" w:rsidR="009D0B9A" w:rsidRDefault="009D0B9A">
            <w:pPr>
              <w:tabs>
                <w:tab w:val="center" w:pos="4680"/>
              </w:tabs>
              <w:suppressAutoHyphens/>
              <w:rPr>
                <w:spacing w:val="-2"/>
              </w:rPr>
            </w:pPr>
          </w:p>
        </w:tc>
      </w:tr>
    </w:tbl>
    <w:p w14:paraId="306EC519" w14:textId="77777777" w:rsidR="004C2EE3" w:rsidRDefault="004C2EE3" w:rsidP="0070224F"/>
    <w:p w14:paraId="248C1A1D" w14:textId="77777777" w:rsidR="00841AB1" w:rsidRDefault="009D0B9A" w:rsidP="00F021FA">
      <w:pPr>
        <w:pStyle w:val="StyleBoldCentered"/>
      </w:pPr>
      <w:r>
        <w:t>Forfeiture Order</w:t>
      </w:r>
    </w:p>
    <w:p w14:paraId="2DD28FB2" w14:textId="77777777" w:rsidR="004C2EE3" w:rsidRDefault="004C2EE3">
      <w:pPr>
        <w:tabs>
          <w:tab w:val="left" w:pos="-720"/>
        </w:tabs>
        <w:suppressAutoHyphens/>
        <w:spacing w:line="227" w:lineRule="auto"/>
        <w:rPr>
          <w:spacing w:val="-2"/>
        </w:rPr>
      </w:pPr>
    </w:p>
    <w:p w14:paraId="01DF6C3F" w14:textId="58DC6132" w:rsidR="004C2EE3" w:rsidRDefault="004C2EE3" w:rsidP="00133F79">
      <w:pPr>
        <w:tabs>
          <w:tab w:val="left" w:pos="720"/>
          <w:tab w:val="right" w:pos="9360"/>
        </w:tabs>
        <w:suppressAutoHyphens/>
        <w:spacing w:line="227" w:lineRule="auto"/>
        <w:rPr>
          <w:spacing w:val="-2"/>
        </w:rPr>
      </w:pPr>
      <w:r>
        <w:rPr>
          <w:b/>
          <w:spacing w:val="-2"/>
        </w:rPr>
        <w:t xml:space="preserve">Adopted:  </w:t>
      </w:r>
      <w:r w:rsidR="00A60A43">
        <w:rPr>
          <w:b/>
          <w:spacing w:val="-2"/>
        </w:rPr>
        <w:t>June 16, 2016</w:t>
      </w:r>
      <w:r>
        <w:rPr>
          <w:b/>
          <w:spacing w:val="-2"/>
        </w:rPr>
        <w:tab/>
      </w:r>
      <w:r w:rsidR="00822CE0">
        <w:rPr>
          <w:b/>
          <w:spacing w:val="-2"/>
        </w:rPr>
        <w:t>Released</w:t>
      </w:r>
      <w:r w:rsidR="00907A05">
        <w:rPr>
          <w:b/>
          <w:spacing w:val="-2"/>
        </w:rPr>
        <w:t xml:space="preserve">:   </w:t>
      </w:r>
      <w:r w:rsidR="00A60A43">
        <w:rPr>
          <w:b/>
          <w:spacing w:val="-2"/>
        </w:rPr>
        <w:t>June 16, 2016</w:t>
      </w:r>
    </w:p>
    <w:p w14:paraId="7348526C" w14:textId="77777777" w:rsidR="00822CE0" w:rsidRDefault="00822CE0"/>
    <w:p w14:paraId="388EF984" w14:textId="77777777" w:rsidR="004C2EE3" w:rsidRDefault="004C2EE3">
      <w:pPr>
        <w:rPr>
          <w:spacing w:val="-2"/>
        </w:rPr>
      </w:pPr>
      <w:r>
        <w:t xml:space="preserve">By </w:t>
      </w:r>
      <w:r w:rsidR="004E4A22">
        <w:t>the</w:t>
      </w:r>
      <w:r w:rsidR="002A2D2E">
        <w:t xml:space="preserve"> </w:t>
      </w:r>
      <w:r w:rsidR="009D0B9A">
        <w:rPr>
          <w:spacing w:val="-2"/>
        </w:rPr>
        <w:t>Chief, Video Division, Media Bureau</w:t>
      </w:r>
    </w:p>
    <w:p w14:paraId="6007064E" w14:textId="77777777" w:rsidR="00822CE0" w:rsidRDefault="00822CE0">
      <w:pPr>
        <w:rPr>
          <w:spacing w:val="-2"/>
        </w:rPr>
      </w:pPr>
    </w:p>
    <w:p w14:paraId="0889D7E0" w14:textId="77777777" w:rsidR="00412FC5" w:rsidRDefault="009D0B9A" w:rsidP="00253621">
      <w:pPr>
        <w:pStyle w:val="Heading1"/>
      </w:pPr>
      <w:r>
        <w:t>introduction</w:t>
      </w:r>
    </w:p>
    <w:p w14:paraId="2B2B5151" w14:textId="33A86DE3" w:rsidR="009D0B9A" w:rsidRPr="009D0B9A" w:rsidRDefault="009D0B9A" w:rsidP="00253621">
      <w:pPr>
        <w:pStyle w:val="ParaNum"/>
      </w:pPr>
      <w:r w:rsidRPr="009D0B9A">
        <w:rPr>
          <w:spacing w:val="-2"/>
        </w:rPr>
        <w:t xml:space="preserve">In this </w:t>
      </w:r>
      <w:r w:rsidRPr="009D0B9A">
        <w:rPr>
          <w:i/>
          <w:spacing w:val="-2"/>
        </w:rPr>
        <w:t>Forfeiture Order</w:t>
      </w:r>
      <w:r w:rsidRPr="009D0B9A">
        <w:rPr>
          <w:spacing w:val="-2"/>
        </w:rPr>
        <w:t>, issued pursuant to Sec</w:t>
      </w:r>
      <w:r>
        <w:rPr>
          <w:spacing w:val="-2"/>
        </w:rPr>
        <w:t>tions 0.61(f)(1) and 1.80(a)(1),</w:t>
      </w:r>
      <w:r w:rsidRPr="009D0B9A">
        <w:rPr>
          <w:spacing w:val="-2"/>
        </w:rPr>
        <w:t>(2) of the Commission’s rules (Rules),</w:t>
      </w:r>
      <w:r w:rsidR="00A523DB" w:rsidRPr="009D0B9A">
        <w:rPr>
          <w:spacing w:val="-2"/>
          <w:sz w:val="20"/>
          <w:szCs w:val="22"/>
          <w:vertAlign w:val="superscript"/>
        </w:rPr>
        <w:footnoteReference w:id="2"/>
      </w:r>
      <w:r w:rsidRPr="009D0B9A">
        <w:rPr>
          <w:spacing w:val="-2"/>
        </w:rPr>
        <w:t xml:space="preserve"> </w:t>
      </w:r>
      <w:r w:rsidRPr="009D0B9A">
        <w:t xml:space="preserve">we find that </w:t>
      </w:r>
      <w:r w:rsidR="004D003B">
        <w:t>Winstar Odessa, Inc.</w:t>
      </w:r>
      <w:r w:rsidRPr="009D0B9A">
        <w:t xml:space="preserve"> (Licensee), licensee of Station </w:t>
      </w:r>
      <w:r w:rsidR="004D003B">
        <w:t>KWWT(TV), Odessa, Texas</w:t>
      </w:r>
      <w:r w:rsidR="009939BF">
        <w:t xml:space="preserve"> (Station</w:t>
      </w:r>
      <w:r w:rsidRPr="009D0B9A">
        <w:t xml:space="preserve">): </w:t>
      </w:r>
      <w:r>
        <w:t xml:space="preserve"> </w:t>
      </w:r>
      <w:r w:rsidRPr="009D0B9A">
        <w:t>(1) willfully and/or repeatedly violated Section 73.3526(e)(11)(iii) of the Rules</w:t>
      </w:r>
      <w:r w:rsidRPr="009D0B9A">
        <w:rPr>
          <w:vertAlign w:val="superscript"/>
        </w:rPr>
        <w:footnoteReference w:id="3"/>
      </w:r>
      <w:r w:rsidRPr="009D0B9A">
        <w:t xml:space="preserve"> by failing to file with the Commission in a timely manner </w:t>
      </w:r>
      <w:r w:rsidR="001A7EC9">
        <w:t xml:space="preserve">its </w:t>
      </w:r>
      <w:r w:rsidRPr="009D0B9A">
        <w:t>Children’s Television Programming Reports (FCC Form 398) for</w:t>
      </w:r>
      <w:r w:rsidR="009939BF">
        <w:t xml:space="preserve"> </w:t>
      </w:r>
      <w:r w:rsidR="0050504D">
        <w:t>sixteen</w:t>
      </w:r>
      <w:r w:rsidRPr="009D0B9A">
        <w:t xml:space="preserve"> quarters; and (2) willfully and/or repeatedly violated </w:t>
      </w:r>
      <w:r w:rsidRPr="009D0B9A">
        <w:rPr>
          <w:snapToGrid/>
        </w:rPr>
        <w:t>Section 73.3514(a) of the Rules</w:t>
      </w:r>
      <w:r w:rsidR="00EA63C0" w:rsidRPr="009D0B9A">
        <w:rPr>
          <w:snapToGrid/>
          <w:sz w:val="20"/>
          <w:vertAlign w:val="superscript"/>
        </w:rPr>
        <w:footnoteReference w:id="4"/>
      </w:r>
      <w:r w:rsidRPr="009D0B9A">
        <w:rPr>
          <w:snapToGrid/>
        </w:rPr>
        <w:t xml:space="preserve"> by failing to report those late filings in its renewal application.  </w:t>
      </w:r>
      <w:r w:rsidRPr="009D0B9A">
        <w:t xml:space="preserve">Based upon our review of the facts and circumstances before us, we conclude that the Licensee is liable for a monetary forfeiture in the amount of </w:t>
      </w:r>
      <w:r w:rsidR="004D003B">
        <w:t>Twenty</w:t>
      </w:r>
      <w:r w:rsidRPr="009D0B9A">
        <w:t xml:space="preserve"> Thousand Dollars ($</w:t>
      </w:r>
      <w:r w:rsidR="004D003B">
        <w:t>20</w:t>
      </w:r>
      <w:r w:rsidRPr="009D0B9A">
        <w:t>,000).</w:t>
      </w:r>
    </w:p>
    <w:p w14:paraId="37DB58F5" w14:textId="77777777" w:rsidR="009D0B9A" w:rsidRPr="009D0B9A" w:rsidRDefault="009D0B9A" w:rsidP="00253621">
      <w:pPr>
        <w:pStyle w:val="Heading1"/>
      </w:pPr>
      <w:r w:rsidRPr="009D0B9A">
        <w:t>BACKGROUND</w:t>
      </w:r>
    </w:p>
    <w:p w14:paraId="49C1A385" w14:textId="1FCB34B2" w:rsidR="009C5602" w:rsidRPr="00E67D7D" w:rsidRDefault="009D0B9A" w:rsidP="00E67D7D">
      <w:pPr>
        <w:pStyle w:val="ParaNum"/>
        <w:widowControl/>
      </w:pPr>
      <w:r w:rsidRPr="009D0B9A">
        <w:t>The Video Division issued a Notice of Apparent Liability (</w:t>
      </w:r>
      <w:r w:rsidRPr="00A37AC7">
        <w:t>NAL</w:t>
      </w:r>
      <w:r w:rsidRPr="009D0B9A">
        <w:t xml:space="preserve">) for Forfeiture on </w:t>
      </w:r>
      <w:r w:rsidR="0050504D">
        <w:t>March 29</w:t>
      </w:r>
      <w:r w:rsidR="00D57494">
        <w:t>, 2016</w:t>
      </w:r>
      <w:r w:rsidRPr="009D0B9A">
        <w:t>.</w:t>
      </w:r>
      <w:r w:rsidR="00A523DB" w:rsidRPr="009D0B9A">
        <w:rPr>
          <w:spacing w:val="-2"/>
          <w:sz w:val="20"/>
          <w:szCs w:val="22"/>
          <w:vertAlign w:val="superscript"/>
        </w:rPr>
        <w:footnoteReference w:id="5"/>
      </w:r>
      <w:r w:rsidRPr="009D0B9A">
        <w:t xml:space="preserve">  The </w:t>
      </w:r>
      <w:r w:rsidRPr="00A37AC7">
        <w:t>NAL</w:t>
      </w:r>
      <w:r w:rsidR="00CE571E">
        <w:t xml:space="preserve"> notified the Licensee that</w:t>
      </w:r>
      <w:r w:rsidR="00E426D4">
        <w:t xml:space="preserve"> (1)</w:t>
      </w:r>
      <w:r w:rsidR="00AF2222">
        <w:t xml:space="preserve"> its failure to timely file the</w:t>
      </w:r>
      <w:r w:rsidRPr="009D0B9A">
        <w:t xml:space="preserve"> Station’s Children’s Television Programming Reports for </w:t>
      </w:r>
      <w:r w:rsidR="00F26FDF">
        <w:t>sixteen</w:t>
      </w:r>
      <w:r w:rsidR="00B226FF">
        <w:t xml:space="preserve"> </w:t>
      </w:r>
      <w:r w:rsidRPr="009D0B9A">
        <w:t>quarters</w:t>
      </w:r>
      <w:r w:rsidR="00530FC7" w:rsidRPr="009D0B9A">
        <w:rPr>
          <w:sz w:val="20"/>
          <w:vertAlign w:val="superscript"/>
        </w:rPr>
        <w:footnoteReference w:id="6"/>
      </w:r>
      <w:r w:rsidR="00CE571E">
        <w:t xml:space="preserve"> constituted</w:t>
      </w:r>
      <w:r w:rsidRPr="009D0B9A">
        <w:t xml:space="preserve"> an apparent willful and/or repeated violation of Section 73.3526(e)(11)(i</w:t>
      </w:r>
      <w:r w:rsidR="00E426D4">
        <w:t>ii) of the Rules and (2) its</w:t>
      </w:r>
      <w:r w:rsidRPr="009D0B9A">
        <w:t xml:space="preserve"> failure to report these violations in its renewal application</w:t>
      </w:r>
      <w:r w:rsidR="00B949B6" w:rsidRPr="009D0B9A">
        <w:rPr>
          <w:sz w:val="20"/>
          <w:vertAlign w:val="superscript"/>
        </w:rPr>
        <w:footnoteReference w:id="7"/>
      </w:r>
      <w:r w:rsidR="00CE571E">
        <w:t xml:space="preserve"> </w:t>
      </w:r>
      <w:r w:rsidRPr="009D0B9A">
        <w:t>constituted an apparent willful and/or repeated violation of Section 73.4514(a) of the Rules.  The Division concluded that the Licensee was apparently liable for a</w:t>
      </w:r>
      <w:r w:rsidR="002A0AFF">
        <w:t xml:space="preserve"> </w:t>
      </w:r>
      <w:r w:rsidRPr="009D0B9A">
        <w:t>forfeiture in the amount of $</w:t>
      </w:r>
      <w:r w:rsidR="00F26FDF">
        <w:t>20</w:t>
      </w:r>
      <w:r w:rsidRPr="009D0B9A">
        <w:t>,000</w:t>
      </w:r>
      <w:r w:rsidR="002A0AFF">
        <w:t>—$17,000 for the Licensee’s failure to timely file its Children’s Television Programming Reports and $3,000 for its failure to report the aforementioned violations in its renewal application</w:t>
      </w:r>
      <w:r w:rsidRPr="009D0B9A">
        <w:t xml:space="preserve">. </w:t>
      </w:r>
      <w:r w:rsidR="00F26FDF">
        <w:t xml:space="preserve">The Licensee </w:t>
      </w:r>
      <w:r w:rsidR="00E67D7D">
        <w:t xml:space="preserve">received the NAL but </w:t>
      </w:r>
      <w:r w:rsidR="00F26FDF">
        <w:t xml:space="preserve">did not file a response. </w:t>
      </w:r>
    </w:p>
    <w:p w14:paraId="24AB103E" w14:textId="77777777" w:rsidR="009D0B9A" w:rsidRPr="009D0B9A" w:rsidRDefault="009D0B9A" w:rsidP="00253621">
      <w:pPr>
        <w:pStyle w:val="Heading1"/>
        <w:keepNext w:val="0"/>
        <w:suppressAutoHyphens w:val="0"/>
      </w:pPr>
      <w:r w:rsidRPr="009D0B9A">
        <w:lastRenderedPageBreak/>
        <w:t>DISCUSSION</w:t>
      </w:r>
    </w:p>
    <w:p w14:paraId="519AD5B7" w14:textId="6566008F" w:rsidR="00881EA6" w:rsidRPr="009D0B9A" w:rsidRDefault="009D0B9A" w:rsidP="00253621">
      <w:pPr>
        <w:pStyle w:val="ParaNum"/>
        <w:rPr>
          <w:spacing w:val="-2"/>
        </w:rPr>
      </w:pPr>
      <w:r w:rsidRPr="009D0B9A">
        <w:t>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00A523DB" w:rsidRPr="009D0B9A">
        <w:rPr>
          <w:color w:val="000000"/>
          <w:sz w:val="20"/>
          <w:szCs w:val="22"/>
          <w:vertAlign w:val="superscript"/>
        </w:rPr>
        <w:footnoteReference w:id="8"/>
      </w:r>
      <w:r w:rsidRPr="009D0B9A">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00A523DB" w:rsidRPr="009D0B9A">
        <w:rPr>
          <w:sz w:val="20"/>
          <w:szCs w:val="22"/>
          <w:vertAlign w:val="superscript"/>
        </w:rPr>
        <w:footnoteReference w:id="9"/>
      </w:r>
      <w:r w:rsidRPr="009D0B9A">
        <w:t xml:space="preserve">  The Commission will then issue a forfeiture order if it finds by a preponderance of the evidence that the person has violated the Act or a Commission rule.</w:t>
      </w:r>
      <w:r w:rsidR="00A523DB" w:rsidRPr="009D0B9A">
        <w:rPr>
          <w:sz w:val="20"/>
          <w:szCs w:val="22"/>
          <w:vertAlign w:val="superscript"/>
        </w:rPr>
        <w:footnoteReference w:id="10"/>
      </w:r>
      <w:r w:rsidRPr="009D0B9A">
        <w:t xml:space="preserve">  As we set forth in greater detail below, we conclude that the Licensee is liable for a forfeiture in the amount of $</w:t>
      </w:r>
      <w:r w:rsidR="00026C45">
        <w:t>20</w:t>
      </w:r>
      <w:r w:rsidRPr="009D0B9A">
        <w:t>,000 for its repeated and/or willful violations of Sections 73.3526(e)(11)(iii) and 73.4514(a)</w:t>
      </w:r>
      <w:r w:rsidR="00B43BB6">
        <w:t xml:space="preserve"> </w:t>
      </w:r>
      <w:r w:rsidRPr="009D0B9A">
        <w:t xml:space="preserve">of the Rules.  </w:t>
      </w:r>
    </w:p>
    <w:p w14:paraId="3C05BA5A" w14:textId="5FDDE16E" w:rsidR="009018C2" w:rsidRPr="009018C2" w:rsidRDefault="009018C2" w:rsidP="00761488">
      <w:pPr>
        <w:pStyle w:val="ParaNum"/>
      </w:pPr>
      <w:r w:rsidRPr="00761488">
        <w:rPr>
          <w:szCs w:val="22"/>
        </w:rPr>
        <w:t xml:space="preserve">The Commission’s </w:t>
      </w:r>
      <w:r w:rsidRPr="003050A4">
        <w:rPr>
          <w:i/>
          <w:szCs w:val="22"/>
        </w:rPr>
        <w:t>Forfeiture Policy Statement</w:t>
      </w:r>
      <w:r w:rsidRPr="00761488">
        <w:rPr>
          <w:szCs w:val="22"/>
        </w:rPr>
        <w:t xml:space="preserve"> and Section 1.80(b) of the rules</w:t>
      </w:r>
      <w:r w:rsidRPr="00761488">
        <w:t xml:space="preserve"> establishes a base forfeiture amount of $3,000 for failure to file a required form or information.</w:t>
      </w:r>
      <w:r w:rsidRPr="00761488">
        <w:rPr>
          <w:spacing w:val="-2"/>
          <w:vertAlign w:val="superscript"/>
        </w:rPr>
        <w:footnoteReference w:id="11"/>
      </w:r>
      <w:r w:rsidRPr="00881EA6">
        <w:t xml:space="preserve">  In determining the appropriate forfeiture amount, the Commission may adjust the base amount upward or downward by considering the factors in Section 503(b</w:t>
      </w:r>
      <w:r>
        <w:t>)</w:t>
      </w:r>
      <w:r w:rsidRPr="00881EA6">
        <w:t>(2)(E), which include “the nature, circumstances, extent, and gravity of th</w:t>
      </w:r>
      <w:r w:rsidRPr="00761488">
        <w:t xml:space="preserve">e violation and, with respect to the violator, the degree of culpability, any history of prior offenses, ability to pay, and such other matters as justice may require.”  In the </w:t>
      </w:r>
      <w:r w:rsidRPr="00A37AC7">
        <w:t>NAL</w:t>
      </w:r>
      <w:r w:rsidRPr="00761488">
        <w:t xml:space="preserve">, the Division </w:t>
      </w:r>
      <w:r>
        <w:t xml:space="preserve">considered such factors </w:t>
      </w:r>
      <w:r w:rsidRPr="00761488">
        <w:t>and pr</w:t>
      </w:r>
      <w:r>
        <w:t xml:space="preserve">oposed a </w:t>
      </w:r>
      <w:r w:rsidR="00ED4C5D">
        <w:t xml:space="preserve">total </w:t>
      </w:r>
      <w:r>
        <w:t>forfeiture amount of $</w:t>
      </w:r>
      <w:r w:rsidR="00731A40">
        <w:t>20</w:t>
      </w:r>
      <w:r w:rsidRPr="00761488">
        <w:t>,000.</w:t>
      </w:r>
      <w:r w:rsidRPr="00761488">
        <w:rPr>
          <w:rStyle w:val="FootnoteReference"/>
          <w:sz w:val="22"/>
          <w:szCs w:val="22"/>
        </w:rPr>
        <w:footnoteReference w:id="12"/>
      </w:r>
      <w:r w:rsidR="00E67D7D">
        <w:t xml:space="preserve">  </w:t>
      </w:r>
    </w:p>
    <w:p w14:paraId="734F23B4" w14:textId="79196DD7" w:rsidR="009D0B9A" w:rsidRPr="00026C45" w:rsidRDefault="009D0B9A" w:rsidP="00026C45">
      <w:pPr>
        <w:pStyle w:val="ParaNum"/>
        <w:rPr>
          <w:spacing w:val="-2"/>
        </w:rPr>
      </w:pPr>
      <w:r w:rsidRPr="00563921">
        <w:rPr>
          <w:szCs w:val="22"/>
        </w:rPr>
        <w:t xml:space="preserve">The Licensee </w:t>
      </w:r>
      <w:r w:rsidR="00E67D7D">
        <w:rPr>
          <w:szCs w:val="22"/>
        </w:rPr>
        <w:t>receive</w:t>
      </w:r>
      <w:r w:rsidR="002A0AFF">
        <w:rPr>
          <w:szCs w:val="22"/>
        </w:rPr>
        <w:t xml:space="preserve">d the NAL but </w:t>
      </w:r>
      <w:r w:rsidR="00E67D7D">
        <w:rPr>
          <w:szCs w:val="22"/>
        </w:rPr>
        <w:t xml:space="preserve">did not file any response regarding the violations identified in the NAL during the response period.  </w:t>
      </w:r>
      <w:r w:rsidR="0047766B">
        <w:t>In light of the specific facts and circumstances before us, we find</w:t>
      </w:r>
      <w:r w:rsidR="00881EA6" w:rsidRPr="00881EA6">
        <w:t xml:space="preserve"> the Licensee’s violations warrant the forfeiture </w:t>
      </w:r>
      <w:r w:rsidR="0047766B">
        <w:t xml:space="preserve">proposed in the </w:t>
      </w:r>
      <w:r w:rsidR="0047766B" w:rsidRPr="00A37AC7">
        <w:t>NAL</w:t>
      </w:r>
      <w:r w:rsidR="00B43BB6" w:rsidRPr="00026C45">
        <w:rPr>
          <w:spacing w:val="-2"/>
        </w:rPr>
        <w:t xml:space="preserve">.  Accordingly, we find that </w:t>
      </w:r>
      <w:r w:rsidRPr="00026C45">
        <w:rPr>
          <w:spacing w:val="-2"/>
        </w:rPr>
        <w:t>the Licensee</w:t>
      </w:r>
      <w:r w:rsidR="00DC1172" w:rsidRPr="00026C45">
        <w:rPr>
          <w:spacing w:val="-2"/>
        </w:rPr>
        <w:t xml:space="preserve"> is liable in the amount of $</w:t>
      </w:r>
      <w:r w:rsidR="00026C45">
        <w:rPr>
          <w:spacing w:val="-2"/>
        </w:rPr>
        <w:t>20</w:t>
      </w:r>
      <w:r w:rsidRPr="00026C45">
        <w:rPr>
          <w:spacing w:val="-2"/>
        </w:rPr>
        <w:t xml:space="preserve">,000 for its willful and/or repeated violations of Sections 73.3526(e)(11)(iii) and 73.3514(a) of the Rules. </w:t>
      </w:r>
    </w:p>
    <w:p w14:paraId="3E199685" w14:textId="77777777" w:rsidR="009D0B9A" w:rsidRPr="009D0B9A" w:rsidRDefault="009D0B9A" w:rsidP="00253621">
      <w:pPr>
        <w:pStyle w:val="Heading1"/>
      </w:pPr>
      <w:r w:rsidRPr="009D0B9A">
        <w:t>ORDERING CLAUSES</w:t>
      </w:r>
    </w:p>
    <w:p w14:paraId="76B035F8" w14:textId="1F29F949" w:rsidR="009D0B9A" w:rsidRPr="009D0B9A" w:rsidRDefault="009D0B9A" w:rsidP="00253621">
      <w:pPr>
        <w:pStyle w:val="ParaNum"/>
        <w:rPr>
          <w:szCs w:val="22"/>
        </w:rPr>
      </w:pPr>
      <w:r w:rsidRPr="009D0B9A">
        <w:t xml:space="preserve">ACCORDINGLY, IT IS ORDERED THAT, pursuant to section 503(b) of the Communications Act of 1934, as amended, and Sections 0.61(f)(1) and 1.80(a)(1) and (2) of the </w:t>
      </w:r>
      <w:r w:rsidR="002A0AFF">
        <w:t>R</w:t>
      </w:r>
      <w:r w:rsidRPr="009D0B9A">
        <w:t>ules</w:t>
      </w:r>
      <w:r w:rsidRPr="009D0B9A">
        <w:rPr>
          <w:spacing w:val="-2"/>
        </w:rPr>
        <w:t>,</w:t>
      </w:r>
      <w:r w:rsidR="00231B4F" w:rsidRPr="009D0B9A">
        <w:rPr>
          <w:spacing w:val="-2"/>
          <w:sz w:val="20"/>
          <w:szCs w:val="22"/>
          <w:vertAlign w:val="superscript"/>
        </w:rPr>
        <w:footnoteReference w:id="13"/>
      </w:r>
      <w:r w:rsidRPr="009D0B9A">
        <w:t xml:space="preserve"> </w:t>
      </w:r>
      <w:r w:rsidR="00026C45">
        <w:t>Winstar Odessa, Inc.</w:t>
      </w:r>
      <w:r w:rsidRPr="009D0B9A">
        <w:t xml:space="preserve"> SHALL FORFEIT to the United States the sum of </w:t>
      </w:r>
      <w:r w:rsidR="00026C45">
        <w:t>Twenty</w:t>
      </w:r>
      <w:r w:rsidR="00757E4F">
        <w:t xml:space="preserve"> Thousand Dollars ($</w:t>
      </w:r>
      <w:r w:rsidR="00026C45">
        <w:t>20</w:t>
      </w:r>
      <w:r w:rsidRPr="009D0B9A">
        <w:t>,000) for its willful and/or repeated violation</w:t>
      </w:r>
      <w:r w:rsidR="00757E4F">
        <w:t xml:space="preserve"> of</w:t>
      </w:r>
      <w:r w:rsidRPr="009D0B9A">
        <w:t xml:space="preserve"> Sections 73.3526(e)(11)(iii) and 73.3514(a) of the Rules.</w:t>
      </w:r>
      <w:r w:rsidRPr="009D0B9A">
        <w:rPr>
          <w:sz w:val="20"/>
          <w:vertAlign w:val="superscript"/>
        </w:rPr>
        <w:footnoteReference w:id="14"/>
      </w:r>
      <w:r w:rsidRPr="009D0B9A">
        <w:t xml:space="preserve">  </w:t>
      </w:r>
    </w:p>
    <w:p w14:paraId="61135A23" w14:textId="77777777" w:rsidR="009D0B9A" w:rsidRPr="002408E0" w:rsidRDefault="009D0B9A" w:rsidP="00253621">
      <w:pPr>
        <w:pStyle w:val="ParaNum"/>
      </w:pPr>
      <w:r w:rsidRPr="002408E0">
        <w:t xml:space="preserve">Payment of the forfeiture </w:t>
      </w:r>
      <w:r w:rsidR="00253621" w:rsidRPr="002408E0">
        <w:t>SHALL be m</w:t>
      </w:r>
      <w:r w:rsidRPr="002408E0">
        <w:t xml:space="preserve">ade in the manner provided for in Section 1.80(h) of the Commission’s rules within thirty (30) calendar days after the release date of this </w:t>
      </w:r>
      <w:r w:rsidRPr="002408E0">
        <w:rPr>
          <w:i/>
        </w:rPr>
        <w:t>Forfeiture Order</w:t>
      </w:r>
      <w:r w:rsidRPr="002408E0">
        <w:t>.</w:t>
      </w:r>
      <w:r w:rsidRPr="002408E0">
        <w:rPr>
          <w:sz w:val="20"/>
          <w:vertAlign w:val="superscript"/>
        </w:rPr>
        <w:footnoteReference w:id="15"/>
      </w:r>
      <w:r w:rsidRPr="002408E0">
        <w:t xml:space="preserve">  </w:t>
      </w:r>
      <w:r w:rsidRPr="002408E0">
        <w:lastRenderedPageBreak/>
        <w:t>If the forfeiture is not paid within the period specified, the case may be referred to the U.S. Department of Justice for enforcement of the forfeiture pursuant to Section 504(a) of the Communications Act of 1934, as amended.</w:t>
      </w:r>
      <w:r w:rsidRPr="002408E0">
        <w:rPr>
          <w:sz w:val="20"/>
          <w:vertAlign w:val="superscript"/>
        </w:rPr>
        <w:footnoteReference w:id="16"/>
      </w:r>
      <w:r w:rsidRPr="002408E0">
        <w:t xml:space="preserve">  </w:t>
      </w:r>
    </w:p>
    <w:p w14:paraId="3E75D20C" w14:textId="77777777" w:rsidR="00253621" w:rsidRPr="00337FE3" w:rsidRDefault="00253621" w:rsidP="00761488">
      <w:pPr>
        <w:pStyle w:val="ParaNum"/>
        <w:widowControl/>
        <w:rPr>
          <w:szCs w:val="22"/>
        </w:rPr>
      </w:pPr>
      <w:r w:rsidRPr="00337FE3">
        <w:rPr>
          <w:szCs w:val="22"/>
        </w:rPr>
        <w:t xml:space="preserve">Payments of the </w:t>
      </w:r>
      <w:r w:rsidRPr="0005179A">
        <w:rPr>
          <w:szCs w:val="22"/>
        </w:rPr>
        <w:t xml:space="preserve">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17"/>
      </w:r>
      <w:r>
        <w:rPr>
          <w:szCs w:val="22"/>
        </w:rPr>
        <w:t xml:space="preserve">  </w:t>
      </w:r>
      <w:r w:rsidRPr="0005179A">
        <w:rPr>
          <w:szCs w:val="22"/>
        </w:rPr>
        <w:t xml:space="preserve">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18"/>
      </w:r>
      <w:r w:rsidRPr="00337FE3">
        <w:rPr>
          <w:szCs w:val="22"/>
        </w:rPr>
        <w:t xml:space="preserve"> </w:t>
      </w:r>
    </w:p>
    <w:p w14:paraId="4907EE53" w14:textId="77777777" w:rsidR="00253621" w:rsidRPr="00337FE3" w:rsidRDefault="00253621" w:rsidP="00253621">
      <w:pPr>
        <w:pStyle w:val="ParaNum"/>
        <w:numPr>
          <w:ilvl w:val="0"/>
          <w:numId w:val="11"/>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504EC96F" w14:textId="77777777" w:rsidR="00253621" w:rsidRPr="00337FE3" w:rsidRDefault="00253621" w:rsidP="00253621">
      <w:pPr>
        <w:pStyle w:val="ParaNum"/>
        <w:widowControl/>
        <w:numPr>
          <w:ilvl w:val="0"/>
          <w:numId w:val="11"/>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99274A6" w14:textId="77777777" w:rsidR="00253621" w:rsidRPr="00337FE3" w:rsidRDefault="00253621" w:rsidP="00253621">
      <w:pPr>
        <w:pStyle w:val="ParaNum"/>
        <w:numPr>
          <w:ilvl w:val="0"/>
          <w:numId w:val="11"/>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291EF88" w14:textId="77777777" w:rsidR="00B43BB6" w:rsidRPr="00992A58" w:rsidRDefault="00B43BB6" w:rsidP="00253621">
      <w:pPr>
        <w:pStyle w:val="ParaNum"/>
      </w:pPr>
      <w:r w:rsidRPr="00992A58">
        <w:t xml:space="preserve">Requests for full payment of the forfeiture proposed in this </w:t>
      </w:r>
      <w:r>
        <w:rPr>
          <w:i/>
        </w:rPr>
        <w:t>Forfeiture Order</w:t>
      </w:r>
      <w:r w:rsidRPr="00992A58">
        <w:t xml:space="preserve"> under the installment plan should be sent to: Associate Managing Director- Financial Operations, 445 12th Street, S.W., Room 1-A625, Washington, D.C. 20554.</w:t>
      </w:r>
      <w:r w:rsidRPr="00992A58">
        <w:rPr>
          <w:rStyle w:val="FootnoteReference"/>
          <w:szCs w:val="22"/>
        </w:rPr>
        <w:footnoteReference w:id="19"/>
      </w:r>
    </w:p>
    <w:p w14:paraId="339EE530" w14:textId="284D2CEE" w:rsidR="00253621" w:rsidRDefault="009D0B9A" w:rsidP="00253621">
      <w:pPr>
        <w:pStyle w:val="ParaNum"/>
      </w:pPr>
      <w:r w:rsidRPr="009D0B9A">
        <w:t xml:space="preserve"> IT IS FURTHER ORDERED THAT a copy of this </w:t>
      </w:r>
      <w:r w:rsidR="00B43BB6" w:rsidRPr="00B43BB6">
        <w:rPr>
          <w:i/>
        </w:rPr>
        <w:t>Forfeiture Order</w:t>
      </w:r>
      <w:r w:rsidRPr="009D0B9A">
        <w:t xml:space="preserve"> shall be sent by </w:t>
      </w:r>
      <w:r w:rsidR="00026C45" w:rsidRPr="008B3C5B">
        <w:t xml:space="preserve">First Class and Certified Mail, Return Receipt Requested, to </w:t>
      </w:r>
      <w:r w:rsidR="00026C45">
        <w:t>Win</w:t>
      </w:r>
      <w:r w:rsidR="00026C45" w:rsidRPr="008B3C5B">
        <w:t>star Odessa, Inc., PO Box 547, Arr</w:t>
      </w:r>
      <w:r w:rsidR="002A0AFF">
        <w:t>o</w:t>
      </w:r>
      <w:r w:rsidR="00026C45" w:rsidRPr="008B3C5B">
        <w:t>yo Grande, CA 93421 and to its counsel George R. Borsari, Jr., Borsari &amp; Paxson, 5335 Wisconsin Avenue, N.W., Suite 440, Washington, DC 20015.</w:t>
      </w:r>
    </w:p>
    <w:p w14:paraId="7E3267A5" w14:textId="77777777" w:rsidR="002A0AFF" w:rsidRDefault="002A0AFF" w:rsidP="00253621">
      <w:pPr>
        <w:pStyle w:val="ParaNum"/>
        <w:numPr>
          <w:ilvl w:val="0"/>
          <w:numId w:val="0"/>
        </w:numPr>
        <w:ind w:left="3600" w:firstLine="720"/>
        <w:rPr>
          <w:rFonts w:eastAsia="Calibri"/>
          <w:snapToGrid/>
          <w:kern w:val="0"/>
          <w:szCs w:val="22"/>
        </w:rPr>
      </w:pPr>
    </w:p>
    <w:p w14:paraId="416D8403" w14:textId="77777777" w:rsidR="00253621" w:rsidRPr="00253621" w:rsidRDefault="009D0B9A" w:rsidP="00253621">
      <w:pPr>
        <w:pStyle w:val="ParaNum"/>
        <w:numPr>
          <w:ilvl w:val="0"/>
          <w:numId w:val="0"/>
        </w:numPr>
        <w:ind w:left="3600" w:firstLine="720"/>
      </w:pPr>
      <w:r w:rsidRPr="00253621">
        <w:rPr>
          <w:rFonts w:eastAsia="Calibri"/>
          <w:snapToGrid/>
          <w:kern w:val="0"/>
          <w:szCs w:val="22"/>
        </w:rPr>
        <w:t>FEDERAL COMMUNICATIONS COMMISSION</w:t>
      </w:r>
    </w:p>
    <w:p w14:paraId="6EBF140F" w14:textId="77777777" w:rsidR="002A0AFF" w:rsidRDefault="002A0AFF" w:rsidP="00253621">
      <w:pPr>
        <w:widowControl/>
        <w:ind w:left="2160" w:firstLine="720"/>
        <w:jc w:val="both"/>
        <w:rPr>
          <w:rFonts w:eastAsia="Calibri"/>
          <w:snapToGrid/>
          <w:kern w:val="0"/>
          <w:szCs w:val="22"/>
        </w:rPr>
      </w:pPr>
    </w:p>
    <w:p w14:paraId="1D815EDA" w14:textId="77777777" w:rsidR="00253621" w:rsidRDefault="00253621" w:rsidP="00253621">
      <w:pPr>
        <w:widowControl/>
        <w:ind w:left="2160" w:firstLine="720"/>
        <w:jc w:val="both"/>
        <w:rPr>
          <w:rFonts w:eastAsia="Calibri"/>
          <w:snapToGrid/>
          <w:kern w:val="0"/>
          <w:szCs w:val="22"/>
        </w:rPr>
      </w:pPr>
    </w:p>
    <w:p w14:paraId="06F5DBFF" w14:textId="77777777" w:rsidR="009D0B9A" w:rsidRPr="009D0B9A" w:rsidRDefault="009D0B9A" w:rsidP="00253621">
      <w:pPr>
        <w:widowControl/>
        <w:ind w:left="3600" w:firstLine="720"/>
        <w:jc w:val="both"/>
        <w:rPr>
          <w:rFonts w:eastAsia="Calibri"/>
          <w:snapToGrid/>
          <w:kern w:val="0"/>
          <w:szCs w:val="22"/>
        </w:rPr>
      </w:pPr>
      <w:r w:rsidRPr="009D0B9A">
        <w:rPr>
          <w:rFonts w:eastAsia="Calibri"/>
          <w:snapToGrid/>
          <w:kern w:val="0"/>
          <w:szCs w:val="22"/>
        </w:rPr>
        <w:t>Barbara</w:t>
      </w:r>
      <w:r w:rsidR="00253621">
        <w:rPr>
          <w:rFonts w:eastAsia="Calibri"/>
          <w:snapToGrid/>
          <w:kern w:val="0"/>
          <w:szCs w:val="22"/>
        </w:rPr>
        <w:tab/>
      </w:r>
      <w:r w:rsidRPr="009D0B9A">
        <w:rPr>
          <w:rFonts w:eastAsia="Calibri"/>
          <w:snapToGrid/>
          <w:kern w:val="0"/>
          <w:szCs w:val="22"/>
        </w:rPr>
        <w:t>A. Kreisman</w:t>
      </w:r>
    </w:p>
    <w:p w14:paraId="21056841" w14:textId="77777777" w:rsidR="009D0B9A" w:rsidRPr="009D0B9A" w:rsidRDefault="00253621" w:rsidP="009D0B9A">
      <w:pPr>
        <w:widowControl/>
        <w:jc w:val="both"/>
        <w:rPr>
          <w:rFonts w:eastAsia="Calibri"/>
          <w:snapToGrid/>
          <w:kern w:val="0"/>
          <w:szCs w:val="22"/>
        </w:rPr>
      </w:pPr>
      <w:r>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t xml:space="preserve">               </w:t>
      </w:r>
      <w:r w:rsidR="009D0B9A" w:rsidRPr="009D0B9A">
        <w:rPr>
          <w:rFonts w:eastAsia="Calibri"/>
          <w:snapToGrid/>
          <w:kern w:val="0"/>
          <w:szCs w:val="22"/>
        </w:rPr>
        <w:tab/>
        <w:t xml:space="preserve">Chief, Video Division </w:t>
      </w:r>
    </w:p>
    <w:p w14:paraId="677D5C4E" w14:textId="77777777" w:rsidR="002C00E8" w:rsidRPr="009D0B9A" w:rsidRDefault="009D0B9A" w:rsidP="002A0AFF">
      <w:pPr>
        <w:widowControl/>
        <w:ind w:left="2160" w:firstLine="720"/>
        <w:jc w:val="both"/>
        <w:rPr>
          <w:rFonts w:eastAsia="Calibri"/>
          <w:snapToGrid/>
          <w:kern w:val="0"/>
          <w:szCs w:val="22"/>
        </w:rPr>
      </w:pPr>
      <w:r w:rsidRPr="009D0B9A">
        <w:rPr>
          <w:rFonts w:eastAsia="Calibri"/>
          <w:snapToGrid/>
          <w:kern w:val="0"/>
          <w:szCs w:val="22"/>
        </w:rPr>
        <w:t xml:space="preserve">               </w:t>
      </w:r>
      <w:r w:rsidRPr="009D0B9A">
        <w:rPr>
          <w:rFonts w:eastAsia="Calibri"/>
          <w:snapToGrid/>
          <w:kern w:val="0"/>
          <w:szCs w:val="22"/>
        </w:rPr>
        <w:tab/>
        <w:t>Media Bureau</w:t>
      </w:r>
    </w:p>
    <w:sectPr w:rsidR="002C00E8" w:rsidRPr="009D0B9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EC98" w14:textId="77777777" w:rsidR="008439A7" w:rsidRDefault="008439A7">
      <w:pPr>
        <w:spacing w:line="20" w:lineRule="exact"/>
      </w:pPr>
    </w:p>
  </w:endnote>
  <w:endnote w:type="continuationSeparator" w:id="0">
    <w:p w14:paraId="71ED016F" w14:textId="77777777" w:rsidR="008439A7" w:rsidRDefault="008439A7">
      <w:r>
        <w:t xml:space="preserve"> </w:t>
      </w:r>
    </w:p>
  </w:endnote>
  <w:endnote w:type="continuationNotice" w:id="1">
    <w:p w14:paraId="04B88755" w14:textId="77777777" w:rsidR="008439A7" w:rsidRDefault="00843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7C80" w14:textId="77777777" w:rsidR="008439A7" w:rsidRDefault="008439A7" w:rsidP="0055614C">
    <w:pPr>
      <w:pStyle w:val="Footer"/>
      <w:framePr w:wrap="around" w:vAnchor="text" w:hAnchor="margin" w:xAlign="center" w:y="1"/>
    </w:pPr>
    <w:r>
      <w:fldChar w:fldCharType="begin"/>
    </w:r>
    <w:r>
      <w:instrText xml:space="preserve">PAGE  </w:instrText>
    </w:r>
    <w:r>
      <w:fldChar w:fldCharType="end"/>
    </w:r>
  </w:p>
  <w:p w14:paraId="625B17EF" w14:textId="77777777" w:rsidR="008439A7" w:rsidRDefault="00843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9AEF" w14:textId="77777777" w:rsidR="008439A7" w:rsidRDefault="008439A7" w:rsidP="0055614C">
    <w:pPr>
      <w:pStyle w:val="Footer"/>
      <w:framePr w:wrap="around" w:vAnchor="text" w:hAnchor="margin" w:xAlign="center" w:y="1"/>
    </w:pPr>
    <w:r>
      <w:fldChar w:fldCharType="begin"/>
    </w:r>
    <w:r>
      <w:instrText xml:space="preserve">PAGE  </w:instrText>
    </w:r>
    <w:r>
      <w:fldChar w:fldCharType="separate"/>
    </w:r>
    <w:r w:rsidR="00800F6F">
      <w:rPr>
        <w:noProof/>
      </w:rPr>
      <w:t>2</w:t>
    </w:r>
    <w:r>
      <w:fldChar w:fldCharType="end"/>
    </w:r>
  </w:p>
  <w:p w14:paraId="5FDCA308" w14:textId="77777777" w:rsidR="008439A7" w:rsidRDefault="008439A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1DDA" w14:textId="77777777" w:rsidR="008439A7" w:rsidRDefault="008439A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FC78" w14:textId="77777777" w:rsidR="008439A7" w:rsidRDefault="008439A7">
      <w:r>
        <w:separator/>
      </w:r>
    </w:p>
  </w:footnote>
  <w:footnote w:type="continuationSeparator" w:id="0">
    <w:p w14:paraId="2DA56876" w14:textId="77777777" w:rsidR="008439A7" w:rsidRDefault="008439A7" w:rsidP="00C721AC">
      <w:pPr>
        <w:spacing w:before="120"/>
        <w:rPr>
          <w:sz w:val="20"/>
        </w:rPr>
      </w:pPr>
      <w:r>
        <w:rPr>
          <w:sz w:val="20"/>
        </w:rPr>
        <w:t xml:space="preserve">(Continued from previous page)  </w:t>
      </w:r>
      <w:r>
        <w:rPr>
          <w:sz w:val="20"/>
        </w:rPr>
        <w:separator/>
      </w:r>
    </w:p>
  </w:footnote>
  <w:footnote w:type="continuationNotice" w:id="1">
    <w:p w14:paraId="09808828" w14:textId="77777777" w:rsidR="008439A7" w:rsidRDefault="008439A7" w:rsidP="00C721AC">
      <w:pPr>
        <w:jc w:val="right"/>
        <w:rPr>
          <w:sz w:val="20"/>
        </w:rPr>
      </w:pPr>
      <w:r>
        <w:rPr>
          <w:sz w:val="20"/>
        </w:rPr>
        <w:t>(continued….)</w:t>
      </w:r>
    </w:p>
  </w:footnote>
  <w:footnote w:id="2">
    <w:p w14:paraId="2E6F7224" w14:textId="102267B3" w:rsidR="008439A7" w:rsidRPr="002318D5" w:rsidRDefault="008439A7" w:rsidP="008804B0">
      <w:pPr>
        <w:pStyle w:val="FootnoteText"/>
      </w:pPr>
      <w:r w:rsidRPr="002318D5">
        <w:rPr>
          <w:rStyle w:val="FootnoteReference"/>
        </w:rPr>
        <w:footnoteRef/>
      </w:r>
      <w:r w:rsidR="00BF4DAE">
        <w:t xml:space="preserve"> </w:t>
      </w:r>
      <w:r w:rsidRPr="002318D5">
        <w:t>47 C.F</w:t>
      </w:r>
      <w:r>
        <w:t>.R. §§ 0.61(f)(1), 1.80(a)(1),</w:t>
      </w:r>
      <w:r w:rsidRPr="002318D5">
        <w:t>(2).</w:t>
      </w:r>
    </w:p>
  </w:footnote>
  <w:footnote w:id="3">
    <w:p w14:paraId="047A95AA" w14:textId="77777777" w:rsidR="008439A7" w:rsidRPr="002318D5" w:rsidRDefault="008439A7" w:rsidP="008804B0">
      <w:pPr>
        <w:pStyle w:val="FootnoteText"/>
      </w:pPr>
      <w:r w:rsidRPr="002318D5">
        <w:rPr>
          <w:rStyle w:val="FootnoteReference"/>
        </w:rPr>
        <w:footnoteRef/>
      </w:r>
      <w:r w:rsidRPr="002318D5">
        <w:t xml:space="preserve"> 47 C.F.R. § 73.3526(e)(11)(iii).</w:t>
      </w:r>
    </w:p>
  </w:footnote>
  <w:footnote w:id="4">
    <w:p w14:paraId="6DCC5247" w14:textId="77777777" w:rsidR="008439A7" w:rsidRPr="002318D5" w:rsidRDefault="008439A7" w:rsidP="008804B0">
      <w:pPr>
        <w:pStyle w:val="FootnoteText"/>
      </w:pPr>
      <w:r w:rsidRPr="002318D5">
        <w:rPr>
          <w:rStyle w:val="FootnoteReference"/>
        </w:rPr>
        <w:footnoteRef/>
      </w:r>
      <w:r w:rsidRPr="002318D5">
        <w:t xml:space="preserve"> 47 C.F.R. § 73.3514(a). </w:t>
      </w:r>
    </w:p>
  </w:footnote>
  <w:footnote w:id="5">
    <w:p w14:paraId="527D5E7C" w14:textId="6BC39018" w:rsidR="008439A7" w:rsidRPr="002318D5" w:rsidRDefault="008439A7" w:rsidP="008804B0">
      <w:pPr>
        <w:pStyle w:val="FootnoteText"/>
      </w:pPr>
      <w:r w:rsidRPr="002318D5">
        <w:rPr>
          <w:rStyle w:val="FootnoteReference"/>
        </w:rPr>
        <w:footnoteRef/>
      </w:r>
      <w:r w:rsidRPr="002318D5">
        <w:t xml:space="preserve"> </w:t>
      </w:r>
      <w:r w:rsidR="0050504D">
        <w:rPr>
          <w:i/>
        </w:rPr>
        <w:t>Winstar Odessa, Inc.</w:t>
      </w:r>
      <w:r w:rsidRPr="002318D5">
        <w:t xml:space="preserve">, Notice of Apparent Liability for Forfeiture, </w:t>
      </w:r>
      <w:r>
        <w:t>DA 16-3</w:t>
      </w:r>
      <w:r w:rsidR="0050504D">
        <w:t>26</w:t>
      </w:r>
      <w:r>
        <w:t xml:space="preserve"> (Vid. Div. 2016</w:t>
      </w:r>
      <w:r w:rsidRPr="002318D5">
        <w:t>)</w:t>
      </w:r>
      <w:r>
        <w:t xml:space="preserve"> (</w:t>
      </w:r>
      <w:r w:rsidRPr="00A37AC7">
        <w:t>NAL</w:t>
      </w:r>
      <w:r>
        <w:t>).</w:t>
      </w:r>
    </w:p>
  </w:footnote>
  <w:footnote w:id="6">
    <w:p w14:paraId="2E9E9C15" w14:textId="4668AA78" w:rsidR="008439A7" w:rsidRPr="002318D5" w:rsidRDefault="008439A7" w:rsidP="008804B0">
      <w:pPr>
        <w:pStyle w:val="FootnoteText"/>
      </w:pPr>
      <w:r w:rsidRPr="002318D5">
        <w:rPr>
          <w:rStyle w:val="FootnoteReference"/>
        </w:rPr>
        <w:footnoteRef/>
      </w:r>
      <w:r w:rsidRPr="002318D5">
        <w:t xml:space="preserve"> </w:t>
      </w:r>
      <w:r w:rsidR="00C046B8" w:rsidRPr="005A48B0">
        <w:t>According to Commission records, the Licensee filed its Children’s Television Programming Reports</w:t>
      </w:r>
      <w:r w:rsidR="00C046B8">
        <w:t xml:space="preserve"> late for sixteen consecutive quarters: the third quarter</w:t>
      </w:r>
      <w:r w:rsidR="00C046B8" w:rsidRPr="005A48B0">
        <w:t xml:space="preserve"> of 2006 though the second quarter of 2010.  Licensee upl</w:t>
      </w:r>
      <w:r w:rsidR="00C046B8">
        <w:t xml:space="preserve">oaded all of the Reports to its </w:t>
      </w:r>
      <w:r w:rsidR="006C5839">
        <w:t>online public file on</w:t>
      </w:r>
      <w:r w:rsidR="00C046B8">
        <w:t xml:space="preserve"> </w:t>
      </w:r>
      <w:r w:rsidR="00C046B8" w:rsidRPr="005A48B0">
        <w:t xml:space="preserve">February 12, 2013.  </w:t>
      </w:r>
      <w:r w:rsidR="00C046B8">
        <w:t>NAL at n. 11.</w:t>
      </w:r>
    </w:p>
  </w:footnote>
  <w:footnote w:id="7">
    <w:p w14:paraId="15D68DB9" w14:textId="0AA2F5FD" w:rsidR="008439A7" w:rsidRDefault="008439A7" w:rsidP="008804B0">
      <w:pPr>
        <w:pStyle w:val="FootnoteText"/>
      </w:pPr>
      <w:r w:rsidRPr="002318D5">
        <w:rPr>
          <w:rStyle w:val="FootnoteReference"/>
        </w:rPr>
        <w:footnoteRef/>
      </w:r>
      <w:r>
        <w:t xml:space="preserve"> File No. </w:t>
      </w:r>
      <w:r w:rsidR="001A7EC9">
        <w:t>BRCDT - 20140401AOT.</w:t>
      </w:r>
    </w:p>
    <w:p w14:paraId="6307BF9B" w14:textId="77777777" w:rsidR="008439A7" w:rsidRDefault="008439A7" w:rsidP="008804B0">
      <w:pPr>
        <w:pStyle w:val="FootnoteText"/>
      </w:pPr>
    </w:p>
  </w:footnote>
  <w:footnote w:id="8">
    <w:p w14:paraId="0F4549B9" w14:textId="77777777" w:rsidR="008439A7" w:rsidRPr="00467B61" w:rsidRDefault="008439A7" w:rsidP="008804B0">
      <w:pPr>
        <w:pStyle w:val="FootnoteText"/>
      </w:pPr>
      <w:r w:rsidRPr="00467B61">
        <w:rPr>
          <w:rStyle w:val="FootnoteReference"/>
        </w:rPr>
        <w:footnoteRef/>
      </w:r>
      <w:r w:rsidRPr="00467B61">
        <w:t xml:space="preserve"> 47 U.S.C. § 503(b)(1)</w:t>
      </w:r>
      <w:r>
        <w:t>,</w:t>
      </w:r>
      <w:r w:rsidRPr="00467B61">
        <w:t>(A)</w:t>
      </w:r>
      <w:r>
        <w:t>,(B); 47 C.F.R. § 1.80(a)(1),</w:t>
      </w:r>
      <w:r w:rsidRPr="00467B61">
        <w:t xml:space="preserve">(2).  The Commission may assess a forfeiture order for violations that are merely repeated, and not willful.  </w:t>
      </w:r>
      <w:r w:rsidRPr="00467B61">
        <w:rPr>
          <w:i/>
        </w:rPr>
        <w:t>See, e.g.,</w:t>
      </w:r>
      <w:r w:rsidRPr="00467B61">
        <w:t xml:space="preserve"> </w:t>
      </w:r>
      <w:r w:rsidRPr="00467B61">
        <w:rPr>
          <w:i/>
        </w:rPr>
        <w:t>Callais Cablevision, Inc., Grand Isle, Louisiana</w:t>
      </w:r>
      <w:r w:rsidRPr="00467B61">
        <w:t>, Notice of Apparent Liability for Monetary Forf</w:t>
      </w:r>
      <w:r>
        <w:t xml:space="preserve">eiture, 16 FCC Rcd 1359, 1362, </w:t>
      </w:r>
      <w:r w:rsidRPr="00467B61">
        <w:t xml:space="preserve">(2001) (issuing a Notice of Apparent Liability for a cable television operator’s repeated violations of the Commission’s signal leakage rules). </w:t>
      </w:r>
      <w:r w:rsidRPr="00467B61">
        <w:rPr>
          <w:i/>
        </w:rPr>
        <w:t xml:space="preserve"> </w:t>
      </w:r>
      <w:r w:rsidRPr="00467B61">
        <w:t xml:space="preserve">“Repeated” means that the act was committed or omitted more than once.  </w:t>
      </w:r>
      <w:r w:rsidRPr="00467B61">
        <w:rPr>
          <w:i/>
        </w:rPr>
        <w:t xml:space="preserve">Southern California Broadcasting Co., </w:t>
      </w:r>
      <w:r w:rsidRPr="00467B61">
        <w:t>Memorandum Opinion and Order, 6 FCC Rcd 4387, 4388 (1991).</w:t>
      </w:r>
    </w:p>
  </w:footnote>
  <w:footnote w:id="9">
    <w:p w14:paraId="7029FBB8" w14:textId="77777777" w:rsidR="008439A7" w:rsidRPr="00467B61" w:rsidRDefault="008439A7" w:rsidP="008804B0">
      <w:pPr>
        <w:pStyle w:val="FootnoteText"/>
      </w:pPr>
      <w:r w:rsidRPr="00467B61">
        <w:rPr>
          <w:rStyle w:val="FootnoteReference"/>
        </w:rPr>
        <w:footnoteRef/>
      </w:r>
      <w:r w:rsidRPr="00467B61">
        <w:t xml:space="preserve"> 47 U.S.C. § 503(b); 47 C.F.R. § 1.80(f).</w:t>
      </w:r>
    </w:p>
  </w:footnote>
  <w:footnote w:id="10">
    <w:p w14:paraId="15AAC6EB" w14:textId="77777777" w:rsidR="008439A7" w:rsidRDefault="008439A7" w:rsidP="008804B0">
      <w:pPr>
        <w:pStyle w:val="FootnoteText"/>
      </w:pPr>
      <w:r w:rsidRPr="00467B61">
        <w:rPr>
          <w:rStyle w:val="FootnoteReference"/>
        </w:rPr>
        <w:footnoteRef/>
      </w:r>
      <w:r w:rsidRPr="00467B61">
        <w:t xml:space="preserve"> </w:t>
      </w:r>
      <w:r w:rsidRPr="00467B61">
        <w:rPr>
          <w:i/>
        </w:rPr>
        <w:t>See, e.g., SBC Communications, Inc.</w:t>
      </w:r>
      <w:r w:rsidRPr="00467B61">
        <w:t>, Forfeiture Order, 17 FCC Rcd 7589, 7591 (2002).</w:t>
      </w:r>
      <w:r>
        <w:t xml:space="preserve"> </w:t>
      </w:r>
    </w:p>
  </w:footnote>
  <w:footnote w:id="11">
    <w:p w14:paraId="539DEFA0" w14:textId="77777777" w:rsidR="008439A7" w:rsidRPr="00B43BB6" w:rsidRDefault="008439A7" w:rsidP="008804B0">
      <w:pPr>
        <w:pStyle w:val="FootnoteText"/>
      </w:pPr>
      <w:r w:rsidRPr="00B43BB6">
        <w:rPr>
          <w:rStyle w:val="FootnoteReference"/>
        </w:rPr>
        <w:footnoteRef/>
      </w:r>
      <w:r w:rsidRPr="00B43BB6">
        <w:t xml:space="preserve"> </w:t>
      </w:r>
      <w:r w:rsidRPr="00B43BB6">
        <w:rPr>
          <w:i/>
        </w:rPr>
        <w:t>See Forfeiture Policy Statement</w:t>
      </w:r>
      <w:r w:rsidRPr="00B43BB6">
        <w:t>, 12 FCC Rcd at 17113-15; 47 C.F.R. § 1.80(b), note</w:t>
      </w:r>
      <w:r>
        <w:t xml:space="preserve"> to para</w:t>
      </w:r>
      <w:r w:rsidR="00686FCE">
        <w:t>.</w:t>
      </w:r>
      <w:r>
        <w:t xml:space="preserve"> (b)(8), Section I.</w:t>
      </w:r>
    </w:p>
  </w:footnote>
  <w:footnote w:id="12">
    <w:p w14:paraId="6CFEA730" w14:textId="414829B5" w:rsidR="008439A7" w:rsidRDefault="008439A7" w:rsidP="008804B0">
      <w:pPr>
        <w:pStyle w:val="FootnoteText"/>
      </w:pPr>
      <w:r>
        <w:rPr>
          <w:rStyle w:val="FootnoteReference"/>
        </w:rPr>
        <w:footnoteRef/>
      </w:r>
      <w:r w:rsidRPr="00A37AC7">
        <w:t xml:space="preserve"> NAL</w:t>
      </w:r>
      <w:r>
        <w:rPr>
          <w:i/>
        </w:rPr>
        <w:t xml:space="preserve"> </w:t>
      </w:r>
      <w:r w:rsidRPr="009018C2">
        <w:t>at</w:t>
      </w:r>
      <w:r w:rsidR="00BF4DAE">
        <w:t xml:space="preserve"> 4</w:t>
      </w:r>
      <w:r>
        <w:t>.</w:t>
      </w:r>
    </w:p>
  </w:footnote>
  <w:footnote w:id="13">
    <w:p w14:paraId="01CAC3AC" w14:textId="77777777" w:rsidR="008439A7" w:rsidRPr="00B43BB6" w:rsidRDefault="008439A7" w:rsidP="008804B0">
      <w:pPr>
        <w:pStyle w:val="FootnoteText"/>
      </w:pPr>
      <w:r w:rsidRPr="00B43BB6">
        <w:rPr>
          <w:rStyle w:val="FootnoteReference"/>
        </w:rPr>
        <w:footnoteRef/>
      </w:r>
      <w:r w:rsidRPr="00B43BB6">
        <w:t xml:space="preserve"> 47 U.S.C. § 503(b); 47 C.F.R. §§ 0.61(f)(1) &amp; 1.80(a)(1),(2).</w:t>
      </w:r>
    </w:p>
  </w:footnote>
  <w:footnote w:id="14">
    <w:p w14:paraId="5AC1499E" w14:textId="77777777" w:rsidR="008439A7" w:rsidRPr="00B43BB6" w:rsidRDefault="008439A7" w:rsidP="008804B0">
      <w:pPr>
        <w:pStyle w:val="FootnoteText"/>
      </w:pPr>
      <w:r w:rsidRPr="00B43BB6">
        <w:rPr>
          <w:rStyle w:val="FootnoteReference"/>
        </w:rPr>
        <w:footnoteRef/>
      </w:r>
      <w:r w:rsidRPr="00B43BB6">
        <w:t xml:space="preserve"> 47 C.F.R. §§ 73.3526(e)(11)(iii) and 73.3514(a).</w:t>
      </w:r>
    </w:p>
  </w:footnote>
  <w:footnote w:id="15">
    <w:p w14:paraId="44320BB7" w14:textId="77777777" w:rsidR="008439A7" w:rsidRPr="00B43BB6" w:rsidRDefault="008439A7" w:rsidP="008804B0">
      <w:pPr>
        <w:pStyle w:val="FootnoteText"/>
      </w:pPr>
      <w:r w:rsidRPr="00B43BB6">
        <w:rPr>
          <w:rStyle w:val="FootnoteReference"/>
        </w:rPr>
        <w:footnoteRef/>
      </w:r>
      <w:r w:rsidRPr="00B43BB6">
        <w:t xml:space="preserve"> 47 C.F.R. § 1.80(h).</w:t>
      </w:r>
    </w:p>
  </w:footnote>
  <w:footnote w:id="16">
    <w:p w14:paraId="4EF849BD" w14:textId="77777777" w:rsidR="008439A7" w:rsidRPr="00B43BB6" w:rsidRDefault="008439A7" w:rsidP="008804B0">
      <w:pPr>
        <w:pStyle w:val="FootnoteText"/>
      </w:pPr>
      <w:r w:rsidRPr="00B43BB6">
        <w:rPr>
          <w:rStyle w:val="FootnoteReference"/>
        </w:rPr>
        <w:footnoteRef/>
      </w:r>
      <w:r w:rsidRPr="00B43BB6">
        <w:t xml:space="preserve"> 47 U.S.C. § 504(a).</w:t>
      </w:r>
    </w:p>
  </w:footnote>
  <w:footnote w:id="17">
    <w:p w14:paraId="2631C4D5" w14:textId="39F8413C" w:rsidR="008439A7" w:rsidRDefault="008439A7" w:rsidP="008804B0">
      <w:pPr>
        <w:pStyle w:val="FootnoteText"/>
        <w:widowControl w:val="0"/>
      </w:pPr>
      <w:r>
        <w:rPr>
          <w:rStyle w:val="FootnoteReference"/>
        </w:rPr>
        <w:footnoteRef/>
      </w:r>
      <w:r>
        <w:t xml:space="preserve"> </w:t>
      </w:r>
      <w:r w:rsidRPr="00436E1C">
        <w:rPr>
          <w:rFonts w:eastAsia="MS Mincho" w:cs="Arial"/>
        </w:rPr>
        <w:t xml:space="preserve">Payment may be made </w:t>
      </w:r>
      <w:r w:rsidR="00532F56">
        <w:rPr>
          <w:rFonts w:eastAsia="MS Mincho" w:cs="Arial"/>
        </w:rPr>
        <w:t xml:space="preserve">online at the Commission’s </w:t>
      </w:r>
      <w:r w:rsidRPr="00436E1C">
        <w:rPr>
          <w:rFonts w:eastAsia="MS Mincho" w:cs="Arial"/>
        </w:rPr>
        <w:t xml:space="preserve">Fee Filer website: https://www.fcc.gov/encyclopedia/fee-filer. </w:t>
      </w:r>
      <w:r w:rsidR="00532F56">
        <w:rPr>
          <w:rFonts w:eastAsia="MS Mincho" w:cs="Arial"/>
        </w:rPr>
        <w:t>Online payments do not require Licensees to submit FCC Form 159.  Alternatively, p</w:t>
      </w:r>
      <w:r w:rsidR="00532F56" w:rsidRPr="006807E0">
        <w:rPr>
          <w:rFonts w:eastAsia="MS Mincho" w:cs="Arial"/>
        </w:rPr>
        <w:t xml:space="preserve">ayment may be made </w:t>
      </w:r>
      <w:r w:rsidR="00532F56">
        <w:rPr>
          <w:rFonts w:eastAsia="MS Mincho" w:cs="Arial"/>
        </w:rPr>
        <w:t>using</w:t>
      </w:r>
      <w:r w:rsidR="00532F56" w:rsidRPr="006807E0">
        <w:rPr>
          <w:rFonts w:eastAsia="MS Mincho" w:cs="Arial"/>
        </w:rPr>
        <w:t xml:space="preserve"> FCC Form 159; detailed instructions for completing the form may be obtained at </w:t>
      </w:r>
      <w:r w:rsidR="00532F56" w:rsidRPr="000E7EF1">
        <w:rPr>
          <w:rFonts w:eastAsia="MS Mincho" w:cs="Arial"/>
        </w:rPr>
        <w:t>http</w:t>
      </w:r>
      <w:r w:rsidR="00532F56" w:rsidRPr="000E7EF1">
        <w:t>://www.fcc.gov/Forms/Form159/159.pdf</w:t>
      </w:r>
      <w:r w:rsidR="00532F56">
        <w:t>.</w:t>
      </w:r>
    </w:p>
  </w:footnote>
  <w:footnote w:id="18">
    <w:p w14:paraId="5E58EBCE" w14:textId="77777777" w:rsidR="008439A7" w:rsidRDefault="008439A7" w:rsidP="008804B0">
      <w:pPr>
        <w:pStyle w:val="FootnoteText"/>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19">
    <w:p w14:paraId="145B222B" w14:textId="77777777" w:rsidR="008439A7" w:rsidRDefault="008439A7" w:rsidP="008804B0">
      <w:pPr>
        <w:pStyle w:val="FootnoteText"/>
      </w:pPr>
      <w:r w:rsidRPr="00825515">
        <w:rPr>
          <w:rStyle w:val="FootnoteReference"/>
        </w:rPr>
        <w:footnoteRef/>
      </w:r>
      <w:r w:rsidRPr="00825515">
        <w:t xml:space="preserve"> </w:t>
      </w:r>
      <w:r w:rsidRPr="00825515">
        <w:rPr>
          <w:i/>
        </w:rPr>
        <w:t>See</w:t>
      </w:r>
      <w:r w:rsidRPr="0082551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EC51" w14:textId="77777777" w:rsidR="007716C3" w:rsidRDefault="0077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1639" w14:textId="41E2CDD6" w:rsidR="008439A7" w:rsidRDefault="008439A7" w:rsidP="00810B6F">
    <w:pPr>
      <w:pStyle w:val="Header"/>
      <w:rPr>
        <w:b w:val="0"/>
      </w:rPr>
    </w:pPr>
    <w:r>
      <w:tab/>
      <w:t>Federal Communications Commission</w:t>
    </w:r>
    <w:r>
      <w:tab/>
      <w:t>DA 16-</w:t>
    </w:r>
    <w:r w:rsidR="00A60A43">
      <w:t>675</w:t>
    </w:r>
  </w:p>
  <w:p w14:paraId="6C636FF5" w14:textId="77777777" w:rsidR="008439A7" w:rsidRDefault="008439A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695E7D1" wp14:editId="7FEB082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75324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DCAEF62" w14:textId="77777777" w:rsidR="008439A7" w:rsidRDefault="008439A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390E" w14:textId="3C41C301" w:rsidR="008439A7" w:rsidRDefault="008439A7" w:rsidP="00810B6F">
    <w:pPr>
      <w:pStyle w:val="Header"/>
      <w:rPr>
        <w:b w:val="0"/>
      </w:rPr>
    </w:pPr>
    <w:r>
      <w:rPr>
        <w:noProof/>
      </w:rPr>
      <mc:AlternateContent>
        <mc:Choice Requires="wps">
          <w:drawing>
            <wp:anchor distT="0" distB="0" distL="114300" distR="114300" simplePos="0" relativeHeight="251658240" behindDoc="1" locked="0" layoutInCell="0" allowOverlap="1" wp14:anchorId="76A4BF18" wp14:editId="2943F08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54C31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A60A43">
      <w:rPr>
        <w:spacing w:val="-2"/>
      </w:rPr>
      <w:t>675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3B0330"/>
    <w:multiLevelType w:val="hybridMultilevel"/>
    <w:tmpl w:val="12FC92C6"/>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2A0C38"/>
    <w:multiLevelType w:val="hybridMultilevel"/>
    <w:tmpl w:val="CDBE93EE"/>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10">
    <w:nsid w:val="61182925"/>
    <w:multiLevelType w:val="singleLevel"/>
    <w:tmpl w:val="22F0B588"/>
    <w:lvl w:ilvl="0">
      <w:start w:val="1"/>
      <w:numFmt w:val="decimal"/>
      <w:pStyle w:val="ParaNum"/>
      <w:lvlText w:val="%1."/>
      <w:lvlJc w:val="left"/>
      <w:pPr>
        <w:tabs>
          <w:tab w:val="num" w:pos="1080"/>
        </w:tabs>
        <w:ind w:left="0" w:firstLine="720"/>
      </w:pPr>
      <w:rPr>
        <w:color w:val="auto"/>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9"/>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A"/>
    <w:rsid w:val="00013AC7"/>
    <w:rsid w:val="0002022A"/>
    <w:rsid w:val="00026C45"/>
    <w:rsid w:val="000333A9"/>
    <w:rsid w:val="00036039"/>
    <w:rsid w:val="00037F90"/>
    <w:rsid w:val="00044908"/>
    <w:rsid w:val="00063293"/>
    <w:rsid w:val="00063F08"/>
    <w:rsid w:val="000764AA"/>
    <w:rsid w:val="000875BF"/>
    <w:rsid w:val="00093A36"/>
    <w:rsid w:val="00093E90"/>
    <w:rsid w:val="00096D8C"/>
    <w:rsid w:val="000C0B65"/>
    <w:rsid w:val="000C5136"/>
    <w:rsid w:val="000C79EA"/>
    <w:rsid w:val="000E05FE"/>
    <w:rsid w:val="000E3D42"/>
    <w:rsid w:val="000E4C10"/>
    <w:rsid w:val="00114CA1"/>
    <w:rsid w:val="00122BD5"/>
    <w:rsid w:val="00133F79"/>
    <w:rsid w:val="00151A0B"/>
    <w:rsid w:val="00151AF0"/>
    <w:rsid w:val="00190737"/>
    <w:rsid w:val="00194011"/>
    <w:rsid w:val="00194A66"/>
    <w:rsid w:val="001A17AC"/>
    <w:rsid w:val="001A7EC9"/>
    <w:rsid w:val="001C73B4"/>
    <w:rsid w:val="001D6BCF"/>
    <w:rsid w:val="001E01CA"/>
    <w:rsid w:val="002318D5"/>
    <w:rsid w:val="00231B4F"/>
    <w:rsid w:val="002408E0"/>
    <w:rsid w:val="00253621"/>
    <w:rsid w:val="0027009A"/>
    <w:rsid w:val="00272AD9"/>
    <w:rsid w:val="00275CF5"/>
    <w:rsid w:val="0028301F"/>
    <w:rsid w:val="0028391F"/>
    <w:rsid w:val="00283C37"/>
    <w:rsid w:val="00285017"/>
    <w:rsid w:val="002A0AFF"/>
    <w:rsid w:val="002A2D2E"/>
    <w:rsid w:val="002B602D"/>
    <w:rsid w:val="002C00E8"/>
    <w:rsid w:val="002C3A5A"/>
    <w:rsid w:val="002C5EF8"/>
    <w:rsid w:val="002D16FC"/>
    <w:rsid w:val="003050A4"/>
    <w:rsid w:val="00341EC4"/>
    <w:rsid w:val="00342240"/>
    <w:rsid w:val="00343749"/>
    <w:rsid w:val="003660ED"/>
    <w:rsid w:val="0038436E"/>
    <w:rsid w:val="00391207"/>
    <w:rsid w:val="003B0550"/>
    <w:rsid w:val="003B694F"/>
    <w:rsid w:val="003D128E"/>
    <w:rsid w:val="003D176C"/>
    <w:rsid w:val="003D2A91"/>
    <w:rsid w:val="003D3F8C"/>
    <w:rsid w:val="003E3A8A"/>
    <w:rsid w:val="003F171C"/>
    <w:rsid w:val="00402022"/>
    <w:rsid w:val="00412FC5"/>
    <w:rsid w:val="00422276"/>
    <w:rsid w:val="004242F1"/>
    <w:rsid w:val="00435727"/>
    <w:rsid w:val="00445A00"/>
    <w:rsid w:val="00451A51"/>
    <w:rsid w:val="00451B0F"/>
    <w:rsid w:val="00455A6B"/>
    <w:rsid w:val="00467B61"/>
    <w:rsid w:val="0047766B"/>
    <w:rsid w:val="004B7CC5"/>
    <w:rsid w:val="004C2EE3"/>
    <w:rsid w:val="004C7F4B"/>
    <w:rsid w:val="004D003B"/>
    <w:rsid w:val="004D487E"/>
    <w:rsid w:val="004E086B"/>
    <w:rsid w:val="004E4A22"/>
    <w:rsid w:val="004E6490"/>
    <w:rsid w:val="004F05E9"/>
    <w:rsid w:val="00504EEE"/>
    <w:rsid w:val="0050504D"/>
    <w:rsid w:val="00511968"/>
    <w:rsid w:val="0052502B"/>
    <w:rsid w:val="00530FC7"/>
    <w:rsid w:val="00532F56"/>
    <w:rsid w:val="00543383"/>
    <w:rsid w:val="0055614C"/>
    <w:rsid w:val="00563921"/>
    <w:rsid w:val="00564EB2"/>
    <w:rsid w:val="0058062A"/>
    <w:rsid w:val="005901A5"/>
    <w:rsid w:val="00592EB0"/>
    <w:rsid w:val="005A65BE"/>
    <w:rsid w:val="005D232E"/>
    <w:rsid w:val="005D311C"/>
    <w:rsid w:val="005E14C2"/>
    <w:rsid w:val="005E14EE"/>
    <w:rsid w:val="005E60F9"/>
    <w:rsid w:val="005F2E0E"/>
    <w:rsid w:val="005F3CD2"/>
    <w:rsid w:val="0060117F"/>
    <w:rsid w:val="00604D8F"/>
    <w:rsid w:val="00605D7C"/>
    <w:rsid w:val="00607BA5"/>
    <w:rsid w:val="0061180A"/>
    <w:rsid w:val="00614391"/>
    <w:rsid w:val="00626EB6"/>
    <w:rsid w:val="0063294D"/>
    <w:rsid w:val="00655D03"/>
    <w:rsid w:val="00656035"/>
    <w:rsid w:val="0065799F"/>
    <w:rsid w:val="00667EFE"/>
    <w:rsid w:val="0067055C"/>
    <w:rsid w:val="00683388"/>
    <w:rsid w:val="00683F84"/>
    <w:rsid w:val="00686FCE"/>
    <w:rsid w:val="006A6A81"/>
    <w:rsid w:val="006C50AA"/>
    <w:rsid w:val="006C5839"/>
    <w:rsid w:val="006D3AE0"/>
    <w:rsid w:val="006D6DA5"/>
    <w:rsid w:val="006E4BE6"/>
    <w:rsid w:val="006F7393"/>
    <w:rsid w:val="0070224F"/>
    <w:rsid w:val="00704C01"/>
    <w:rsid w:val="007115F7"/>
    <w:rsid w:val="00716BAA"/>
    <w:rsid w:val="00725C4F"/>
    <w:rsid w:val="00731A40"/>
    <w:rsid w:val="0074363A"/>
    <w:rsid w:val="00755E1D"/>
    <w:rsid w:val="00755F18"/>
    <w:rsid w:val="00757E4F"/>
    <w:rsid w:val="00761488"/>
    <w:rsid w:val="00764253"/>
    <w:rsid w:val="007716C3"/>
    <w:rsid w:val="007752C9"/>
    <w:rsid w:val="00785689"/>
    <w:rsid w:val="0079754B"/>
    <w:rsid w:val="007A185D"/>
    <w:rsid w:val="007A1E6D"/>
    <w:rsid w:val="007A38AF"/>
    <w:rsid w:val="007B0EB2"/>
    <w:rsid w:val="007B0F6C"/>
    <w:rsid w:val="007B2429"/>
    <w:rsid w:val="007C3C8C"/>
    <w:rsid w:val="007C4876"/>
    <w:rsid w:val="007E11F7"/>
    <w:rsid w:val="007E6A35"/>
    <w:rsid w:val="00800F6F"/>
    <w:rsid w:val="00802A28"/>
    <w:rsid w:val="00810B6F"/>
    <w:rsid w:val="00822AD9"/>
    <w:rsid w:val="00822CE0"/>
    <w:rsid w:val="0083351B"/>
    <w:rsid w:val="008343B3"/>
    <w:rsid w:val="00841208"/>
    <w:rsid w:val="00841AB1"/>
    <w:rsid w:val="008439A7"/>
    <w:rsid w:val="00860456"/>
    <w:rsid w:val="00861A58"/>
    <w:rsid w:val="00862279"/>
    <w:rsid w:val="00865DBD"/>
    <w:rsid w:val="00866515"/>
    <w:rsid w:val="00871D8D"/>
    <w:rsid w:val="008804B0"/>
    <w:rsid w:val="00881EA6"/>
    <w:rsid w:val="0089355E"/>
    <w:rsid w:val="008A2F85"/>
    <w:rsid w:val="008B3E58"/>
    <w:rsid w:val="008C68F1"/>
    <w:rsid w:val="008D3348"/>
    <w:rsid w:val="008E0007"/>
    <w:rsid w:val="008E1D30"/>
    <w:rsid w:val="009018C2"/>
    <w:rsid w:val="00907A05"/>
    <w:rsid w:val="009168D9"/>
    <w:rsid w:val="00921803"/>
    <w:rsid w:val="009220E1"/>
    <w:rsid w:val="00926503"/>
    <w:rsid w:val="00932A2C"/>
    <w:rsid w:val="00951C4B"/>
    <w:rsid w:val="009726D8"/>
    <w:rsid w:val="0098521E"/>
    <w:rsid w:val="009939BF"/>
    <w:rsid w:val="009A16AF"/>
    <w:rsid w:val="009B3400"/>
    <w:rsid w:val="009C14E5"/>
    <w:rsid w:val="009C3C02"/>
    <w:rsid w:val="009C5602"/>
    <w:rsid w:val="009C5E10"/>
    <w:rsid w:val="009D0B9A"/>
    <w:rsid w:val="009D7A83"/>
    <w:rsid w:val="009E31D4"/>
    <w:rsid w:val="009F76DB"/>
    <w:rsid w:val="00A0285B"/>
    <w:rsid w:val="00A057A8"/>
    <w:rsid w:val="00A0721E"/>
    <w:rsid w:val="00A219B3"/>
    <w:rsid w:val="00A26C2D"/>
    <w:rsid w:val="00A32C3B"/>
    <w:rsid w:val="00A37AC7"/>
    <w:rsid w:val="00A45F4F"/>
    <w:rsid w:val="00A523DB"/>
    <w:rsid w:val="00A5476D"/>
    <w:rsid w:val="00A600A9"/>
    <w:rsid w:val="00A60A43"/>
    <w:rsid w:val="00A775B6"/>
    <w:rsid w:val="00A80149"/>
    <w:rsid w:val="00A80455"/>
    <w:rsid w:val="00A9002B"/>
    <w:rsid w:val="00AA315F"/>
    <w:rsid w:val="00AA55B7"/>
    <w:rsid w:val="00AA5B9E"/>
    <w:rsid w:val="00AB2407"/>
    <w:rsid w:val="00AB53DF"/>
    <w:rsid w:val="00AD10B9"/>
    <w:rsid w:val="00AF2222"/>
    <w:rsid w:val="00AF3A4A"/>
    <w:rsid w:val="00AF7695"/>
    <w:rsid w:val="00B0552D"/>
    <w:rsid w:val="00B07E5C"/>
    <w:rsid w:val="00B170E9"/>
    <w:rsid w:val="00B226FF"/>
    <w:rsid w:val="00B2344E"/>
    <w:rsid w:val="00B238B1"/>
    <w:rsid w:val="00B33EFB"/>
    <w:rsid w:val="00B43BB6"/>
    <w:rsid w:val="00B503F5"/>
    <w:rsid w:val="00B5733A"/>
    <w:rsid w:val="00B76E62"/>
    <w:rsid w:val="00B811F7"/>
    <w:rsid w:val="00B83B90"/>
    <w:rsid w:val="00B875B5"/>
    <w:rsid w:val="00B949B6"/>
    <w:rsid w:val="00BA5DC6"/>
    <w:rsid w:val="00BA6196"/>
    <w:rsid w:val="00BB55A5"/>
    <w:rsid w:val="00BC6D8C"/>
    <w:rsid w:val="00BD6CEE"/>
    <w:rsid w:val="00BF4DAE"/>
    <w:rsid w:val="00C0169F"/>
    <w:rsid w:val="00C046B8"/>
    <w:rsid w:val="00C10919"/>
    <w:rsid w:val="00C245D4"/>
    <w:rsid w:val="00C34006"/>
    <w:rsid w:val="00C426B1"/>
    <w:rsid w:val="00C460CD"/>
    <w:rsid w:val="00C66160"/>
    <w:rsid w:val="00C71D2D"/>
    <w:rsid w:val="00C721AC"/>
    <w:rsid w:val="00C90D6A"/>
    <w:rsid w:val="00CA247E"/>
    <w:rsid w:val="00CA2740"/>
    <w:rsid w:val="00CC72B6"/>
    <w:rsid w:val="00CE571E"/>
    <w:rsid w:val="00D0218D"/>
    <w:rsid w:val="00D25FB5"/>
    <w:rsid w:val="00D4419D"/>
    <w:rsid w:val="00D44223"/>
    <w:rsid w:val="00D57494"/>
    <w:rsid w:val="00D66796"/>
    <w:rsid w:val="00D725C5"/>
    <w:rsid w:val="00D731EE"/>
    <w:rsid w:val="00D9650A"/>
    <w:rsid w:val="00DA2529"/>
    <w:rsid w:val="00DB130A"/>
    <w:rsid w:val="00DB2EBB"/>
    <w:rsid w:val="00DB554B"/>
    <w:rsid w:val="00DC10A1"/>
    <w:rsid w:val="00DC1172"/>
    <w:rsid w:val="00DC655F"/>
    <w:rsid w:val="00DC6FF5"/>
    <w:rsid w:val="00DD0B59"/>
    <w:rsid w:val="00DD7EBD"/>
    <w:rsid w:val="00DE306F"/>
    <w:rsid w:val="00DF62B6"/>
    <w:rsid w:val="00E0013D"/>
    <w:rsid w:val="00E050B0"/>
    <w:rsid w:val="00E07225"/>
    <w:rsid w:val="00E0788E"/>
    <w:rsid w:val="00E12BAC"/>
    <w:rsid w:val="00E426D4"/>
    <w:rsid w:val="00E43B4F"/>
    <w:rsid w:val="00E525F1"/>
    <w:rsid w:val="00E5409F"/>
    <w:rsid w:val="00E62952"/>
    <w:rsid w:val="00E67D7D"/>
    <w:rsid w:val="00E84B82"/>
    <w:rsid w:val="00EA63C0"/>
    <w:rsid w:val="00ED4C5D"/>
    <w:rsid w:val="00EE6488"/>
    <w:rsid w:val="00F021FA"/>
    <w:rsid w:val="00F07EBB"/>
    <w:rsid w:val="00F16A03"/>
    <w:rsid w:val="00F26FDF"/>
    <w:rsid w:val="00F3088C"/>
    <w:rsid w:val="00F62E97"/>
    <w:rsid w:val="00F64209"/>
    <w:rsid w:val="00F93BF5"/>
    <w:rsid w:val="00FB2D9F"/>
    <w:rsid w:val="00FB53A6"/>
    <w:rsid w:val="00FB6FAF"/>
    <w:rsid w:val="00FF4F76"/>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7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character" w:customStyle="1" w:styleId="cosearchterm">
    <w:name w:val="co_searchterm"/>
    <w:basedOn w:val="DefaultParagraphFont"/>
    <w:rsid w:val="006E4BE6"/>
  </w:style>
  <w:style w:type="character" w:styleId="CommentReference">
    <w:name w:val="annotation reference"/>
    <w:basedOn w:val="DefaultParagraphFont"/>
    <w:semiHidden/>
    <w:unhideWhenUsed/>
    <w:rsid w:val="00093E90"/>
    <w:rPr>
      <w:sz w:val="16"/>
      <w:szCs w:val="16"/>
    </w:rPr>
  </w:style>
  <w:style w:type="paragraph" w:styleId="CommentText">
    <w:name w:val="annotation text"/>
    <w:basedOn w:val="Normal"/>
    <w:link w:val="CommentTextChar"/>
    <w:semiHidden/>
    <w:unhideWhenUsed/>
    <w:rsid w:val="00093E90"/>
    <w:rPr>
      <w:sz w:val="20"/>
    </w:rPr>
  </w:style>
  <w:style w:type="character" w:customStyle="1" w:styleId="CommentTextChar">
    <w:name w:val="Comment Text Char"/>
    <w:basedOn w:val="DefaultParagraphFont"/>
    <w:link w:val="CommentText"/>
    <w:semiHidden/>
    <w:rsid w:val="00093E90"/>
    <w:rPr>
      <w:snapToGrid w:val="0"/>
      <w:kern w:val="28"/>
    </w:rPr>
  </w:style>
  <w:style w:type="paragraph" w:styleId="CommentSubject">
    <w:name w:val="annotation subject"/>
    <w:basedOn w:val="CommentText"/>
    <w:next w:val="CommentText"/>
    <w:link w:val="CommentSubjectChar"/>
    <w:semiHidden/>
    <w:unhideWhenUsed/>
    <w:rsid w:val="00093E90"/>
    <w:rPr>
      <w:b/>
      <w:bCs/>
    </w:rPr>
  </w:style>
  <w:style w:type="character" w:customStyle="1" w:styleId="CommentSubjectChar">
    <w:name w:val="Comment Subject Char"/>
    <w:basedOn w:val="CommentTextChar"/>
    <w:link w:val="CommentSubject"/>
    <w:semiHidden/>
    <w:rsid w:val="00093E9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character" w:customStyle="1" w:styleId="cosearchterm">
    <w:name w:val="co_searchterm"/>
    <w:basedOn w:val="DefaultParagraphFont"/>
    <w:rsid w:val="006E4BE6"/>
  </w:style>
  <w:style w:type="character" w:styleId="CommentReference">
    <w:name w:val="annotation reference"/>
    <w:basedOn w:val="DefaultParagraphFont"/>
    <w:semiHidden/>
    <w:unhideWhenUsed/>
    <w:rsid w:val="00093E90"/>
    <w:rPr>
      <w:sz w:val="16"/>
      <w:szCs w:val="16"/>
    </w:rPr>
  </w:style>
  <w:style w:type="paragraph" w:styleId="CommentText">
    <w:name w:val="annotation text"/>
    <w:basedOn w:val="Normal"/>
    <w:link w:val="CommentTextChar"/>
    <w:semiHidden/>
    <w:unhideWhenUsed/>
    <w:rsid w:val="00093E90"/>
    <w:rPr>
      <w:sz w:val="20"/>
    </w:rPr>
  </w:style>
  <w:style w:type="character" w:customStyle="1" w:styleId="CommentTextChar">
    <w:name w:val="Comment Text Char"/>
    <w:basedOn w:val="DefaultParagraphFont"/>
    <w:link w:val="CommentText"/>
    <w:semiHidden/>
    <w:rsid w:val="00093E90"/>
    <w:rPr>
      <w:snapToGrid w:val="0"/>
      <w:kern w:val="28"/>
    </w:rPr>
  </w:style>
  <w:style w:type="paragraph" w:styleId="CommentSubject">
    <w:name w:val="annotation subject"/>
    <w:basedOn w:val="CommentText"/>
    <w:next w:val="CommentText"/>
    <w:link w:val="CommentSubjectChar"/>
    <w:semiHidden/>
    <w:unhideWhenUsed/>
    <w:rsid w:val="00093E90"/>
    <w:rPr>
      <w:b/>
      <w:bCs/>
    </w:rPr>
  </w:style>
  <w:style w:type="character" w:customStyle="1" w:styleId="CommentSubjectChar">
    <w:name w:val="Comment Subject Char"/>
    <w:basedOn w:val="CommentTextChar"/>
    <w:link w:val="CommentSubject"/>
    <w:semiHidden/>
    <w:rsid w:val="00093E9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2037">
      <w:bodyDiv w:val="1"/>
      <w:marLeft w:val="0"/>
      <w:marRight w:val="0"/>
      <w:marTop w:val="0"/>
      <w:marBottom w:val="0"/>
      <w:divBdr>
        <w:top w:val="none" w:sz="0" w:space="0" w:color="auto"/>
        <w:left w:val="none" w:sz="0" w:space="0" w:color="auto"/>
        <w:bottom w:val="none" w:sz="0" w:space="0" w:color="auto"/>
        <w:right w:val="none" w:sz="0" w:space="0" w:color="auto"/>
      </w:divBdr>
      <w:divsChild>
        <w:div w:id="657265545">
          <w:marLeft w:val="0"/>
          <w:marRight w:val="0"/>
          <w:marTop w:val="0"/>
          <w:marBottom w:val="0"/>
          <w:divBdr>
            <w:top w:val="none" w:sz="0" w:space="0" w:color="auto"/>
            <w:left w:val="none" w:sz="0" w:space="0" w:color="auto"/>
            <w:bottom w:val="none" w:sz="0" w:space="0" w:color="auto"/>
            <w:right w:val="none" w:sz="0" w:space="0" w:color="auto"/>
          </w:divBdr>
          <w:divsChild>
            <w:div w:id="74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99">
      <w:bodyDiv w:val="1"/>
      <w:marLeft w:val="0"/>
      <w:marRight w:val="0"/>
      <w:marTop w:val="0"/>
      <w:marBottom w:val="0"/>
      <w:divBdr>
        <w:top w:val="none" w:sz="0" w:space="0" w:color="auto"/>
        <w:left w:val="none" w:sz="0" w:space="0" w:color="auto"/>
        <w:bottom w:val="none" w:sz="0" w:space="0" w:color="auto"/>
        <w:right w:val="none" w:sz="0" w:space="0" w:color="auto"/>
      </w:divBdr>
      <w:divsChild>
        <w:div w:id="848914199">
          <w:marLeft w:val="0"/>
          <w:marRight w:val="0"/>
          <w:marTop w:val="0"/>
          <w:marBottom w:val="0"/>
          <w:divBdr>
            <w:top w:val="none" w:sz="0" w:space="0" w:color="auto"/>
            <w:left w:val="single" w:sz="6" w:space="0" w:color="BBBBBB"/>
            <w:bottom w:val="single" w:sz="6" w:space="0" w:color="BBBBBB"/>
            <w:right w:val="single" w:sz="6" w:space="0" w:color="BBBBBB"/>
          </w:divBdr>
          <w:divsChild>
            <w:div w:id="1331563011">
              <w:marLeft w:val="0"/>
              <w:marRight w:val="0"/>
              <w:marTop w:val="0"/>
              <w:marBottom w:val="0"/>
              <w:divBdr>
                <w:top w:val="none" w:sz="0" w:space="0" w:color="auto"/>
                <w:left w:val="none" w:sz="0" w:space="0" w:color="auto"/>
                <w:bottom w:val="none" w:sz="0" w:space="0" w:color="auto"/>
                <w:right w:val="none" w:sz="0" w:space="0" w:color="auto"/>
              </w:divBdr>
              <w:divsChild>
                <w:div w:id="2092660439">
                  <w:marLeft w:val="0"/>
                  <w:marRight w:val="0"/>
                  <w:marTop w:val="0"/>
                  <w:marBottom w:val="0"/>
                  <w:divBdr>
                    <w:top w:val="none" w:sz="0" w:space="0" w:color="auto"/>
                    <w:left w:val="none" w:sz="0" w:space="0" w:color="auto"/>
                    <w:bottom w:val="none" w:sz="0" w:space="0" w:color="auto"/>
                    <w:right w:val="none" w:sz="0" w:space="0" w:color="auto"/>
                  </w:divBdr>
                  <w:divsChild>
                    <w:div w:id="2142965013">
                      <w:marLeft w:val="0"/>
                      <w:marRight w:val="0"/>
                      <w:marTop w:val="0"/>
                      <w:marBottom w:val="0"/>
                      <w:divBdr>
                        <w:top w:val="none" w:sz="0" w:space="0" w:color="auto"/>
                        <w:left w:val="none" w:sz="0" w:space="0" w:color="auto"/>
                        <w:bottom w:val="none" w:sz="0" w:space="0" w:color="auto"/>
                        <w:right w:val="none" w:sz="0" w:space="0" w:color="auto"/>
                      </w:divBdr>
                      <w:divsChild>
                        <w:div w:id="1569655615">
                          <w:marLeft w:val="0"/>
                          <w:marRight w:val="0"/>
                          <w:marTop w:val="0"/>
                          <w:marBottom w:val="0"/>
                          <w:divBdr>
                            <w:top w:val="none" w:sz="0" w:space="0" w:color="auto"/>
                            <w:left w:val="none" w:sz="0" w:space="0" w:color="auto"/>
                            <w:bottom w:val="none" w:sz="0" w:space="0" w:color="auto"/>
                            <w:right w:val="none" w:sz="0" w:space="0" w:color="auto"/>
                          </w:divBdr>
                          <w:divsChild>
                            <w:div w:id="3359231">
                              <w:marLeft w:val="0"/>
                              <w:marRight w:val="0"/>
                              <w:marTop w:val="0"/>
                              <w:marBottom w:val="0"/>
                              <w:divBdr>
                                <w:top w:val="none" w:sz="0" w:space="0" w:color="auto"/>
                                <w:left w:val="none" w:sz="0" w:space="0" w:color="auto"/>
                                <w:bottom w:val="none" w:sz="0" w:space="0" w:color="auto"/>
                                <w:right w:val="none" w:sz="0" w:space="0" w:color="auto"/>
                              </w:divBdr>
                              <w:divsChild>
                                <w:div w:id="1584342409">
                                  <w:marLeft w:val="0"/>
                                  <w:marRight w:val="0"/>
                                  <w:marTop w:val="0"/>
                                  <w:marBottom w:val="0"/>
                                  <w:divBdr>
                                    <w:top w:val="none" w:sz="0" w:space="0" w:color="auto"/>
                                    <w:left w:val="none" w:sz="0" w:space="0" w:color="auto"/>
                                    <w:bottom w:val="none" w:sz="0" w:space="0" w:color="auto"/>
                                    <w:right w:val="none" w:sz="0" w:space="0" w:color="auto"/>
                                  </w:divBdr>
                                  <w:divsChild>
                                    <w:div w:id="37514333">
                                      <w:marLeft w:val="0"/>
                                      <w:marRight w:val="0"/>
                                      <w:marTop w:val="0"/>
                                      <w:marBottom w:val="0"/>
                                      <w:divBdr>
                                        <w:top w:val="none" w:sz="0" w:space="0" w:color="auto"/>
                                        <w:left w:val="none" w:sz="0" w:space="0" w:color="auto"/>
                                        <w:bottom w:val="none" w:sz="0" w:space="0" w:color="auto"/>
                                        <w:right w:val="none" w:sz="0" w:space="0" w:color="auto"/>
                                      </w:divBdr>
                                      <w:divsChild>
                                        <w:div w:id="693116743">
                                          <w:marLeft w:val="1200"/>
                                          <w:marRight w:val="1200"/>
                                          <w:marTop w:val="0"/>
                                          <w:marBottom w:val="0"/>
                                          <w:divBdr>
                                            <w:top w:val="none" w:sz="0" w:space="0" w:color="auto"/>
                                            <w:left w:val="none" w:sz="0" w:space="0" w:color="auto"/>
                                            <w:bottom w:val="none" w:sz="0" w:space="0" w:color="auto"/>
                                            <w:right w:val="none" w:sz="0" w:space="0" w:color="auto"/>
                                          </w:divBdr>
                                          <w:divsChild>
                                            <w:div w:id="1661352044">
                                              <w:marLeft w:val="0"/>
                                              <w:marRight w:val="0"/>
                                              <w:marTop w:val="0"/>
                                              <w:marBottom w:val="0"/>
                                              <w:divBdr>
                                                <w:top w:val="none" w:sz="0" w:space="0" w:color="auto"/>
                                                <w:left w:val="none" w:sz="0" w:space="0" w:color="auto"/>
                                                <w:bottom w:val="none" w:sz="0" w:space="0" w:color="auto"/>
                                                <w:right w:val="none" w:sz="0" w:space="0" w:color="auto"/>
                                              </w:divBdr>
                                              <w:divsChild>
                                                <w:div w:id="2065252039">
                                                  <w:marLeft w:val="0"/>
                                                  <w:marRight w:val="0"/>
                                                  <w:marTop w:val="240"/>
                                                  <w:marBottom w:val="0"/>
                                                  <w:divBdr>
                                                    <w:top w:val="none" w:sz="0" w:space="0" w:color="auto"/>
                                                    <w:left w:val="none" w:sz="0" w:space="0" w:color="auto"/>
                                                    <w:bottom w:val="none" w:sz="0" w:space="0" w:color="auto"/>
                                                    <w:right w:val="none" w:sz="0" w:space="0" w:color="auto"/>
                                                  </w:divBdr>
                                                  <w:divsChild>
                                                    <w:div w:id="58327273">
                                                      <w:marLeft w:val="0"/>
                                                      <w:marRight w:val="0"/>
                                                      <w:marTop w:val="0"/>
                                                      <w:marBottom w:val="0"/>
                                                      <w:divBdr>
                                                        <w:top w:val="none" w:sz="0" w:space="0" w:color="auto"/>
                                                        <w:left w:val="none" w:sz="0" w:space="0" w:color="auto"/>
                                                        <w:bottom w:val="none" w:sz="0" w:space="0" w:color="auto"/>
                                                        <w:right w:val="none" w:sz="0" w:space="0" w:color="auto"/>
                                                      </w:divBdr>
                                                      <w:divsChild>
                                                        <w:div w:id="1519276181">
                                                          <w:marLeft w:val="1275"/>
                                                          <w:marRight w:val="0"/>
                                                          <w:marTop w:val="0"/>
                                                          <w:marBottom w:val="0"/>
                                                          <w:divBdr>
                                                            <w:top w:val="none" w:sz="0" w:space="0" w:color="auto"/>
                                                            <w:left w:val="none" w:sz="0" w:space="0" w:color="auto"/>
                                                            <w:bottom w:val="none" w:sz="0" w:space="0" w:color="auto"/>
                                                            <w:right w:val="none" w:sz="0" w:space="0" w:color="auto"/>
                                                          </w:divBdr>
                                                          <w:divsChild>
                                                            <w:div w:id="1562716986">
                                                              <w:marLeft w:val="0"/>
                                                              <w:marRight w:val="0"/>
                                                              <w:marTop w:val="0"/>
                                                              <w:marBottom w:val="0"/>
                                                              <w:divBdr>
                                                                <w:top w:val="none" w:sz="0" w:space="0" w:color="auto"/>
                                                                <w:left w:val="none" w:sz="0" w:space="0" w:color="auto"/>
                                                                <w:bottom w:val="none" w:sz="0" w:space="0" w:color="auto"/>
                                                                <w:right w:val="none" w:sz="0" w:space="0" w:color="auto"/>
                                                              </w:divBdr>
                                                              <w:divsChild>
                                                                <w:div w:id="95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8530204">
      <w:bodyDiv w:val="1"/>
      <w:marLeft w:val="0"/>
      <w:marRight w:val="0"/>
      <w:marTop w:val="0"/>
      <w:marBottom w:val="0"/>
      <w:divBdr>
        <w:top w:val="none" w:sz="0" w:space="0" w:color="auto"/>
        <w:left w:val="none" w:sz="0" w:space="0" w:color="auto"/>
        <w:bottom w:val="none" w:sz="0" w:space="0" w:color="auto"/>
        <w:right w:val="none" w:sz="0" w:space="0" w:color="auto"/>
      </w:divBdr>
      <w:divsChild>
        <w:div w:id="138546635">
          <w:marLeft w:val="0"/>
          <w:marRight w:val="0"/>
          <w:marTop w:val="0"/>
          <w:marBottom w:val="0"/>
          <w:divBdr>
            <w:top w:val="none" w:sz="0" w:space="0" w:color="auto"/>
            <w:left w:val="none" w:sz="0" w:space="0" w:color="auto"/>
            <w:bottom w:val="none" w:sz="0" w:space="0" w:color="auto"/>
            <w:right w:val="none" w:sz="0" w:space="0" w:color="auto"/>
          </w:divBdr>
          <w:divsChild>
            <w:div w:id="689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lison.Nemeth\AppData\Local\Microsoft\Windows\Temporary%20Internet%20Files\Content.MSO\CD520A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CD520AC8</Template>
  <TotalTime>0</TotalTime>
  <Pages>3</Pages>
  <Words>1176</Words>
  <Characters>6299</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2016-04-15T19:35:00Z</cp:lastPrinted>
  <dcterms:created xsi:type="dcterms:W3CDTF">2016-06-16T14:32:00Z</dcterms:created>
  <dcterms:modified xsi:type="dcterms:W3CDTF">2016-06-16T14:32:00Z</dcterms:modified>
  <cp:category> </cp:category>
  <cp:contentStatus> </cp:contentStatus>
</cp:coreProperties>
</file>