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02D2F" w14:textId="77777777" w:rsidR="00E945DD" w:rsidRDefault="00E945DD">
      <w:pPr>
        <w:jc w:val="center"/>
        <w:rPr>
          <w:b/>
        </w:rPr>
      </w:pPr>
      <w:bookmarkStart w:id="0" w:name="_GoBack"/>
      <w:bookmarkEnd w:id="0"/>
      <w:r>
        <w:rPr>
          <w:b/>
        </w:rPr>
        <w:t>Before the</w:t>
      </w:r>
    </w:p>
    <w:p w14:paraId="35324974" w14:textId="77777777" w:rsidR="00E945DD" w:rsidRDefault="00E945DD">
      <w:pPr>
        <w:jc w:val="center"/>
        <w:rPr>
          <w:b/>
        </w:rPr>
      </w:pPr>
      <w:r>
        <w:rPr>
          <w:b/>
        </w:rPr>
        <w:t>Federal Communications Commission</w:t>
      </w:r>
    </w:p>
    <w:p w14:paraId="6538B7D6" w14:textId="77777777" w:rsidR="00E945DD" w:rsidRDefault="00E945DD">
      <w:pPr>
        <w:jc w:val="center"/>
        <w:rPr>
          <w:b/>
        </w:rPr>
      </w:pPr>
      <w:r>
        <w:rPr>
          <w:b/>
        </w:rPr>
        <w:t>Washington, D.C. 20554</w:t>
      </w:r>
    </w:p>
    <w:p w14:paraId="4BF17EA2" w14:textId="77777777" w:rsidR="00E945DD" w:rsidRDefault="00E945DD"/>
    <w:p w14:paraId="0A93EA4A" w14:textId="77777777" w:rsidR="00E945DD" w:rsidRDefault="00E945DD"/>
    <w:tbl>
      <w:tblPr>
        <w:tblW w:w="0" w:type="auto"/>
        <w:tblLayout w:type="fixed"/>
        <w:tblLook w:val="0000" w:firstRow="0" w:lastRow="0" w:firstColumn="0" w:lastColumn="0" w:noHBand="0" w:noVBand="0"/>
      </w:tblPr>
      <w:tblGrid>
        <w:gridCol w:w="4698"/>
        <w:gridCol w:w="720"/>
        <w:gridCol w:w="4230"/>
      </w:tblGrid>
      <w:tr w:rsidR="00E945DD" w14:paraId="5761028B" w14:textId="77777777">
        <w:tc>
          <w:tcPr>
            <w:tcW w:w="4698" w:type="dxa"/>
          </w:tcPr>
          <w:p w14:paraId="678FDFC3" w14:textId="77777777" w:rsidR="00E945DD" w:rsidRDefault="00E945DD">
            <w:pPr>
              <w:ind w:right="-18"/>
            </w:pPr>
            <w:r>
              <w:t>In the Matter of</w:t>
            </w:r>
          </w:p>
          <w:p w14:paraId="1588359A" w14:textId="77777777" w:rsidR="00E945DD" w:rsidRDefault="00E945DD">
            <w:pPr>
              <w:ind w:right="-18"/>
            </w:pPr>
          </w:p>
          <w:p w14:paraId="257D0ECB" w14:textId="77777777" w:rsidR="00E945DD" w:rsidRDefault="00AC014E">
            <w:pPr>
              <w:ind w:right="-18"/>
              <w:rPr>
                <w:b/>
              </w:rPr>
            </w:pPr>
            <w:r>
              <w:rPr>
                <w:b/>
              </w:rPr>
              <w:t>Rama Communications, Inc.</w:t>
            </w:r>
          </w:p>
          <w:p w14:paraId="49AD3DEA" w14:textId="77777777" w:rsidR="00E945DD" w:rsidRDefault="00E945DD">
            <w:pPr>
              <w:ind w:right="-18"/>
            </w:pPr>
          </w:p>
          <w:p w14:paraId="162D0E61" w14:textId="77777777" w:rsidR="00E945DD" w:rsidRDefault="00AC014E">
            <w:pPr>
              <w:ind w:right="-18"/>
            </w:pPr>
            <w:r>
              <w:t>Licensee of WQBQ</w:t>
            </w:r>
            <w:r w:rsidR="00E945DD">
              <w:t>(AM)</w:t>
            </w:r>
          </w:p>
          <w:p w14:paraId="598D66F2" w14:textId="77777777" w:rsidR="00E945DD" w:rsidRDefault="00AC014E">
            <w:pPr>
              <w:ind w:right="-18"/>
            </w:pPr>
            <w:r>
              <w:t>Leesburg</w:t>
            </w:r>
            <w:r w:rsidR="00780D4E">
              <w:t xml:space="preserve">, </w:t>
            </w:r>
            <w:r>
              <w:t>Florida</w:t>
            </w:r>
          </w:p>
          <w:p w14:paraId="20B3253D" w14:textId="77777777" w:rsidR="00E945DD" w:rsidRDefault="00E945DD">
            <w:pPr>
              <w:ind w:right="-18"/>
            </w:pPr>
          </w:p>
        </w:tc>
        <w:tc>
          <w:tcPr>
            <w:tcW w:w="720" w:type="dxa"/>
          </w:tcPr>
          <w:p w14:paraId="13A8480A" w14:textId="77777777" w:rsidR="00E945DD" w:rsidRDefault="00E945DD">
            <w:pPr>
              <w:rPr>
                <w:b/>
              </w:rPr>
            </w:pPr>
            <w:r>
              <w:rPr>
                <w:b/>
              </w:rPr>
              <w:t>)</w:t>
            </w:r>
          </w:p>
          <w:p w14:paraId="39E067EC" w14:textId="77777777" w:rsidR="00E945DD" w:rsidRDefault="00E945DD">
            <w:pPr>
              <w:rPr>
                <w:b/>
              </w:rPr>
            </w:pPr>
            <w:r>
              <w:rPr>
                <w:b/>
              </w:rPr>
              <w:t>)</w:t>
            </w:r>
          </w:p>
          <w:p w14:paraId="70FF9CBA" w14:textId="77777777" w:rsidR="00E945DD" w:rsidRDefault="00E945DD">
            <w:pPr>
              <w:rPr>
                <w:b/>
              </w:rPr>
            </w:pPr>
            <w:r>
              <w:rPr>
                <w:b/>
              </w:rPr>
              <w:t>)</w:t>
            </w:r>
          </w:p>
          <w:p w14:paraId="192C7D2A" w14:textId="77777777" w:rsidR="00E945DD" w:rsidRDefault="00E945DD">
            <w:pPr>
              <w:rPr>
                <w:b/>
              </w:rPr>
            </w:pPr>
            <w:r>
              <w:rPr>
                <w:b/>
              </w:rPr>
              <w:t>)</w:t>
            </w:r>
          </w:p>
          <w:p w14:paraId="5ACA75D2" w14:textId="77777777" w:rsidR="00E945DD" w:rsidRDefault="00E945DD">
            <w:pPr>
              <w:rPr>
                <w:b/>
              </w:rPr>
            </w:pPr>
            <w:r>
              <w:rPr>
                <w:b/>
              </w:rPr>
              <w:t>)</w:t>
            </w:r>
          </w:p>
          <w:p w14:paraId="2416D0A8" w14:textId="77777777" w:rsidR="00E945DD" w:rsidRDefault="00E945DD">
            <w:pPr>
              <w:rPr>
                <w:b/>
              </w:rPr>
            </w:pPr>
            <w:r>
              <w:rPr>
                <w:b/>
              </w:rPr>
              <w:t>)</w:t>
            </w:r>
          </w:p>
          <w:p w14:paraId="1A4F8EEE" w14:textId="77777777" w:rsidR="00E945DD" w:rsidRDefault="00E945DD">
            <w:pPr>
              <w:rPr>
                <w:b/>
              </w:rPr>
            </w:pPr>
          </w:p>
        </w:tc>
        <w:tc>
          <w:tcPr>
            <w:tcW w:w="4230" w:type="dxa"/>
          </w:tcPr>
          <w:p w14:paraId="792B0864" w14:textId="77777777" w:rsidR="00E945DD" w:rsidRDefault="00E945DD"/>
          <w:p w14:paraId="02EDCC8F" w14:textId="77777777" w:rsidR="00E945DD" w:rsidRDefault="00780D4E">
            <w:r>
              <w:t xml:space="preserve">Facility ID No. </w:t>
            </w:r>
            <w:r w:rsidR="00AC014E">
              <w:t>73913</w:t>
            </w:r>
          </w:p>
          <w:p w14:paraId="77CD3089" w14:textId="77777777" w:rsidR="00E945DD" w:rsidRDefault="00E945DD">
            <w:r>
              <w:t>NAL/Acct. No. MB-</w:t>
            </w:r>
            <w:r w:rsidR="00EB5B8F" w:rsidRPr="00EB5B8F">
              <w:t>201541410016</w:t>
            </w:r>
          </w:p>
          <w:p w14:paraId="15CBE685" w14:textId="77777777" w:rsidR="00E945DD" w:rsidRPr="00AC014E" w:rsidRDefault="00E945DD">
            <w:r>
              <w:t xml:space="preserve">FRN: </w:t>
            </w:r>
            <w:r w:rsidR="00AC014E" w:rsidRPr="00AC014E">
              <w:t>0005023643</w:t>
            </w:r>
          </w:p>
          <w:p w14:paraId="4A573257" w14:textId="77777777" w:rsidR="00E945DD" w:rsidRPr="00AC014E" w:rsidRDefault="00E945DD">
            <w:r>
              <w:t xml:space="preserve">File No. </w:t>
            </w:r>
            <w:r w:rsidR="00780D4E">
              <w:t>BR-</w:t>
            </w:r>
            <w:r w:rsidR="00AC014E" w:rsidRPr="00AC014E">
              <w:t>20110929AES</w:t>
            </w:r>
          </w:p>
          <w:p w14:paraId="0E330C06" w14:textId="77777777" w:rsidR="00E945DD" w:rsidRDefault="00E945DD"/>
        </w:tc>
      </w:tr>
    </w:tbl>
    <w:p w14:paraId="3FAB6976" w14:textId="77777777" w:rsidR="006D3C83" w:rsidRDefault="006D3C83">
      <w:pPr>
        <w:spacing w:before="120"/>
        <w:jc w:val="center"/>
        <w:rPr>
          <w:b/>
          <w:spacing w:val="-2"/>
        </w:rPr>
      </w:pPr>
      <w:r>
        <w:rPr>
          <w:b/>
          <w:spacing w:val="-2"/>
        </w:rPr>
        <w:t xml:space="preserve">MEMORANDUM OPINION AND ORDER AND </w:t>
      </w:r>
    </w:p>
    <w:p w14:paraId="2DF99AFA" w14:textId="77777777" w:rsidR="00E945DD" w:rsidRDefault="00E945DD">
      <w:pPr>
        <w:spacing w:before="120"/>
        <w:jc w:val="center"/>
        <w:rPr>
          <w:b/>
        </w:rPr>
      </w:pPr>
      <w:r>
        <w:rPr>
          <w:b/>
          <w:spacing w:val="-2"/>
        </w:rPr>
        <w:t xml:space="preserve">NOTICE OF APPARENT LIABILITY FOR FORFEITURE </w:t>
      </w:r>
    </w:p>
    <w:p w14:paraId="5BBB2AC1" w14:textId="77777777" w:rsidR="00E945DD" w:rsidRDefault="00E945DD"/>
    <w:p w14:paraId="36642852" w14:textId="3BD5E111" w:rsidR="00E945DD" w:rsidRDefault="002278D3">
      <w:pPr>
        <w:tabs>
          <w:tab w:val="left" w:pos="5760"/>
        </w:tabs>
        <w:rPr>
          <w:b/>
        </w:rPr>
      </w:pPr>
      <w:r>
        <w:rPr>
          <w:b/>
        </w:rPr>
        <w:t xml:space="preserve">Adopted: </w:t>
      </w:r>
      <w:r w:rsidR="000F00E1">
        <w:rPr>
          <w:b/>
        </w:rPr>
        <w:t>June 16</w:t>
      </w:r>
      <w:r>
        <w:rPr>
          <w:b/>
        </w:rPr>
        <w:t>, 201</w:t>
      </w:r>
      <w:r w:rsidR="00006C40">
        <w:rPr>
          <w:b/>
        </w:rPr>
        <w:t>6</w:t>
      </w:r>
      <w:r>
        <w:rPr>
          <w:b/>
        </w:rPr>
        <w:tab/>
        <w:t xml:space="preserve">Released:  </w:t>
      </w:r>
      <w:r w:rsidR="000F00E1">
        <w:rPr>
          <w:b/>
        </w:rPr>
        <w:t>June 16</w:t>
      </w:r>
      <w:r>
        <w:rPr>
          <w:b/>
        </w:rPr>
        <w:t>, 201</w:t>
      </w:r>
      <w:r w:rsidR="00006C40">
        <w:rPr>
          <w:b/>
        </w:rPr>
        <w:t>6</w:t>
      </w:r>
    </w:p>
    <w:p w14:paraId="3B6BB572" w14:textId="77777777" w:rsidR="00E945DD" w:rsidRDefault="00E945DD">
      <w:pPr>
        <w:tabs>
          <w:tab w:val="left" w:pos="5760"/>
        </w:tabs>
        <w:rPr>
          <w:b/>
        </w:rPr>
      </w:pPr>
    </w:p>
    <w:p w14:paraId="2E1CA038" w14:textId="77777777" w:rsidR="00E945DD" w:rsidRDefault="00E945DD">
      <w:pPr>
        <w:tabs>
          <w:tab w:val="left" w:pos="5760"/>
        </w:tabs>
      </w:pPr>
      <w:r>
        <w:t xml:space="preserve">By the </w:t>
      </w:r>
      <w:r>
        <w:rPr>
          <w:spacing w:val="-2"/>
        </w:rPr>
        <w:t>Chief, Audio Division, Media Bureau:</w:t>
      </w:r>
    </w:p>
    <w:p w14:paraId="1B3B5AF7" w14:textId="77777777" w:rsidR="00E945DD" w:rsidRDefault="00E945DD"/>
    <w:p w14:paraId="4F1D684E" w14:textId="77777777" w:rsidR="00E945DD" w:rsidRPr="00E41C44" w:rsidRDefault="00E945DD" w:rsidP="00831F7B">
      <w:pPr>
        <w:pStyle w:val="Heading1"/>
        <w:rPr>
          <w:rFonts w:ascii="Times New Roman" w:hAnsi="Times New Roman"/>
          <w:sz w:val="22"/>
        </w:rPr>
      </w:pPr>
      <w:r w:rsidRPr="00E41C44">
        <w:rPr>
          <w:rFonts w:ascii="Times New Roman" w:hAnsi="Times New Roman"/>
          <w:sz w:val="22"/>
        </w:rPr>
        <w:t>INTRODUCTION</w:t>
      </w:r>
      <w:r w:rsidR="00EA42F3" w:rsidRPr="00E41C44">
        <w:rPr>
          <w:rFonts w:ascii="Times New Roman" w:hAnsi="Times New Roman"/>
          <w:sz w:val="22"/>
        </w:rPr>
        <w:t xml:space="preserve"> </w:t>
      </w:r>
    </w:p>
    <w:p w14:paraId="3637697B" w14:textId="08586F4F" w:rsidR="005E1CD6" w:rsidRPr="00A9690C" w:rsidRDefault="006D3C83" w:rsidP="00933866">
      <w:pPr>
        <w:pStyle w:val="ParaNum"/>
        <w:widowControl/>
        <w:numPr>
          <w:ilvl w:val="0"/>
          <w:numId w:val="1"/>
        </w:numPr>
        <w:tabs>
          <w:tab w:val="clear" w:pos="1080"/>
        </w:tabs>
        <w:jc w:val="left"/>
      </w:pPr>
      <w:r w:rsidRPr="00933866">
        <w:rPr>
          <w:szCs w:val="22"/>
        </w:rPr>
        <w:t xml:space="preserve">We have before us the captioned application for license renewal (Application) of </w:t>
      </w:r>
      <w:r w:rsidR="00AC014E" w:rsidRPr="00933866">
        <w:rPr>
          <w:szCs w:val="22"/>
        </w:rPr>
        <w:t>Rama Communications, Inc.</w:t>
      </w:r>
      <w:r w:rsidRPr="00933866">
        <w:rPr>
          <w:szCs w:val="22"/>
        </w:rPr>
        <w:t xml:space="preserve"> (Licensee), licensee of W</w:t>
      </w:r>
      <w:r w:rsidR="00AC014E" w:rsidRPr="00933866">
        <w:rPr>
          <w:szCs w:val="22"/>
        </w:rPr>
        <w:t>QBQ</w:t>
      </w:r>
      <w:r w:rsidRPr="00933866">
        <w:rPr>
          <w:szCs w:val="22"/>
        </w:rPr>
        <w:t xml:space="preserve">(AM), </w:t>
      </w:r>
      <w:r w:rsidR="00AC014E" w:rsidRPr="00933866">
        <w:rPr>
          <w:szCs w:val="22"/>
        </w:rPr>
        <w:t>Leesburg</w:t>
      </w:r>
      <w:r w:rsidRPr="00933866">
        <w:rPr>
          <w:szCs w:val="22"/>
        </w:rPr>
        <w:t xml:space="preserve">, </w:t>
      </w:r>
      <w:r w:rsidR="00AC014E" w:rsidRPr="00933866">
        <w:rPr>
          <w:szCs w:val="22"/>
        </w:rPr>
        <w:t xml:space="preserve">Florida </w:t>
      </w:r>
      <w:r w:rsidR="003B304C" w:rsidRPr="00933866">
        <w:rPr>
          <w:szCs w:val="22"/>
        </w:rPr>
        <w:t xml:space="preserve">(Station).  Also before us </w:t>
      </w:r>
      <w:r w:rsidR="00AC014E" w:rsidRPr="00933866">
        <w:rPr>
          <w:szCs w:val="22"/>
        </w:rPr>
        <w:t xml:space="preserve">is </w:t>
      </w:r>
      <w:r w:rsidR="005B21DD" w:rsidRPr="00933866">
        <w:rPr>
          <w:szCs w:val="22"/>
        </w:rPr>
        <w:t>a</w:t>
      </w:r>
      <w:r w:rsidRPr="00933866">
        <w:rPr>
          <w:szCs w:val="22"/>
        </w:rPr>
        <w:t xml:space="preserve"> </w:t>
      </w:r>
      <w:r w:rsidR="00AC014E" w:rsidRPr="00933866">
        <w:rPr>
          <w:szCs w:val="22"/>
        </w:rPr>
        <w:t>December 27, 2011</w:t>
      </w:r>
      <w:r w:rsidRPr="00933866">
        <w:rPr>
          <w:szCs w:val="22"/>
        </w:rPr>
        <w:t>,</w:t>
      </w:r>
      <w:r w:rsidR="00AC014E" w:rsidRPr="00933866">
        <w:rPr>
          <w:szCs w:val="22"/>
        </w:rPr>
        <w:t xml:space="preserve"> Petition to Deny </w:t>
      </w:r>
      <w:r w:rsidR="00006C40" w:rsidRPr="00933866">
        <w:rPr>
          <w:szCs w:val="22"/>
        </w:rPr>
        <w:t>(Petition)</w:t>
      </w:r>
      <w:r w:rsidR="00006C40">
        <w:rPr>
          <w:szCs w:val="22"/>
        </w:rPr>
        <w:t xml:space="preserve"> </w:t>
      </w:r>
      <w:r w:rsidRPr="00933866">
        <w:rPr>
          <w:szCs w:val="22"/>
        </w:rPr>
        <w:t xml:space="preserve">filed by </w:t>
      </w:r>
      <w:r w:rsidR="00AC014E" w:rsidRPr="00933866">
        <w:rPr>
          <w:szCs w:val="22"/>
        </w:rPr>
        <w:t>Robert E. Boris</w:t>
      </w:r>
      <w:r w:rsidR="00006C40">
        <w:rPr>
          <w:szCs w:val="22"/>
        </w:rPr>
        <w:t xml:space="preserve"> (Boris)</w:t>
      </w:r>
      <w:r w:rsidR="0096217A">
        <w:rPr>
          <w:szCs w:val="22"/>
        </w:rPr>
        <w:t>.</w:t>
      </w:r>
      <w:r w:rsidR="00B47DB6">
        <w:rPr>
          <w:rStyle w:val="FootnoteReference"/>
          <w:szCs w:val="22"/>
        </w:rPr>
        <w:footnoteReference w:id="2"/>
      </w:r>
      <w:r w:rsidR="003870CC" w:rsidRPr="00933866">
        <w:rPr>
          <w:szCs w:val="22"/>
        </w:rPr>
        <w:t xml:space="preserve"> </w:t>
      </w:r>
      <w:r w:rsidR="00867814" w:rsidRPr="00933866">
        <w:rPr>
          <w:szCs w:val="22"/>
        </w:rPr>
        <w:t xml:space="preserve"> </w:t>
      </w:r>
      <w:r w:rsidR="00B47DB6">
        <w:rPr>
          <w:szCs w:val="22"/>
        </w:rPr>
        <w:t>T</w:t>
      </w:r>
      <w:r w:rsidR="0096217A">
        <w:rPr>
          <w:szCs w:val="22"/>
        </w:rPr>
        <w:t xml:space="preserve">his </w:t>
      </w:r>
      <w:r w:rsidR="0096217A">
        <w:rPr>
          <w:i/>
          <w:szCs w:val="22"/>
        </w:rPr>
        <w:t xml:space="preserve">Memorandum Opinion and Order and Notice of Apparent Liability for Forfeiture </w:t>
      </w:r>
      <w:r w:rsidR="0096217A">
        <w:rPr>
          <w:szCs w:val="22"/>
        </w:rPr>
        <w:t>(</w:t>
      </w:r>
      <w:r w:rsidR="0096217A">
        <w:rPr>
          <w:i/>
          <w:szCs w:val="22"/>
        </w:rPr>
        <w:t>NAL</w:t>
      </w:r>
      <w:r w:rsidR="0096217A">
        <w:rPr>
          <w:szCs w:val="22"/>
        </w:rPr>
        <w:t>),</w:t>
      </w:r>
      <w:r w:rsidR="0096217A">
        <w:rPr>
          <w:rStyle w:val="FootnoteReference"/>
          <w:szCs w:val="22"/>
        </w:rPr>
        <w:footnoteReference w:id="3"/>
      </w:r>
      <w:r w:rsidR="0096217A">
        <w:rPr>
          <w:szCs w:val="22"/>
        </w:rPr>
        <w:t xml:space="preserve"> find</w:t>
      </w:r>
      <w:r w:rsidR="00B47DB6">
        <w:rPr>
          <w:szCs w:val="22"/>
        </w:rPr>
        <w:t>s</w:t>
      </w:r>
      <w:r w:rsidR="0096217A">
        <w:rPr>
          <w:szCs w:val="22"/>
        </w:rPr>
        <w:t xml:space="preserve"> that Licensee</w:t>
      </w:r>
      <w:r w:rsidR="00180B02" w:rsidRPr="00933866">
        <w:rPr>
          <w:szCs w:val="22"/>
        </w:rPr>
        <w:t xml:space="preserve"> </w:t>
      </w:r>
      <w:r w:rsidR="005E1CD6" w:rsidRPr="00933866">
        <w:rPr>
          <w:szCs w:val="22"/>
        </w:rPr>
        <w:t xml:space="preserve">apparently </w:t>
      </w:r>
      <w:bookmarkStart w:id="1" w:name="OLE_LINK1"/>
      <w:bookmarkStart w:id="2" w:name="OLE_LINK2"/>
      <w:r w:rsidR="005E1CD6" w:rsidRPr="00933866">
        <w:rPr>
          <w:szCs w:val="22"/>
        </w:rPr>
        <w:t xml:space="preserve">violated Section 73.3526 of the Commission’s </w:t>
      </w:r>
      <w:r w:rsidR="00DD327D">
        <w:rPr>
          <w:szCs w:val="22"/>
        </w:rPr>
        <w:t>r</w:t>
      </w:r>
      <w:r w:rsidR="005E1CD6" w:rsidRPr="00933866">
        <w:rPr>
          <w:szCs w:val="22"/>
        </w:rPr>
        <w:t>ules (Rules)</w:t>
      </w:r>
      <w:bookmarkEnd w:id="1"/>
      <w:bookmarkEnd w:id="2"/>
      <w:r w:rsidR="005E1CD6" w:rsidRPr="005D54F9">
        <w:rPr>
          <w:rStyle w:val="FootnoteReference"/>
          <w:sz w:val="20"/>
        </w:rPr>
        <w:footnoteReference w:id="4"/>
      </w:r>
      <w:r w:rsidR="005E1CD6" w:rsidRPr="00933866">
        <w:t xml:space="preserve"> </w:t>
      </w:r>
      <w:r w:rsidR="009D7151">
        <w:rPr>
          <w:szCs w:val="22"/>
        </w:rPr>
        <w:t>regarding maintenance of</w:t>
      </w:r>
      <w:r w:rsidR="00B560AD">
        <w:rPr>
          <w:szCs w:val="22"/>
        </w:rPr>
        <w:t xml:space="preserve"> and access to</w:t>
      </w:r>
      <w:r w:rsidR="009D7151">
        <w:rPr>
          <w:szCs w:val="22"/>
        </w:rPr>
        <w:t xml:space="preserve"> the </w:t>
      </w:r>
      <w:r w:rsidR="00451408">
        <w:rPr>
          <w:szCs w:val="22"/>
        </w:rPr>
        <w:t xml:space="preserve">Station’s </w:t>
      </w:r>
      <w:r w:rsidR="005E1CD6" w:rsidRPr="00933866">
        <w:rPr>
          <w:szCs w:val="22"/>
        </w:rPr>
        <w:t xml:space="preserve">public inspection file.  </w:t>
      </w:r>
      <w:r w:rsidR="0096217A">
        <w:rPr>
          <w:szCs w:val="22"/>
        </w:rPr>
        <w:t xml:space="preserve">Based upon our review of the facts and circumstances before us, we </w:t>
      </w:r>
      <w:r w:rsidR="00E21D48">
        <w:rPr>
          <w:szCs w:val="22"/>
        </w:rPr>
        <w:t>grant the Petition in part, admonish Licensee for violating Section 1.17 of the Rules,</w:t>
      </w:r>
      <w:r w:rsidR="00E21D48">
        <w:rPr>
          <w:rStyle w:val="FootnoteReference"/>
          <w:szCs w:val="22"/>
        </w:rPr>
        <w:footnoteReference w:id="5"/>
      </w:r>
      <w:r w:rsidR="00E21D48">
        <w:rPr>
          <w:szCs w:val="22"/>
        </w:rPr>
        <w:t xml:space="preserve"> and </w:t>
      </w:r>
      <w:r w:rsidR="0096217A">
        <w:rPr>
          <w:szCs w:val="22"/>
        </w:rPr>
        <w:t>conclude that</w:t>
      </w:r>
      <w:r w:rsidR="0096217A" w:rsidRPr="00933866">
        <w:rPr>
          <w:szCs w:val="22"/>
        </w:rPr>
        <w:t xml:space="preserve"> </w:t>
      </w:r>
      <w:r w:rsidR="00451408">
        <w:t>Licensee</w:t>
      </w:r>
      <w:r w:rsidR="005E1CD6" w:rsidRPr="00A9690C">
        <w:t xml:space="preserve"> is apparently liable for</w:t>
      </w:r>
      <w:r w:rsidR="00D7753A">
        <w:t xml:space="preserve"> </w:t>
      </w:r>
      <w:r w:rsidR="005E1CD6" w:rsidRPr="00A9690C">
        <w:t xml:space="preserve">forfeiture in the amount of </w:t>
      </w:r>
      <w:r w:rsidR="00B834F8" w:rsidRPr="00A9690C">
        <w:t>fifteen</w:t>
      </w:r>
      <w:r w:rsidR="005E1CD6" w:rsidRPr="00A9690C">
        <w:t xml:space="preserve"> thousan</w:t>
      </w:r>
      <w:r w:rsidR="00B834F8" w:rsidRPr="00A9690C">
        <w:t>d dollars ($1</w:t>
      </w:r>
      <w:r w:rsidR="005E1CD6" w:rsidRPr="00A9690C">
        <w:t>5,000)</w:t>
      </w:r>
      <w:r w:rsidR="00C918A9">
        <w:t xml:space="preserve"> </w:t>
      </w:r>
      <w:r w:rsidR="00E21D48">
        <w:t xml:space="preserve">and </w:t>
      </w:r>
      <w:r w:rsidR="00C918A9">
        <w:rPr>
          <w:szCs w:val="22"/>
        </w:rPr>
        <w:t xml:space="preserve">that the </w:t>
      </w:r>
      <w:r w:rsidR="00C27418">
        <w:rPr>
          <w:szCs w:val="22"/>
        </w:rPr>
        <w:t>A</w:t>
      </w:r>
      <w:r w:rsidR="00C918A9">
        <w:rPr>
          <w:szCs w:val="22"/>
        </w:rPr>
        <w:t xml:space="preserve">pplication should be granted for a period </w:t>
      </w:r>
      <w:r w:rsidR="002343AF">
        <w:rPr>
          <w:szCs w:val="22"/>
        </w:rPr>
        <w:t xml:space="preserve">of </w:t>
      </w:r>
      <w:r w:rsidR="00B31A35">
        <w:rPr>
          <w:szCs w:val="22"/>
        </w:rPr>
        <w:t xml:space="preserve">two </w:t>
      </w:r>
      <w:r w:rsidR="00C918A9">
        <w:rPr>
          <w:szCs w:val="22"/>
        </w:rPr>
        <w:t>years</w:t>
      </w:r>
      <w:r w:rsidR="005E1CD6" w:rsidRPr="00A9690C">
        <w:t>.</w:t>
      </w:r>
      <w:r w:rsidR="0096217A" w:rsidRPr="0096217A">
        <w:rPr>
          <w:szCs w:val="22"/>
        </w:rPr>
        <w:t xml:space="preserve"> </w:t>
      </w:r>
      <w:r w:rsidR="00B47DB6">
        <w:rPr>
          <w:szCs w:val="22"/>
        </w:rPr>
        <w:t xml:space="preserve"> </w:t>
      </w:r>
    </w:p>
    <w:p w14:paraId="06D651CE" w14:textId="77777777" w:rsidR="00E945DD" w:rsidRPr="00E41C44" w:rsidRDefault="00E945DD">
      <w:pPr>
        <w:pStyle w:val="Heading1"/>
        <w:jc w:val="left"/>
        <w:rPr>
          <w:rFonts w:ascii="Times New Roman" w:hAnsi="Times New Roman"/>
          <w:sz w:val="22"/>
        </w:rPr>
      </w:pPr>
      <w:r w:rsidRPr="00E41C44">
        <w:rPr>
          <w:rFonts w:ascii="Times New Roman" w:hAnsi="Times New Roman"/>
          <w:sz w:val="22"/>
        </w:rPr>
        <w:t>BACKGROUND</w:t>
      </w:r>
    </w:p>
    <w:p w14:paraId="670CEF33" w14:textId="10E39AEC" w:rsidR="00811FDC" w:rsidRPr="00933866" w:rsidRDefault="003A2E62" w:rsidP="0059046F">
      <w:pPr>
        <w:pStyle w:val="ParaNum"/>
        <w:widowControl/>
        <w:numPr>
          <w:ilvl w:val="0"/>
          <w:numId w:val="1"/>
        </w:numPr>
        <w:tabs>
          <w:tab w:val="clear" w:pos="1080"/>
        </w:tabs>
        <w:jc w:val="left"/>
        <w:rPr>
          <w:szCs w:val="22"/>
        </w:rPr>
      </w:pPr>
      <w:r w:rsidRPr="004B3DAA">
        <w:rPr>
          <w:szCs w:val="22"/>
        </w:rPr>
        <w:t>O</w:t>
      </w:r>
      <w:r w:rsidR="00A26667" w:rsidRPr="00542791">
        <w:rPr>
          <w:szCs w:val="22"/>
        </w:rPr>
        <w:t>n November 3</w:t>
      </w:r>
      <w:r w:rsidR="00F85BC1" w:rsidRPr="00542791">
        <w:rPr>
          <w:szCs w:val="22"/>
        </w:rPr>
        <w:t xml:space="preserve">, 2010, the Enforcement Bureau </w:t>
      </w:r>
      <w:r w:rsidR="00A26667" w:rsidRPr="00542791">
        <w:rPr>
          <w:szCs w:val="22"/>
        </w:rPr>
        <w:t xml:space="preserve">issued a $25,000 </w:t>
      </w:r>
      <w:r w:rsidRPr="00542791">
        <w:rPr>
          <w:szCs w:val="22"/>
        </w:rPr>
        <w:t>Notice of Apparent Liability for Forfeiture (</w:t>
      </w:r>
      <w:r w:rsidR="00180B02" w:rsidRPr="00542791">
        <w:rPr>
          <w:szCs w:val="22"/>
        </w:rPr>
        <w:t>NAL</w:t>
      </w:r>
      <w:r w:rsidRPr="00542791">
        <w:rPr>
          <w:szCs w:val="22"/>
        </w:rPr>
        <w:t>)</w:t>
      </w:r>
      <w:r w:rsidR="007B7230" w:rsidRPr="00542791">
        <w:rPr>
          <w:szCs w:val="22"/>
        </w:rPr>
        <w:t xml:space="preserve"> </w:t>
      </w:r>
      <w:r w:rsidR="00A26667" w:rsidRPr="00542791">
        <w:rPr>
          <w:szCs w:val="22"/>
        </w:rPr>
        <w:t>for violations of the main studio and public file rules</w:t>
      </w:r>
      <w:r w:rsidR="00811FDC" w:rsidRPr="00542791">
        <w:rPr>
          <w:szCs w:val="22"/>
        </w:rPr>
        <w:t xml:space="preserve"> (</w:t>
      </w:r>
      <w:r w:rsidR="00811FDC" w:rsidRPr="00061929">
        <w:rPr>
          <w:i/>
          <w:szCs w:val="22"/>
        </w:rPr>
        <w:t>2010 NAL</w:t>
      </w:r>
      <w:r w:rsidR="00811FDC" w:rsidRPr="00542791">
        <w:rPr>
          <w:szCs w:val="22"/>
        </w:rPr>
        <w:t>)</w:t>
      </w:r>
      <w:r w:rsidR="00A26667" w:rsidRPr="00542791">
        <w:rPr>
          <w:szCs w:val="22"/>
        </w:rPr>
        <w:t>.</w:t>
      </w:r>
      <w:r w:rsidR="00A26667" w:rsidRPr="0059046F">
        <w:rPr>
          <w:rStyle w:val="FootnoteReference"/>
        </w:rPr>
        <w:footnoteReference w:id="6"/>
      </w:r>
      <w:r w:rsidR="00811FDC" w:rsidRPr="0059046F">
        <w:rPr>
          <w:rStyle w:val="FootnoteReference"/>
        </w:rPr>
        <w:t xml:space="preserve"> </w:t>
      </w:r>
      <w:r w:rsidR="00811FDC" w:rsidRPr="003A2E62">
        <w:rPr>
          <w:szCs w:val="22"/>
        </w:rPr>
        <w:t xml:space="preserve"> </w:t>
      </w:r>
      <w:r w:rsidRPr="003A2E62">
        <w:rPr>
          <w:szCs w:val="22"/>
        </w:rPr>
        <w:t>The Enforcement Bureau</w:t>
      </w:r>
      <w:r w:rsidR="00180B02" w:rsidRPr="00EE4F72">
        <w:rPr>
          <w:szCs w:val="22"/>
        </w:rPr>
        <w:t xml:space="preserve"> </w:t>
      </w:r>
      <w:r w:rsidR="00F85BC1" w:rsidRPr="00EE4F72">
        <w:rPr>
          <w:szCs w:val="22"/>
        </w:rPr>
        <w:t xml:space="preserve">warned </w:t>
      </w:r>
      <w:r w:rsidR="00C50D0C" w:rsidRPr="00EE4F72">
        <w:rPr>
          <w:szCs w:val="22"/>
        </w:rPr>
        <w:t>that “</w:t>
      </w:r>
      <w:r w:rsidR="00234B28" w:rsidRPr="00EE4F72">
        <w:rPr>
          <w:szCs w:val="22"/>
        </w:rPr>
        <w:t xml:space="preserve">future violations…may result in more severe enforcement penalties, including significantly larger </w:t>
      </w:r>
      <w:r w:rsidR="00234B28" w:rsidRPr="00933866">
        <w:rPr>
          <w:szCs w:val="22"/>
        </w:rPr>
        <w:t>forfeitures....”</w:t>
      </w:r>
      <w:r w:rsidR="00234B28" w:rsidRPr="0059046F">
        <w:rPr>
          <w:rStyle w:val="FootnoteReference"/>
        </w:rPr>
        <w:footnoteReference w:id="7"/>
      </w:r>
      <w:r w:rsidR="00234B28" w:rsidRPr="00933866">
        <w:rPr>
          <w:szCs w:val="22"/>
        </w:rPr>
        <w:t xml:space="preserve">  </w:t>
      </w:r>
      <w:r w:rsidR="00A26667" w:rsidRPr="00933866">
        <w:rPr>
          <w:szCs w:val="22"/>
        </w:rPr>
        <w:t xml:space="preserve">On September 20, 2011, Licensee filed </w:t>
      </w:r>
      <w:r w:rsidR="00811FDC" w:rsidRPr="00933866">
        <w:rPr>
          <w:szCs w:val="22"/>
        </w:rPr>
        <w:t>the A</w:t>
      </w:r>
      <w:r w:rsidR="00A26667" w:rsidRPr="00933866">
        <w:rPr>
          <w:szCs w:val="22"/>
        </w:rPr>
        <w:t xml:space="preserve">pplication.  </w:t>
      </w:r>
      <w:r w:rsidR="00811FDC" w:rsidRPr="00933866">
        <w:rPr>
          <w:szCs w:val="22"/>
        </w:rPr>
        <w:t xml:space="preserve">In </w:t>
      </w:r>
      <w:r w:rsidR="00811FDC" w:rsidRPr="00933866">
        <w:rPr>
          <w:szCs w:val="22"/>
        </w:rPr>
        <w:lastRenderedPageBreak/>
        <w:t xml:space="preserve">response to Section III, Question 3, Licensee </w:t>
      </w:r>
      <w:r w:rsidR="005E1CD6" w:rsidRPr="00933866">
        <w:rPr>
          <w:szCs w:val="22"/>
        </w:rPr>
        <w:t>certified that</w:t>
      </w:r>
      <w:r w:rsidR="00811FDC" w:rsidRPr="00933866">
        <w:rPr>
          <w:szCs w:val="22"/>
        </w:rPr>
        <w:t xml:space="preserve"> its public file was complete </w:t>
      </w:r>
      <w:r w:rsidR="00651ECD" w:rsidRPr="00933866">
        <w:rPr>
          <w:szCs w:val="22"/>
        </w:rPr>
        <w:t>and disclos</w:t>
      </w:r>
      <w:r w:rsidR="00C27418">
        <w:rPr>
          <w:szCs w:val="22"/>
        </w:rPr>
        <w:t>ed</w:t>
      </w:r>
      <w:r w:rsidR="00811FDC" w:rsidRPr="00933866">
        <w:rPr>
          <w:szCs w:val="22"/>
        </w:rPr>
        <w:t xml:space="preserve"> the public file violation that wa</w:t>
      </w:r>
      <w:r w:rsidR="00F85BC1">
        <w:rPr>
          <w:szCs w:val="22"/>
        </w:rPr>
        <w:t xml:space="preserve">s the subject of the </w:t>
      </w:r>
      <w:r w:rsidR="00E41C44" w:rsidRPr="00061929">
        <w:rPr>
          <w:i/>
          <w:szCs w:val="22"/>
        </w:rPr>
        <w:t>2010 NAL</w:t>
      </w:r>
      <w:r w:rsidR="00F85BC1">
        <w:rPr>
          <w:szCs w:val="22"/>
        </w:rPr>
        <w:t>.</w:t>
      </w:r>
      <w:r w:rsidR="00811FDC" w:rsidRPr="0059046F">
        <w:rPr>
          <w:rStyle w:val="FootnoteReference"/>
        </w:rPr>
        <w:footnoteReference w:id="8"/>
      </w:r>
    </w:p>
    <w:p w14:paraId="76416D89" w14:textId="66AC0FB0" w:rsidR="00811FDC" w:rsidRPr="00933866" w:rsidRDefault="00811FDC" w:rsidP="00933866">
      <w:pPr>
        <w:pStyle w:val="ParaNum"/>
        <w:widowControl/>
        <w:numPr>
          <w:ilvl w:val="0"/>
          <w:numId w:val="1"/>
        </w:numPr>
        <w:tabs>
          <w:tab w:val="clear" w:pos="1080"/>
        </w:tabs>
        <w:jc w:val="left"/>
        <w:rPr>
          <w:szCs w:val="22"/>
        </w:rPr>
      </w:pPr>
      <w:r w:rsidRPr="00933866">
        <w:rPr>
          <w:szCs w:val="22"/>
        </w:rPr>
        <w:t>On December 27, 2011, Boris</w:t>
      </w:r>
      <w:r w:rsidR="000331AB" w:rsidRPr="00933866">
        <w:rPr>
          <w:szCs w:val="22"/>
        </w:rPr>
        <w:t xml:space="preserve"> timely</w:t>
      </w:r>
      <w:r w:rsidRPr="00933866">
        <w:rPr>
          <w:szCs w:val="22"/>
        </w:rPr>
        <w:t xml:space="preserve"> filed the Petition</w:t>
      </w:r>
      <w:r w:rsidR="000331AB" w:rsidRPr="00933866">
        <w:rPr>
          <w:szCs w:val="22"/>
        </w:rPr>
        <w:t xml:space="preserve">.  He </w:t>
      </w:r>
      <w:r w:rsidR="00314A96">
        <w:rPr>
          <w:szCs w:val="22"/>
        </w:rPr>
        <w:t>states</w:t>
      </w:r>
      <w:r w:rsidR="000331AB" w:rsidRPr="00933866">
        <w:rPr>
          <w:szCs w:val="22"/>
        </w:rPr>
        <w:t xml:space="preserve"> that he visited the Station on the morning of December 5, 2011, and </w:t>
      </w:r>
      <w:r w:rsidR="00334AFC" w:rsidRPr="00933866">
        <w:rPr>
          <w:szCs w:val="22"/>
        </w:rPr>
        <w:t xml:space="preserve">was </w:t>
      </w:r>
      <w:r w:rsidR="00334AFC">
        <w:rPr>
          <w:szCs w:val="22"/>
        </w:rPr>
        <w:t xml:space="preserve">both denied immediate access to the public file and </w:t>
      </w:r>
      <w:r w:rsidR="00334AFC" w:rsidRPr="00933866">
        <w:rPr>
          <w:szCs w:val="22"/>
        </w:rPr>
        <w:t>treated disrespectfully by Station staff</w:t>
      </w:r>
      <w:r w:rsidR="00334AFC">
        <w:rPr>
          <w:szCs w:val="22"/>
        </w:rPr>
        <w:t xml:space="preserve">.  </w:t>
      </w:r>
      <w:r w:rsidR="00C27418">
        <w:rPr>
          <w:szCs w:val="22"/>
        </w:rPr>
        <w:t>H</w:t>
      </w:r>
      <w:r w:rsidR="00F85BC1">
        <w:rPr>
          <w:szCs w:val="22"/>
        </w:rPr>
        <w:t xml:space="preserve">e </w:t>
      </w:r>
      <w:r w:rsidR="00C27418">
        <w:rPr>
          <w:szCs w:val="22"/>
        </w:rPr>
        <w:t xml:space="preserve">reports </w:t>
      </w:r>
      <w:r w:rsidR="00016AF0">
        <w:rPr>
          <w:szCs w:val="22"/>
        </w:rPr>
        <w:t xml:space="preserve">that he </w:t>
      </w:r>
      <w:r w:rsidR="00F85BC1">
        <w:rPr>
          <w:szCs w:val="22"/>
        </w:rPr>
        <w:t xml:space="preserve">returned that afternoon, as requested, </w:t>
      </w:r>
      <w:r w:rsidR="00C27418">
        <w:rPr>
          <w:szCs w:val="22"/>
        </w:rPr>
        <w:t>reviewed the</w:t>
      </w:r>
      <w:r w:rsidR="00F85BC1">
        <w:rPr>
          <w:szCs w:val="22"/>
        </w:rPr>
        <w:t xml:space="preserve"> file, </w:t>
      </w:r>
      <w:r w:rsidR="00334AFC">
        <w:rPr>
          <w:szCs w:val="22"/>
        </w:rPr>
        <w:t>found it deficient in many significant respects</w:t>
      </w:r>
      <w:r w:rsidR="00F85BC1">
        <w:rPr>
          <w:szCs w:val="22"/>
        </w:rPr>
        <w:t>,</w:t>
      </w:r>
      <w:r w:rsidR="00334AFC">
        <w:rPr>
          <w:szCs w:val="22"/>
        </w:rPr>
        <w:t xml:space="preserve"> and </w:t>
      </w:r>
      <w:r w:rsidR="00196869">
        <w:rPr>
          <w:szCs w:val="22"/>
        </w:rPr>
        <w:t>states that he</w:t>
      </w:r>
      <w:r w:rsidR="00F85BC1">
        <w:rPr>
          <w:szCs w:val="22"/>
        </w:rPr>
        <w:t xml:space="preserve"> </w:t>
      </w:r>
      <w:r w:rsidR="00651ECD" w:rsidRPr="00933866">
        <w:rPr>
          <w:szCs w:val="22"/>
        </w:rPr>
        <w:t>was denied</w:t>
      </w:r>
      <w:r w:rsidR="00451408">
        <w:rPr>
          <w:szCs w:val="22"/>
        </w:rPr>
        <w:t xml:space="preserve"> the</w:t>
      </w:r>
      <w:r w:rsidR="00651ECD" w:rsidRPr="00933866">
        <w:rPr>
          <w:szCs w:val="22"/>
        </w:rPr>
        <w:t xml:space="preserve"> opportunity to </w:t>
      </w:r>
      <w:r w:rsidR="00882D4C">
        <w:rPr>
          <w:szCs w:val="22"/>
        </w:rPr>
        <w:t>copy</w:t>
      </w:r>
      <w:r w:rsidR="004C222D" w:rsidRPr="00933866">
        <w:rPr>
          <w:szCs w:val="22"/>
        </w:rPr>
        <w:t xml:space="preserve"> </w:t>
      </w:r>
      <w:r w:rsidR="00334AFC">
        <w:rPr>
          <w:szCs w:val="22"/>
        </w:rPr>
        <w:t>it</w:t>
      </w:r>
      <w:r w:rsidR="004B0472">
        <w:rPr>
          <w:szCs w:val="22"/>
        </w:rPr>
        <w:t>.</w:t>
      </w:r>
      <w:r w:rsidR="003C2A43" w:rsidRPr="005D54F9">
        <w:rPr>
          <w:rStyle w:val="FootnoteReference"/>
          <w:sz w:val="20"/>
        </w:rPr>
        <w:footnoteReference w:id="9"/>
      </w:r>
      <w:r w:rsidR="00882D4C">
        <w:rPr>
          <w:rStyle w:val="FootnoteReference"/>
          <w:sz w:val="20"/>
        </w:rPr>
        <w:t xml:space="preserve"> </w:t>
      </w:r>
      <w:r w:rsidR="00882D4C">
        <w:rPr>
          <w:szCs w:val="22"/>
        </w:rPr>
        <w:t xml:space="preserve"> </w:t>
      </w:r>
      <w:r w:rsidR="00B41D83">
        <w:rPr>
          <w:szCs w:val="22"/>
        </w:rPr>
        <w:t>In t</w:t>
      </w:r>
      <w:r w:rsidR="00C80D69">
        <w:rPr>
          <w:szCs w:val="22"/>
        </w:rPr>
        <w:t>he</w:t>
      </w:r>
      <w:r w:rsidR="00AE4B2C">
        <w:rPr>
          <w:szCs w:val="22"/>
        </w:rPr>
        <w:t xml:space="preserve"> Opposition</w:t>
      </w:r>
      <w:r w:rsidR="00B41D83">
        <w:rPr>
          <w:szCs w:val="22"/>
        </w:rPr>
        <w:t>, Licensee</w:t>
      </w:r>
      <w:r w:rsidR="00AE4B2C">
        <w:rPr>
          <w:szCs w:val="22"/>
        </w:rPr>
        <w:t xml:space="preserve"> </w:t>
      </w:r>
      <w:r w:rsidR="002343AF">
        <w:rPr>
          <w:szCs w:val="22"/>
        </w:rPr>
        <w:t>disputes</w:t>
      </w:r>
      <w:r w:rsidR="00AE4B2C">
        <w:rPr>
          <w:szCs w:val="22"/>
        </w:rPr>
        <w:t xml:space="preserve"> these claims, </w:t>
      </w:r>
      <w:r w:rsidR="00C80D69">
        <w:rPr>
          <w:szCs w:val="22"/>
        </w:rPr>
        <w:t>stating that: (1) the Pe</w:t>
      </w:r>
      <w:r w:rsidR="00F8608F">
        <w:rPr>
          <w:szCs w:val="22"/>
        </w:rPr>
        <w:t>t</w:t>
      </w:r>
      <w:r w:rsidR="00C80D69">
        <w:rPr>
          <w:szCs w:val="22"/>
        </w:rPr>
        <w:t xml:space="preserve">ition is “payback” for not hiring </w:t>
      </w:r>
      <w:r w:rsidR="0071428A">
        <w:rPr>
          <w:szCs w:val="22"/>
        </w:rPr>
        <w:t xml:space="preserve">Boris </w:t>
      </w:r>
      <w:r w:rsidR="00C80D69">
        <w:rPr>
          <w:szCs w:val="22"/>
        </w:rPr>
        <w:t>as a</w:t>
      </w:r>
      <w:r w:rsidR="00016AF0">
        <w:rPr>
          <w:szCs w:val="22"/>
        </w:rPr>
        <w:t xml:space="preserve"> Station</w:t>
      </w:r>
      <w:r w:rsidR="00C80D69">
        <w:rPr>
          <w:szCs w:val="22"/>
        </w:rPr>
        <w:t xml:space="preserve"> employee; (2) </w:t>
      </w:r>
      <w:r w:rsidR="005B1814">
        <w:t xml:space="preserve">Station staff asked Boris to return at a later time because they were “on the air,” and </w:t>
      </w:r>
      <w:r w:rsidR="00451408">
        <w:rPr>
          <w:szCs w:val="22"/>
        </w:rPr>
        <w:t>Boris</w:t>
      </w:r>
      <w:r w:rsidR="00C80D69">
        <w:rPr>
          <w:szCs w:val="22"/>
        </w:rPr>
        <w:t xml:space="preserve"> was granted access to the </w:t>
      </w:r>
      <w:r w:rsidR="00F8608F">
        <w:rPr>
          <w:szCs w:val="22"/>
        </w:rPr>
        <w:t xml:space="preserve">public </w:t>
      </w:r>
      <w:r w:rsidR="00C80D69">
        <w:rPr>
          <w:szCs w:val="22"/>
        </w:rPr>
        <w:t>file</w:t>
      </w:r>
      <w:r w:rsidR="00006C40">
        <w:rPr>
          <w:szCs w:val="22"/>
        </w:rPr>
        <w:t xml:space="preserve"> at a mutually convenient time</w:t>
      </w:r>
      <w:r w:rsidR="00B31A35">
        <w:rPr>
          <w:szCs w:val="22"/>
        </w:rPr>
        <w:t xml:space="preserve"> that day</w:t>
      </w:r>
      <w:r w:rsidR="00C80D69">
        <w:rPr>
          <w:szCs w:val="22"/>
        </w:rPr>
        <w:t>;</w:t>
      </w:r>
      <w:r w:rsidR="005B1814">
        <w:rPr>
          <w:rStyle w:val="FootnoteReference"/>
        </w:rPr>
        <w:footnoteReference w:id="10"/>
      </w:r>
      <w:r w:rsidR="005B1814">
        <w:t xml:space="preserve"> </w:t>
      </w:r>
      <w:r w:rsidR="00C80D69">
        <w:rPr>
          <w:szCs w:val="22"/>
        </w:rPr>
        <w:t xml:space="preserve"> and (3) the </w:t>
      </w:r>
      <w:r w:rsidR="00F8608F">
        <w:rPr>
          <w:szCs w:val="22"/>
        </w:rPr>
        <w:t xml:space="preserve">public </w:t>
      </w:r>
      <w:r w:rsidR="00C80D69">
        <w:rPr>
          <w:szCs w:val="22"/>
        </w:rPr>
        <w:t>file is “in order.”</w:t>
      </w:r>
      <w:r w:rsidR="00F8608F">
        <w:rPr>
          <w:rStyle w:val="FootnoteReference"/>
          <w:szCs w:val="22"/>
        </w:rPr>
        <w:footnoteReference w:id="11"/>
      </w:r>
    </w:p>
    <w:p w14:paraId="47142432" w14:textId="77777777" w:rsidR="00E945DD" w:rsidRPr="00E41C44" w:rsidRDefault="00E945DD">
      <w:pPr>
        <w:pStyle w:val="Heading1"/>
        <w:jc w:val="left"/>
        <w:rPr>
          <w:rFonts w:ascii="Times New Roman" w:hAnsi="Times New Roman"/>
          <w:sz w:val="22"/>
        </w:rPr>
      </w:pPr>
      <w:r w:rsidRPr="00E41C44">
        <w:rPr>
          <w:rFonts w:ascii="Times New Roman" w:hAnsi="Times New Roman"/>
          <w:sz w:val="22"/>
        </w:rPr>
        <w:t>DISCUSSION</w:t>
      </w:r>
    </w:p>
    <w:p w14:paraId="6ABD5CB7" w14:textId="77777777" w:rsidR="004965B4" w:rsidRPr="004965B4" w:rsidRDefault="00E567D0" w:rsidP="007F2104">
      <w:pPr>
        <w:pStyle w:val="ParaNum"/>
        <w:widowControl/>
        <w:numPr>
          <w:ilvl w:val="0"/>
          <w:numId w:val="1"/>
        </w:numPr>
        <w:tabs>
          <w:tab w:val="clear" w:pos="1080"/>
        </w:tabs>
        <w:jc w:val="left"/>
        <w:rPr>
          <w:szCs w:val="22"/>
        </w:rPr>
      </w:pPr>
      <w:r w:rsidRPr="007F2104">
        <w:rPr>
          <w:i/>
          <w:szCs w:val="22"/>
        </w:rPr>
        <w:t>Petition to Deny</w:t>
      </w:r>
      <w:r w:rsidRPr="007F2104">
        <w:rPr>
          <w:szCs w:val="22"/>
        </w:rPr>
        <w:t xml:space="preserve">. </w:t>
      </w:r>
      <w:r w:rsidR="007F2104">
        <w:rPr>
          <w:szCs w:val="22"/>
        </w:rPr>
        <w:t xml:space="preserve"> </w:t>
      </w:r>
      <w:r w:rsidR="0056039E" w:rsidRPr="007F2104">
        <w:rPr>
          <w:szCs w:val="22"/>
        </w:rPr>
        <w:t>Section 309(d)(1)</w:t>
      </w:r>
      <w:bookmarkStart w:id="3" w:name="FN[FN4]"/>
      <w:bookmarkEnd w:id="3"/>
      <w:r w:rsidR="0056039E" w:rsidRPr="007F2104">
        <w:rPr>
          <w:szCs w:val="22"/>
        </w:rPr>
        <w:t xml:space="preserve"> of the Act</w:t>
      </w:r>
      <w:bookmarkStart w:id="4" w:name="FN[FN3]"/>
      <w:bookmarkEnd w:id="4"/>
      <w:r w:rsidR="0056039E" w:rsidRPr="007F2104">
        <w:rPr>
          <w:rStyle w:val="FootnoteReference"/>
        </w:rPr>
        <w:footnoteReference w:id="12"/>
      </w:r>
      <w:r w:rsidR="0056039E" w:rsidRPr="007F2104">
        <w:rPr>
          <w:rStyle w:val="FootnoteReference"/>
        </w:rPr>
        <w:t xml:space="preserve"> </w:t>
      </w:r>
      <w:r w:rsidR="0056039E" w:rsidRPr="007F2104">
        <w:rPr>
          <w:szCs w:val="22"/>
        </w:rPr>
        <w:t xml:space="preserve">provides that any party in interest may file a </w:t>
      </w:r>
      <w:bookmarkStart w:id="5" w:name="SR;295"/>
      <w:bookmarkEnd w:id="5"/>
      <w:r w:rsidR="0056039E" w:rsidRPr="007F2104">
        <w:rPr>
          <w:szCs w:val="22"/>
        </w:rPr>
        <w:t xml:space="preserve">petition to </w:t>
      </w:r>
      <w:bookmarkStart w:id="6" w:name="SR;297"/>
      <w:bookmarkEnd w:id="6"/>
      <w:r w:rsidR="0056039E" w:rsidRPr="007F2104">
        <w:rPr>
          <w:szCs w:val="22"/>
        </w:rPr>
        <w:t xml:space="preserve">deny an application.  </w:t>
      </w:r>
      <w:r w:rsidR="00B41D83">
        <w:rPr>
          <w:szCs w:val="22"/>
        </w:rPr>
        <w:t>In the context of a</w:t>
      </w:r>
      <w:r w:rsidR="007F2104" w:rsidRPr="007F2104">
        <w:rPr>
          <w:szCs w:val="22"/>
        </w:rPr>
        <w:t xml:space="preserve"> license renewal application</w:t>
      </w:r>
      <w:r w:rsidR="00B41D83">
        <w:rPr>
          <w:szCs w:val="22"/>
        </w:rPr>
        <w:t>, a petitioner</w:t>
      </w:r>
      <w:r w:rsidR="007F2104" w:rsidRPr="007F2104">
        <w:rPr>
          <w:szCs w:val="22"/>
        </w:rPr>
        <w:t xml:space="preserve"> must, pursuant to Section 309(d) of the Act,</w:t>
      </w:r>
      <w:r w:rsidR="007F2104" w:rsidRPr="007F2104">
        <w:rPr>
          <w:rStyle w:val="FootnoteReference"/>
        </w:rPr>
        <w:footnoteReference w:id="13"/>
      </w:r>
      <w:r w:rsidR="007F2104" w:rsidRPr="007F2104">
        <w:rPr>
          <w:szCs w:val="22"/>
        </w:rPr>
        <w:t xml:space="preserve"> provide properly supported allegations of fact that, if true, would establish a substantial and material question of fact that grant of the application would be </w:t>
      </w:r>
      <w:r w:rsidR="007F2104" w:rsidRPr="003C6F12">
        <w:rPr>
          <w:i/>
          <w:szCs w:val="22"/>
        </w:rPr>
        <w:t>prima facie</w:t>
      </w:r>
      <w:r w:rsidR="007F2104" w:rsidRPr="007F2104">
        <w:rPr>
          <w:szCs w:val="22"/>
        </w:rPr>
        <w:t xml:space="preserve"> inconsistent with Section 309(k) of the Act,</w:t>
      </w:r>
      <w:r w:rsidR="007F2104" w:rsidRPr="007F2104">
        <w:rPr>
          <w:rStyle w:val="FootnoteReference"/>
        </w:rPr>
        <w:footnoteReference w:id="14"/>
      </w:r>
      <w:r w:rsidR="007F2104" w:rsidRPr="007F2104">
        <w:rPr>
          <w:szCs w:val="22"/>
        </w:rPr>
        <w:t xml:space="preserve"> which governs our evaluation of an application for license renewal.  </w:t>
      </w:r>
    </w:p>
    <w:p w14:paraId="7D9ACE6A" w14:textId="4412BF8C" w:rsidR="00951D15" w:rsidRPr="00EB5B8F" w:rsidRDefault="004965B4" w:rsidP="00EB5B8F">
      <w:pPr>
        <w:pStyle w:val="ParaNum"/>
        <w:widowControl/>
        <w:numPr>
          <w:ilvl w:val="0"/>
          <w:numId w:val="1"/>
        </w:numPr>
        <w:tabs>
          <w:tab w:val="clear" w:pos="1080"/>
        </w:tabs>
        <w:jc w:val="left"/>
        <w:rPr>
          <w:rStyle w:val="documentbody"/>
          <w:szCs w:val="22"/>
        </w:rPr>
      </w:pPr>
      <w:r>
        <w:t xml:space="preserve">Boris claims that he was denied immediate access to </w:t>
      </w:r>
      <w:r w:rsidR="009D6D9A">
        <w:t xml:space="preserve">and the ability to make copies of </w:t>
      </w:r>
      <w:r>
        <w:t xml:space="preserve">the public file.  </w:t>
      </w:r>
      <w:r>
        <w:rPr>
          <w:rStyle w:val="documentbody"/>
          <w:szCs w:val="22"/>
        </w:rPr>
        <w:t>A public file must be available for public inspection at any time during regular business hours, and a licensee may not require that a member of the public make an appointment in advance or return at another time to inspect the public file.</w:t>
      </w:r>
      <w:r>
        <w:rPr>
          <w:rStyle w:val="FootnoteReference"/>
          <w:szCs w:val="22"/>
        </w:rPr>
        <w:footnoteReference w:id="15"/>
      </w:r>
      <w:r w:rsidR="00496915">
        <w:rPr>
          <w:rStyle w:val="documentbody"/>
          <w:szCs w:val="22"/>
        </w:rPr>
        <w:t xml:space="preserve">  </w:t>
      </w:r>
      <w:r w:rsidR="009D6D9A">
        <w:rPr>
          <w:rStyle w:val="documentbody"/>
          <w:szCs w:val="22"/>
        </w:rPr>
        <w:t xml:space="preserve">Here, </w:t>
      </w:r>
      <w:r w:rsidR="005B1814">
        <w:t>Licensee concedes</w:t>
      </w:r>
      <w:r w:rsidR="009D6D9A">
        <w:rPr>
          <w:rStyle w:val="documentbody"/>
          <w:szCs w:val="22"/>
        </w:rPr>
        <w:t xml:space="preserve"> that Boris was denied </w:t>
      </w:r>
      <w:r w:rsidR="00E6636A">
        <w:rPr>
          <w:rStyle w:val="documentbody"/>
          <w:szCs w:val="22"/>
        </w:rPr>
        <w:t xml:space="preserve">immediate </w:t>
      </w:r>
      <w:r w:rsidR="009D6D9A">
        <w:rPr>
          <w:rStyle w:val="documentbody"/>
          <w:szCs w:val="22"/>
        </w:rPr>
        <w:t>access t</w:t>
      </w:r>
      <w:r w:rsidR="00005D05">
        <w:rPr>
          <w:rStyle w:val="documentbody"/>
          <w:szCs w:val="22"/>
        </w:rPr>
        <w:t xml:space="preserve">o the public file.  </w:t>
      </w:r>
      <w:r w:rsidR="00FD1CC8" w:rsidRPr="00FD1CC8">
        <w:rPr>
          <w:rStyle w:val="documentbody"/>
          <w:szCs w:val="22"/>
        </w:rPr>
        <w:t xml:space="preserve">Boris also </w:t>
      </w:r>
      <w:r w:rsidR="00FD1CC8" w:rsidRPr="00FD1CC8">
        <w:rPr>
          <w:color w:val="000000"/>
          <w:szCs w:val="22"/>
        </w:rPr>
        <w:t xml:space="preserve">raises a substantial and material question of fact as to whether Licensee </w:t>
      </w:r>
      <w:r w:rsidR="00AB4290">
        <w:rPr>
          <w:color w:val="000000"/>
          <w:szCs w:val="22"/>
        </w:rPr>
        <w:t>made available for printing the contents</w:t>
      </w:r>
      <w:r w:rsidR="00FD1CC8" w:rsidRPr="00FD1CC8">
        <w:rPr>
          <w:color w:val="000000"/>
          <w:szCs w:val="22"/>
        </w:rPr>
        <w:t xml:space="preserve"> of the public file.</w:t>
      </w:r>
      <w:r w:rsidR="00FD1CC8">
        <w:rPr>
          <w:color w:val="000000"/>
          <w:sz w:val="20"/>
        </w:rPr>
        <w:t xml:space="preserve">  </w:t>
      </w:r>
      <w:r w:rsidR="00E6636A" w:rsidRPr="00FD1CC8">
        <w:rPr>
          <w:rStyle w:val="documentbody"/>
          <w:szCs w:val="22"/>
        </w:rPr>
        <w:t>B</w:t>
      </w:r>
      <w:r w:rsidR="00005D05" w:rsidRPr="00FD1CC8">
        <w:rPr>
          <w:rStyle w:val="documentbody"/>
          <w:szCs w:val="22"/>
        </w:rPr>
        <w:t>ecause</w:t>
      </w:r>
      <w:r w:rsidR="009D6D9A" w:rsidRPr="00FD1CC8">
        <w:rPr>
          <w:rStyle w:val="documentbody"/>
          <w:szCs w:val="22"/>
        </w:rPr>
        <w:t xml:space="preserve"> Licensee </w:t>
      </w:r>
      <w:r w:rsidR="00005D05" w:rsidRPr="00FD1CC8">
        <w:rPr>
          <w:rStyle w:val="documentbody"/>
          <w:szCs w:val="22"/>
        </w:rPr>
        <w:t xml:space="preserve">does </w:t>
      </w:r>
      <w:r w:rsidR="009D6D9A" w:rsidRPr="00FD1CC8">
        <w:rPr>
          <w:rStyle w:val="documentbody"/>
          <w:szCs w:val="22"/>
        </w:rPr>
        <w:t xml:space="preserve">not </w:t>
      </w:r>
      <w:r w:rsidR="0071428A" w:rsidRPr="00FD1CC8">
        <w:rPr>
          <w:rStyle w:val="documentbody"/>
          <w:szCs w:val="22"/>
        </w:rPr>
        <w:t>contest</w:t>
      </w:r>
      <w:r w:rsidR="00005D05" w:rsidRPr="00FD1CC8">
        <w:rPr>
          <w:rStyle w:val="documentbody"/>
          <w:szCs w:val="22"/>
        </w:rPr>
        <w:t xml:space="preserve"> </w:t>
      </w:r>
      <w:r w:rsidR="004F33F1" w:rsidRPr="00FD1CC8">
        <w:rPr>
          <w:rStyle w:val="documentbody"/>
          <w:szCs w:val="22"/>
        </w:rPr>
        <w:t xml:space="preserve">that Station staff would not allow Boris to </w:t>
      </w:r>
      <w:r w:rsidR="00005D05" w:rsidRPr="00FD1CC8">
        <w:rPr>
          <w:rStyle w:val="documentbody"/>
          <w:szCs w:val="22"/>
        </w:rPr>
        <w:t>mak</w:t>
      </w:r>
      <w:r w:rsidR="004F33F1" w:rsidRPr="00FD1CC8">
        <w:rPr>
          <w:rStyle w:val="documentbody"/>
          <w:szCs w:val="22"/>
        </w:rPr>
        <w:t>e</w:t>
      </w:r>
      <w:r w:rsidR="00005D05" w:rsidRPr="00FD1CC8">
        <w:rPr>
          <w:rStyle w:val="documentbody"/>
          <w:szCs w:val="22"/>
        </w:rPr>
        <w:t xml:space="preserve"> copies</w:t>
      </w:r>
      <w:r w:rsidR="009D6D9A" w:rsidRPr="00FD1CC8">
        <w:rPr>
          <w:rStyle w:val="documentbody"/>
          <w:szCs w:val="22"/>
        </w:rPr>
        <w:t>,</w:t>
      </w:r>
      <w:r w:rsidR="0027799C">
        <w:rPr>
          <w:rStyle w:val="FootnoteReference"/>
          <w:szCs w:val="22"/>
        </w:rPr>
        <w:footnoteReference w:id="16"/>
      </w:r>
      <w:r w:rsidR="009D6D9A" w:rsidRPr="00FD1CC8">
        <w:rPr>
          <w:rStyle w:val="documentbody"/>
          <w:szCs w:val="22"/>
        </w:rPr>
        <w:t xml:space="preserve"> we credit Boris’ account that he was </w:t>
      </w:r>
      <w:r w:rsidR="00E6636A" w:rsidRPr="00FD1CC8">
        <w:rPr>
          <w:rStyle w:val="documentbody"/>
          <w:szCs w:val="22"/>
        </w:rPr>
        <w:t xml:space="preserve">also </w:t>
      </w:r>
      <w:r w:rsidR="009D6D9A" w:rsidRPr="00FD1CC8">
        <w:rPr>
          <w:rStyle w:val="documentbody"/>
          <w:szCs w:val="22"/>
        </w:rPr>
        <w:t xml:space="preserve">denied </w:t>
      </w:r>
      <w:r w:rsidR="000E798C" w:rsidRPr="00FD1CC8">
        <w:rPr>
          <w:rStyle w:val="documentbody"/>
          <w:szCs w:val="22"/>
        </w:rPr>
        <w:t xml:space="preserve">the </w:t>
      </w:r>
      <w:r w:rsidR="009D6D9A" w:rsidRPr="00FD1CC8">
        <w:rPr>
          <w:rStyle w:val="documentbody"/>
          <w:szCs w:val="22"/>
        </w:rPr>
        <w:t xml:space="preserve">opportunity to </w:t>
      </w:r>
      <w:r w:rsidR="00005D05" w:rsidRPr="00FD1CC8">
        <w:rPr>
          <w:rStyle w:val="documentbody"/>
          <w:szCs w:val="22"/>
        </w:rPr>
        <w:t>copy</w:t>
      </w:r>
      <w:r w:rsidR="009D6D9A" w:rsidRPr="00FD1CC8">
        <w:rPr>
          <w:rStyle w:val="documentbody"/>
          <w:szCs w:val="22"/>
        </w:rPr>
        <w:t xml:space="preserve"> the file.  </w:t>
      </w:r>
      <w:r w:rsidR="00496915" w:rsidRPr="00FD1CC8">
        <w:rPr>
          <w:rStyle w:val="documentbody"/>
          <w:szCs w:val="22"/>
        </w:rPr>
        <w:t>Accordingly, we conclude that L</w:t>
      </w:r>
      <w:r w:rsidR="00860A82" w:rsidRPr="00FD1CC8">
        <w:rPr>
          <w:rStyle w:val="documentbody"/>
          <w:szCs w:val="22"/>
        </w:rPr>
        <w:t>icensee violated Section 73.3526</w:t>
      </w:r>
      <w:r w:rsidR="00496915" w:rsidRPr="00FD1CC8">
        <w:rPr>
          <w:rStyle w:val="documentbody"/>
          <w:szCs w:val="22"/>
        </w:rPr>
        <w:t>(c)</w:t>
      </w:r>
      <w:r w:rsidR="00860A82" w:rsidRPr="00FD1CC8">
        <w:rPr>
          <w:rStyle w:val="documentbody"/>
          <w:szCs w:val="22"/>
        </w:rPr>
        <w:t>(1)</w:t>
      </w:r>
      <w:r w:rsidR="00496915" w:rsidRPr="00FD1CC8">
        <w:rPr>
          <w:rStyle w:val="documentbody"/>
          <w:szCs w:val="22"/>
        </w:rPr>
        <w:t xml:space="preserve"> of the Rules by failing to make </w:t>
      </w:r>
      <w:r w:rsidR="005B1814" w:rsidRPr="00FD1CC8">
        <w:rPr>
          <w:rStyle w:val="documentbody"/>
          <w:szCs w:val="22"/>
        </w:rPr>
        <w:t>the</w:t>
      </w:r>
      <w:r w:rsidR="006A4E00" w:rsidRPr="00FD1CC8">
        <w:rPr>
          <w:rStyle w:val="documentbody"/>
          <w:szCs w:val="22"/>
        </w:rPr>
        <w:t xml:space="preserve"> public</w:t>
      </w:r>
      <w:r w:rsidR="006A4E00">
        <w:rPr>
          <w:rStyle w:val="documentbody"/>
          <w:szCs w:val="22"/>
        </w:rPr>
        <w:t xml:space="preserve"> file </w:t>
      </w:r>
      <w:r w:rsidR="00496915">
        <w:rPr>
          <w:rStyle w:val="documentbody"/>
          <w:szCs w:val="22"/>
        </w:rPr>
        <w:t xml:space="preserve">available immediately and to provide copies of materials in the file.  </w:t>
      </w:r>
    </w:p>
    <w:p w14:paraId="36EDB4F7" w14:textId="28E87F5C" w:rsidR="008D4D19" w:rsidRPr="008D4D19" w:rsidRDefault="00792B8F" w:rsidP="00F743A0">
      <w:pPr>
        <w:pStyle w:val="ParaNum"/>
        <w:widowControl/>
        <w:numPr>
          <w:ilvl w:val="0"/>
          <w:numId w:val="1"/>
        </w:numPr>
        <w:tabs>
          <w:tab w:val="clear" w:pos="1080"/>
        </w:tabs>
        <w:jc w:val="left"/>
        <w:rPr>
          <w:szCs w:val="22"/>
        </w:rPr>
      </w:pPr>
      <w:r w:rsidRPr="0009586D">
        <w:rPr>
          <w:rStyle w:val="documentbody"/>
          <w:szCs w:val="22"/>
        </w:rPr>
        <w:t xml:space="preserve">Next, </w:t>
      </w:r>
      <w:r w:rsidR="0071428A" w:rsidRPr="0009586D">
        <w:rPr>
          <w:rStyle w:val="documentbody"/>
          <w:szCs w:val="22"/>
        </w:rPr>
        <w:t>Boris</w:t>
      </w:r>
      <w:r w:rsidRPr="0009586D">
        <w:rPr>
          <w:rStyle w:val="documentbody"/>
          <w:szCs w:val="22"/>
        </w:rPr>
        <w:t xml:space="preserve"> alleges that the public file was deficient.  Specifically, </w:t>
      </w:r>
      <w:r w:rsidR="0071428A" w:rsidRPr="0009586D">
        <w:rPr>
          <w:rStyle w:val="documentbody"/>
          <w:szCs w:val="22"/>
        </w:rPr>
        <w:t>he</w:t>
      </w:r>
      <w:r w:rsidRPr="0009586D">
        <w:rPr>
          <w:rStyle w:val="documentbody"/>
          <w:szCs w:val="22"/>
        </w:rPr>
        <w:t xml:space="preserve"> states that it lacked</w:t>
      </w:r>
      <w:r w:rsidR="00682C20" w:rsidRPr="0009586D">
        <w:rPr>
          <w:rStyle w:val="documentbody"/>
          <w:szCs w:val="22"/>
        </w:rPr>
        <w:t>: (1)</w:t>
      </w:r>
      <w:r w:rsidRPr="0009586D">
        <w:rPr>
          <w:rStyle w:val="documentbody"/>
          <w:szCs w:val="22"/>
        </w:rPr>
        <w:t xml:space="preserve"> </w:t>
      </w:r>
      <w:r w:rsidRPr="0009586D">
        <w:t xml:space="preserve">information </w:t>
      </w:r>
      <w:r w:rsidR="00682C20" w:rsidRPr="0009586D">
        <w:t>related to its authorization</w:t>
      </w:r>
      <w:r w:rsidRPr="0009586D">
        <w:t>;</w:t>
      </w:r>
      <w:r w:rsidR="00692547" w:rsidRPr="0009586D">
        <w:rPr>
          <w:rStyle w:val="FootnoteReference"/>
        </w:rPr>
        <w:footnoteReference w:id="17"/>
      </w:r>
      <w:r w:rsidRPr="0009586D">
        <w:t xml:space="preserve"> </w:t>
      </w:r>
      <w:r w:rsidR="00AF5583" w:rsidRPr="0009586D">
        <w:t>(2</w:t>
      </w:r>
      <w:r w:rsidR="00682C20" w:rsidRPr="0009586D">
        <w:t xml:space="preserve">) </w:t>
      </w:r>
      <w:r w:rsidR="00924691" w:rsidRPr="0009586D">
        <w:t>applications filed with the Commission;</w:t>
      </w:r>
      <w:r w:rsidR="00F522B2">
        <w:rPr>
          <w:rStyle w:val="FootnoteReference"/>
        </w:rPr>
        <w:footnoteReference w:id="18"/>
      </w:r>
      <w:r w:rsidR="00924691" w:rsidRPr="0009586D">
        <w:t xml:space="preserve"> </w:t>
      </w:r>
      <w:r w:rsidR="00A0761D" w:rsidRPr="0009586D">
        <w:t xml:space="preserve">(3) </w:t>
      </w:r>
      <w:r w:rsidR="00596DE4" w:rsidRPr="0009586D">
        <w:t xml:space="preserve">the most </w:t>
      </w:r>
      <w:r w:rsidR="00596DE4" w:rsidRPr="0009586D">
        <w:lastRenderedPageBreak/>
        <w:t>recent ownership report;</w:t>
      </w:r>
      <w:r w:rsidR="00A0761D" w:rsidRPr="0009586D">
        <w:t xml:space="preserve"> (4</w:t>
      </w:r>
      <w:r w:rsidR="00596DE4" w:rsidRPr="0009586D">
        <w:t xml:space="preserve">) </w:t>
      </w:r>
      <w:r w:rsidRPr="0009586D">
        <w:t xml:space="preserve">a political file; </w:t>
      </w:r>
      <w:r w:rsidR="00A0761D" w:rsidRPr="0009586D">
        <w:t>(5</w:t>
      </w:r>
      <w:r w:rsidR="00682C20" w:rsidRPr="0009586D">
        <w:t xml:space="preserve">) letters and email from </w:t>
      </w:r>
      <w:r w:rsidR="00742F4A" w:rsidRPr="0009586D">
        <w:t>the public;</w:t>
      </w:r>
      <w:r w:rsidR="006B41E0">
        <w:rPr>
          <w:rStyle w:val="FootnoteReference"/>
        </w:rPr>
        <w:footnoteReference w:id="19"/>
      </w:r>
      <w:r w:rsidR="00742F4A" w:rsidRPr="0009586D">
        <w:t xml:space="preserve"> </w:t>
      </w:r>
      <w:r w:rsidR="00A0761D" w:rsidRPr="0009586D">
        <w:t>(6</w:t>
      </w:r>
      <w:r w:rsidR="00682C20" w:rsidRPr="0009586D">
        <w:t>) material related to</w:t>
      </w:r>
      <w:r w:rsidR="00196869">
        <w:t xml:space="preserve"> any</w:t>
      </w:r>
      <w:r w:rsidR="00682C20" w:rsidRPr="0009586D">
        <w:t xml:space="preserve"> Commission investigation or complaint; </w:t>
      </w:r>
      <w:r w:rsidR="00A0761D" w:rsidRPr="0009586D">
        <w:t>(7</w:t>
      </w:r>
      <w:r w:rsidR="00682C20" w:rsidRPr="0009586D">
        <w:t xml:space="preserve">) all issues/programs lists; </w:t>
      </w:r>
      <w:r w:rsidR="00692547" w:rsidRPr="0009586D">
        <w:t>(</w:t>
      </w:r>
      <w:r w:rsidR="00A0761D" w:rsidRPr="0009586D">
        <w:t>8</w:t>
      </w:r>
      <w:r w:rsidR="00682C20" w:rsidRPr="0009586D">
        <w:t xml:space="preserve">) all local public notice announcement notices; </w:t>
      </w:r>
      <w:r w:rsidR="00A0761D" w:rsidRPr="0009586D">
        <w:t>(9</w:t>
      </w:r>
      <w:r w:rsidR="00682C20" w:rsidRPr="0009586D">
        <w:t xml:space="preserve">) all </w:t>
      </w:r>
      <w:r w:rsidR="006B41E0">
        <w:t>time</w:t>
      </w:r>
      <w:r w:rsidR="00742F4A" w:rsidRPr="0009586D">
        <w:t xml:space="preserve"> brokerage agreements;</w:t>
      </w:r>
      <w:r w:rsidR="00682C20" w:rsidRPr="0009586D">
        <w:t xml:space="preserve"> and </w:t>
      </w:r>
      <w:r w:rsidR="00A0761D" w:rsidRPr="0009586D">
        <w:t>(10</w:t>
      </w:r>
      <w:r w:rsidR="00682C20" w:rsidRPr="0009586D">
        <w:t>) all joint sales agreements</w:t>
      </w:r>
      <w:r w:rsidRPr="0009586D">
        <w:t>.</w:t>
      </w:r>
      <w:r w:rsidRPr="0009586D">
        <w:rPr>
          <w:rStyle w:val="FootnoteReference"/>
        </w:rPr>
        <w:footnoteReference w:id="20"/>
      </w:r>
      <w:r w:rsidRPr="0009586D">
        <w:t xml:space="preserve">  In response, Licensee states that the public file is “in order,”</w:t>
      </w:r>
      <w:r w:rsidRPr="0009586D">
        <w:rPr>
          <w:rStyle w:val="FootnoteReference"/>
          <w:szCs w:val="22"/>
        </w:rPr>
        <w:footnoteReference w:id="21"/>
      </w:r>
      <w:r w:rsidRPr="0009586D">
        <w:t xml:space="preserve"> “in good shape,”</w:t>
      </w:r>
      <w:r w:rsidRPr="0009586D">
        <w:rPr>
          <w:rStyle w:val="FootnoteReference"/>
          <w:szCs w:val="22"/>
        </w:rPr>
        <w:footnoteReference w:id="22"/>
      </w:r>
      <w:r w:rsidR="00A357AD" w:rsidRPr="0009586D">
        <w:t xml:space="preserve"> and the Station</w:t>
      </w:r>
      <w:r w:rsidRPr="0009586D">
        <w:t xml:space="preserve"> is “operating pursuant to the Rules.”</w:t>
      </w:r>
      <w:r w:rsidRPr="0009586D">
        <w:rPr>
          <w:rStyle w:val="FootnoteReference"/>
          <w:szCs w:val="22"/>
        </w:rPr>
        <w:footnoteReference w:id="23"/>
      </w:r>
      <w:r w:rsidRPr="0009586D">
        <w:t xml:space="preserve">  </w:t>
      </w:r>
    </w:p>
    <w:p w14:paraId="055A8F7A" w14:textId="77777777" w:rsidR="009571D1" w:rsidRPr="009571D1" w:rsidRDefault="00052207" w:rsidP="00F743A0">
      <w:pPr>
        <w:pStyle w:val="ParaNum"/>
        <w:widowControl/>
        <w:numPr>
          <w:ilvl w:val="0"/>
          <w:numId w:val="1"/>
        </w:numPr>
        <w:tabs>
          <w:tab w:val="clear" w:pos="1080"/>
        </w:tabs>
        <w:jc w:val="left"/>
        <w:rPr>
          <w:szCs w:val="22"/>
        </w:rPr>
      </w:pPr>
      <w:r w:rsidRPr="00513DB0">
        <w:t>Section 73.3526(a) of the Rules requires broadcast licensees to maintain a public file containing specific types of information</w:t>
      </w:r>
      <w:r>
        <w:t xml:space="preserve"> related to station operations</w:t>
      </w:r>
      <w:r w:rsidR="00383E6D" w:rsidRPr="0009586D">
        <w:rPr>
          <w:color w:val="000000"/>
          <w:szCs w:val="22"/>
        </w:rPr>
        <w:t>.</w:t>
      </w:r>
      <w:r w:rsidR="00383E6D" w:rsidRPr="0009586D">
        <w:rPr>
          <w:rStyle w:val="FootnoteReference"/>
          <w:color w:val="000000"/>
          <w:szCs w:val="22"/>
        </w:rPr>
        <w:footnoteReference w:id="24"/>
      </w:r>
      <w:r w:rsidR="00383E6D" w:rsidRPr="0009586D">
        <w:rPr>
          <w:color w:val="000000"/>
          <w:szCs w:val="22"/>
        </w:rPr>
        <w:t xml:space="preserve">  </w:t>
      </w:r>
      <w:r w:rsidR="008D4D19">
        <w:rPr>
          <w:color w:val="000000"/>
          <w:szCs w:val="22"/>
        </w:rPr>
        <w:t xml:space="preserve">Except as indicated in notes 15-18 with respect to evidentiary gaps </w:t>
      </w:r>
      <w:r w:rsidR="003353C5">
        <w:rPr>
          <w:color w:val="000000"/>
          <w:szCs w:val="22"/>
        </w:rPr>
        <w:t xml:space="preserve">or mistaken citations </w:t>
      </w:r>
      <w:r w:rsidR="008D4D19">
        <w:rPr>
          <w:color w:val="000000"/>
          <w:szCs w:val="22"/>
        </w:rPr>
        <w:t>in Boris’s Petition, t</w:t>
      </w:r>
      <w:r w:rsidR="00BC0740" w:rsidRPr="0009586D">
        <w:rPr>
          <w:color w:val="000000"/>
          <w:szCs w:val="22"/>
        </w:rPr>
        <w:t xml:space="preserve">he information </w:t>
      </w:r>
      <w:r w:rsidR="00CA4754" w:rsidRPr="0009586D">
        <w:rPr>
          <w:color w:val="000000"/>
          <w:szCs w:val="22"/>
        </w:rPr>
        <w:t xml:space="preserve">alleged absent </w:t>
      </w:r>
      <w:r w:rsidR="00BC0740" w:rsidRPr="0009586D">
        <w:t>is, indeed, required to be in the pub</w:t>
      </w:r>
      <w:r>
        <w:t>lic file</w:t>
      </w:r>
      <w:r w:rsidR="00BC0740" w:rsidRPr="0009586D">
        <w:t>.</w:t>
      </w:r>
      <w:r w:rsidR="00A0761D" w:rsidRPr="0009586D">
        <w:rPr>
          <w:rStyle w:val="FootnoteReference"/>
        </w:rPr>
        <w:footnoteReference w:id="25"/>
      </w:r>
      <w:r w:rsidR="00BC0740" w:rsidRPr="0009586D">
        <w:t xml:space="preserve">  </w:t>
      </w:r>
      <w:r w:rsidR="00C24ED1" w:rsidRPr="0009586D">
        <w:t xml:space="preserve">Here, </w:t>
      </w:r>
      <w:r w:rsidR="004965B4" w:rsidRPr="0009586D">
        <w:t>Licensee’</w:t>
      </w:r>
      <w:r w:rsidR="00C24ED1" w:rsidRPr="0009586D">
        <w:t xml:space="preserve">s response is insufficient </w:t>
      </w:r>
      <w:r w:rsidR="00BC0740" w:rsidRPr="0009586D">
        <w:t xml:space="preserve">because it </w:t>
      </w:r>
      <w:r w:rsidR="000D75E2" w:rsidRPr="0009586D">
        <w:t xml:space="preserve">responds only briefly </w:t>
      </w:r>
      <w:r w:rsidR="00513DB0" w:rsidRPr="0009586D">
        <w:t xml:space="preserve">and </w:t>
      </w:r>
      <w:r w:rsidR="000D75E2" w:rsidRPr="0009586D">
        <w:t>generally to the specific</w:t>
      </w:r>
      <w:r w:rsidR="00513DB0" w:rsidRPr="0009586D">
        <w:t xml:space="preserve">, </w:t>
      </w:r>
      <w:r w:rsidR="00BC0740" w:rsidRPr="0009586D">
        <w:t>numerous</w:t>
      </w:r>
      <w:r w:rsidR="00B16CC5" w:rsidRPr="0009586D">
        <w:t xml:space="preserve"> allegations</w:t>
      </w:r>
      <w:r w:rsidR="000D75E2" w:rsidRPr="0009586D">
        <w:t xml:space="preserve"> cited in the Petition</w:t>
      </w:r>
      <w:r w:rsidR="00BC0740" w:rsidRPr="0009586D">
        <w:t>.</w:t>
      </w:r>
      <w:r w:rsidR="004965B4" w:rsidRPr="0009586D">
        <w:t xml:space="preserve"> </w:t>
      </w:r>
      <w:r w:rsidR="00BC0740" w:rsidRPr="0009586D">
        <w:t xml:space="preserve"> Most importantly, it never states that the public file </w:t>
      </w:r>
      <w:r w:rsidR="00421EAD">
        <w:t>was</w:t>
      </w:r>
      <w:r w:rsidR="00BC0740" w:rsidRPr="0009586D">
        <w:t xml:space="preserve"> </w:t>
      </w:r>
      <w:r w:rsidR="00A93E00">
        <w:t>maintained as required</w:t>
      </w:r>
      <w:r w:rsidR="00BC0740" w:rsidRPr="0009586D">
        <w:t xml:space="preserve"> for the </w:t>
      </w:r>
      <w:r w:rsidR="00CA4754" w:rsidRPr="0009586D">
        <w:t xml:space="preserve">entire </w:t>
      </w:r>
      <w:r w:rsidR="00A93E00">
        <w:t>license term</w:t>
      </w:r>
      <w:r w:rsidR="000F67D0">
        <w:t>, as claimed in the Application</w:t>
      </w:r>
      <w:r w:rsidR="00BC0740" w:rsidRPr="0009586D">
        <w:t>.</w:t>
      </w:r>
      <w:r w:rsidR="00A93E00">
        <w:rPr>
          <w:rStyle w:val="FootnoteReference"/>
        </w:rPr>
        <w:footnoteReference w:id="26"/>
      </w:r>
      <w:r w:rsidR="00BC0740" w:rsidRPr="0009586D">
        <w:t xml:space="preserve">  </w:t>
      </w:r>
      <w:r w:rsidR="00775E1D">
        <w:t xml:space="preserve"> </w:t>
      </w:r>
      <w:r w:rsidR="00896596" w:rsidRPr="0009586D">
        <w:t xml:space="preserve">Accordingly, </w:t>
      </w:r>
      <w:r w:rsidR="00F81035" w:rsidRPr="0009586D">
        <w:t xml:space="preserve">we find </w:t>
      </w:r>
      <w:r w:rsidR="00955D6D" w:rsidRPr="0009586D">
        <w:t xml:space="preserve">that </w:t>
      </w:r>
      <w:r w:rsidR="0079537E">
        <w:t xml:space="preserve">Licensee </w:t>
      </w:r>
      <w:r w:rsidR="00AF312F">
        <w:t xml:space="preserve">apparently </w:t>
      </w:r>
      <w:r w:rsidR="0079537E">
        <w:t>violated Section 73.3526(e)</w:t>
      </w:r>
      <w:r w:rsidR="00196869">
        <w:t>, as</w:t>
      </w:r>
      <w:r w:rsidR="00E44C90">
        <w:t xml:space="preserve"> </w:t>
      </w:r>
      <w:r w:rsidR="00CA4754" w:rsidRPr="0009586D">
        <w:t>the Petition</w:t>
      </w:r>
      <w:r w:rsidR="00955D6D" w:rsidRPr="0009586D">
        <w:t xml:space="preserve"> </w:t>
      </w:r>
      <w:r w:rsidR="00196869">
        <w:t xml:space="preserve">made a </w:t>
      </w:r>
      <w:r w:rsidR="00196869" w:rsidRPr="00D83BA6">
        <w:rPr>
          <w:i/>
        </w:rPr>
        <w:t>prima facie</w:t>
      </w:r>
      <w:r w:rsidR="00196869">
        <w:t xml:space="preserve"> showing of rule violations</w:t>
      </w:r>
      <w:r w:rsidR="00896596" w:rsidRPr="0009586D">
        <w:t xml:space="preserve"> </w:t>
      </w:r>
      <w:r w:rsidR="0071428A" w:rsidRPr="0009586D">
        <w:t>that Licensee has failed to rebut</w:t>
      </w:r>
      <w:r w:rsidR="00955D6D" w:rsidRPr="0009586D">
        <w:t>.</w:t>
      </w:r>
      <w:r w:rsidR="00DE327A" w:rsidRPr="0009586D">
        <w:t xml:space="preserve">  W</w:t>
      </w:r>
      <w:r w:rsidR="00955D6D" w:rsidRPr="0009586D">
        <w:t xml:space="preserve">e </w:t>
      </w:r>
      <w:r w:rsidR="00DE327A" w:rsidRPr="0009586D">
        <w:t xml:space="preserve">thus </w:t>
      </w:r>
      <w:r w:rsidR="00955D6D" w:rsidRPr="0009586D">
        <w:t>grant the Petition</w:t>
      </w:r>
      <w:r w:rsidR="0071428A" w:rsidRPr="0009586D">
        <w:t xml:space="preserve"> </w:t>
      </w:r>
      <w:r w:rsidR="0009586D" w:rsidRPr="0009586D">
        <w:t>in part, and deny it in all other respects.</w:t>
      </w:r>
      <w:r w:rsidR="008B498B">
        <w:t xml:space="preserve">  We also admonish Licensee</w:t>
      </w:r>
      <w:r w:rsidR="00196869">
        <w:t xml:space="preserve"> for its</w:t>
      </w:r>
      <w:r w:rsidR="008B498B">
        <w:t xml:space="preserve"> false certif</w:t>
      </w:r>
      <w:r w:rsidR="00140A93">
        <w:t>ication</w:t>
      </w:r>
      <w:r w:rsidR="008B498B">
        <w:t xml:space="preserve"> in the Application that its </w:t>
      </w:r>
      <w:r w:rsidR="00360DA9">
        <w:t xml:space="preserve">public file </w:t>
      </w:r>
      <w:r w:rsidR="008B498B">
        <w:t xml:space="preserve">was </w:t>
      </w:r>
      <w:r w:rsidR="0007271E">
        <w:t>updated</w:t>
      </w:r>
      <w:r w:rsidR="00AF312F">
        <w:t xml:space="preserve"> throughout the license term</w:t>
      </w:r>
      <w:r w:rsidR="008B498B">
        <w:t>, when in fact it was not.</w:t>
      </w:r>
      <w:r w:rsidR="008B498B">
        <w:rPr>
          <w:rStyle w:val="FootnoteReference"/>
        </w:rPr>
        <w:footnoteReference w:id="27"/>
      </w:r>
      <w:r w:rsidR="00A93E00" w:rsidDel="00A93E00">
        <w:t xml:space="preserve"> </w:t>
      </w:r>
    </w:p>
    <w:p w14:paraId="4BE5231C" w14:textId="7E3EE799" w:rsidR="00F743A0" w:rsidRDefault="00D7753A" w:rsidP="00F743A0">
      <w:pPr>
        <w:pStyle w:val="ParaNum"/>
        <w:widowControl/>
        <w:numPr>
          <w:ilvl w:val="0"/>
          <w:numId w:val="1"/>
        </w:numPr>
        <w:tabs>
          <w:tab w:val="clear" w:pos="1080"/>
        </w:tabs>
        <w:jc w:val="left"/>
        <w:rPr>
          <w:szCs w:val="22"/>
        </w:rPr>
      </w:pPr>
      <w:r>
        <w:rPr>
          <w:i/>
          <w:szCs w:val="22"/>
        </w:rPr>
        <w:t>Proposed Forfeiture.</w:t>
      </w:r>
      <w:r>
        <w:rPr>
          <w:szCs w:val="22"/>
        </w:rPr>
        <w:t xml:space="preserve">  </w:t>
      </w:r>
      <w:r w:rsidR="00052207">
        <w:rPr>
          <w:szCs w:val="22"/>
        </w:rPr>
        <w:t>As noted above, Licensee</w:t>
      </w:r>
      <w:r>
        <w:rPr>
          <w:szCs w:val="22"/>
        </w:rPr>
        <w:t xml:space="preserve"> denied access to the </w:t>
      </w:r>
      <w:r w:rsidR="00B71309">
        <w:rPr>
          <w:szCs w:val="22"/>
        </w:rPr>
        <w:t>Station</w:t>
      </w:r>
      <w:r w:rsidR="00903A49">
        <w:rPr>
          <w:szCs w:val="22"/>
        </w:rPr>
        <w:t>’</w:t>
      </w:r>
      <w:r w:rsidR="00B71309">
        <w:rPr>
          <w:szCs w:val="22"/>
        </w:rPr>
        <w:t xml:space="preserve">s </w:t>
      </w:r>
      <w:r>
        <w:rPr>
          <w:szCs w:val="22"/>
        </w:rPr>
        <w:t>public file</w:t>
      </w:r>
      <w:r w:rsidR="00B71309">
        <w:rPr>
          <w:szCs w:val="22"/>
        </w:rPr>
        <w:t>, and the</w:t>
      </w:r>
      <w:r>
        <w:rPr>
          <w:szCs w:val="22"/>
        </w:rPr>
        <w:t xml:space="preserve"> file did not contain many of the items required to be retained </w:t>
      </w:r>
      <w:r w:rsidR="00D15159">
        <w:rPr>
          <w:szCs w:val="22"/>
        </w:rPr>
        <w:t>by Section 73.3526</w:t>
      </w:r>
      <w:r>
        <w:rPr>
          <w:szCs w:val="22"/>
        </w:rPr>
        <w:t xml:space="preserve"> of the Rules.  </w:t>
      </w:r>
      <w:r w:rsidR="00211C64">
        <w:rPr>
          <w:szCs w:val="22"/>
        </w:rPr>
        <w:t>W</w:t>
      </w:r>
      <w:r>
        <w:rPr>
          <w:szCs w:val="22"/>
        </w:rPr>
        <w:t>here</w:t>
      </w:r>
      <w:r w:rsidR="00211C64">
        <w:rPr>
          <w:szCs w:val="22"/>
        </w:rPr>
        <w:t xml:space="preserve"> such</w:t>
      </w:r>
      <w:r>
        <w:rPr>
          <w:szCs w:val="22"/>
        </w:rPr>
        <w:t xml:space="preserve"> lapses occur in maintaining the public file, neither the negligent acts or omissions of station employees or agents, nor the subsequent remedial actions undertaken by the licensee, excuse or nullify a licensee’s rule violation.</w:t>
      </w:r>
      <w:r>
        <w:rPr>
          <w:rStyle w:val="FootnoteReference"/>
          <w:szCs w:val="22"/>
        </w:rPr>
        <w:footnoteReference w:id="28"/>
      </w:r>
      <w:r>
        <w:rPr>
          <w:szCs w:val="22"/>
        </w:rPr>
        <w:t xml:space="preserve">  </w:t>
      </w:r>
    </w:p>
    <w:p w14:paraId="3080C6E9" w14:textId="77777777" w:rsidR="005844B0" w:rsidRDefault="009C1F11" w:rsidP="005844B0">
      <w:pPr>
        <w:pStyle w:val="ParaNum"/>
        <w:widowControl/>
        <w:numPr>
          <w:ilvl w:val="0"/>
          <w:numId w:val="1"/>
        </w:numPr>
        <w:tabs>
          <w:tab w:val="clear" w:pos="1080"/>
        </w:tabs>
        <w:jc w:val="left"/>
        <w:rPr>
          <w:szCs w:val="22"/>
        </w:rPr>
      </w:pPr>
      <w:r>
        <w:rPr>
          <w:rFonts w:eastAsia="SimSun"/>
        </w:rPr>
        <w:t xml:space="preserve">This </w:t>
      </w:r>
      <w:r>
        <w:rPr>
          <w:rFonts w:eastAsia="SimSun"/>
          <w:i/>
        </w:rPr>
        <w:t>NAL</w:t>
      </w:r>
      <w:r>
        <w:rPr>
          <w:rFonts w:eastAsia="SimSun"/>
        </w:rP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r>
        <w:rPr>
          <w:rFonts w:eastAsia="SimSun"/>
          <w:vertAlign w:val="superscript"/>
        </w:rPr>
        <w:t xml:space="preserve"> </w:t>
      </w:r>
      <w:r>
        <w:rPr>
          <w:rFonts w:eastAsia="SimSun"/>
        </w:rPr>
        <w:t xml:space="preserve"> Section 312(f)(1) of the Act defines willful as “the conscious and deliberate commission or omission of [any] act, irrespective of any intent to violate” the law.  The legislative history to Section 312(f)(1) of the Act clarifies that this definition of willful applies to both Sections 312 and 503(b) of the Act,</w:t>
      </w:r>
      <w:r>
        <w:rPr>
          <w:rFonts w:eastAsia="SimSun"/>
          <w:vertAlign w:val="superscript"/>
        </w:rPr>
        <w:footnoteReference w:id="29"/>
      </w:r>
      <w:r>
        <w:rPr>
          <w:rFonts w:eastAsia="SimSun"/>
        </w:rPr>
        <w:t xml:space="preserve"> and the Commission has so interpreted the term in the Section 503(b) context.</w:t>
      </w:r>
      <w:r>
        <w:rPr>
          <w:rFonts w:eastAsia="SimSun"/>
          <w:vertAlign w:val="superscript"/>
        </w:rPr>
        <w:footnoteReference w:id="30"/>
      </w:r>
      <w:r>
        <w:rPr>
          <w:rFonts w:eastAsia="SimSun"/>
        </w:rPr>
        <w:t xml:space="preserve">  </w:t>
      </w:r>
      <w:r w:rsidR="00D7753A">
        <w:rPr>
          <w:szCs w:val="22"/>
        </w:rPr>
        <w:t>Section 312(f)(2) of the Act provides that “[t]he term ‘repeated,’ when used with reference to the commission or omission of any act, means the commission or omission of such act more than once or, if such commission or omission is continuous, for more than one day.”</w:t>
      </w:r>
      <w:r w:rsidR="00D7753A">
        <w:rPr>
          <w:rStyle w:val="FootnoteReference"/>
          <w:szCs w:val="22"/>
        </w:rPr>
        <w:footnoteReference w:id="31"/>
      </w:r>
      <w:r w:rsidR="00D7753A">
        <w:rPr>
          <w:szCs w:val="22"/>
        </w:rPr>
        <w:t xml:space="preserve">  </w:t>
      </w:r>
    </w:p>
    <w:p w14:paraId="575B9509" w14:textId="77777777" w:rsidR="005844B0" w:rsidRDefault="00D7753A" w:rsidP="005844B0">
      <w:pPr>
        <w:pStyle w:val="ParaNum"/>
        <w:widowControl/>
        <w:numPr>
          <w:ilvl w:val="0"/>
          <w:numId w:val="1"/>
        </w:numPr>
        <w:tabs>
          <w:tab w:val="clear" w:pos="1080"/>
        </w:tabs>
        <w:jc w:val="left"/>
        <w:rPr>
          <w:szCs w:val="22"/>
        </w:rPr>
      </w:pPr>
      <w:r>
        <w:rPr>
          <w:szCs w:val="22"/>
        </w:rPr>
        <w:t>The</w:t>
      </w:r>
      <w:r>
        <w:rPr>
          <w:i/>
          <w:szCs w:val="22"/>
        </w:rPr>
        <w:t xml:space="preserve"> </w:t>
      </w:r>
      <w:r>
        <w:rPr>
          <w:szCs w:val="22"/>
        </w:rPr>
        <w:t>Commission’s</w:t>
      </w:r>
      <w:r>
        <w:rPr>
          <w:i/>
          <w:szCs w:val="22"/>
        </w:rPr>
        <w:t xml:space="preserve"> Forfeiture Policy Statement</w:t>
      </w:r>
      <w:r>
        <w:rPr>
          <w:szCs w:val="22"/>
        </w:rPr>
        <w:t xml:space="preserve"> and Section 1.80(b)(4) of the Rules establish a base forfeiture amount of $10,000 for violation of Section 73.3526</w:t>
      </w:r>
      <w:r>
        <w:rPr>
          <w:b/>
          <w:szCs w:val="22"/>
        </w:rPr>
        <w:t>.</w:t>
      </w:r>
      <w:r>
        <w:rPr>
          <w:rStyle w:val="FootnoteReference"/>
          <w:szCs w:val="22"/>
        </w:rPr>
        <w:footnoteReference w:id="32"/>
      </w:r>
      <w:r>
        <w:rPr>
          <w:szCs w:val="22"/>
        </w:rPr>
        <w:t xml:space="preserve">  In determining the appropriate forfeiture amount, we may adjust the base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33"/>
      </w:r>
    </w:p>
    <w:p w14:paraId="6F71638B" w14:textId="2789D09E" w:rsidR="002C0E34" w:rsidRDefault="00D7753A" w:rsidP="002C0E34">
      <w:pPr>
        <w:pStyle w:val="ParaNum"/>
        <w:widowControl/>
        <w:numPr>
          <w:ilvl w:val="0"/>
          <w:numId w:val="1"/>
        </w:numPr>
        <w:tabs>
          <w:tab w:val="clear" w:pos="1080"/>
        </w:tabs>
        <w:jc w:val="left"/>
        <w:rPr>
          <w:szCs w:val="22"/>
        </w:rPr>
      </w:pPr>
      <w:r w:rsidRPr="00A456FC">
        <w:t>In this case,</w:t>
      </w:r>
      <w:r w:rsidR="00A456FC" w:rsidRPr="00A456FC">
        <w:t xml:space="preserve"> </w:t>
      </w:r>
      <w:r w:rsidR="005844B0">
        <w:t>Licensee</w:t>
      </w:r>
      <w:r w:rsidR="00A456FC">
        <w:t xml:space="preserve"> denied access to the public file and refused to make the file material available for </w:t>
      </w:r>
      <w:r w:rsidR="005844B0">
        <w:t>copying</w:t>
      </w:r>
      <w:r w:rsidR="00A456FC">
        <w:t xml:space="preserve">, as required by Section 73.3526(c) of the Rules.  </w:t>
      </w:r>
      <w:r w:rsidR="005C745C">
        <w:t>Furthermore</w:t>
      </w:r>
      <w:r w:rsidR="004B0472">
        <w:t>, Licensee provides no evidence that the Station ever had any</w:t>
      </w:r>
      <w:r w:rsidR="00A456FC">
        <w:t xml:space="preserve"> issues/program lists </w:t>
      </w:r>
      <w:r w:rsidR="004B0472">
        <w:t xml:space="preserve">or </w:t>
      </w:r>
      <w:r w:rsidR="00421EAD">
        <w:t xml:space="preserve">the </w:t>
      </w:r>
      <w:r w:rsidR="004B0472">
        <w:t xml:space="preserve">other required items </w:t>
      </w:r>
      <w:r w:rsidR="00421EAD">
        <w:t xml:space="preserve">described above </w:t>
      </w:r>
      <w:r w:rsidR="004B0472">
        <w:t>in the public file during</w:t>
      </w:r>
      <w:r w:rsidR="004B59F5">
        <w:t xml:space="preserve"> </w:t>
      </w:r>
      <w:r w:rsidR="00140A93">
        <w:t xml:space="preserve">the </w:t>
      </w:r>
      <w:r w:rsidR="004B59F5">
        <w:t>license term</w:t>
      </w:r>
      <w:r w:rsidR="00A456FC">
        <w:t xml:space="preserve">.  </w:t>
      </w:r>
      <w:r w:rsidR="000B1A66">
        <w:t>Licensee</w:t>
      </w:r>
      <w:r w:rsidR="00CF4F1B">
        <w:t xml:space="preserve"> thus</w:t>
      </w:r>
      <w:r w:rsidR="00A456FC" w:rsidRPr="00933866">
        <w:t xml:space="preserve"> </w:t>
      </w:r>
      <w:r w:rsidR="00A456FC">
        <w:t xml:space="preserve">has </w:t>
      </w:r>
      <w:r w:rsidR="00903A49">
        <w:t>apparently</w:t>
      </w:r>
      <w:r w:rsidR="00A456FC" w:rsidRPr="00933866">
        <w:t xml:space="preserve"> violated Section 73.3526 of the Rules</w:t>
      </w:r>
      <w:r w:rsidR="00903A49">
        <w:t xml:space="preserve"> repeatedly through the license term</w:t>
      </w:r>
      <w:r w:rsidR="00036CE1">
        <w:t xml:space="preserve">, as indicated in the </w:t>
      </w:r>
      <w:r w:rsidR="00036CE1" w:rsidRPr="00315898">
        <w:rPr>
          <w:i/>
        </w:rPr>
        <w:t>2010 NAL</w:t>
      </w:r>
      <w:r w:rsidR="00036CE1">
        <w:t xml:space="preserve"> and here</w:t>
      </w:r>
      <w:r w:rsidR="00CF4F1B" w:rsidRPr="00561E0E">
        <w:t>.</w:t>
      </w:r>
      <w:r w:rsidR="001208D1" w:rsidRPr="00561E0E">
        <w:t xml:space="preserve">  </w:t>
      </w:r>
      <w:r w:rsidR="0077340C" w:rsidRPr="00561E0E">
        <w:t xml:space="preserve">In addition, </w:t>
      </w:r>
      <w:r w:rsidR="00F60388">
        <w:t>Licensee</w:t>
      </w:r>
      <w:r w:rsidR="005C745C">
        <w:t xml:space="preserve">’s other stations have been the subject of </w:t>
      </w:r>
      <w:r w:rsidR="00561E0E" w:rsidRPr="00561E0E">
        <w:t xml:space="preserve">several Enforcement Bureau </w:t>
      </w:r>
      <w:r w:rsidR="00F60388">
        <w:t xml:space="preserve">forfeiture </w:t>
      </w:r>
      <w:r w:rsidR="005C745C">
        <w:t xml:space="preserve">orders </w:t>
      </w:r>
      <w:r w:rsidR="00F60388">
        <w:t xml:space="preserve">involving </w:t>
      </w:r>
      <w:r w:rsidR="005C745C">
        <w:t>public file violations</w:t>
      </w:r>
      <w:r w:rsidR="001208D1" w:rsidRPr="00561E0E">
        <w:t>.</w:t>
      </w:r>
      <w:r w:rsidR="001208D1" w:rsidRPr="00561E0E">
        <w:rPr>
          <w:rStyle w:val="FootnoteReference"/>
        </w:rPr>
        <w:footnoteReference w:id="34"/>
      </w:r>
      <w:r w:rsidR="00CF4F1B">
        <w:t xml:space="preserve">  </w:t>
      </w:r>
      <w:r w:rsidR="00A456FC" w:rsidRPr="00933866">
        <w:t xml:space="preserve">Accordingly, we believe an upward adjustment of the forfeiture is warranted.  </w:t>
      </w:r>
      <w:r w:rsidR="00140A93">
        <w:t>A</w:t>
      </w:r>
      <w:r w:rsidR="00A456FC" w:rsidRPr="00933866">
        <w:t xml:space="preserve">pplying the </w:t>
      </w:r>
      <w:r w:rsidR="00A456FC" w:rsidRPr="006F64EA">
        <w:rPr>
          <w:i/>
        </w:rPr>
        <w:t>Forfeiture Policy Statement</w:t>
      </w:r>
      <w:r w:rsidR="00A456FC" w:rsidRPr="00933866">
        <w:t xml:space="preserve">, Section 1.80 of the Rules, and the statutory factors to the instant case, we conclude that </w:t>
      </w:r>
      <w:r w:rsidR="000B1A66">
        <w:t>Licensee</w:t>
      </w:r>
      <w:r w:rsidR="00A456FC" w:rsidRPr="00933866">
        <w:t xml:space="preserve"> is apparently liable</w:t>
      </w:r>
      <w:r w:rsidR="00CB2AF7">
        <w:t xml:space="preserve"> for forfeiture </w:t>
      </w:r>
      <w:r w:rsidR="00A456FC" w:rsidRPr="00933866">
        <w:t>in the amount of fifteen thousand dollars ($15,000).</w:t>
      </w:r>
      <w:r w:rsidR="00CB2AF7">
        <w:t xml:space="preserve"> </w:t>
      </w:r>
      <w:r w:rsidR="00A456FC" w:rsidRPr="00933866">
        <w:t xml:space="preserve">  </w:t>
      </w:r>
    </w:p>
    <w:p w14:paraId="6C04AD33" w14:textId="77777777" w:rsidR="002C0E34" w:rsidRPr="002C0E34" w:rsidRDefault="007D0FFC" w:rsidP="006F64EA">
      <w:pPr>
        <w:pStyle w:val="ParaNum"/>
        <w:widowControl/>
        <w:numPr>
          <w:ilvl w:val="0"/>
          <w:numId w:val="1"/>
        </w:numPr>
        <w:tabs>
          <w:tab w:val="clear" w:pos="1080"/>
        </w:tabs>
        <w:jc w:val="left"/>
      </w:pPr>
      <w:r>
        <w:rPr>
          <w:i/>
          <w:szCs w:val="22"/>
        </w:rPr>
        <w:t>License Renewal Application.</w:t>
      </w:r>
      <w:r>
        <w:rPr>
          <w:szCs w:val="22"/>
        </w:rPr>
        <w:t xml:space="preserve">  In evaluating an application for license renewal, the Commission’s decision is governed by Section 309(k) of the Act.</w:t>
      </w:r>
      <w:r>
        <w:rPr>
          <w:rStyle w:val="FootnoteReference"/>
          <w:szCs w:val="22"/>
        </w:rPr>
        <w:footnoteReference w:id="35"/>
      </w:r>
      <w:r>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Cs w:val="22"/>
        </w:rPr>
        <w:footnoteReference w:id="36"/>
      </w:r>
      <w:r>
        <w:rPr>
          <w:szCs w:val="22"/>
        </w:rPr>
        <w:t xml:space="preserve"> </w:t>
      </w:r>
      <w:r>
        <w:rPr>
          <w:i/>
          <w:szCs w:val="22"/>
        </w:rPr>
        <w:t xml:space="preserve"> </w:t>
      </w:r>
      <w:r>
        <w:rPr>
          <w:szCs w:val="22"/>
        </w:rPr>
        <w:t xml:space="preserve">If, however, the licensee fails to meet that standard, the Commission may deny </w:t>
      </w:r>
      <w:r w:rsidRPr="006F64EA">
        <w:rPr>
          <w:szCs w:val="22"/>
        </w:rPr>
        <w:t>the application – after notice and opportunity for a hearing under Section 309(e) of the Act – or grant the application “on terms and conditions that are appropriate, including a renewal for a term less than the maximum otherwise permitted.”</w:t>
      </w:r>
      <w:r>
        <w:rPr>
          <w:rStyle w:val="FootnoteReference"/>
          <w:szCs w:val="22"/>
        </w:rPr>
        <w:footnoteReference w:id="37"/>
      </w:r>
    </w:p>
    <w:p w14:paraId="0A757857" w14:textId="77777777" w:rsidR="002C0E34" w:rsidRDefault="007D0FFC" w:rsidP="002C0E34">
      <w:pPr>
        <w:pStyle w:val="ParaNum"/>
        <w:widowControl/>
        <w:numPr>
          <w:ilvl w:val="0"/>
          <w:numId w:val="1"/>
        </w:numPr>
        <w:tabs>
          <w:tab w:val="clear" w:pos="1080"/>
        </w:tabs>
        <w:jc w:val="left"/>
      </w:pPr>
      <w:r>
        <w:t>It is clear to us that Licensee’s conduct has fallen far short of the standard of compliance with the Act and the Rules that would warrant routine license renewal.  Licensee apparently failed to timely prepare a single issues/programs list over the entire license term, an eight-year period.  The issues/programs lists are a significant and representative indication that a licensee is providing substantial service to meet the needs and interests of its community.</w:t>
      </w:r>
      <w:r>
        <w:rPr>
          <w:rStyle w:val="FootnoteReference"/>
          <w:szCs w:val="22"/>
        </w:rPr>
        <w:footnoteReference w:id="38"/>
      </w:r>
      <w:r>
        <w:t xml:space="preserve">  The Commission's public information file rule also safeguards the public's ability </w:t>
      </w:r>
      <w:r w:rsidR="00B1205E">
        <w:t>to assess the station's service, meaningfully participate in</w:t>
      </w:r>
      <w:r>
        <w:t xml:space="preserve"> the station's renewal process, and ensure the station's accessibility to and nexus with its community, to serve and respond to community programming needs.</w:t>
      </w:r>
      <w:r>
        <w:rPr>
          <w:rStyle w:val="FootnoteReference"/>
          <w:szCs w:val="22"/>
        </w:rPr>
        <w:footnoteReference w:id="39"/>
      </w:r>
      <w:r w:rsidR="00B1205E">
        <w:t xml:space="preserve">  Accordingly</w:t>
      </w:r>
      <w:r>
        <w:t>, the public information requirements are integral components of a licensee's obligation to serve the public interest, and meet its community service obligations.</w:t>
      </w:r>
      <w:r>
        <w:rPr>
          <w:rStyle w:val="FootnoteReference"/>
          <w:szCs w:val="22"/>
        </w:rPr>
        <w:footnoteReference w:id="40"/>
      </w:r>
      <w:r>
        <w:t xml:space="preserve">  Absent any issues/programs lists in the Station’s public inspection files, we cannot determine that Licensee has met those obligations.</w:t>
      </w:r>
      <w:r w:rsidR="00140A93">
        <w:t xml:space="preserve">  </w:t>
      </w:r>
    </w:p>
    <w:p w14:paraId="579649FE" w14:textId="4CE9447B" w:rsidR="002C0E34" w:rsidRPr="002C0E34" w:rsidRDefault="002C0E34" w:rsidP="007D0FFC">
      <w:pPr>
        <w:pStyle w:val="ParaNum"/>
        <w:widowControl/>
        <w:numPr>
          <w:ilvl w:val="0"/>
          <w:numId w:val="1"/>
        </w:numPr>
        <w:tabs>
          <w:tab w:val="clear" w:pos="1080"/>
        </w:tabs>
        <w:jc w:val="left"/>
        <w:rPr>
          <w:szCs w:val="22"/>
        </w:rPr>
      </w:pPr>
      <w:r>
        <w:t>W</w:t>
      </w:r>
      <w:r w:rsidR="007D0FFC">
        <w:t xml:space="preserve">e believe that Licensee’s violations of Section </w:t>
      </w:r>
      <w:r w:rsidR="007D0FFC">
        <w:rPr>
          <w:szCs w:val="22"/>
        </w:rPr>
        <w:t xml:space="preserve">73.3526 </w:t>
      </w:r>
      <w:r w:rsidR="007D0FFC">
        <w:t>were “serious” violations, as they denied both the public and the Commission any opportunity to review and comment on the Station’s issue-responsive programming during the entire license term for the Station.</w:t>
      </w:r>
      <w:r w:rsidR="007D0FFC">
        <w:rPr>
          <w:rStyle w:val="FootnoteReference"/>
          <w:color w:val="000000"/>
          <w:szCs w:val="22"/>
        </w:rPr>
        <w:footnoteReference w:id="41"/>
      </w:r>
      <w:r w:rsidR="007D0FFC">
        <w:t xml:space="preserve">  The record here further </w:t>
      </w:r>
      <w:r w:rsidR="003B1193">
        <w:t>establishes</w:t>
      </w:r>
      <w:r w:rsidR="007D0FFC">
        <w:t xml:space="preserve"> that </w:t>
      </w:r>
      <w:r w:rsidR="00946165">
        <w:t>Licensee’s</w:t>
      </w:r>
      <w:r w:rsidR="007D0FFC">
        <w:t xml:space="preserve"> willful and repeated violations of Section 73.3526</w:t>
      </w:r>
      <w:r w:rsidR="00953087">
        <w:t>,</w:t>
      </w:r>
      <w:r w:rsidR="00946165">
        <w:t xml:space="preserve"> </w:t>
      </w:r>
      <w:r w:rsidR="007D0FFC">
        <w:t>when considered together, constitute a pattern of abuse ov</w:t>
      </w:r>
      <w:r w:rsidR="00946165">
        <w:t>er a period of years</w:t>
      </w:r>
      <w:r w:rsidR="007D0FFC">
        <w:t>.</w:t>
      </w:r>
      <w:r w:rsidR="007D0FFC">
        <w:rPr>
          <w:rStyle w:val="FootnoteReference"/>
          <w:color w:val="000000"/>
          <w:szCs w:val="22"/>
        </w:rPr>
        <w:footnoteReference w:id="42"/>
      </w:r>
      <w:r w:rsidR="007D0FFC">
        <w:t xml:space="preserve"> </w:t>
      </w:r>
      <w:r w:rsidR="00A60632">
        <w:t xml:space="preserve"> </w:t>
      </w:r>
      <w:r w:rsidR="007D0FFC">
        <w:t xml:space="preserve">However, we find that Licensee’s violations do not rise to such a level that designation for evidentiary hearing on the issue of whether to deny renewal is warranted.  </w:t>
      </w:r>
    </w:p>
    <w:p w14:paraId="3BA16B71" w14:textId="6E711274" w:rsidR="007D0FFC" w:rsidRPr="0009586D" w:rsidRDefault="007D0FFC" w:rsidP="007D0FFC">
      <w:pPr>
        <w:pStyle w:val="ParaNum"/>
        <w:widowControl/>
        <w:numPr>
          <w:ilvl w:val="0"/>
          <w:numId w:val="1"/>
        </w:numPr>
        <w:tabs>
          <w:tab w:val="clear" w:pos="1080"/>
        </w:tabs>
        <w:jc w:val="left"/>
        <w:rPr>
          <w:szCs w:val="22"/>
        </w:rPr>
      </w:pPr>
      <w:r>
        <w:rPr>
          <w:szCs w:val="22"/>
        </w:rPr>
        <w:t>Nevertheless, we believe that additional measures are necessary in order to ensure that th</w:t>
      </w:r>
      <w:r w:rsidR="00B1205E">
        <w:rPr>
          <w:szCs w:val="22"/>
        </w:rPr>
        <w:t>e Station complies</w:t>
      </w:r>
      <w:r>
        <w:rPr>
          <w:szCs w:val="22"/>
        </w:rPr>
        <w:t xml:space="preserve"> with the Act and the Rules in the future.  Accordingly, pursuant to Section 309(k)(2) of the </w:t>
      </w:r>
      <w:r w:rsidR="00B1205E">
        <w:rPr>
          <w:szCs w:val="22"/>
        </w:rPr>
        <w:t>Act, we will grant the A</w:t>
      </w:r>
      <w:r>
        <w:rPr>
          <w:szCs w:val="22"/>
        </w:rPr>
        <w:t>pplication by separate action upon the conclusion of this forfeiture proceeding, if there are no issues other than th</w:t>
      </w:r>
      <w:r w:rsidR="00036CE1">
        <w:rPr>
          <w:szCs w:val="22"/>
        </w:rPr>
        <w:t>ese</w:t>
      </w:r>
      <w:r>
        <w:rPr>
          <w:szCs w:val="22"/>
        </w:rPr>
        <w:t xml:space="preserve"> apparent violation</w:t>
      </w:r>
      <w:r w:rsidR="00036CE1">
        <w:rPr>
          <w:szCs w:val="22"/>
        </w:rPr>
        <w:t>s</w:t>
      </w:r>
      <w:r>
        <w:rPr>
          <w:szCs w:val="22"/>
        </w:rPr>
        <w:t xml:space="preserve"> th</w:t>
      </w:r>
      <w:r w:rsidR="00B1205E">
        <w:rPr>
          <w:szCs w:val="22"/>
        </w:rPr>
        <w:t>at would preclude grant of the A</w:t>
      </w:r>
      <w:r>
        <w:rPr>
          <w:szCs w:val="22"/>
        </w:rPr>
        <w:t xml:space="preserve">pplication.  The new license term will be limited to a period of </w:t>
      </w:r>
      <w:r w:rsidR="00A83108">
        <w:rPr>
          <w:szCs w:val="22"/>
        </w:rPr>
        <w:t>two</w:t>
      </w:r>
      <w:r w:rsidRPr="00A83108">
        <w:rPr>
          <w:szCs w:val="22"/>
        </w:rPr>
        <w:t xml:space="preserve"> years.</w:t>
      </w:r>
      <w:r>
        <w:rPr>
          <w:rStyle w:val="FootnoteReference"/>
          <w:color w:val="000000"/>
          <w:szCs w:val="22"/>
        </w:rPr>
        <w:footnoteReference w:id="43"/>
      </w:r>
      <w:r>
        <w:rPr>
          <w:szCs w:val="22"/>
        </w:rPr>
        <w:t xml:space="preserve">  This limited renewal period will afford the Commission an opportunity to review the Station’s compliance with the Act and the Rules and to take corrective actions, if any, that may be warranted at that time.</w:t>
      </w:r>
    </w:p>
    <w:p w14:paraId="3AA3A38B" w14:textId="77777777" w:rsidR="00E945DD" w:rsidRPr="00E41C44" w:rsidRDefault="00E945DD" w:rsidP="00C14638">
      <w:pPr>
        <w:pStyle w:val="Heading1"/>
        <w:ind w:left="0" w:firstLine="0"/>
        <w:jc w:val="left"/>
        <w:rPr>
          <w:rFonts w:ascii="Times New Roman" w:hAnsi="Times New Roman"/>
          <w:sz w:val="22"/>
        </w:rPr>
      </w:pPr>
      <w:r w:rsidRPr="00E41C44">
        <w:rPr>
          <w:rFonts w:ascii="Times New Roman" w:hAnsi="Times New Roman"/>
          <w:sz w:val="22"/>
        </w:rPr>
        <w:t>ORDERING CLAUSES</w:t>
      </w:r>
    </w:p>
    <w:p w14:paraId="32C5EF01" w14:textId="171D45F6" w:rsidR="002B2020" w:rsidRDefault="002B2020" w:rsidP="00933866">
      <w:pPr>
        <w:pStyle w:val="ParaNum"/>
        <w:widowControl/>
        <w:numPr>
          <w:ilvl w:val="0"/>
          <w:numId w:val="1"/>
        </w:numPr>
        <w:tabs>
          <w:tab w:val="clear" w:pos="1080"/>
          <w:tab w:val="num" w:pos="0"/>
        </w:tabs>
        <w:jc w:val="left"/>
        <w:rPr>
          <w:szCs w:val="22"/>
        </w:rPr>
      </w:pPr>
      <w:r w:rsidRPr="00933866">
        <w:rPr>
          <w:szCs w:val="22"/>
        </w:rPr>
        <w:t xml:space="preserve">Accordingly, in light of the discussion above, IT IS ORDERED, that the </w:t>
      </w:r>
      <w:r w:rsidR="00E770DD" w:rsidRPr="00933866">
        <w:rPr>
          <w:szCs w:val="22"/>
        </w:rPr>
        <w:t>December 27, 2011</w:t>
      </w:r>
      <w:r w:rsidRPr="00933866">
        <w:rPr>
          <w:szCs w:val="22"/>
        </w:rPr>
        <w:t xml:space="preserve">, </w:t>
      </w:r>
      <w:r w:rsidR="00E770DD" w:rsidRPr="00933866">
        <w:rPr>
          <w:szCs w:val="22"/>
        </w:rPr>
        <w:t>Petition to Deny</w:t>
      </w:r>
      <w:r w:rsidRPr="00933866">
        <w:rPr>
          <w:szCs w:val="22"/>
        </w:rPr>
        <w:t xml:space="preserve"> filed by </w:t>
      </w:r>
      <w:r w:rsidR="00E770DD" w:rsidRPr="00933866">
        <w:rPr>
          <w:szCs w:val="22"/>
        </w:rPr>
        <w:t>Robert E. Boris</w:t>
      </w:r>
      <w:r w:rsidRPr="00933866">
        <w:rPr>
          <w:szCs w:val="22"/>
        </w:rPr>
        <w:t>, IS GRANTED</w:t>
      </w:r>
      <w:r w:rsidR="0009586D">
        <w:rPr>
          <w:szCs w:val="22"/>
        </w:rPr>
        <w:t xml:space="preserve"> TO THE EXTENT INDICATED, AND DENIED IN ALL OTHER RESPECTS</w:t>
      </w:r>
      <w:r w:rsidRPr="00933866">
        <w:rPr>
          <w:szCs w:val="22"/>
        </w:rPr>
        <w:t xml:space="preserve">.  </w:t>
      </w:r>
    </w:p>
    <w:p w14:paraId="6FFC6A3F" w14:textId="561815CE" w:rsidR="00F50D28" w:rsidRDefault="00E945DD" w:rsidP="00325CA3">
      <w:pPr>
        <w:pStyle w:val="ParaNum"/>
        <w:widowControl/>
        <w:numPr>
          <w:ilvl w:val="0"/>
          <w:numId w:val="1"/>
        </w:numPr>
        <w:tabs>
          <w:tab w:val="clear" w:pos="1080"/>
        </w:tabs>
        <w:jc w:val="left"/>
        <w:rPr>
          <w:szCs w:val="22"/>
        </w:rPr>
      </w:pPr>
      <w:r w:rsidRPr="00933866">
        <w:rPr>
          <w:szCs w:val="22"/>
        </w:rPr>
        <w:t xml:space="preserve">Accordingly, IT IS </w:t>
      </w:r>
      <w:r w:rsidR="002B2020" w:rsidRPr="00933866">
        <w:rPr>
          <w:szCs w:val="22"/>
        </w:rPr>
        <w:t xml:space="preserve">FURTHER </w:t>
      </w:r>
      <w:r w:rsidRPr="00933866">
        <w:rPr>
          <w:szCs w:val="22"/>
        </w:rPr>
        <w:t>ORDERED that, pursuant to Section 503(b) of the Act</w:t>
      </w:r>
      <w:r w:rsidRPr="005D54F9">
        <w:rPr>
          <w:rStyle w:val="FootnoteReference"/>
          <w:sz w:val="20"/>
        </w:rPr>
        <w:footnoteReference w:id="44"/>
      </w:r>
      <w:r w:rsidRPr="005D54F9">
        <w:rPr>
          <w:rStyle w:val="FootnoteReference"/>
          <w:sz w:val="20"/>
        </w:rPr>
        <w:t xml:space="preserve"> </w:t>
      </w:r>
      <w:r w:rsidRPr="00933866">
        <w:rPr>
          <w:szCs w:val="22"/>
        </w:rPr>
        <w:t xml:space="preserve">and </w:t>
      </w:r>
      <w:r w:rsidR="002B2020" w:rsidRPr="00933866">
        <w:rPr>
          <w:szCs w:val="22"/>
        </w:rPr>
        <w:t>Sections 0.283 and 1.80 of the Commission's Rules</w:t>
      </w:r>
      <w:r w:rsidR="002B2020" w:rsidRPr="005D54F9">
        <w:rPr>
          <w:rStyle w:val="FootnoteReference"/>
          <w:sz w:val="20"/>
        </w:rPr>
        <w:footnoteReference w:id="45"/>
      </w:r>
      <w:r w:rsidR="002B2020" w:rsidRPr="00933866">
        <w:rPr>
          <w:szCs w:val="22"/>
        </w:rPr>
        <w:t xml:space="preserve"> </w:t>
      </w:r>
      <w:r w:rsidR="00F50D28" w:rsidRPr="00933866">
        <w:rPr>
          <w:szCs w:val="22"/>
        </w:rPr>
        <w:t>Rama Communications, Inc</w:t>
      </w:r>
      <w:r w:rsidR="00CC4F78" w:rsidRPr="00933866">
        <w:rPr>
          <w:szCs w:val="22"/>
        </w:rPr>
        <w:t>.</w:t>
      </w:r>
      <w:r w:rsidRPr="00933866">
        <w:rPr>
          <w:szCs w:val="22"/>
        </w:rPr>
        <w:t xml:space="preserve"> IS </w:t>
      </w:r>
      <w:r w:rsidR="009A12D7">
        <w:rPr>
          <w:szCs w:val="22"/>
        </w:rPr>
        <w:t>HEREBY</w:t>
      </w:r>
      <w:r w:rsidR="009A12D7" w:rsidRPr="00933866">
        <w:rPr>
          <w:szCs w:val="22"/>
        </w:rPr>
        <w:t xml:space="preserve"> </w:t>
      </w:r>
      <w:r w:rsidRPr="00933866">
        <w:rPr>
          <w:szCs w:val="22"/>
        </w:rPr>
        <w:t xml:space="preserve">NOTIFIED of </w:t>
      </w:r>
      <w:r w:rsidR="00BF24BA" w:rsidRPr="00933866">
        <w:rPr>
          <w:szCs w:val="22"/>
        </w:rPr>
        <w:t>its</w:t>
      </w:r>
      <w:r w:rsidRPr="00933866">
        <w:rPr>
          <w:szCs w:val="22"/>
        </w:rPr>
        <w:t xml:space="preserve"> APPARENT LIABILITY FOR A FORFEITURE in the amount of </w:t>
      </w:r>
      <w:r w:rsidR="004C2629" w:rsidRPr="00933866">
        <w:rPr>
          <w:szCs w:val="22"/>
        </w:rPr>
        <w:t>fifteen thousand dollars ($1</w:t>
      </w:r>
      <w:r w:rsidR="00F50D28" w:rsidRPr="00933866">
        <w:rPr>
          <w:szCs w:val="22"/>
        </w:rPr>
        <w:t>5</w:t>
      </w:r>
      <w:r w:rsidRPr="00933866">
        <w:rPr>
          <w:szCs w:val="22"/>
        </w:rPr>
        <w:t xml:space="preserve">,000) for the </w:t>
      </w:r>
      <w:r w:rsidR="00F50D28" w:rsidRPr="00933866">
        <w:rPr>
          <w:szCs w:val="22"/>
        </w:rPr>
        <w:t>violation of Section 73.3526 of the Rules.</w:t>
      </w:r>
      <w:r w:rsidR="00F50D28" w:rsidRPr="005D54F9">
        <w:rPr>
          <w:rStyle w:val="FootnoteReference"/>
          <w:sz w:val="20"/>
        </w:rPr>
        <w:footnoteReference w:id="46"/>
      </w:r>
    </w:p>
    <w:p w14:paraId="4184F856" w14:textId="02DDEDEC" w:rsidR="00360DA9" w:rsidRPr="00933866" w:rsidRDefault="00360DA9" w:rsidP="004B3DAA">
      <w:pPr>
        <w:pStyle w:val="ParaNum"/>
        <w:widowControl/>
        <w:numPr>
          <w:ilvl w:val="0"/>
          <w:numId w:val="1"/>
        </w:numPr>
        <w:tabs>
          <w:tab w:val="clear" w:pos="1080"/>
        </w:tabs>
        <w:jc w:val="left"/>
        <w:rPr>
          <w:szCs w:val="22"/>
        </w:rPr>
      </w:pPr>
      <w:r>
        <w:rPr>
          <w:szCs w:val="22"/>
        </w:rPr>
        <w:t xml:space="preserve">IT IS FURTHER ORDERED that Rama Communications, Inc., </w:t>
      </w:r>
      <w:r w:rsidR="00B62201">
        <w:rPr>
          <w:szCs w:val="22"/>
        </w:rPr>
        <w:t>IS HEREBY</w:t>
      </w:r>
      <w:r>
        <w:rPr>
          <w:szCs w:val="22"/>
        </w:rPr>
        <w:t xml:space="preserve"> ADMONISHED for violation of Section 1.17 of the Rules.</w:t>
      </w:r>
      <w:r w:rsidR="0059283C">
        <w:rPr>
          <w:rStyle w:val="FootnoteReference"/>
          <w:szCs w:val="22"/>
        </w:rPr>
        <w:footnoteReference w:id="47"/>
      </w:r>
    </w:p>
    <w:p w14:paraId="2537C20D" w14:textId="7509557A" w:rsidR="00E7585B" w:rsidRPr="00E7585B" w:rsidRDefault="002B2020" w:rsidP="00E7585B">
      <w:pPr>
        <w:pStyle w:val="ParaNum"/>
        <w:widowControl/>
        <w:numPr>
          <w:ilvl w:val="0"/>
          <w:numId w:val="1"/>
        </w:numPr>
        <w:tabs>
          <w:tab w:val="clear" w:pos="1080"/>
        </w:tabs>
        <w:jc w:val="left"/>
        <w:rPr>
          <w:szCs w:val="22"/>
        </w:rPr>
      </w:pPr>
      <w:r w:rsidRPr="00E7585B">
        <w:rPr>
          <w:szCs w:val="22"/>
        </w:rPr>
        <w:t xml:space="preserve">IT IS FURTHER ORDERED, pursuant to Section 1.80 of the Commission’s Rules, that, within thirty (30) days of the release of this </w:t>
      </w:r>
      <w:r w:rsidRPr="000B39EC">
        <w:rPr>
          <w:i/>
          <w:szCs w:val="22"/>
        </w:rPr>
        <w:t>NAL</w:t>
      </w:r>
      <w:r w:rsidR="00F50D28" w:rsidRPr="00E7585B">
        <w:rPr>
          <w:szCs w:val="22"/>
        </w:rPr>
        <w:t xml:space="preserve">, Rama Communications, Inc. </w:t>
      </w:r>
      <w:r w:rsidRPr="00E7585B">
        <w:rPr>
          <w:szCs w:val="22"/>
        </w:rPr>
        <w:t xml:space="preserve">SHALL PAY the full amount of the proposed forfeiture or SHALL FILE a written statement seeking reduction or cancellation of the proposed forfeiture. </w:t>
      </w:r>
      <w:r w:rsidR="00E7585B">
        <w:rPr>
          <w:szCs w:val="22"/>
        </w:rPr>
        <w:t xml:space="preserve"> </w:t>
      </w:r>
      <w:r w:rsidR="00E7585B">
        <w:t>Payment of the proposed forfeiture must be made by a check or similar instrument, wire transfer or credit card and include the Account Number and FRN referenced in the caption above.  Regardless of the form of payment, a completed FCC Form 159 (Remittance Advice) must be submitted.  When completing the FCC Form 159, enter the Account Number in block number 23A (</w:t>
      </w:r>
      <w:r w:rsidR="004D67CB">
        <w:t>call sign</w:t>
      </w:r>
      <w:r w:rsidR="00E7585B">
        <w:t xml:space="preserve">/other ID) and enter the letters “FORF” in block number 24A (payment type code).  Licensee will also send electronic notification on the date said payment is made to Penelope Dade at </w:t>
      </w:r>
      <w:r w:rsidR="00E7585B" w:rsidRPr="00E81BC0">
        <w:t>Penelope.Dade@</w:t>
      </w:r>
      <w:r w:rsidR="00E7585B">
        <w:t xml:space="preserve">fcc.gov and </w:t>
      </w:r>
      <w:r w:rsidR="00B62201">
        <w:t>Alexander Sanjenis</w:t>
      </w:r>
      <w:r w:rsidR="00E7585B">
        <w:t xml:space="preserve"> at </w:t>
      </w:r>
      <w:r w:rsidR="00B62201">
        <w:t>Alexander.Sanjenis</w:t>
      </w:r>
      <w:r w:rsidR="00E7585B">
        <w:t xml:space="preserve">@fcc.gov.  Below are additional instructions the Licensee should follow based upon the form of payment selected: </w:t>
      </w:r>
    </w:p>
    <w:p w14:paraId="671C3926" w14:textId="77777777" w:rsidR="00E7585B" w:rsidRDefault="00E7585B" w:rsidP="00E7585B">
      <w:pPr>
        <w:tabs>
          <w:tab w:val="left" w:pos="1180"/>
          <w:tab w:val="num" w:pos="1440"/>
        </w:tabs>
        <w:ind w:left="720" w:right="720"/>
      </w:pPr>
      <w:r>
        <w:rPr>
          <w:rFonts w:ascii="Wingdings" w:eastAsia="Wingdings" w:hAnsi="Wingdings" w:cs="Wingdings"/>
          <w:sz w:val="16"/>
          <w:szCs w:val="16"/>
        </w:rPr>
        <w:t></w:t>
      </w:r>
      <w:r>
        <w:rPr>
          <w:sz w:val="16"/>
          <w:szCs w:val="16"/>
        </w:rPr>
        <w:tab/>
      </w:r>
      <w:r>
        <w:t>Pay</w:t>
      </w:r>
      <w:r>
        <w:rPr>
          <w:spacing w:val="-4"/>
        </w:rPr>
        <w:t>m</w:t>
      </w:r>
      <w:r>
        <w:t xml:space="preserve">ent </w:t>
      </w:r>
      <w:r>
        <w:rPr>
          <w:spacing w:val="6"/>
        </w:rPr>
        <w:t xml:space="preserve"> </w:t>
      </w:r>
      <w:r>
        <w:t xml:space="preserve">by </w:t>
      </w:r>
      <w:r>
        <w:rPr>
          <w:spacing w:val="3"/>
        </w:rPr>
        <w:t xml:space="preserve"> </w:t>
      </w:r>
      <w:r>
        <w:t xml:space="preserve">check </w:t>
      </w:r>
      <w:r>
        <w:rPr>
          <w:spacing w:val="3"/>
        </w:rPr>
        <w:t xml:space="preserve"> </w:t>
      </w:r>
      <w:r>
        <w:t xml:space="preserve">or </w:t>
      </w:r>
      <w:r>
        <w:rPr>
          <w:spacing w:val="6"/>
        </w:rPr>
        <w:t xml:space="preserve"> </w:t>
      </w:r>
      <w:r>
        <w:rPr>
          <w:spacing w:val="-4"/>
        </w:rPr>
        <w:t>m</w:t>
      </w:r>
      <w:r>
        <w:t xml:space="preserve">oney </w:t>
      </w:r>
      <w:r>
        <w:rPr>
          <w:spacing w:val="3"/>
        </w:rPr>
        <w:t xml:space="preserve"> </w:t>
      </w:r>
      <w:r>
        <w:t>o</w:t>
      </w:r>
      <w:r>
        <w:rPr>
          <w:spacing w:val="1"/>
        </w:rPr>
        <w:t>r</w:t>
      </w:r>
      <w:r>
        <w:t xml:space="preserve">der </w:t>
      </w:r>
      <w:r>
        <w:rPr>
          <w:spacing w:val="4"/>
        </w:rPr>
        <w:t xml:space="preserve"> </w:t>
      </w:r>
      <w:r>
        <w:rPr>
          <w:spacing w:val="-4"/>
        </w:rPr>
        <w:t>m</w:t>
      </w:r>
      <w:r>
        <w:t xml:space="preserve">ust </w:t>
      </w:r>
      <w:r>
        <w:rPr>
          <w:spacing w:val="6"/>
        </w:rPr>
        <w:t xml:space="preserve"> </w:t>
      </w:r>
      <w:r>
        <w:t xml:space="preserve">be </w:t>
      </w:r>
      <w:r>
        <w:rPr>
          <w:spacing w:val="5"/>
        </w:rPr>
        <w:t xml:space="preserve"> </w:t>
      </w:r>
      <w:r>
        <w:rPr>
          <w:spacing w:val="-4"/>
        </w:rPr>
        <w:t>m</w:t>
      </w:r>
      <w:r>
        <w:t xml:space="preserve">ade </w:t>
      </w:r>
      <w:r>
        <w:rPr>
          <w:spacing w:val="3"/>
        </w:rPr>
        <w:t xml:space="preserve"> </w:t>
      </w:r>
      <w:r>
        <w:t>p</w:t>
      </w:r>
      <w:r>
        <w:rPr>
          <w:spacing w:val="4"/>
        </w:rPr>
        <w:t>a</w:t>
      </w:r>
      <w:r>
        <w:rPr>
          <w:spacing w:val="-2"/>
        </w:rPr>
        <w:t>y</w:t>
      </w:r>
      <w:r>
        <w:t>ab</w:t>
      </w:r>
      <w:r>
        <w:rPr>
          <w:spacing w:val="1"/>
        </w:rPr>
        <w:t>l</w:t>
      </w:r>
      <w:r>
        <w:t xml:space="preserve">e </w:t>
      </w:r>
      <w:r>
        <w:rPr>
          <w:spacing w:val="3"/>
        </w:rPr>
        <w:t xml:space="preserve"> </w:t>
      </w:r>
      <w:r>
        <w:rPr>
          <w:spacing w:val="1"/>
        </w:rPr>
        <w:t>t</w:t>
      </w:r>
      <w:r>
        <w:t xml:space="preserve">o </w:t>
      </w:r>
      <w:r>
        <w:rPr>
          <w:spacing w:val="3"/>
        </w:rPr>
        <w:t xml:space="preserve"> </w:t>
      </w:r>
      <w:r>
        <w:rPr>
          <w:spacing w:val="1"/>
        </w:rPr>
        <w:t>t</w:t>
      </w:r>
      <w:r>
        <w:t xml:space="preserve">he </w:t>
      </w:r>
      <w:r>
        <w:rPr>
          <w:spacing w:val="3"/>
        </w:rPr>
        <w:t xml:space="preserve"> </w:t>
      </w:r>
      <w:r>
        <w:t>o</w:t>
      </w:r>
      <w:r>
        <w:rPr>
          <w:spacing w:val="1"/>
        </w:rPr>
        <w:t>r</w:t>
      </w:r>
      <w:r>
        <w:rPr>
          <w:spacing w:val="-2"/>
        </w:rPr>
        <w:t>d</w:t>
      </w:r>
      <w:r>
        <w:t xml:space="preserve">er </w:t>
      </w:r>
      <w:r>
        <w:rPr>
          <w:spacing w:val="4"/>
        </w:rPr>
        <w:t xml:space="preserve"> </w:t>
      </w:r>
      <w:r>
        <w:t xml:space="preserve">of </w:t>
      </w:r>
      <w:r>
        <w:rPr>
          <w:spacing w:val="3"/>
        </w:rPr>
        <w:t xml:space="preserve"> </w:t>
      </w:r>
      <w:r>
        <w:rPr>
          <w:spacing w:val="1"/>
        </w:rPr>
        <w:t>t</w:t>
      </w:r>
      <w:r>
        <w:t xml:space="preserve">he </w:t>
      </w:r>
      <w:r>
        <w:rPr>
          <w:spacing w:val="3"/>
        </w:rPr>
        <w:t xml:space="preserve"> </w:t>
      </w:r>
      <w:r>
        <w:t>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 xml:space="preserve">- </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14:paraId="40C94B22" w14:textId="77777777" w:rsidR="00E7585B" w:rsidRDefault="00E7585B" w:rsidP="00E7585B">
      <w:pPr>
        <w:tabs>
          <w:tab w:val="num" w:pos="1440"/>
        </w:tabs>
        <w:spacing w:before="16" w:line="220" w:lineRule="exact"/>
        <w:ind w:left="720" w:right="720"/>
      </w:pPr>
    </w:p>
    <w:p w14:paraId="05543983" w14:textId="77777777" w:rsidR="00E7585B" w:rsidRDefault="00E7585B" w:rsidP="00E7585B">
      <w:pPr>
        <w:tabs>
          <w:tab w:val="left" w:pos="1180"/>
          <w:tab w:val="num" w:pos="1440"/>
        </w:tabs>
        <w:ind w:left="720" w:right="720"/>
      </w:pPr>
      <w:r>
        <w:rPr>
          <w:rFonts w:ascii="Wingdings" w:eastAsia="Wingdings" w:hAnsi="Wingdings" w:cs="Wingdings"/>
          <w:sz w:val="16"/>
          <w:szCs w:val="16"/>
        </w:rPr>
        <w:t></w:t>
      </w:r>
      <w:r>
        <w:rPr>
          <w:sz w:val="16"/>
          <w:szCs w:val="16"/>
        </w:rPr>
        <w:tab/>
      </w:r>
      <w:r>
        <w:t>Pay</w:t>
      </w:r>
      <w:r>
        <w:rPr>
          <w:spacing w:val="-4"/>
        </w:rPr>
        <w:t>m</w:t>
      </w:r>
      <w:r>
        <w:t xml:space="preserve">ent </w:t>
      </w:r>
      <w:r>
        <w:rPr>
          <w:spacing w:val="28"/>
        </w:rPr>
        <w:t xml:space="preserve"> </w:t>
      </w:r>
      <w:r>
        <w:t>by</w:t>
      </w:r>
      <w:r>
        <w:rPr>
          <w:spacing w:val="-1"/>
        </w:rPr>
        <w:t xml:space="preserve"> w</w:t>
      </w:r>
      <w:r>
        <w:rPr>
          <w:spacing w:val="1"/>
        </w:rPr>
        <w:t>ir</w:t>
      </w:r>
      <w:r>
        <w:t xml:space="preserve">e </w:t>
      </w:r>
      <w:r>
        <w:rPr>
          <w:spacing w:val="25"/>
        </w:rPr>
        <w:t xml:space="preserv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w:t>
      </w:r>
      <w:r>
        <w:rPr>
          <w:spacing w:val="28"/>
        </w:rPr>
        <w:t xml:space="preserve"> </w:t>
      </w:r>
      <w:r>
        <w:t xml:space="preserve">be </w:t>
      </w:r>
      <w:r>
        <w:rPr>
          <w:spacing w:val="27"/>
        </w:rPr>
        <w:t xml:space="preserve"> </w:t>
      </w:r>
      <w:r>
        <w:rPr>
          <w:spacing w:val="-4"/>
        </w:rPr>
        <w:t>m</w:t>
      </w:r>
      <w:r>
        <w:t xml:space="preserve">ade </w:t>
      </w:r>
      <w:r>
        <w:rPr>
          <w:spacing w:val="27"/>
        </w:rPr>
        <w:t xml:space="preserve"> </w:t>
      </w:r>
      <w:r>
        <w:rPr>
          <w:spacing w:val="-1"/>
        </w:rPr>
        <w:t>t</w:t>
      </w:r>
      <w:r>
        <w:t xml:space="preserve">o </w:t>
      </w:r>
      <w:r>
        <w:rPr>
          <w:spacing w:val="27"/>
        </w:rPr>
        <w:t xml:space="preserve"> </w:t>
      </w:r>
      <w:r>
        <w:rPr>
          <w:spacing w:val="-1"/>
        </w:rPr>
        <w:t>AB</w:t>
      </w:r>
      <w:r>
        <w:t xml:space="preserve">A </w:t>
      </w:r>
      <w:r>
        <w:rPr>
          <w:spacing w:val="23"/>
        </w:rPr>
        <w:t xml:space="preserve"> </w:t>
      </w:r>
      <w:r>
        <w:rPr>
          <w:spacing w:val="-1"/>
        </w:rPr>
        <w:t>N</w:t>
      </w:r>
      <w:r>
        <w:t>u</w:t>
      </w:r>
      <w:r>
        <w:rPr>
          <w:spacing w:val="-4"/>
        </w:rPr>
        <w:t>m</w:t>
      </w:r>
      <w:r>
        <w:t xml:space="preserve">ber </w:t>
      </w:r>
      <w:r>
        <w:rPr>
          <w:spacing w:val="28"/>
        </w:rPr>
        <w:t xml:space="preserve"> </w:t>
      </w:r>
      <w:r>
        <w:t>02103000</w:t>
      </w:r>
      <w:r>
        <w:rPr>
          <w:spacing w:val="-2"/>
        </w:rPr>
        <w:t>4</w:t>
      </w:r>
      <w:r>
        <w:t xml:space="preserve">, </w:t>
      </w:r>
      <w:r>
        <w:rPr>
          <w:spacing w:val="27"/>
        </w:rPr>
        <w:t xml:space="preserve"> </w:t>
      </w:r>
      <w:r>
        <w:rPr>
          <w:spacing w:val="-2"/>
        </w:rPr>
        <w:t>r</w:t>
      </w:r>
      <w:r>
        <w:t>ec</w:t>
      </w:r>
      <w:r>
        <w:rPr>
          <w:spacing w:val="-2"/>
        </w:rPr>
        <w:t>e</w:t>
      </w:r>
      <w:r>
        <w:rPr>
          <w:spacing w:val="1"/>
        </w:rPr>
        <w:t>i</w:t>
      </w:r>
      <w:r>
        <w:rPr>
          <w:spacing w:val="-2"/>
        </w:rPr>
        <w:t>v</w:t>
      </w:r>
      <w:r>
        <w:rPr>
          <w:spacing w:val="1"/>
        </w:rPr>
        <w:t>i</w:t>
      </w:r>
      <w:r>
        <w:t xml:space="preserve">ng </w:t>
      </w:r>
      <w:r>
        <w:rPr>
          <w:spacing w:val="24"/>
        </w:rPr>
        <w:t xml:space="preserve"> </w:t>
      </w:r>
      <w:r>
        <w:t xml:space="preserve">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14:paraId="0B2F081F" w14:textId="77777777" w:rsidR="00E7585B" w:rsidRDefault="00E7585B" w:rsidP="00E7585B">
      <w:pPr>
        <w:tabs>
          <w:tab w:val="num" w:pos="1440"/>
        </w:tabs>
        <w:spacing w:before="2" w:line="240" w:lineRule="exact"/>
        <w:ind w:left="720" w:right="720"/>
        <w:rPr>
          <w:sz w:val="24"/>
          <w:szCs w:val="24"/>
        </w:rPr>
      </w:pPr>
    </w:p>
    <w:p w14:paraId="26574336" w14:textId="77777777" w:rsidR="00E7585B" w:rsidRDefault="00E7585B" w:rsidP="00E7585B">
      <w:pPr>
        <w:tabs>
          <w:tab w:val="left" w:pos="1180"/>
          <w:tab w:val="num" w:pos="1440"/>
        </w:tabs>
        <w:spacing w:line="239" w:lineRule="auto"/>
        <w:ind w:left="720" w:right="720"/>
      </w:pPr>
      <w:r>
        <w:rPr>
          <w:rFonts w:ascii="Wingdings" w:eastAsia="Wingdings" w:hAnsi="Wingdings" w:cs="Wingdings"/>
          <w:sz w:val="16"/>
          <w:szCs w:val="16"/>
        </w:rPr>
        <w:t></w:t>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 xml:space="preserve">o </w:t>
      </w:r>
      <w:r>
        <w:rPr>
          <w:spacing w:val="-1"/>
        </w:rPr>
        <w:t>U</w:t>
      </w:r>
      <w:r>
        <w:rPr>
          <w:spacing w:val="-2"/>
        </w:rPr>
        <w:t>.</w:t>
      </w:r>
      <w:r>
        <w:t xml:space="preserve">S. </w:t>
      </w:r>
      <w:r>
        <w:rPr>
          <w:spacing w:val="-1"/>
        </w:rPr>
        <w:t>B</w:t>
      </w:r>
      <w:r>
        <w:t xml:space="preserve">ank – </w:t>
      </w:r>
      <w:r>
        <w:rPr>
          <w:spacing w:val="-1"/>
        </w:rPr>
        <w:t>G</w:t>
      </w:r>
      <w:r>
        <w:t>o</w:t>
      </w:r>
      <w:r>
        <w:rPr>
          <w:spacing w:val="-2"/>
        </w:rPr>
        <w:t>v</w:t>
      </w:r>
      <w:r>
        <w:t>e</w:t>
      </w:r>
      <w:r>
        <w:rPr>
          <w:spacing w:val="1"/>
        </w:rPr>
        <w:t>r</w:t>
      </w:r>
      <w:r>
        <w:t>n</w:t>
      </w:r>
      <w:r>
        <w:rPr>
          <w:spacing w:val="-4"/>
        </w:rPr>
        <w:t>m</w:t>
      </w:r>
      <w:r>
        <w:t>ent Loc</w:t>
      </w:r>
      <w:r>
        <w:rPr>
          <w:spacing w:val="-3"/>
        </w:rPr>
        <w:t>k</w:t>
      </w:r>
      <w:r>
        <w:rPr>
          <w:spacing w:val="1"/>
        </w:rPr>
        <w:t>b</w:t>
      </w:r>
      <w:r>
        <w:t>ox #9</w:t>
      </w:r>
      <w:r>
        <w:rPr>
          <w:spacing w:val="-2"/>
        </w:rPr>
        <w:t>7</w:t>
      </w:r>
      <w:r>
        <w:t>9088,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a, St.</w:t>
      </w:r>
      <w:r>
        <w:rPr>
          <w:spacing w:val="53"/>
        </w:rPr>
        <w:t xml:space="preserve"> </w:t>
      </w:r>
      <w:r>
        <w:t>Loui</w:t>
      </w:r>
      <w:r>
        <w:rPr>
          <w:spacing w:val="1"/>
        </w:rPr>
        <w:t>s</w:t>
      </w:r>
      <w:r>
        <w:t>,</w:t>
      </w:r>
      <w:r>
        <w:rPr>
          <w:spacing w:val="53"/>
        </w:rPr>
        <w:t xml:space="preserve"> </w:t>
      </w:r>
      <w:r>
        <w:t>MO 63101.</w:t>
      </w:r>
    </w:p>
    <w:p w14:paraId="7CBA4010" w14:textId="77777777" w:rsidR="00951D15" w:rsidRDefault="00951D15" w:rsidP="006F64EA">
      <w:pPr>
        <w:tabs>
          <w:tab w:val="left" w:pos="1180"/>
          <w:tab w:val="num" w:pos="1440"/>
        </w:tabs>
        <w:spacing w:line="239" w:lineRule="auto"/>
        <w:ind w:right="60"/>
      </w:pPr>
    </w:p>
    <w:p w14:paraId="103890AA" w14:textId="77777777" w:rsidR="00E7585B" w:rsidRDefault="00E7585B" w:rsidP="00E7585B">
      <w:pPr>
        <w:pStyle w:val="ParaNum"/>
        <w:numPr>
          <w:ilvl w:val="0"/>
          <w:numId w:val="1"/>
        </w:numPr>
        <w:tabs>
          <w:tab w:val="num" w:pos="1440"/>
        </w:tabs>
        <w:jc w:val="left"/>
      </w:pPr>
      <w:r w:rsidRPr="00EE7812">
        <w:t xml:space="preserve">The response, if any, must be mailed to Office of the Secretary, </w:t>
      </w:r>
      <w:r>
        <w:t>Federal Communications Commissio</w:t>
      </w:r>
      <w:r w:rsidRPr="00EE7812">
        <w:t>n, 445 12</w:t>
      </w:r>
      <w:r w:rsidRPr="00EE7812">
        <w:rPr>
          <w:vertAlign w:val="superscript"/>
        </w:rPr>
        <w:t>th</w:t>
      </w:r>
      <w:r w:rsidRPr="00EE7812">
        <w:t xml:space="preserve"> Street, S.W., Washington DC 20554, ATTN: Peter H. Doyle, Chief, Audio Division, Media Bureau, and MUST INCLUDE the NAL/Acct. No. referenced above.</w:t>
      </w:r>
      <w:r>
        <w:t xml:space="preserve">  </w:t>
      </w:r>
    </w:p>
    <w:p w14:paraId="117DB6EC" w14:textId="77777777" w:rsidR="00F16CAD" w:rsidRPr="00AA3547" w:rsidRDefault="00E7585B" w:rsidP="00AA3547">
      <w:pPr>
        <w:pStyle w:val="ParaNum"/>
        <w:numPr>
          <w:ilvl w:val="0"/>
          <w:numId w:val="1"/>
        </w:numPr>
        <w:tabs>
          <w:tab w:val="num" w:pos="1440"/>
        </w:tabs>
        <w:jc w:val="left"/>
        <w:rPr>
          <w:szCs w:val="22"/>
        </w:rPr>
      </w:pPr>
      <w:r w:rsidRPr="00EE7812">
        <w:t>The Commission will not consider reducing or canceling a forfeiture in respo</w:t>
      </w:r>
      <w:r>
        <w:t>nse to a claim of inability to p</w:t>
      </w:r>
      <w:r w:rsidRPr="00EE7812">
        <w:t>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p>
    <w:p w14:paraId="5C7963E8" w14:textId="77777777" w:rsidR="003F4304" w:rsidRDefault="00E7585B" w:rsidP="003F4304">
      <w:pPr>
        <w:pStyle w:val="ParaNum"/>
        <w:numPr>
          <w:ilvl w:val="0"/>
          <w:numId w:val="1"/>
        </w:numPr>
        <w:tabs>
          <w:tab w:val="num" w:pos="1440"/>
        </w:tabs>
        <w:ind w:left="-100"/>
        <w:jc w:val="left"/>
      </w:pPr>
      <w:r w:rsidRPr="00EE7812">
        <w:t xml:space="preserve">Requests for full payment of the forfeiture proposed in this </w:t>
      </w:r>
      <w:r w:rsidRPr="00892CAE">
        <w:rPr>
          <w:i/>
        </w:rPr>
        <w:t>NAL</w:t>
      </w:r>
      <w:r w:rsidRPr="00EE7812">
        <w:t xml:space="preserve"> under the installment plan should be sent to:  Associate Managing Director-Financial Operations, Federal Communications Commission, 445 12th Street, S.W., Room 1-A625, Washington, DC 20554.</w:t>
      </w:r>
      <w:r w:rsidRPr="00995AD3">
        <w:rPr>
          <w:rStyle w:val="FootnoteReference"/>
          <w:szCs w:val="22"/>
        </w:rPr>
        <w:footnoteReference w:id="48"/>
      </w:r>
    </w:p>
    <w:p w14:paraId="71685034" w14:textId="37FAB0C5" w:rsidR="006836FC" w:rsidRPr="003F4304" w:rsidRDefault="002B2020" w:rsidP="003F4304">
      <w:pPr>
        <w:pStyle w:val="ParaNum"/>
        <w:numPr>
          <w:ilvl w:val="0"/>
          <w:numId w:val="1"/>
        </w:numPr>
        <w:tabs>
          <w:tab w:val="num" w:pos="1440"/>
        </w:tabs>
        <w:ind w:left="-100"/>
        <w:jc w:val="left"/>
      </w:pPr>
      <w:r w:rsidRPr="003F4304">
        <w:rPr>
          <w:szCs w:val="22"/>
        </w:rPr>
        <w:t xml:space="preserve">IT IS FURTHER ORDERED, that a copy of this </w:t>
      </w:r>
      <w:r w:rsidRPr="003F4304">
        <w:rPr>
          <w:i/>
          <w:szCs w:val="22"/>
        </w:rPr>
        <w:t>NAL</w:t>
      </w:r>
      <w:r w:rsidRPr="003F4304">
        <w:rPr>
          <w:szCs w:val="22"/>
        </w:rPr>
        <w:t xml:space="preserve"> shall be sent by First Class and Certified Mail - Return Receipt Requested, to </w:t>
      </w:r>
      <w:r w:rsidR="00F50D28" w:rsidRPr="003F4304">
        <w:rPr>
          <w:szCs w:val="22"/>
        </w:rPr>
        <w:t>Ms. Shanti Persaud Hernandez, President, Rama Communications</w:t>
      </w:r>
      <w:r w:rsidR="00CC4F78" w:rsidRPr="003F4304">
        <w:rPr>
          <w:szCs w:val="22"/>
        </w:rPr>
        <w:t xml:space="preserve">, Inc., </w:t>
      </w:r>
      <w:r w:rsidR="00F50D28" w:rsidRPr="003F4304">
        <w:rPr>
          <w:szCs w:val="22"/>
        </w:rPr>
        <w:t xml:space="preserve">3765 North John Young Parkway, </w:t>
      </w:r>
      <w:r w:rsidR="00CE5625" w:rsidRPr="003F4304">
        <w:rPr>
          <w:szCs w:val="22"/>
        </w:rPr>
        <w:t>and to its counsel, John C. Trent, Esq., Putbrese Hunsaker &amp; Trent, P.C., 200 S. Church Street, Woodstock, VA 22661</w:t>
      </w:r>
      <w:r w:rsidR="00421EAD" w:rsidRPr="003F4304">
        <w:rPr>
          <w:szCs w:val="22"/>
        </w:rPr>
        <w:t>, with a copy to Robert E. Boris,</w:t>
      </w:r>
      <w:r w:rsidR="00E501C4" w:rsidRPr="003F4304">
        <w:rPr>
          <w:szCs w:val="22"/>
        </w:rPr>
        <w:t xml:space="preserve"> </w:t>
      </w:r>
      <w:r w:rsidR="00142E47" w:rsidRPr="003F4304">
        <w:rPr>
          <w:szCs w:val="22"/>
        </w:rPr>
        <w:t>1011 Lake Gracie Drive</w:t>
      </w:r>
      <w:r w:rsidR="00755D00" w:rsidRPr="003F4304">
        <w:rPr>
          <w:szCs w:val="22"/>
        </w:rPr>
        <w:t xml:space="preserve">, </w:t>
      </w:r>
      <w:r w:rsidR="00755D00" w:rsidRPr="003F4304" w:rsidDel="00DE6F05">
        <w:rPr>
          <w:szCs w:val="22"/>
        </w:rPr>
        <w:t>Eustis</w:t>
      </w:r>
      <w:r w:rsidR="00142E47" w:rsidRPr="003F4304">
        <w:rPr>
          <w:szCs w:val="22"/>
        </w:rPr>
        <w:t>, FL 32726</w:t>
      </w:r>
      <w:r w:rsidR="00CE5625" w:rsidRPr="003F4304">
        <w:rPr>
          <w:szCs w:val="22"/>
        </w:rPr>
        <w:t xml:space="preserve">. </w:t>
      </w:r>
    </w:p>
    <w:p w14:paraId="49D9C91C" w14:textId="77777777" w:rsidR="00F50D28" w:rsidRDefault="00F50D28" w:rsidP="00F50D28">
      <w:pPr>
        <w:pStyle w:val="ParaNum"/>
        <w:numPr>
          <w:ilvl w:val="0"/>
          <w:numId w:val="0"/>
        </w:numPr>
        <w:tabs>
          <w:tab w:val="clear" w:pos="1440"/>
        </w:tabs>
        <w:jc w:val="left"/>
        <w:rPr>
          <w:u w:val="single"/>
        </w:rPr>
      </w:pPr>
    </w:p>
    <w:p w14:paraId="43051881" w14:textId="77777777" w:rsidR="00E945DD" w:rsidRDefault="00E945DD">
      <w:pPr>
        <w:rPr>
          <w:szCs w:val="22"/>
        </w:rPr>
      </w:pPr>
      <w:r>
        <w:rPr>
          <w:szCs w:val="22"/>
        </w:rPr>
        <w:tab/>
      </w:r>
      <w:r>
        <w:rPr>
          <w:szCs w:val="22"/>
        </w:rPr>
        <w:tab/>
      </w:r>
      <w:r>
        <w:rPr>
          <w:szCs w:val="22"/>
        </w:rPr>
        <w:tab/>
      </w:r>
      <w:r>
        <w:rPr>
          <w:szCs w:val="22"/>
        </w:rPr>
        <w:tab/>
      </w:r>
      <w:r>
        <w:rPr>
          <w:szCs w:val="22"/>
        </w:rPr>
        <w:tab/>
      </w:r>
      <w:r>
        <w:rPr>
          <w:szCs w:val="22"/>
        </w:rPr>
        <w:tab/>
        <w:t>FEDERAL COMMUNICATIONS COMMISSION</w:t>
      </w:r>
    </w:p>
    <w:p w14:paraId="3589E4D4" w14:textId="77777777" w:rsidR="00E945DD" w:rsidRDefault="00E945DD">
      <w:pPr>
        <w:rPr>
          <w:szCs w:val="22"/>
        </w:rPr>
      </w:pPr>
    </w:p>
    <w:p w14:paraId="061C7C4D" w14:textId="77777777" w:rsidR="00E41C44" w:rsidRDefault="00E41C44">
      <w:pPr>
        <w:rPr>
          <w:szCs w:val="22"/>
        </w:rPr>
      </w:pPr>
    </w:p>
    <w:p w14:paraId="0DD93CF0" w14:textId="77777777" w:rsidR="00E945DD" w:rsidRDefault="00E945DD">
      <w:pPr>
        <w:rPr>
          <w:szCs w:val="22"/>
        </w:rPr>
      </w:pPr>
    </w:p>
    <w:p w14:paraId="6203880B" w14:textId="77777777" w:rsidR="00E945DD" w:rsidRDefault="00E945DD">
      <w:pPr>
        <w:tabs>
          <w:tab w:val="left" w:pos="0"/>
          <w:tab w:val="left" w:pos="2880"/>
        </w:tabs>
        <w:suppressAutoHyphens/>
        <w:rPr>
          <w:szCs w:val="22"/>
        </w:rPr>
      </w:pPr>
      <w:r>
        <w:tab/>
      </w:r>
      <w:r>
        <w:tab/>
      </w:r>
      <w:r>
        <w:tab/>
      </w:r>
      <w:r>
        <w:rPr>
          <w:szCs w:val="22"/>
        </w:rPr>
        <w:t>Peter H. Doyle</w:t>
      </w:r>
    </w:p>
    <w:p w14:paraId="3C870B6D" w14:textId="77777777" w:rsidR="00E945DD" w:rsidRDefault="00E945DD">
      <w:pPr>
        <w:tabs>
          <w:tab w:val="left" w:pos="0"/>
          <w:tab w:val="left" w:pos="2880"/>
        </w:tabs>
        <w:suppressAutoHyphens/>
      </w:pPr>
      <w:r>
        <w:rPr>
          <w:szCs w:val="22"/>
        </w:rPr>
        <w:tab/>
      </w:r>
      <w:r>
        <w:rPr>
          <w:szCs w:val="22"/>
        </w:rPr>
        <w:tab/>
      </w:r>
      <w:r>
        <w:rPr>
          <w:szCs w:val="22"/>
        </w:rPr>
        <w:tab/>
        <w:t xml:space="preserve">Chief, Audio Division </w:t>
      </w:r>
    </w:p>
    <w:p w14:paraId="23CE30FC" w14:textId="77777777" w:rsidR="00E945DD" w:rsidRDefault="00E945DD">
      <w:pPr>
        <w:ind w:left="3600" w:firstLine="720"/>
      </w:pPr>
      <w:r>
        <w:t>Media Bureau</w:t>
      </w:r>
    </w:p>
    <w:p w14:paraId="65088A51" w14:textId="2E9B2960" w:rsidR="00142E47" w:rsidRPr="00E501C4" w:rsidRDefault="00142E47" w:rsidP="00142E47">
      <w:pPr>
        <w:autoSpaceDE w:val="0"/>
        <w:autoSpaceDN w:val="0"/>
        <w:adjustRightInd w:val="0"/>
        <w:rPr>
          <w:szCs w:val="22"/>
        </w:rPr>
      </w:pPr>
    </w:p>
    <w:p w14:paraId="067F595B" w14:textId="0EFA7A35" w:rsidR="00142E47" w:rsidRPr="00142E47" w:rsidRDefault="00142E47" w:rsidP="00142E47">
      <w:pPr>
        <w:ind w:left="3600" w:firstLine="720"/>
        <w:rPr>
          <w:szCs w:val="22"/>
        </w:rPr>
      </w:pPr>
    </w:p>
    <w:sectPr w:rsidR="00142E47" w:rsidRPr="00142E47" w:rsidSect="001E6E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5D9D4" w14:textId="77777777" w:rsidR="0057129C" w:rsidRDefault="0057129C">
      <w:r>
        <w:separator/>
      </w:r>
    </w:p>
  </w:endnote>
  <w:endnote w:type="continuationSeparator" w:id="0">
    <w:p w14:paraId="5C77D5F1" w14:textId="77777777" w:rsidR="0057129C" w:rsidRDefault="0057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9B98" w14:textId="77777777" w:rsidR="00DC45F9" w:rsidRDefault="00DC4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91630" w14:textId="77777777" w:rsidR="0055174B" w:rsidRDefault="0055174B">
    <w:pPr>
      <w:pStyle w:val="Footer"/>
      <w:tabs>
        <w:tab w:val="center" w:pos="4680"/>
        <w:tab w:val="left" w:pos="6994"/>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936D9E">
      <w:rPr>
        <w:rStyle w:val="PageNumber"/>
        <w:noProof/>
      </w:rPr>
      <w:t>2</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2F6C" w14:textId="77777777" w:rsidR="00DC45F9" w:rsidRDefault="00DC4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B7BB2" w14:textId="77777777" w:rsidR="0057129C" w:rsidRDefault="0057129C">
      <w:pPr>
        <w:rPr>
          <w:sz w:val="20"/>
        </w:rPr>
      </w:pPr>
      <w:r>
        <w:rPr>
          <w:sz w:val="20"/>
        </w:rPr>
        <w:separator/>
      </w:r>
    </w:p>
  </w:footnote>
  <w:footnote w:type="continuationSeparator" w:id="0">
    <w:p w14:paraId="5E24B638" w14:textId="77777777" w:rsidR="0057129C" w:rsidRDefault="0057129C">
      <w:pPr>
        <w:rPr>
          <w:sz w:val="20"/>
        </w:rPr>
      </w:pPr>
      <w:r>
        <w:rPr>
          <w:sz w:val="20"/>
        </w:rPr>
        <w:separator/>
      </w:r>
    </w:p>
    <w:p w14:paraId="416F79A1" w14:textId="77777777" w:rsidR="0057129C" w:rsidRDefault="0057129C">
      <w:pPr>
        <w:rPr>
          <w:sz w:val="20"/>
        </w:rPr>
      </w:pPr>
      <w:r>
        <w:rPr>
          <w:sz w:val="20"/>
        </w:rPr>
        <w:t>(...continued from previous page)</w:t>
      </w:r>
    </w:p>
  </w:footnote>
  <w:footnote w:type="continuationNotice" w:id="1">
    <w:p w14:paraId="697C2FCE" w14:textId="77777777" w:rsidR="0057129C" w:rsidRDefault="0057129C">
      <w:pPr>
        <w:jc w:val="right"/>
        <w:rPr>
          <w:sz w:val="20"/>
        </w:rPr>
      </w:pPr>
      <w:r>
        <w:rPr>
          <w:sz w:val="20"/>
        </w:rPr>
        <w:t>(continued....)</w:t>
      </w:r>
    </w:p>
  </w:footnote>
  <w:footnote w:id="2">
    <w:p w14:paraId="0ED31DB3" w14:textId="5F85982E" w:rsidR="0055174B" w:rsidRPr="00B47DB6" w:rsidRDefault="0055174B" w:rsidP="00E41C44">
      <w:pPr>
        <w:pStyle w:val="FootnoteText"/>
        <w:jc w:val="left"/>
      </w:pPr>
      <w:r>
        <w:rPr>
          <w:rStyle w:val="FootnoteReference"/>
        </w:rPr>
        <w:footnoteRef/>
      </w:r>
      <w:r>
        <w:t xml:space="preserve"> Licensee filed an</w:t>
      </w:r>
      <w:r w:rsidRPr="00B47DB6">
        <w:t xml:space="preserve"> Opposition to Petition to Deny </w:t>
      </w:r>
      <w:r>
        <w:t>on January 26, 2012 (Opposition).</w:t>
      </w:r>
    </w:p>
  </w:footnote>
  <w:footnote w:id="3">
    <w:p w14:paraId="542702B0" w14:textId="2C4ED2A8" w:rsidR="0055174B" w:rsidRDefault="0055174B" w:rsidP="00E41C44">
      <w:pPr>
        <w:pStyle w:val="FootnoteText"/>
        <w:jc w:val="left"/>
      </w:pPr>
      <w:r>
        <w:rPr>
          <w:rStyle w:val="FootnoteReference"/>
        </w:rPr>
        <w:footnoteRef/>
      </w:r>
      <w:r>
        <w:t xml:space="preserve"> This </w:t>
      </w:r>
      <w:r w:rsidRPr="00CD08C8">
        <w:rPr>
          <w:i/>
        </w:rPr>
        <w:t>NAL</w:t>
      </w:r>
      <w:r>
        <w:t xml:space="preserve"> is issued pursuant to Sections 309(k) and 503(b) of the Communications Act of 1934 (Act), and Section 1.80 of the Rules.  </w:t>
      </w:r>
      <w:r>
        <w:rPr>
          <w:i/>
        </w:rPr>
        <w:t>See</w:t>
      </w:r>
      <w:r>
        <w:t xml:space="preserve"> 47 U.S.C. §§ 309(k), 503(b); 47 CFR § 1.80.  The Bureau has delegated authority to issue the </w:t>
      </w:r>
      <w:r w:rsidRPr="00CD08C8">
        <w:rPr>
          <w:i/>
        </w:rPr>
        <w:t>NAL</w:t>
      </w:r>
      <w:r>
        <w:t xml:space="preserve"> under Section 0.283 of the Rules.  </w:t>
      </w:r>
      <w:r>
        <w:rPr>
          <w:i/>
        </w:rPr>
        <w:t>See</w:t>
      </w:r>
      <w:r>
        <w:t xml:space="preserve"> 47 CFR § 0.283.</w:t>
      </w:r>
    </w:p>
  </w:footnote>
  <w:footnote w:id="4">
    <w:p w14:paraId="779F0FA6" w14:textId="2F6D7285" w:rsidR="0055174B" w:rsidRDefault="0055174B" w:rsidP="00E41C44">
      <w:pPr>
        <w:pStyle w:val="FootnoteText"/>
        <w:jc w:val="left"/>
      </w:pPr>
      <w:r>
        <w:rPr>
          <w:rStyle w:val="FootnoteReference"/>
        </w:rPr>
        <w:footnoteRef/>
      </w:r>
      <w:r>
        <w:t xml:space="preserve"> 47 CFR § </w:t>
      </w:r>
      <w:r>
        <w:rPr>
          <w:spacing w:val="-2"/>
        </w:rPr>
        <w:t>73.3526</w:t>
      </w:r>
      <w:r>
        <w:t>.</w:t>
      </w:r>
    </w:p>
  </w:footnote>
  <w:footnote w:id="5">
    <w:p w14:paraId="2C283ADB" w14:textId="6AD6BB07" w:rsidR="0055174B" w:rsidRPr="00E21D48" w:rsidRDefault="0055174B" w:rsidP="00E41C44">
      <w:pPr>
        <w:pStyle w:val="FootnoteText"/>
        <w:jc w:val="left"/>
      </w:pPr>
      <w:r>
        <w:rPr>
          <w:rStyle w:val="FootnoteReference"/>
        </w:rPr>
        <w:footnoteRef/>
      </w:r>
      <w:r>
        <w:t xml:space="preserve"> 47 CFR § </w:t>
      </w:r>
      <w:r>
        <w:rPr>
          <w:spacing w:val="-2"/>
        </w:rPr>
        <w:t>1.17</w:t>
      </w:r>
      <w:r>
        <w:t>.</w:t>
      </w:r>
    </w:p>
  </w:footnote>
  <w:footnote w:id="6">
    <w:p w14:paraId="1E66BE99" w14:textId="74016826" w:rsidR="0055174B" w:rsidRPr="001B495D" w:rsidRDefault="0055174B" w:rsidP="00E41C44">
      <w:pPr>
        <w:pStyle w:val="FootnoteText"/>
        <w:jc w:val="left"/>
      </w:pPr>
      <w:r>
        <w:rPr>
          <w:rStyle w:val="FootnoteReference"/>
        </w:rPr>
        <w:footnoteRef/>
      </w:r>
      <w:r>
        <w:t xml:space="preserve"> </w:t>
      </w:r>
      <w:r>
        <w:rPr>
          <w:i/>
        </w:rPr>
        <w:t>See Rama Comm</w:t>
      </w:r>
      <w:r w:rsidR="00006C40">
        <w:rPr>
          <w:i/>
        </w:rPr>
        <w:t>’</w:t>
      </w:r>
      <w:r>
        <w:rPr>
          <w:i/>
        </w:rPr>
        <w:t xml:space="preserve">cns, Inc., </w:t>
      </w:r>
      <w:r w:rsidRPr="00811FDC">
        <w:t>Notice of Apparent Liability for Forfeiture,</w:t>
      </w:r>
      <w:r>
        <w:rPr>
          <w:i/>
        </w:rPr>
        <w:t xml:space="preserve"> </w:t>
      </w:r>
      <w:r w:rsidRPr="00A26667">
        <w:t>25 FCC Rcd 15246</w:t>
      </w:r>
      <w:r>
        <w:t xml:space="preserve"> (EB 2010)</w:t>
      </w:r>
      <w:r w:rsidR="00C27418">
        <w:t xml:space="preserve">.  </w:t>
      </w:r>
      <w:r>
        <w:t xml:space="preserve">WRHB(AM) became WQBQ(AM) </w:t>
      </w:r>
      <w:r w:rsidR="00C27418">
        <w:t>on December 10, 2010</w:t>
      </w:r>
      <w:r>
        <w:t>.</w:t>
      </w:r>
      <w:r w:rsidR="00DD327D">
        <w:t xml:space="preserve">  Licensee entered into an installment payment plan to pay the </w:t>
      </w:r>
      <w:r w:rsidR="00DD327D" w:rsidRPr="00315898">
        <w:rPr>
          <w:i/>
        </w:rPr>
        <w:t>2010 NAL</w:t>
      </w:r>
      <w:r w:rsidR="00DD327D">
        <w:t xml:space="preserve"> over a period of two years.</w:t>
      </w:r>
    </w:p>
  </w:footnote>
  <w:footnote w:id="7">
    <w:p w14:paraId="66AAC1A8" w14:textId="77777777" w:rsidR="0055174B" w:rsidRDefault="0055174B" w:rsidP="00E41C44">
      <w:pPr>
        <w:pStyle w:val="FootnoteText"/>
        <w:jc w:val="left"/>
      </w:pPr>
      <w:r>
        <w:rPr>
          <w:rStyle w:val="FootnoteReference"/>
        </w:rPr>
        <w:footnoteRef/>
      </w:r>
      <w:r>
        <w:t xml:space="preserve"> </w:t>
      </w:r>
      <w:r w:rsidRPr="00C27418">
        <w:rPr>
          <w:i/>
        </w:rPr>
        <w:t>2010 NAL</w:t>
      </w:r>
      <w:r>
        <w:t xml:space="preserve"> at 15249, n.18.</w:t>
      </w:r>
    </w:p>
  </w:footnote>
  <w:footnote w:id="8">
    <w:p w14:paraId="3FD42E36" w14:textId="1D88EE0F" w:rsidR="0055174B" w:rsidRPr="00F85BC1" w:rsidRDefault="0055174B" w:rsidP="00E41C44">
      <w:pPr>
        <w:pStyle w:val="FootnoteText"/>
        <w:jc w:val="left"/>
      </w:pPr>
      <w:r>
        <w:rPr>
          <w:rStyle w:val="FootnoteReference"/>
        </w:rPr>
        <w:footnoteRef/>
      </w:r>
      <w:r>
        <w:t xml:space="preserve"> Application at Exh</w:t>
      </w:r>
      <w:r w:rsidR="00421EAD">
        <w:t>.</w:t>
      </w:r>
      <w:r>
        <w:t xml:space="preserve"> 6.  </w:t>
      </w:r>
      <w:r w:rsidRPr="00F85BC1">
        <w:t>It noted that the Application would be “supplemented with a statement by the Licensee as to the steps that were taken to address the violations</w:t>
      </w:r>
      <w:r>
        <w:t>.”  We have no record of such a statement.</w:t>
      </w:r>
    </w:p>
  </w:footnote>
  <w:footnote w:id="9">
    <w:p w14:paraId="49FDA1D6" w14:textId="77777777" w:rsidR="0055174B" w:rsidRDefault="0055174B" w:rsidP="00E41C44">
      <w:pPr>
        <w:pStyle w:val="FootnoteText"/>
        <w:jc w:val="left"/>
      </w:pPr>
      <w:r>
        <w:rPr>
          <w:rStyle w:val="FootnoteReference"/>
        </w:rPr>
        <w:footnoteRef/>
      </w:r>
      <w:r>
        <w:t xml:space="preserve"> Petition at 6-7.</w:t>
      </w:r>
    </w:p>
  </w:footnote>
  <w:footnote w:id="10">
    <w:p w14:paraId="22366EE1" w14:textId="77777777" w:rsidR="005B1814" w:rsidRDefault="005B1814" w:rsidP="005B1814">
      <w:pPr>
        <w:pStyle w:val="FootnoteText"/>
        <w:jc w:val="left"/>
      </w:pPr>
      <w:r>
        <w:rPr>
          <w:rStyle w:val="FootnoteReference"/>
        </w:rPr>
        <w:footnoteRef/>
      </w:r>
      <w:r>
        <w:t xml:space="preserve"> Opposition at 2.  Licensee does not comment on whether Boris was given the opportunity to make copies but it implies that he left soon after viewing the file.  Opposition at 3.</w:t>
      </w:r>
    </w:p>
  </w:footnote>
  <w:footnote w:id="11">
    <w:p w14:paraId="1D4862F1" w14:textId="77777777" w:rsidR="0055174B" w:rsidRDefault="0055174B" w:rsidP="00E41C44">
      <w:pPr>
        <w:pStyle w:val="FootnoteText"/>
        <w:jc w:val="left"/>
      </w:pPr>
      <w:r>
        <w:rPr>
          <w:rStyle w:val="FootnoteReference"/>
        </w:rPr>
        <w:footnoteRef/>
      </w:r>
      <w:r>
        <w:t xml:space="preserve"> </w:t>
      </w:r>
      <w:r w:rsidRPr="004B0472">
        <w:t>Opposition</w:t>
      </w:r>
      <w:r>
        <w:t xml:space="preserve"> at 3.</w:t>
      </w:r>
    </w:p>
  </w:footnote>
  <w:footnote w:id="12">
    <w:p w14:paraId="7D0869AD" w14:textId="77777777" w:rsidR="0055174B" w:rsidRDefault="0055174B" w:rsidP="00E41C44">
      <w:pPr>
        <w:pStyle w:val="FootnoteText"/>
        <w:jc w:val="left"/>
      </w:pPr>
      <w:r>
        <w:rPr>
          <w:rStyle w:val="FootnoteReference"/>
        </w:rPr>
        <w:footnoteRef/>
      </w:r>
      <w:r>
        <w:t xml:space="preserve"> 47 U.S.C. § 309(d)(1).</w:t>
      </w:r>
    </w:p>
  </w:footnote>
  <w:footnote w:id="13">
    <w:p w14:paraId="46CAFF8B" w14:textId="77777777" w:rsidR="007F2104" w:rsidRDefault="007F2104" w:rsidP="007F2104">
      <w:pPr>
        <w:pStyle w:val="FootnoteText"/>
      </w:pPr>
      <w:r>
        <w:rPr>
          <w:rStyle w:val="FootnoteReference"/>
        </w:rPr>
        <w:footnoteRef/>
      </w:r>
      <w:r>
        <w:t xml:space="preserve"> 47 U.S.C. § 309(d).</w:t>
      </w:r>
    </w:p>
  </w:footnote>
  <w:footnote w:id="14">
    <w:p w14:paraId="74BA4E56" w14:textId="04A2FCAB" w:rsidR="007F2104" w:rsidRDefault="007F2104" w:rsidP="007F2104">
      <w:pPr>
        <w:pStyle w:val="FootnoteText"/>
      </w:pPr>
      <w:r>
        <w:rPr>
          <w:rStyle w:val="FootnoteReference"/>
        </w:rPr>
        <w:footnoteRef/>
      </w:r>
      <w:r>
        <w:t xml:space="preserve"> </w:t>
      </w:r>
      <w:r w:rsidR="00690357">
        <w:t xml:space="preserve">47 U.S.C.  </w:t>
      </w:r>
      <w:r>
        <w:t xml:space="preserve">§ 309(k).  </w:t>
      </w:r>
      <w:r>
        <w:rPr>
          <w:i/>
        </w:rPr>
        <w:t>See</w:t>
      </w:r>
      <w:r>
        <w:t xml:space="preserve">, </w:t>
      </w:r>
      <w:r>
        <w:rPr>
          <w:i/>
        </w:rPr>
        <w:t>e.g.</w:t>
      </w:r>
      <w:r>
        <w:t xml:space="preserve">, </w:t>
      </w:r>
      <w:r>
        <w:rPr>
          <w:i/>
        </w:rPr>
        <w:t>WWOR-TV, Inc.</w:t>
      </w:r>
      <w:r>
        <w:t xml:space="preserve">, Memorandum Opinion and Order, 6 FCC Rcd 193, 197 n. 10 (1990), </w:t>
      </w:r>
      <w:r>
        <w:rPr>
          <w:i/>
        </w:rPr>
        <w:t>aff’d sub nom. Garden State Broad</w:t>
      </w:r>
      <w:r w:rsidR="000D5DD5">
        <w:rPr>
          <w:i/>
        </w:rPr>
        <w:t>.</w:t>
      </w:r>
      <w:r>
        <w:rPr>
          <w:i/>
        </w:rPr>
        <w:t xml:space="preserve"> L.P. v. FCC</w:t>
      </w:r>
      <w:r>
        <w:t>, 996 F.2d 386 (D.C. Cir. 1993).</w:t>
      </w:r>
    </w:p>
  </w:footnote>
  <w:footnote w:id="15">
    <w:p w14:paraId="2A5C2717" w14:textId="3D6D2C64" w:rsidR="0055174B" w:rsidRDefault="0055174B" w:rsidP="00E41C44">
      <w:pPr>
        <w:pStyle w:val="FootnoteText"/>
        <w:jc w:val="left"/>
      </w:pPr>
      <w:r>
        <w:rPr>
          <w:rStyle w:val="FootnoteReference"/>
        </w:rPr>
        <w:footnoteRef/>
      </w:r>
      <w:r>
        <w:t xml:space="preserve"> 47 CFR §73.3526(c).  </w:t>
      </w:r>
      <w:r>
        <w:rPr>
          <w:i/>
        </w:rPr>
        <w:t xml:space="preserve">See also Availability of Locally Maintained Records for Inspection by Members of the Public, </w:t>
      </w:r>
      <w:r>
        <w:t>Public Notice, 13 FCC Rcd 17959 (1998).</w:t>
      </w:r>
    </w:p>
  </w:footnote>
  <w:footnote w:id="16">
    <w:p w14:paraId="385D383E" w14:textId="2B97CD1E" w:rsidR="0027799C" w:rsidRDefault="0027799C">
      <w:pPr>
        <w:pStyle w:val="FootnoteText"/>
      </w:pPr>
      <w:r>
        <w:rPr>
          <w:rStyle w:val="FootnoteReference"/>
        </w:rPr>
        <w:footnoteRef/>
      </w:r>
      <w:r>
        <w:t xml:space="preserve"> There is also no evidence that </w:t>
      </w:r>
      <w:r>
        <w:rPr>
          <w:rStyle w:val="documentbody"/>
          <w:szCs w:val="22"/>
        </w:rPr>
        <w:t xml:space="preserve">Licensee later </w:t>
      </w:r>
      <w:r w:rsidRPr="00FD1CC8">
        <w:rPr>
          <w:rStyle w:val="documentbody"/>
          <w:szCs w:val="22"/>
        </w:rPr>
        <w:t>provide</w:t>
      </w:r>
      <w:r>
        <w:rPr>
          <w:rStyle w:val="documentbody"/>
          <w:szCs w:val="22"/>
        </w:rPr>
        <w:t>d</w:t>
      </w:r>
      <w:r w:rsidRPr="00FD1CC8">
        <w:rPr>
          <w:rStyle w:val="documentbody"/>
          <w:szCs w:val="22"/>
        </w:rPr>
        <w:t xml:space="preserve"> copies</w:t>
      </w:r>
      <w:r>
        <w:rPr>
          <w:rStyle w:val="documentbody"/>
          <w:szCs w:val="22"/>
        </w:rPr>
        <w:t xml:space="preserve"> of the public file</w:t>
      </w:r>
      <w:r w:rsidRPr="00FD1CC8">
        <w:rPr>
          <w:rStyle w:val="documentbody"/>
          <w:szCs w:val="22"/>
        </w:rPr>
        <w:t xml:space="preserve"> to Boris</w:t>
      </w:r>
      <w:r>
        <w:rPr>
          <w:rStyle w:val="documentbody"/>
          <w:szCs w:val="22"/>
        </w:rPr>
        <w:t>.</w:t>
      </w:r>
    </w:p>
  </w:footnote>
  <w:footnote w:id="17">
    <w:p w14:paraId="2C545BEC" w14:textId="2174A424" w:rsidR="0055174B" w:rsidRDefault="0055174B" w:rsidP="00E41C44">
      <w:pPr>
        <w:pStyle w:val="FootnoteText"/>
        <w:jc w:val="left"/>
      </w:pPr>
      <w:r>
        <w:rPr>
          <w:rStyle w:val="FootnoteReference"/>
        </w:rPr>
        <w:footnoteRef/>
      </w:r>
      <w:r>
        <w:t xml:space="preserve"> 47 CFR § 73.3526(e)(1).</w:t>
      </w:r>
      <w:r w:rsidR="00623A9C">
        <w:t xml:space="preserve">  However, Boris does not specifically state that the file did not contain the authorization or the contour map</w:t>
      </w:r>
      <w:r w:rsidR="00F522B2">
        <w:t>s required by 47 CFR §73.3526(e)(4).  He indicates that he believes there should be related materials relevant to the authorization, but does not specify what they are.</w:t>
      </w:r>
      <w:r w:rsidR="006B41E0">
        <w:t xml:space="preserve">  Petition at 8.</w:t>
      </w:r>
      <w:r w:rsidR="00F522B2">
        <w:t xml:space="preserve">  For instance, the Station received a grant of a minor modification application earlier in 2011 to correct the Station’s transmitter site coordinates.  </w:t>
      </w:r>
      <w:r w:rsidR="00F522B2" w:rsidRPr="00315898">
        <w:rPr>
          <w:i/>
        </w:rPr>
        <w:t>See</w:t>
      </w:r>
      <w:r w:rsidR="00F522B2">
        <w:t xml:space="preserve"> FCC </w:t>
      </w:r>
      <w:r w:rsidR="00690357">
        <w:t>F</w:t>
      </w:r>
      <w:r w:rsidR="00F522B2">
        <w:t xml:space="preserve">ile </w:t>
      </w:r>
      <w:r w:rsidR="00690357">
        <w:t>N</w:t>
      </w:r>
      <w:r w:rsidR="00F522B2">
        <w:t>o. BP-20101203AAM.  However, that modification was not then licensed, so it was not required to be in the file pursuant to 47 CFR §73.3526(a)(1), nor was a copy of the application required to be in the file pursuant to 47 CFR §73.3526(a)(2).</w:t>
      </w:r>
    </w:p>
  </w:footnote>
  <w:footnote w:id="18">
    <w:p w14:paraId="3B5739E9" w14:textId="77777777" w:rsidR="00F522B2" w:rsidRDefault="00F522B2">
      <w:pPr>
        <w:pStyle w:val="FootnoteText"/>
      </w:pPr>
      <w:r>
        <w:rPr>
          <w:rStyle w:val="FootnoteReference"/>
        </w:rPr>
        <w:footnoteRef/>
      </w:r>
      <w:r>
        <w:t xml:space="preserve"> Again, Boris does not specify which application he believes should have been in the file.</w:t>
      </w:r>
      <w:r w:rsidR="006B41E0">
        <w:t xml:space="preserve">  Petition at 8.</w:t>
      </w:r>
    </w:p>
  </w:footnote>
  <w:footnote w:id="19">
    <w:p w14:paraId="1C557CEF" w14:textId="77777777" w:rsidR="006B41E0" w:rsidRDefault="006B41E0">
      <w:pPr>
        <w:pStyle w:val="FootnoteText"/>
      </w:pPr>
      <w:r>
        <w:rPr>
          <w:rStyle w:val="FootnoteReference"/>
        </w:rPr>
        <w:footnoteRef/>
      </w:r>
      <w:r>
        <w:t xml:space="preserve"> Boris states no basis for knowing whether there were such letters or emails.  Petition at 8.</w:t>
      </w:r>
    </w:p>
  </w:footnote>
  <w:footnote w:id="20">
    <w:p w14:paraId="16A695C6" w14:textId="080DBDBB" w:rsidR="0055174B" w:rsidRDefault="0055174B" w:rsidP="00E41C44">
      <w:pPr>
        <w:pStyle w:val="FootnoteText"/>
        <w:jc w:val="left"/>
      </w:pPr>
      <w:r>
        <w:rPr>
          <w:rStyle w:val="FootnoteReference"/>
        </w:rPr>
        <w:footnoteRef/>
      </w:r>
      <w:r>
        <w:t xml:space="preserve"> Petition at 8.  </w:t>
      </w:r>
      <w:r w:rsidR="00663E29">
        <w:t xml:space="preserve">47 CFR § 73.3526 </w:t>
      </w:r>
      <w:r>
        <w:t>at (e)</w:t>
      </w:r>
      <w:r w:rsidR="00AA570A">
        <w:t xml:space="preserve">(1), </w:t>
      </w:r>
      <w:r>
        <w:t>(2</w:t>
      </w:r>
      <w:r w:rsidR="00663E29">
        <w:t>)</w:t>
      </w:r>
      <w:r>
        <w:t xml:space="preserve">, </w:t>
      </w:r>
      <w:r w:rsidR="00663E29">
        <w:t>(</w:t>
      </w:r>
      <w:r>
        <w:t>5</w:t>
      </w:r>
      <w:r w:rsidR="00663E29">
        <w:t>)</w:t>
      </w:r>
      <w:r>
        <w:t>,</w:t>
      </w:r>
      <w:r w:rsidR="00EC430A">
        <w:t xml:space="preserve"> </w:t>
      </w:r>
      <w:r w:rsidR="00663E29">
        <w:t>(</w:t>
      </w:r>
      <w:r>
        <w:t>6</w:t>
      </w:r>
      <w:r w:rsidR="00663E29">
        <w:t>)</w:t>
      </w:r>
      <w:r>
        <w:t xml:space="preserve">, </w:t>
      </w:r>
      <w:r w:rsidR="00663E29">
        <w:t>(</w:t>
      </w:r>
      <w:r>
        <w:t>9</w:t>
      </w:r>
      <w:r w:rsidR="00663E29">
        <w:t>)</w:t>
      </w:r>
      <w:r>
        <w:t xml:space="preserve">, </w:t>
      </w:r>
      <w:r w:rsidR="00663E29">
        <w:t>(</w:t>
      </w:r>
      <w:r>
        <w:t>10</w:t>
      </w:r>
      <w:r w:rsidR="00663E29">
        <w:t>)</w:t>
      </w:r>
      <w:r>
        <w:t>,</w:t>
      </w:r>
      <w:r w:rsidR="006A0319">
        <w:t xml:space="preserve"> (11),</w:t>
      </w:r>
      <w:r>
        <w:t xml:space="preserve"> </w:t>
      </w:r>
      <w:r w:rsidR="00663E29">
        <w:t>(</w:t>
      </w:r>
      <w:r>
        <w:t>12</w:t>
      </w:r>
      <w:r w:rsidR="00663E29">
        <w:t>)</w:t>
      </w:r>
      <w:r>
        <w:t xml:space="preserve">, </w:t>
      </w:r>
      <w:r w:rsidR="00663E29">
        <w:t>(</w:t>
      </w:r>
      <w:r>
        <w:t>13</w:t>
      </w:r>
      <w:r w:rsidR="00663E29">
        <w:t>)</w:t>
      </w:r>
      <w:r>
        <w:t xml:space="preserve">, </w:t>
      </w:r>
      <w:r w:rsidR="00663E29">
        <w:t>(</w:t>
      </w:r>
      <w:r>
        <w:t>14</w:t>
      </w:r>
      <w:r w:rsidR="00663E29">
        <w:t>)</w:t>
      </w:r>
      <w:r>
        <w:t xml:space="preserve">, and </w:t>
      </w:r>
      <w:r w:rsidR="00663E29">
        <w:t>(</w:t>
      </w:r>
      <w:r>
        <w:t>16</w:t>
      </w:r>
      <w:r w:rsidR="001B73C6">
        <w:t>)</w:t>
      </w:r>
      <w:r>
        <w:t xml:space="preserve">.  </w:t>
      </w:r>
      <w:r w:rsidR="006B41E0">
        <w:t xml:space="preserve">For the last two categories, Boris states no basis for knowing whether there were such agreements required to be in the public file.  Petition at 8.  </w:t>
      </w:r>
      <w:r>
        <w:t xml:space="preserve">We </w:t>
      </w:r>
      <w:r w:rsidR="00196869">
        <w:t>reject</w:t>
      </w:r>
      <w:r>
        <w:t xml:space="preserve"> the claims that Licensee violated Sections 73.3526(d)(1) and (2) of the Rules because those sections do not </w:t>
      </w:r>
      <w:r w:rsidR="00775E1D">
        <w:t xml:space="preserve">list materials that must be retained </w:t>
      </w:r>
      <w:r>
        <w:t xml:space="preserve">in the public file; rather, they </w:t>
      </w:r>
      <w:r w:rsidR="00775E1D">
        <w:t xml:space="preserve">identify the </w:t>
      </w:r>
      <w:r>
        <w:t xml:space="preserve">party </w:t>
      </w:r>
      <w:r w:rsidR="00775E1D">
        <w:t xml:space="preserve">that </w:t>
      </w:r>
      <w:r>
        <w:t xml:space="preserve">is responsible </w:t>
      </w:r>
      <w:r w:rsidR="00775E1D">
        <w:t>for</w:t>
      </w:r>
      <w:r>
        <w:t xml:space="preserve"> maintain</w:t>
      </w:r>
      <w:r w:rsidR="00775E1D">
        <w:t>ing</w:t>
      </w:r>
      <w:r>
        <w:t xml:space="preserve"> the file</w:t>
      </w:r>
      <w:r w:rsidR="00196869">
        <w:t xml:space="preserve"> in the case of a</w:t>
      </w:r>
      <w:r w:rsidR="003B1193">
        <w:t xml:space="preserve"> license</w:t>
      </w:r>
      <w:r w:rsidR="00196869">
        <w:t xml:space="preserve"> assignment or transfer of control</w:t>
      </w:r>
      <w:r>
        <w:t>.</w:t>
      </w:r>
    </w:p>
  </w:footnote>
  <w:footnote w:id="21">
    <w:p w14:paraId="0FCC8235" w14:textId="77777777" w:rsidR="0055174B" w:rsidRDefault="0055174B" w:rsidP="00E41C44">
      <w:pPr>
        <w:pStyle w:val="FootnoteText"/>
        <w:jc w:val="left"/>
      </w:pPr>
      <w:r>
        <w:rPr>
          <w:rStyle w:val="FootnoteReference"/>
        </w:rPr>
        <w:footnoteRef/>
      </w:r>
      <w:r>
        <w:t xml:space="preserve"> Opposition at 3.</w:t>
      </w:r>
    </w:p>
  </w:footnote>
  <w:footnote w:id="22">
    <w:p w14:paraId="33ABE45A" w14:textId="66C4866D" w:rsidR="0055174B" w:rsidRDefault="0055174B" w:rsidP="00E41C44">
      <w:pPr>
        <w:pStyle w:val="FootnoteText"/>
        <w:jc w:val="left"/>
      </w:pPr>
      <w:r>
        <w:rPr>
          <w:rStyle w:val="FootnoteReference"/>
        </w:rPr>
        <w:footnoteRef/>
      </w:r>
      <w:r>
        <w:t xml:space="preserve"> </w:t>
      </w:r>
      <w:r>
        <w:rPr>
          <w:i/>
        </w:rPr>
        <w:t>Id.</w:t>
      </w:r>
      <w:r>
        <w:t xml:space="preserve"> at Exh</w:t>
      </w:r>
      <w:r w:rsidR="00B62201">
        <w:t>.</w:t>
      </w:r>
      <w:r>
        <w:t xml:space="preserve"> 2, Declaration of Frank Strnad, WQBQ Station Engineer at 2.</w:t>
      </w:r>
    </w:p>
  </w:footnote>
  <w:footnote w:id="23">
    <w:p w14:paraId="646413E7" w14:textId="1C65F86A" w:rsidR="0055174B" w:rsidRDefault="0055174B" w:rsidP="00E41C44">
      <w:pPr>
        <w:pStyle w:val="FootnoteText"/>
        <w:jc w:val="left"/>
      </w:pPr>
      <w:r>
        <w:rPr>
          <w:rStyle w:val="FootnoteReference"/>
        </w:rPr>
        <w:footnoteRef/>
      </w:r>
      <w:r>
        <w:t xml:space="preserve"> </w:t>
      </w:r>
      <w:r>
        <w:rPr>
          <w:i/>
        </w:rPr>
        <w:t xml:space="preserve">Id. </w:t>
      </w:r>
      <w:r>
        <w:t>at Exh</w:t>
      </w:r>
      <w:r w:rsidR="00B62201">
        <w:t>.</w:t>
      </w:r>
      <w:r>
        <w:t xml:space="preserve"> 1, Declaration of Shanti Persaud Hernandez, President at 1.</w:t>
      </w:r>
    </w:p>
  </w:footnote>
  <w:footnote w:id="24">
    <w:p w14:paraId="6E5C827F" w14:textId="5FCAD7C8" w:rsidR="0055174B" w:rsidRDefault="0055174B" w:rsidP="00383E6D">
      <w:pPr>
        <w:pStyle w:val="FootnoteText"/>
      </w:pPr>
      <w:r>
        <w:rPr>
          <w:rStyle w:val="FootnoteReference"/>
        </w:rPr>
        <w:footnoteRef/>
      </w:r>
      <w:r>
        <w:t xml:space="preserve"> 47 CFR § 73.3526(a)(2).</w:t>
      </w:r>
    </w:p>
  </w:footnote>
  <w:footnote w:id="25">
    <w:p w14:paraId="6E072C75" w14:textId="744E7483" w:rsidR="0055174B" w:rsidRPr="00360DA9" w:rsidRDefault="0055174B" w:rsidP="00E41C44">
      <w:pPr>
        <w:pStyle w:val="FootnoteText"/>
        <w:jc w:val="left"/>
      </w:pPr>
      <w:r>
        <w:rPr>
          <w:rStyle w:val="FootnoteReference"/>
        </w:rPr>
        <w:footnoteRef/>
      </w:r>
      <w:r>
        <w:t xml:space="preserve"> </w:t>
      </w:r>
      <w:r w:rsidRPr="00360DA9">
        <w:t>47 CFR § 73.3526</w:t>
      </w:r>
      <w:r w:rsidR="00663E29">
        <w:t xml:space="preserve">(e)(5), (6), (10), (12), </w:t>
      </w:r>
      <w:r w:rsidR="00A93E00">
        <w:t xml:space="preserve">and </w:t>
      </w:r>
      <w:r w:rsidR="00663E29">
        <w:t>(13).</w:t>
      </w:r>
    </w:p>
  </w:footnote>
  <w:footnote w:id="26">
    <w:p w14:paraId="24417B1E" w14:textId="7051A620" w:rsidR="00A93E00" w:rsidRDefault="00A93E00">
      <w:pPr>
        <w:pStyle w:val="FootnoteText"/>
      </w:pPr>
      <w:r>
        <w:rPr>
          <w:rStyle w:val="FootnoteReference"/>
        </w:rPr>
        <w:footnoteRef/>
      </w:r>
      <w:r>
        <w:t xml:space="preserve"> Application, Section III, Question 3 (affirmative certification that “the documentation, as required by 47 CFR Section 73.3526 or 73.3527, as appropriate, has been placed in the station’s public inspection file at the appropriate times”). </w:t>
      </w:r>
    </w:p>
  </w:footnote>
  <w:footnote w:id="27">
    <w:p w14:paraId="7F1CF60D" w14:textId="125810D9" w:rsidR="0055174B" w:rsidRPr="00360DA9" w:rsidRDefault="0055174B" w:rsidP="00E41C44">
      <w:pPr>
        <w:pStyle w:val="FootnoteText"/>
        <w:jc w:val="left"/>
      </w:pPr>
      <w:r w:rsidRPr="00360DA9">
        <w:rPr>
          <w:rStyle w:val="FootnoteReference"/>
        </w:rPr>
        <w:footnoteRef/>
      </w:r>
      <w:r w:rsidRPr="00360DA9">
        <w:t xml:space="preserve"> </w:t>
      </w:r>
      <w:r w:rsidRPr="00360DA9">
        <w:rPr>
          <w:i/>
        </w:rPr>
        <w:t>See</w:t>
      </w:r>
      <w:r w:rsidRPr="00360DA9">
        <w:t xml:space="preserve"> 47 CFR § 1.17.  Despite our finding of false certification, we find </w:t>
      </w:r>
      <w:r w:rsidRPr="00360DA9">
        <w:rPr>
          <w:color w:val="000000"/>
        </w:rPr>
        <w:t xml:space="preserve">there is no evidence of any intent to deceive by Licensee when it certified that its public file </w:t>
      </w:r>
      <w:r w:rsidR="00A93E00">
        <w:rPr>
          <w:color w:val="000000"/>
        </w:rPr>
        <w:t>had been maintained as required by Section 73.3526 of the Rules</w:t>
      </w:r>
      <w:r w:rsidRPr="00360DA9">
        <w:rPr>
          <w:color w:val="000000"/>
        </w:rPr>
        <w:t xml:space="preserve">, as it disclosed the </w:t>
      </w:r>
      <w:r w:rsidRPr="00E41C44">
        <w:rPr>
          <w:i/>
          <w:color w:val="000000"/>
        </w:rPr>
        <w:t>2010 NAL</w:t>
      </w:r>
      <w:r w:rsidRPr="00360DA9">
        <w:rPr>
          <w:color w:val="000000"/>
        </w:rPr>
        <w:t xml:space="preserve"> in the Application</w:t>
      </w:r>
      <w:r w:rsidR="00A93E00">
        <w:rPr>
          <w:color w:val="000000"/>
        </w:rPr>
        <w:t xml:space="preserve"> and thereby acknowledged the public file violations addressed in that order</w:t>
      </w:r>
      <w:r w:rsidRPr="00360DA9">
        <w:rPr>
          <w:color w:val="000000"/>
        </w:rPr>
        <w:t>.</w:t>
      </w:r>
      <w:r w:rsidR="00A83108">
        <w:rPr>
          <w:color w:val="000000"/>
        </w:rPr>
        <w:t xml:space="preserve">  </w:t>
      </w:r>
      <w:r w:rsidR="00A83108" w:rsidRPr="00315898">
        <w:rPr>
          <w:i/>
          <w:color w:val="000000"/>
        </w:rPr>
        <w:t>See</w:t>
      </w:r>
      <w:r w:rsidR="00A83108">
        <w:rPr>
          <w:color w:val="000000"/>
        </w:rPr>
        <w:t xml:space="preserve"> Application at Exh. 6.</w:t>
      </w:r>
    </w:p>
  </w:footnote>
  <w:footnote w:id="28">
    <w:p w14:paraId="15184DDB" w14:textId="12C9B1A7" w:rsidR="0055174B" w:rsidRDefault="0055174B" w:rsidP="001B4712">
      <w:pPr>
        <w:pStyle w:val="FootnoteText"/>
        <w:jc w:val="left"/>
      </w:pPr>
      <w:r>
        <w:rPr>
          <w:rStyle w:val="FootnoteReference"/>
        </w:rPr>
        <w:footnoteRef/>
      </w:r>
      <w:r>
        <w:t xml:space="preserve"> </w:t>
      </w:r>
      <w:r>
        <w:rPr>
          <w:i/>
        </w:rPr>
        <w:t>See Padre Serra Comm</w:t>
      </w:r>
      <w:r w:rsidR="00A83108">
        <w:rPr>
          <w:i/>
        </w:rPr>
        <w:t>’</w:t>
      </w:r>
      <w:r>
        <w:rPr>
          <w:i/>
        </w:rPr>
        <w:t>cns, Inc.</w:t>
      </w:r>
      <w:r>
        <w:t>, Letter, 14 FCC Rcd 9709 (MB 1999) (citing</w:t>
      </w:r>
      <w:r>
        <w:rPr>
          <w:i/>
        </w:rPr>
        <w:t xml:space="preserve"> Gaffney Broad</w:t>
      </w:r>
      <w:r w:rsidR="00A83108">
        <w:rPr>
          <w:i/>
        </w:rPr>
        <w:t>.</w:t>
      </w:r>
      <w:r>
        <w:rPr>
          <w:i/>
        </w:rPr>
        <w:t>, Inc</w:t>
      </w:r>
      <w:r>
        <w:t>., Memorandum Opinion and Order, 23 FCC 2d 912, 913</w:t>
      </w:r>
      <w:r w:rsidR="00B14566">
        <w:t>, para. 4</w:t>
      </w:r>
      <w:r>
        <w:t xml:space="preserve"> (1970)</w:t>
      </w:r>
      <w:r w:rsidR="00A10A5C">
        <w:t>,</w:t>
      </w:r>
      <w:r>
        <w:t xml:space="preserve"> and</w:t>
      </w:r>
      <w:r>
        <w:rPr>
          <w:i/>
        </w:rPr>
        <w:t xml:space="preserve"> Eleven Ten Broad</w:t>
      </w:r>
      <w:r w:rsidR="00A83108">
        <w:rPr>
          <w:i/>
        </w:rPr>
        <w:t>.</w:t>
      </w:r>
      <w:r>
        <w:rPr>
          <w:i/>
        </w:rPr>
        <w:t xml:space="preserve"> Corp</w:t>
      </w:r>
      <w:r>
        <w:t>., Notice of Apparent Liability, 33 FCC</w:t>
      </w:r>
      <w:r>
        <w:rPr>
          <w:b/>
        </w:rPr>
        <w:t xml:space="preserve"> </w:t>
      </w:r>
      <w:r>
        <w:t xml:space="preserve">706 (1962)); </w:t>
      </w:r>
      <w:r>
        <w:rPr>
          <w:i/>
        </w:rPr>
        <w:t>Surrey Front Range L</w:t>
      </w:r>
      <w:r w:rsidR="00A83108">
        <w:rPr>
          <w:i/>
        </w:rPr>
        <w:t>.</w:t>
      </w:r>
      <w:r>
        <w:rPr>
          <w:i/>
        </w:rPr>
        <w:t>P</w:t>
      </w:r>
      <w:r w:rsidR="00A83108">
        <w:rPr>
          <w:i/>
        </w:rPr>
        <w:t>.</w:t>
      </w:r>
      <w:r>
        <w:t>, Notice of Apparent Liability, 7 FCC Rcd 6361 (FOB 1992).</w:t>
      </w:r>
    </w:p>
  </w:footnote>
  <w:footnote w:id="29">
    <w:p w14:paraId="606F8B38" w14:textId="77777777" w:rsidR="009C1F11" w:rsidRDefault="009C1F11" w:rsidP="009C1F11">
      <w:pPr>
        <w:pStyle w:val="Footer"/>
        <w:spacing w:after="120"/>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30">
    <w:p w14:paraId="323CDA2E" w14:textId="5734B20F" w:rsidR="009C1F11" w:rsidRDefault="009C1F11" w:rsidP="009C1F11">
      <w:pPr>
        <w:pStyle w:val="Footer"/>
        <w:spacing w:after="120"/>
      </w:pPr>
      <w:r>
        <w:rPr>
          <w:rStyle w:val="FootnoteReference"/>
        </w:rPr>
        <w:footnoteRef/>
      </w:r>
      <w:r>
        <w:rPr>
          <w:i/>
          <w:iCs/>
        </w:rPr>
        <w:t xml:space="preserve"> See Southern Cal</w:t>
      </w:r>
      <w:r w:rsidR="00A83108">
        <w:rPr>
          <w:i/>
          <w:iCs/>
          <w:lang w:val="en-US"/>
        </w:rPr>
        <w:t>.</w:t>
      </w:r>
      <w:r>
        <w:rPr>
          <w:i/>
          <w:iCs/>
        </w:rPr>
        <w:t xml:space="preserve"> Broad</w:t>
      </w:r>
      <w:r w:rsidR="00A83108">
        <w:rPr>
          <w:i/>
          <w:iCs/>
          <w:lang w:val="en-US"/>
        </w:rPr>
        <w:t>.</w:t>
      </w:r>
      <w:r>
        <w:rPr>
          <w:i/>
          <w:iCs/>
        </w:rPr>
        <w:t xml:space="preserve"> Co.</w:t>
      </w:r>
      <w:r>
        <w:t>, Memorandum Opinion and Order, 6 FCC Rcd 4387, 4388</w:t>
      </w:r>
      <w:r w:rsidR="00B14566">
        <w:rPr>
          <w:lang w:val="en-US"/>
        </w:rPr>
        <w:t>, para. 5</w:t>
      </w:r>
      <w:r>
        <w:t xml:space="preserve"> (1991).</w:t>
      </w:r>
    </w:p>
  </w:footnote>
  <w:footnote w:id="31">
    <w:p w14:paraId="638AF3B2" w14:textId="77777777" w:rsidR="0055174B" w:rsidRDefault="0055174B" w:rsidP="00D7753A">
      <w:pPr>
        <w:pStyle w:val="FootnoteText"/>
        <w:jc w:val="left"/>
      </w:pPr>
      <w:r>
        <w:rPr>
          <w:rStyle w:val="FootnoteReference"/>
        </w:rPr>
        <w:footnoteRef/>
      </w:r>
      <w:r>
        <w:t xml:space="preserve"> 47 U.S.C. § 312(f)(2). </w:t>
      </w:r>
    </w:p>
  </w:footnote>
  <w:footnote w:id="32">
    <w:p w14:paraId="64B3DD76" w14:textId="1B9FBDF9" w:rsidR="0055174B" w:rsidRDefault="0055174B" w:rsidP="00D7753A">
      <w:pPr>
        <w:pStyle w:val="FootnoteText"/>
        <w:jc w:val="left"/>
      </w:pPr>
      <w:r>
        <w:rPr>
          <w:rStyle w:val="FootnoteReference"/>
        </w:rPr>
        <w:footnoteRef/>
      </w:r>
      <w:r>
        <w:t xml:space="preserve"> </w:t>
      </w:r>
      <w:r>
        <w:rPr>
          <w:i/>
        </w:rPr>
        <w:t>See Forfeiture Policy Statement and Amendment of Section 1.80(b) of the Rules to Incorporate the Forfeiture Guidelines</w:t>
      </w:r>
      <w:r>
        <w:t>, Report and Order, 12 FCC Rcd 17087, 17113-15</w:t>
      </w:r>
      <w:r w:rsidR="00B14566">
        <w:t>, App. A</w:t>
      </w:r>
      <w:r>
        <w:t xml:space="preserve"> (1997) </w:t>
      </w:r>
      <w:r>
        <w:rPr>
          <w:i/>
        </w:rPr>
        <w:t>(Forfeiture Policy Statement),</w:t>
      </w:r>
      <w:r>
        <w:t xml:space="preserve"> </w:t>
      </w:r>
      <w:r>
        <w:rPr>
          <w:i/>
        </w:rPr>
        <w:t>recon. denied</w:t>
      </w:r>
      <w:r>
        <w:t>, 15 FCC Rcd 303 (1999); 47 C.F.R. § 1.80(b)(4), note to paragraph (b)(4), Section I.</w:t>
      </w:r>
    </w:p>
  </w:footnote>
  <w:footnote w:id="33">
    <w:p w14:paraId="6343E3FD" w14:textId="34B19DA6" w:rsidR="0055174B" w:rsidRDefault="0055174B" w:rsidP="00D7753A">
      <w:pPr>
        <w:pStyle w:val="FootnoteText"/>
        <w:jc w:val="left"/>
      </w:pPr>
      <w:r>
        <w:rPr>
          <w:rStyle w:val="FootnoteReference"/>
        </w:rPr>
        <w:footnoteRef/>
      </w:r>
      <w:r>
        <w:t xml:space="preserve"> 47 U.S.C. § 503(b)(2)(D); </w:t>
      </w:r>
      <w:r>
        <w:rPr>
          <w:i/>
        </w:rPr>
        <w:t xml:space="preserve">see also Forfeiture Policy Statement, </w:t>
      </w:r>
      <w:r>
        <w:t>12 FCC Rcd at 17100</w:t>
      </w:r>
      <w:r w:rsidR="00B14566">
        <w:t>, para. 27</w:t>
      </w:r>
      <w:r>
        <w:t>; 47 C.F.R. § 1.80(b)(4).</w:t>
      </w:r>
    </w:p>
  </w:footnote>
  <w:footnote w:id="34">
    <w:p w14:paraId="3E8E3EDF" w14:textId="4AE60528" w:rsidR="001208D1" w:rsidRDefault="001208D1" w:rsidP="001208D1">
      <w:pPr>
        <w:pStyle w:val="FootnoteText"/>
        <w:jc w:val="left"/>
      </w:pPr>
      <w:r>
        <w:rPr>
          <w:rStyle w:val="FootnoteReference"/>
        </w:rPr>
        <w:footnoteRef/>
      </w:r>
      <w:r>
        <w:t xml:space="preserve"> </w:t>
      </w:r>
      <w:r w:rsidRPr="00E17693">
        <w:rPr>
          <w:i/>
        </w:rPr>
        <w:t>See</w:t>
      </w:r>
      <w:r w:rsidRPr="00E17693">
        <w:t xml:space="preserve"> </w:t>
      </w:r>
      <w:r w:rsidRPr="00E17693">
        <w:rPr>
          <w:i/>
        </w:rPr>
        <w:t>Rama Comm</w:t>
      </w:r>
      <w:r w:rsidR="00A83108">
        <w:rPr>
          <w:i/>
        </w:rPr>
        <w:t>’</w:t>
      </w:r>
      <w:r w:rsidRPr="00E17693">
        <w:rPr>
          <w:i/>
        </w:rPr>
        <w:t>cns, Inc.,</w:t>
      </w:r>
      <w:r w:rsidRPr="00E17693">
        <w:t xml:space="preserve"> Forfeit</w:t>
      </w:r>
      <w:r>
        <w:t>ure Order, 23 FCC Rcd 17820 (EB</w:t>
      </w:r>
      <w:r w:rsidRPr="00E17693">
        <w:t xml:space="preserve"> 2008), </w:t>
      </w:r>
      <w:r>
        <w:rPr>
          <w:i/>
        </w:rPr>
        <w:t>petition</w:t>
      </w:r>
      <w:r w:rsidRPr="00E17693">
        <w:rPr>
          <w:i/>
        </w:rPr>
        <w:t xml:space="preserve"> </w:t>
      </w:r>
      <w:r>
        <w:rPr>
          <w:i/>
        </w:rPr>
        <w:t>granted, in part, denied</w:t>
      </w:r>
      <w:r w:rsidRPr="00E17693">
        <w:t>,</w:t>
      </w:r>
      <w:r>
        <w:rPr>
          <w:i/>
        </w:rPr>
        <w:t xml:space="preserve"> in part,</w:t>
      </w:r>
      <w:r w:rsidRPr="00E17693">
        <w:t xml:space="preserve"> Memorandum O</w:t>
      </w:r>
      <w:r>
        <w:t xml:space="preserve">pinion and Order, </w:t>
      </w:r>
      <w:r w:rsidRPr="00E17693">
        <w:t>24 FCC Rcd 4981 (EB 2009)</w:t>
      </w:r>
      <w:r>
        <w:t xml:space="preserve"> (reducing forfeiture based on inability to pay)</w:t>
      </w:r>
      <w:r w:rsidRPr="00E17693">
        <w:t xml:space="preserve">; </w:t>
      </w:r>
      <w:r w:rsidRPr="00E17693">
        <w:rPr>
          <w:i/>
        </w:rPr>
        <w:t>Rama Comm</w:t>
      </w:r>
      <w:r w:rsidR="00A83108">
        <w:rPr>
          <w:i/>
        </w:rPr>
        <w:t>’</w:t>
      </w:r>
      <w:r w:rsidRPr="00E17693">
        <w:rPr>
          <w:i/>
        </w:rPr>
        <w:t>cns, Inc</w:t>
      </w:r>
      <w:r w:rsidRPr="00E17693">
        <w:t xml:space="preserve">., Forfeiture Order, 23 FCC Rcd 14931 (EB 2008), </w:t>
      </w:r>
      <w:r w:rsidRPr="00E17693">
        <w:rPr>
          <w:i/>
        </w:rPr>
        <w:t>petition denied</w:t>
      </w:r>
      <w:r w:rsidRPr="00E17693">
        <w:t xml:space="preserve">, Memorandum Opinion and Order, 23 FCC Rcd 18209 (EB 2008); </w:t>
      </w:r>
      <w:r w:rsidRPr="00E17693">
        <w:rPr>
          <w:i/>
        </w:rPr>
        <w:t>Rama Comm</w:t>
      </w:r>
      <w:r w:rsidR="00A83108">
        <w:rPr>
          <w:i/>
        </w:rPr>
        <w:t>’</w:t>
      </w:r>
      <w:r w:rsidRPr="00E17693">
        <w:rPr>
          <w:i/>
        </w:rPr>
        <w:t>cns, Inc</w:t>
      </w:r>
      <w:r w:rsidRPr="00E17693">
        <w:t xml:space="preserve">., Forfeiture Order, 22 FCC Rcd 13796 (EB 2007); </w:t>
      </w:r>
      <w:r w:rsidRPr="00E17693">
        <w:rPr>
          <w:i/>
        </w:rPr>
        <w:t>Rama Comm</w:t>
      </w:r>
      <w:r w:rsidR="00A83108">
        <w:rPr>
          <w:i/>
        </w:rPr>
        <w:t>’</w:t>
      </w:r>
      <w:r w:rsidRPr="00E17693">
        <w:rPr>
          <w:i/>
        </w:rPr>
        <w:t>cns, Inc</w:t>
      </w:r>
      <w:r w:rsidRPr="00E17693">
        <w:t xml:space="preserve">., Forfeiture Order, 19 FCC Rcd 24802 (EB 2004), </w:t>
      </w:r>
      <w:r w:rsidRPr="00E17693">
        <w:rPr>
          <w:i/>
        </w:rPr>
        <w:t>petition denied</w:t>
      </w:r>
      <w:r w:rsidRPr="00E17693">
        <w:t xml:space="preserve">, Memorandum Opinion and Order, 22 FCC Rcd 1104 (EB 2007); </w:t>
      </w:r>
      <w:r w:rsidRPr="00E17693">
        <w:rPr>
          <w:i/>
        </w:rPr>
        <w:t>Rama Comm</w:t>
      </w:r>
      <w:r w:rsidR="00A83108">
        <w:rPr>
          <w:i/>
        </w:rPr>
        <w:t>’</w:t>
      </w:r>
      <w:r w:rsidRPr="00E17693">
        <w:rPr>
          <w:i/>
        </w:rPr>
        <w:t>cns, Inc</w:t>
      </w:r>
      <w:r w:rsidRPr="00E17693">
        <w:t xml:space="preserve">., NOV No. V20063270002 (Tampa Office, May 16, 2006)); </w:t>
      </w:r>
      <w:r w:rsidRPr="00E17693">
        <w:rPr>
          <w:i/>
        </w:rPr>
        <w:t>Rama Comm</w:t>
      </w:r>
      <w:r w:rsidR="00A83108">
        <w:rPr>
          <w:i/>
        </w:rPr>
        <w:t>’</w:t>
      </w:r>
      <w:r w:rsidRPr="00E17693">
        <w:rPr>
          <w:i/>
        </w:rPr>
        <w:t>cns, Inc</w:t>
      </w:r>
      <w:r w:rsidRPr="00E17693">
        <w:t>., NOV No. V20053270002 (Tampa Office, November 1, 2004) (</w:t>
      </w:r>
      <w:r>
        <w:t>all cases found that Licensee</w:t>
      </w:r>
      <w:r w:rsidRPr="00E17693">
        <w:t xml:space="preserve"> violated, among other Rules, Section 73.3526).</w:t>
      </w:r>
    </w:p>
  </w:footnote>
  <w:footnote w:id="35">
    <w:p w14:paraId="720EC24E" w14:textId="77777777" w:rsidR="0055174B" w:rsidRDefault="0055174B" w:rsidP="00E41C44">
      <w:pPr>
        <w:pStyle w:val="FootnoteText"/>
        <w:jc w:val="left"/>
      </w:pPr>
      <w:r>
        <w:rPr>
          <w:rStyle w:val="FootnoteReference"/>
        </w:rPr>
        <w:footnoteRef/>
      </w:r>
      <w:r>
        <w:rPr>
          <w:i/>
        </w:rPr>
        <w:t xml:space="preserve"> </w:t>
      </w:r>
      <w:r>
        <w:t>47 U.S.C. § 309(k).</w:t>
      </w:r>
    </w:p>
  </w:footnote>
  <w:footnote w:id="36">
    <w:p w14:paraId="3B412D9C" w14:textId="77777777" w:rsidR="0055174B" w:rsidRDefault="0055174B" w:rsidP="00E41C44">
      <w:pPr>
        <w:pStyle w:val="FootnoteText"/>
        <w:jc w:val="left"/>
      </w:pPr>
      <w:r>
        <w:rPr>
          <w:rStyle w:val="FootnoteReference"/>
        </w:rPr>
        <w:footnoteRef/>
      </w:r>
      <w:r>
        <w:t xml:space="preserve"> 47 U.S.C. § 309(k)(1).  </w:t>
      </w:r>
    </w:p>
  </w:footnote>
  <w:footnote w:id="37">
    <w:p w14:paraId="4E7F9C80" w14:textId="77777777" w:rsidR="0055174B" w:rsidRDefault="0055174B" w:rsidP="00E41C44">
      <w:pPr>
        <w:pStyle w:val="FootnoteText"/>
        <w:jc w:val="left"/>
      </w:pPr>
      <w:r>
        <w:rPr>
          <w:rStyle w:val="FootnoteReference"/>
        </w:rPr>
        <w:footnoteRef/>
      </w:r>
      <w:r>
        <w:t xml:space="preserve"> 47 U.S.C. §§ 309(k)(2), 309(k)(3).</w:t>
      </w:r>
    </w:p>
  </w:footnote>
  <w:footnote w:id="38">
    <w:p w14:paraId="10A3CABF" w14:textId="32EBF3DD" w:rsidR="0055174B" w:rsidRDefault="0055174B" w:rsidP="00E41C44">
      <w:pPr>
        <w:autoSpaceDE w:val="0"/>
        <w:autoSpaceDN w:val="0"/>
        <w:adjustRightInd w:val="0"/>
        <w:spacing w:after="120"/>
        <w:rPr>
          <w:sz w:val="20"/>
        </w:rPr>
      </w:pPr>
      <w:r>
        <w:rPr>
          <w:rStyle w:val="FootnoteReference"/>
          <w:sz w:val="20"/>
        </w:rPr>
        <w:footnoteRef/>
      </w:r>
      <w:r>
        <w:rPr>
          <w:sz w:val="20"/>
        </w:rPr>
        <w:t xml:space="preserve"> </w:t>
      </w:r>
      <w:r>
        <w:rPr>
          <w:i/>
          <w:sz w:val="20"/>
        </w:rPr>
        <w:t>See Formulation of Policies and Rules to Broad</w:t>
      </w:r>
      <w:r w:rsidR="00B14566">
        <w:rPr>
          <w:i/>
          <w:sz w:val="20"/>
        </w:rPr>
        <w:t>.</w:t>
      </w:r>
      <w:r>
        <w:rPr>
          <w:i/>
          <w:sz w:val="20"/>
        </w:rPr>
        <w:t xml:space="preserve"> Renewal Applicants</w:t>
      </w:r>
      <w:r w:rsidRPr="00315898">
        <w:rPr>
          <w:sz w:val="20"/>
        </w:rPr>
        <w:t>, Third Further Notice of Inquiry and Notice of Proposed Rule Making</w:t>
      </w:r>
      <w:r>
        <w:rPr>
          <w:sz w:val="20"/>
        </w:rPr>
        <w:t xml:space="preserve">, </w:t>
      </w:r>
      <w:hyperlink r:id="rId1" w:history="1">
        <w:r>
          <w:rPr>
            <w:sz w:val="20"/>
          </w:rPr>
          <w:t>4 FCC Rcd 6363, 6365</w:t>
        </w:r>
        <w:r w:rsidR="009A12D7">
          <w:rPr>
            <w:sz w:val="20"/>
          </w:rPr>
          <w:t>, para. 20</w:t>
        </w:r>
        <w:r>
          <w:rPr>
            <w:sz w:val="20"/>
          </w:rPr>
          <w:t xml:space="preserve"> (1989)</w:t>
        </w:r>
      </w:hyperlink>
      <w:r>
        <w:rPr>
          <w:sz w:val="20"/>
        </w:rPr>
        <w:t>.</w:t>
      </w:r>
    </w:p>
  </w:footnote>
  <w:footnote w:id="39">
    <w:p w14:paraId="76A5B89B" w14:textId="7560AE03" w:rsidR="0055174B" w:rsidRDefault="0055174B" w:rsidP="00E41C44">
      <w:pPr>
        <w:autoSpaceDE w:val="0"/>
        <w:autoSpaceDN w:val="0"/>
        <w:adjustRightInd w:val="0"/>
        <w:spacing w:after="120"/>
        <w:rPr>
          <w:sz w:val="20"/>
        </w:rPr>
      </w:pPr>
      <w:r>
        <w:rPr>
          <w:rStyle w:val="FootnoteReference"/>
          <w:sz w:val="20"/>
        </w:rPr>
        <w:footnoteRef/>
      </w:r>
      <w:r>
        <w:rPr>
          <w:sz w:val="20"/>
        </w:rPr>
        <w:t xml:space="preserve"> </w:t>
      </w:r>
      <w:r w:rsidRPr="00951D15">
        <w:rPr>
          <w:i/>
          <w:sz w:val="20"/>
        </w:rPr>
        <w:t>See</w:t>
      </w:r>
      <w:r>
        <w:rPr>
          <w:sz w:val="20"/>
        </w:rPr>
        <w:t xml:space="preserve"> </w:t>
      </w:r>
      <w:r>
        <w:rPr>
          <w:i/>
          <w:sz w:val="20"/>
        </w:rPr>
        <w:t>Forfeiture Policy Statement</w:t>
      </w:r>
      <w:r>
        <w:rPr>
          <w:sz w:val="20"/>
        </w:rPr>
        <w:t>, 12 FCC Rcd at 17104-05</w:t>
      </w:r>
      <w:r w:rsidR="00B62201">
        <w:rPr>
          <w:sz w:val="20"/>
        </w:rPr>
        <w:t>, para.</w:t>
      </w:r>
      <w:r>
        <w:rPr>
          <w:sz w:val="20"/>
        </w:rPr>
        <w:t xml:space="preserve"> 39.</w:t>
      </w:r>
    </w:p>
  </w:footnote>
  <w:footnote w:id="40">
    <w:p w14:paraId="4EA80D7D" w14:textId="309D4FB9" w:rsidR="0055174B" w:rsidRDefault="0055174B" w:rsidP="00E41C44">
      <w:pPr>
        <w:autoSpaceDE w:val="0"/>
        <w:autoSpaceDN w:val="0"/>
        <w:adjustRightInd w:val="0"/>
        <w:spacing w:after="120"/>
        <w:rPr>
          <w:sz w:val="20"/>
        </w:rPr>
      </w:pPr>
      <w:r>
        <w:rPr>
          <w:rStyle w:val="FootnoteReference"/>
          <w:sz w:val="20"/>
        </w:rPr>
        <w:footnoteRef/>
      </w:r>
      <w:r>
        <w:rPr>
          <w:sz w:val="20"/>
        </w:rPr>
        <w:t xml:space="preserve"> </w:t>
      </w:r>
      <w:r>
        <w:rPr>
          <w:i/>
          <w:sz w:val="20"/>
        </w:rPr>
        <w:t>See</w:t>
      </w:r>
      <w:r>
        <w:rPr>
          <w:sz w:val="20"/>
        </w:rPr>
        <w:t xml:space="preserve"> </w:t>
      </w:r>
      <w:hyperlink r:id="rId2" w:history="1">
        <w:r>
          <w:rPr>
            <w:sz w:val="20"/>
          </w:rPr>
          <w:t>47 U.S.C. § 307(a)</w:t>
        </w:r>
      </w:hyperlink>
      <w:r>
        <w:rPr>
          <w:sz w:val="20"/>
        </w:rPr>
        <w:t>.</w:t>
      </w:r>
    </w:p>
  </w:footnote>
  <w:footnote w:id="41">
    <w:p w14:paraId="201A65EE" w14:textId="77777777" w:rsidR="0055174B" w:rsidRDefault="0055174B" w:rsidP="00E41C44">
      <w:pPr>
        <w:pStyle w:val="FootnoteText"/>
        <w:jc w:val="left"/>
      </w:pPr>
      <w:r>
        <w:rPr>
          <w:rStyle w:val="FootnoteReference"/>
        </w:rPr>
        <w:footnoteRef/>
      </w:r>
      <w:r>
        <w:t xml:space="preserve"> </w:t>
      </w:r>
      <w:r>
        <w:rPr>
          <w:i/>
        </w:rPr>
        <w:t>See</w:t>
      </w:r>
      <w:r>
        <w:t xml:space="preserve"> 47 U.S.C. § 309(k)(1)(B).  </w:t>
      </w:r>
    </w:p>
  </w:footnote>
  <w:footnote w:id="42">
    <w:p w14:paraId="2FC5160E" w14:textId="77777777" w:rsidR="0055174B" w:rsidRDefault="0055174B" w:rsidP="00E41C44">
      <w:pPr>
        <w:pStyle w:val="FootnoteText"/>
        <w:jc w:val="left"/>
      </w:pPr>
      <w:r>
        <w:rPr>
          <w:rStyle w:val="FootnoteReference"/>
        </w:rPr>
        <w:footnoteRef/>
      </w:r>
      <w:r>
        <w:t xml:space="preserve"> </w:t>
      </w:r>
      <w:r>
        <w:rPr>
          <w:i/>
        </w:rPr>
        <w:t>See</w:t>
      </w:r>
      <w:r>
        <w:t xml:space="preserve"> 47 U.S.C. § 309(k)(1)(C).</w:t>
      </w:r>
    </w:p>
  </w:footnote>
  <w:footnote w:id="43">
    <w:p w14:paraId="36EBF293" w14:textId="1E8EC229" w:rsidR="0055174B" w:rsidRPr="00185821" w:rsidRDefault="0055174B" w:rsidP="00E41C44">
      <w:pPr>
        <w:spacing w:after="120"/>
        <w:rPr>
          <w:sz w:val="20"/>
        </w:rPr>
      </w:pPr>
      <w:r>
        <w:rPr>
          <w:rStyle w:val="FootnoteReference"/>
          <w:sz w:val="20"/>
        </w:rPr>
        <w:footnoteRef/>
      </w:r>
      <w:r>
        <w:t xml:space="preserve"> </w:t>
      </w:r>
      <w:r w:rsidRPr="00296B91">
        <w:rPr>
          <w:i/>
          <w:sz w:val="20"/>
        </w:rPr>
        <w:t xml:space="preserve">See e.g., </w:t>
      </w:r>
      <w:r w:rsidR="000B39EC" w:rsidRPr="000B39EC">
        <w:rPr>
          <w:i/>
          <w:sz w:val="20"/>
        </w:rPr>
        <w:t>Univ</w:t>
      </w:r>
      <w:r w:rsidR="00B62201">
        <w:rPr>
          <w:i/>
          <w:sz w:val="20"/>
        </w:rPr>
        <w:t>.</w:t>
      </w:r>
      <w:r w:rsidR="000B39EC" w:rsidRPr="000B39EC">
        <w:rPr>
          <w:i/>
          <w:sz w:val="20"/>
        </w:rPr>
        <w:t xml:space="preserve"> of Maryland, Eastern Shore, </w:t>
      </w:r>
      <w:r w:rsidR="000B39EC" w:rsidRPr="000B39EC">
        <w:rPr>
          <w:sz w:val="20"/>
        </w:rPr>
        <w:t>Memorandum Opinion and Order and Notice of Apparent Liability, 27 FCC Rcd 5177 (MB 2012) (</w:t>
      </w:r>
      <w:r w:rsidR="00E73E3C">
        <w:rPr>
          <w:sz w:val="20"/>
        </w:rPr>
        <w:t xml:space="preserve">$10,000 </w:t>
      </w:r>
      <w:r w:rsidR="000B39EC" w:rsidRPr="000B39EC">
        <w:rPr>
          <w:sz w:val="20"/>
        </w:rPr>
        <w:t xml:space="preserve">NAL issued and four-year renewal </w:t>
      </w:r>
      <w:r w:rsidR="000B39EC">
        <w:rPr>
          <w:sz w:val="20"/>
        </w:rPr>
        <w:t>proposed</w:t>
      </w:r>
      <w:r w:rsidR="000B39EC" w:rsidRPr="000B39EC">
        <w:rPr>
          <w:sz w:val="20"/>
        </w:rPr>
        <w:t xml:space="preserve"> where licensee had no issues/programs lists for the entire license term);</w:t>
      </w:r>
      <w:r w:rsidR="000B39EC">
        <w:rPr>
          <w:i/>
          <w:sz w:val="20"/>
        </w:rPr>
        <w:t xml:space="preserve"> </w:t>
      </w:r>
      <w:r w:rsidRPr="00296B91">
        <w:rPr>
          <w:i/>
          <w:sz w:val="20"/>
        </w:rPr>
        <w:t>Yeary Broad</w:t>
      </w:r>
      <w:r w:rsidR="00B62201">
        <w:rPr>
          <w:i/>
          <w:sz w:val="20"/>
        </w:rPr>
        <w:t>.</w:t>
      </w:r>
      <w:r w:rsidRPr="00296B91">
        <w:rPr>
          <w:i/>
          <w:sz w:val="20"/>
        </w:rPr>
        <w:t xml:space="preserve">, Inc., </w:t>
      </w:r>
      <w:r w:rsidRPr="00296B91">
        <w:rPr>
          <w:sz w:val="20"/>
        </w:rPr>
        <w:t>Letter</w:t>
      </w:r>
      <w:r w:rsidR="000B39EC">
        <w:rPr>
          <w:sz w:val="20"/>
        </w:rPr>
        <w:t>, 2</w:t>
      </w:r>
      <w:r w:rsidRPr="00296B91">
        <w:rPr>
          <w:sz w:val="20"/>
        </w:rPr>
        <w:t xml:space="preserve">7 FCC Rcd 5172 (MB 2012) ($20,000 NAL and four-year renewal </w:t>
      </w:r>
      <w:r w:rsidR="000B39EC">
        <w:rPr>
          <w:sz w:val="20"/>
        </w:rPr>
        <w:t>proposed</w:t>
      </w:r>
      <w:r w:rsidRPr="00296B91">
        <w:rPr>
          <w:sz w:val="20"/>
        </w:rPr>
        <w:t xml:space="preserve"> based on licensee’s willful and repeated public file violations at two stations); </w:t>
      </w:r>
      <w:r w:rsidRPr="00296B91">
        <w:rPr>
          <w:i/>
          <w:sz w:val="20"/>
        </w:rPr>
        <w:t>Enid Pub</w:t>
      </w:r>
      <w:r w:rsidR="00B62201">
        <w:rPr>
          <w:i/>
          <w:sz w:val="20"/>
        </w:rPr>
        <w:t>.</w:t>
      </w:r>
      <w:r w:rsidRPr="00296B91">
        <w:rPr>
          <w:i/>
          <w:sz w:val="20"/>
        </w:rPr>
        <w:t xml:space="preserve"> Radio Ass</w:t>
      </w:r>
      <w:r w:rsidR="00B62201">
        <w:rPr>
          <w:i/>
          <w:sz w:val="20"/>
        </w:rPr>
        <w:t>’</w:t>
      </w:r>
      <w:r w:rsidRPr="00296B91">
        <w:rPr>
          <w:i/>
          <w:sz w:val="20"/>
        </w:rPr>
        <w:t>n</w:t>
      </w:r>
      <w:r w:rsidRPr="00296B91">
        <w:rPr>
          <w:sz w:val="20"/>
        </w:rPr>
        <w:t>, Memorandum Opinion and Order and Notice of Apparent Liability for Forfeiture, 25 FCC Rcd 9138, 9144</w:t>
      </w:r>
      <w:r w:rsidR="00EA77EE">
        <w:rPr>
          <w:sz w:val="20"/>
        </w:rPr>
        <w:t>, para. 14</w:t>
      </w:r>
      <w:r w:rsidRPr="00296B91">
        <w:rPr>
          <w:sz w:val="20"/>
        </w:rPr>
        <w:t xml:space="preserve"> (MB 2010) (six-year renewal granted, NAL issued, after finding a pattern of abuse where “‘the number, nature and extent’ of the violations on the record, coupled with licensee’s apparent disregard for a prior admonition regarding those violations and refusal to address the allegations, indicate that ‘the licensee cannot be relied upon to operate [the station] in the future in accordance with the requirements of its licenses and the Commission's Rules.’”)</w:t>
      </w:r>
      <w:r w:rsidR="000B39EC">
        <w:rPr>
          <w:sz w:val="20"/>
        </w:rPr>
        <w:t>.</w:t>
      </w:r>
    </w:p>
  </w:footnote>
  <w:footnote w:id="44">
    <w:p w14:paraId="14C5C2ED" w14:textId="77777777" w:rsidR="0055174B" w:rsidRDefault="0055174B" w:rsidP="00E41C44">
      <w:pPr>
        <w:pStyle w:val="FootnoteText"/>
        <w:jc w:val="left"/>
      </w:pPr>
      <w:r>
        <w:rPr>
          <w:rStyle w:val="FootnoteReference"/>
        </w:rPr>
        <w:footnoteRef/>
      </w:r>
      <w:r>
        <w:t xml:space="preserve"> 47 U.S.C. § 503(b).</w:t>
      </w:r>
    </w:p>
  </w:footnote>
  <w:footnote w:id="45">
    <w:p w14:paraId="01D3C98E" w14:textId="51B4AE52" w:rsidR="0055174B" w:rsidRDefault="0055174B" w:rsidP="00E41C44">
      <w:pPr>
        <w:pStyle w:val="FootnoteText"/>
        <w:jc w:val="left"/>
      </w:pPr>
      <w:r>
        <w:rPr>
          <w:rStyle w:val="FootnoteReference"/>
        </w:rPr>
        <w:footnoteRef/>
      </w:r>
      <w:r>
        <w:t xml:space="preserve"> 47 CFR § 0.283, 1.80.</w:t>
      </w:r>
    </w:p>
  </w:footnote>
  <w:footnote w:id="46">
    <w:p w14:paraId="34E7FCB1" w14:textId="024BC118" w:rsidR="0055174B" w:rsidRDefault="0055174B" w:rsidP="00E41C44">
      <w:pPr>
        <w:pStyle w:val="FootnoteText"/>
        <w:jc w:val="left"/>
      </w:pPr>
      <w:r>
        <w:rPr>
          <w:rStyle w:val="FootnoteReference"/>
        </w:rPr>
        <w:footnoteRef/>
      </w:r>
      <w:r>
        <w:t xml:space="preserve"> 47 U.S.C. § 503(b); 47 CFR §§ 0.111, 0.311, 0.314, 1.80, </w:t>
      </w:r>
      <w:r>
        <w:rPr>
          <w:spacing w:val="-2"/>
        </w:rPr>
        <w:t>73.1125(a), 73.3526</w:t>
      </w:r>
      <w:r>
        <w:t>.</w:t>
      </w:r>
    </w:p>
  </w:footnote>
  <w:footnote w:id="47">
    <w:p w14:paraId="42D5DD4E" w14:textId="77777777" w:rsidR="0059283C" w:rsidRDefault="0059283C">
      <w:pPr>
        <w:pStyle w:val="FootnoteText"/>
      </w:pPr>
      <w:r>
        <w:rPr>
          <w:rStyle w:val="FootnoteReference"/>
        </w:rPr>
        <w:footnoteRef/>
      </w:r>
      <w:r>
        <w:t xml:space="preserve"> 47 U.S.C. §1.17.</w:t>
      </w:r>
    </w:p>
  </w:footnote>
  <w:footnote w:id="48">
    <w:p w14:paraId="2197E35D" w14:textId="77777777" w:rsidR="00E7585B" w:rsidRPr="00FB1FB8" w:rsidRDefault="00E7585B" w:rsidP="00E7585B">
      <w:pPr>
        <w:pStyle w:val="FootnoteText"/>
      </w:pPr>
      <w:r w:rsidRPr="00FB1FB8">
        <w:rPr>
          <w:rStyle w:val="FootnoteReference"/>
        </w:rPr>
        <w:footnoteRef/>
      </w:r>
      <w:r w:rsidRPr="00FB1FB8">
        <w:t xml:space="preserve"> </w:t>
      </w:r>
      <w:r w:rsidRPr="00FB1FB8">
        <w:rPr>
          <w:i/>
        </w:rPr>
        <w:t>See</w:t>
      </w:r>
      <w:r w:rsidRPr="00FB1FB8">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6837" w14:textId="77777777" w:rsidR="00DC45F9" w:rsidRDefault="00DC4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349B1" w14:textId="5B602F2F" w:rsidR="0055174B" w:rsidRDefault="0055174B">
    <w:pPr>
      <w:pStyle w:val="Header"/>
      <w:tabs>
        <w:tab w:val="clear" w:pos="4320"/>
        <w:tab w:val="clear" w:pos="8640"/>
        <w:tab w:val="center" w:pos="4680"/>
        <w:tab w:val="right" w:pos="9360"/>
      </w:tabs>
      <w:rPr>
        <w:b/>
      </w:rPr>
    </w:pPr>
    <w:r>
      <w:rPr>
        <w:b/>
      </w:rPr>
      <w:tab/>
      <w:t>Federal</w:t>
    </w:r>
    <w:r w:rsidR="002278D3">
      <w:rPr>
        <w:b/>
      </w:rPr>
      <w:t xml:space="preserve"> Communications Commission</w:t>
    </w:r>
    <w:r w:rsidR="002278D3">
      <w:rPr>
        <w:b/>
      </w:rPr>
      <w:tab/>
      <w:t xml:space="preserve">DA </w:t>
    </w:r>
    <w:r w:rsidR="002A7F76" w:rsidRPr="002A7F76">
      <w:rPr>
        <w:b/>
      </w:rPr>
      <w:t>16-677</w:t>
    </w:r>
  </w:p>
  <w:p w14:paraId="5CDEE570" w14:textId="77777777" w:rsidR="0055174B" w:rsidRDefault="001C2A37">
    <w:pPr>
      <w:pStyle w:val="Header"/>
      <w:tabs>
        <w:tab w:val="clear" w:pos="8640"/>
        <w:tab w:val="right" w:pos="9360"/>
      </w:tabs>
    </w:pPr>
    <w:r>
      <w:rPr>
        <w:noProof/>
        <w:lang w:val="en-US" w:eastAsia="en-US"/>
      </w:rPr>
      <mc:AlternateContent>
        <mc:Choice Requires="wps">
          <w:drawing>
            <wp:anchor distT="0" distB="0" distL="114300" distR="114300" simplePos="0" relativeHeight="251658240" behindDoc="0" locked="0" layoutInCell="0" allowOverlap="1" wp14:anchorId="7D9E7417" wp14:editId="42D89C4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3BB27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6E14E73B" w14:textId="77777777" w:rsidR="0055174B" w:rsidRDefault="00551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3FCD9" w14:textId="5270719A" w:rsidR="0055174B" w:rsidRDefault="0055174B">
    <w:pPr>
      <w:pStyle w:val="Header"/>
      <w:tabs>
        <w:tab w:val="clear" w:pos="4320"/>
        <w:tab w:val="clear" w:pos="8640"/>
        <w:tab w:val="center" w:pos="4680"/>
        <w:tab w:val="right" w:pos="9360"/>
      </w:tabs>
      <w:rPr>
        <w:b/>
      </w:rPr>
    </w:pPr>
    <w:r>
      <w:rPr>
        <w:b/>
      </w:rPr>
      <w:tab/>
      <w:t>Federal</w:t>
    </w:r>
    <w:r w:rsidR="002278D3">
      <w:rPr>
        <w:b/>
      </w:rPr>
      <w:t xml:space="preserve"> Communications Commission</w:t>
    </w:r>
    <w:r w:rsidR="002278D3">
      <w:rPr>
        <w:b/>
      </w:rPr>
      <w:tab/>
      <w:t xml:space="preserve">DA </w:t>
    </w:r>
    <w:r w:rsidR="002A7F76" w:rsidRPr="002A7F76">
      <w:rPr>
        <w:b/>
      </w:rPr>
      <w:t>16-677</w:t>
    </w:r>
  </w:p>
  <w:p w14:paraId="0317F996" w14:textId="77777777" w:rsidR="0055174B" w:rsidRDefault="001C2A37">
    <w:pPr>
      <w:pStyle w:val="Header"/>
      <w:tabs>
        <w:tab w:val="clear" w:pos="8640"/>
        <w:tab w:val="right" w:pos="9360"/>
      </w:tabs>
    </w:pPr>
    <w:r>
      <w:rPr>
        <w:noProof/>
        <w:lang w:val="en-US" w:eastAsia="en-US"/>
      </w:rPr>
      <mc:AlternateContent>
        <mc:Choice Requires="wps">
          <w:drawing>
            <wp:anchor distT="0" distB="0" distL="114300" distR="114300" simplePos="0" relativeHeight="251657216" behindDoc="0" locked="0" layoutInCell="0" allowOverlap="1" wp14:anchorId="0AEF33DF" wp14:editId="15A5A5B7">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E0403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D6A6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A783C"/>
    <w:multiLevelType w:val="singleLevel"/>
    <w:tmpl w:val="A52053E0"/>
    <w:lvl w:ilvl="0">
      <w:start w:val="1"/>
      <w:numFmt w:val="decimal"/>
      <w:lvlText w:val="%1."/>
      <w:lvlJc w:val="left"/>
      <w:pPr>
        <w:tabs>
          <w:tab w:val="num" w:pos="1080"/>
        </w:tabs>
        <w:ind w:firstLine="720"/>
      </w:pPr>
      <w:rPr>
        <w:rFonts w:cs="Times New Roman"/>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4BBF264E"/>
    <w:multiLevelType w:val="hybridMultilevel"/>
    <w:tmpl w:val="C068F510"/>
    <w:lvl w:ilvl="0" w:tplc="6C5A5A66">
      <w:start w:val="1"/>
      <w:numFmt w:val="decimal"/>
      <w:lvlText w:val="%1."/>
      <w:lvlJc w:val="left"/>
      <w:pPr>
        <w:tabs>
          <w:tab w:val="num" w:pos="1035"/>
        </w:tabs>
        <w:ind w:left="-45"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4A795C"/>
    <w:multiLevelType w:val="hybridMultilevel"/>
    <w:tmpl w:val="235E37E6"/>
    <w:lvl w:ilvl="0" w:tplc="871CA9CA">
      <w:start w:val="9"/>
      <w:numFmt w:val="none"/>
      <w:lvlText w:val="10."/>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4">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4"/>
  </w:num>
  <w:num w:numId="2">
    <w:abstractNumId w:val="25"/>
  </w:num>
  <w:num w:numId="3">
    <w:abstractNumId w:val="5"/>
  </w:num>
  <w:num w:numId="4">
    <w:abstractNumId w:val="20"/>
  </w:num>
  <w:num w:numId="5">
    <w:abstractNumId w:val="6"/>
  </w:num>
  <w:num w:numId="6">
    <w:abstractNumId w:val="23"/>
  </w:num>
  <w:num w:numId="7">
    <w:abstractNumId w:val="15"/>
  </w:num>
  <w:num w:numId="8">
    <w:abstractNumId w:val="7"/>
  </w:num>
  <w:num w:numId="9">
    <w:abstractNumId w:val="22"/>
  </w:num>
  <w:num w:numId="10">
    <w:abstractNumId w:val="12"/>
  </w:num>
  <w:num w:numId="11">
    <w:abstractNumId w:val="11"/>
  </w:num>
  <w:num w:numId="12">
    <w:abstractNumId w:val="8"/>
  </w:num>
  <w:num w:numId="13">
    <w:abstractNumId w:val="13"/>
  </w:num>
  <w:num w:numId="14">
    <w:abstractNumId w:val="21"/>
  </w:num>
  <w:num w:numId="15">
    <w:abstractNumId w:val="3"/>
  </w:num>
  <w:num w:numId="16">
    <w:abstractNumId w:val="4"/>
  </w:num>
  <w:num w:numId="17">
    <w:abstractNumId w:val="9"/>
  </w:num>
  <w:num w:numId="18">
    <w:abstractNumId w:val="2"/>
  </w:num>
  <w:num w:numId="19">
    <w:abstractNumId w:val="10"/>
  </w:num>
  <w:num w:numId="20">
    <w:abstractNumId w:val="16"/>
  </w:num>
  <w:num w:numId="21">
    <w:abstractNumId w:val="19"/>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7"/>
  </w:num>
  <w:num w:numId="33">
    <w:abstractNumId w:val="13"/>
  </w:num>
  <w:num w:numId="34">
    <w:abstractNumId w:val="13"/>
  </w:num>
  <w:num w:numId="35">
    <w:abstractNumId w:val="0"/>
  </w:num>
  <w:num w:numId="36">
    <w:abstractNumId w:val="14"/>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8"/>
  </w:num>
  <w:num w:numId="46">
    <w:abstractNumId w:val="1"/>
  </w:num>
  <w:num w:numId="47">
    <w:abstractNumId w:val="13"/>
  </w:num>
  <w:num w:numId="48">
    <w:abstractNumId w:val="13"/>
  </w:num>
  <w:num w:numId="49">
    <w:abstractNumId w:val="13"/>
  </w:num>
  <w:num w:numId="50">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FC"/>
    <w:rsid w:val="00005D05"/>
    <w:rsid w:val="00006C40"/>
    <w:rsid w:val="00014640"/>
    <w:rsid w:val="00015144"/>
    <w:rsid w:val="00016AF0"/>
    <w:rsid w:val="00024E5B"/>
    <w:rsid w:val="00030CA9"/>
    <w:rsid w:val="000319EF"/>
    <w:rsid w:val="000331AB"/>
    <w:rsid w:val="00033E09"/>
    <w:rsid w:val="00036CE1"/>
    <w:rsid w:val="00052207"/>
    <w:rsid w:val="00054568"/>
    <w:rsid w:val="00060F3E"/>
    <w:rsid w:val="00061929"/>
    <w:rsid w:val="00062754"/>
    <w:rsid w:val="00070CAB"/>
    <w:rsid w:val="0007271E"/>
    <w:rsid w:val="0009586D"/>
    <w:rsid w:val="000B1A66"/>
    <w:rsid w:val="000B39EC"/>
    <w:rsid w:val="000B6512"/>
    <w:rsid w:val="000C3BDA"/>
    <w:rsid w:val="000C560A"/>
    <w:rsid w:val="000D5571"/>
    <w:rsid w:val="000D5DD5"/>
    <w:rsid w:val="000D75E2"/>
    <w:rsid w:val="000E105A"/>
    <w:rsid w:val="000E7013"/>
    <w:rsid w:val="000E798C"/>
    <w:rsid w:val="000F00E1"/>
    <w:rsid w:val="000F255B"/>
    <w:rsid w:val="000F67D0"/>
    <w:rsid w:val="000F7ACF"/>
    <w:rsid w:val="00107A71"/>
    <w:rsid w:val="00113E19"/>
    <w:rsid w:val="001208D1"/>
    <w:rsid w:val="00131D87"/>
    <w:rsid w:val="00135519"/>
    <w:rsid w:val="00135600"/>
    <w:rsid w:val="00135BB3"/>
    <w:rsid w:val="00140A93"/>
    <w:rsid w:val="00141E1F"/>
    <w:rsid w:val="00142CE9"/>
    <w:rsid w:val="00142E47"/>
    <w:rsid w:val="00143596"/>
    <w:rsid w:val="00161B48"/>
    <w:rsid w:val="001731F3"/>
    <w:rsid w:val="00180B02"/>
    <w:rsid w:val="00181DBD"/>
    <w:rsid w:val="00185821"/>
    <w:rsid w:val="00187337"/>
    <w:rsid w:val="00187B9D"/>
    <w:rsid w:val="00196869"/>
    <w:rsid w:val="00197554"/>
    <w:rsid w:val="001A2701"/>
    <w:rsid w:val="001A5046"/>
    <w:rsid w:val="001B4712"/>
    <w:rsid w:val="001B495D"/>
    <w:rsid w:val="001B73C6"/>
    <w:rsid w:val="001C2A37"/>
    <w:rsid w:val="001C2C83"/>
    <w:rsid w:val="001C6311"/>
    <w:rsid w:val="001D15DC"/>
    <w:rsid w:val="001E18CA"/>
    <w:rsid w:val="001E6EF5"/>
    <w:rsid w:val="001F743A"/>
    <w:rsid w:val="00203E04"/>
    <w:rsid w:val="00211C64"/>
    <w:rsid w:val="00213ACF"/>
    <w:rsid w:val="00221FD3"/>
    <w:rsid w:val="002278D3"/>
    <w:rsid w:val="002343AF"/>
    <w:rsid w:val="00234B28"/>
    <w:rsid w:val="0027799C"/>
    <w:rsid w:val="002912F1"/>
    <w:rsid w:val="00296B91"/>
    <w:rsid w:val="002A3370"/>
    <w:rsid w:val="002A6041"/>
    <w:rsid w:val="002A7F76"/>
    <w:rsid w:val="002B2020"/>
    <w:rsid w:val="002C0E34"/>
    <w:rsid w:val="002D16F2"/>
    <w:rsid w:val="002E4947"/>
    <w:rsid w:val="00302CF7"/>
    <w:rsid w:val="0031401D"/>
    <w:rsid w:val="00314A96"/>
    <w:rsid w:val="00315898"/>
    <w:rsid w:val="00317B57"/>
    <w:rsid w:val="00321E5B"/>
    <w:rsid w:val="00321F99"/>
    <w:rsid w:val="00325CA3"/>
    <w:rsid w:val="00334AFC"/>
    <w:rsid w:val="003353C5"/>
    <w:rsid w:val="00343AF4"/>
    <w:rsid w:val="003463BE"/>
    <w:rsid w:val="00360DA9"/>
    <w:rsid w:val="003645DF"/>
    <w:rsid w:val="00372E0F"/>
    <w:rsid w:val="00373434"/>
    <w:rsid w:val="00374AB2"/>
    <w:rsid w:val="00381289"/>
    <w:rsid w:val="00383E6D"/>
    <w:rsid w:val="003870CC"/>
    <w:rsid w:val="003A2E62"/>
    <w:rsid w:val="003A75AC"/>
    <w:rsid w:val="003B1193"/>
    <w:rsid w:val="003B304C"/>
    <w:rsid w:val="003C068F"/>
    <w:rsid w:val="003C2A43"/>
    <w:rsid w:val="003C6F12"/>
    <w:rsid w:val="003D5737"/>
    <w:rsid w:val="003D7741"/>
    <w:rsid w:val="003E09F5"/>
    <w:rsid w:val="003F4304"/>
    <w:rsid w:val="003F4D6D"/>
    <w:rsid w:val="0040744F"/>
    <w:rsid w:val="00421EAD"/>
    <w:rsid w:val="00426C47"/>
    <w:rsid w:val="00451408"/>
    <w:rsid w:val="0046120E"/>
    <w:rsid w:val="00462E54"/>
    <w:rsid w:val="00464DC6"/>
    <w:rsid w:val="00467C2D"/>
    <w:rsid w:val="00475180"/>
    <w:rsid w:val="0047763D"/>
    <w:rsid w:val="00477FD0"/>
    <w:rsid w:val="0048518E"/>
    <w:rsid w:val="004965B4"/>
    <w:rsid w:val="00496915"/>
    <w:rsid w:val="00497412"/>
    <w:rsid w:val="004A153F"/>
    <w:rsid w:val="004B0472"/>
    <w:rsid w:val="004B210F"/>
    <w:rsid w:val="004B3DAA"/>
    <w:rsid w:val="004B59F5"/>
    <w:rsid w:val="004C222D"/>
    <w:rsid w:val="004C2629"/>
    <w:rsid w:val="004D2FE7"/>
    <w:rsid w:val="004D67CB"/>
    <w:rsid w:val="004E0B85"/>
    <w:rsid w:val="004E2F2E"/>
    <w:rsid w:val="004E5AC8"/>
    <w:rsid w:val="004F33F1"/>
    <w:rsid w:val="004F5F93"/>
    <w:rsid w:val="00500D31"/>
    <w:rsid w:val="00510E9F"/>
    <w:rsid w:val="0051242A"/>
    <w:rsid w:val="005125BA"/>
    <w:rsid w:val="00513DB0"/>
    <w:rsid w:val="00525A69"/>
    <w:rsid w:val="005269ED"/>
    <w:rsid w:val="00542791"/>
    <w:rsid w:val="00547393"/>
    <w:rsid w:val="0055174B"/>
    <w:rsid w:val="005544AB"/>
    <w:rsid w:val="0056039E"/>
    <w:rsid w:val="00561E0E"/>
    <w:rsid w:val="0057129C"/>
    <w:rsid w:val="00577837"/>
    <w:rsid w:val="005778F4"/>
    <w:rsid w:val="005844B0"/>
    <w:rsid w:val="0059046F"/>
    <w:rsid w:val="0059283C"/>
    <w:rsid w:val="005953BB"/>
    <w:rsid w:val="00596DE4"/>
    <w:rsid w:val="005B0D42"/>
    <w:rsid w:val="005B1814"/>
    <w:rsid w:val="005B21DD"/>
    <w:rsid w:val="005C2F03"/>
    <w:rsid w:val="005C548A"/>
    <w:rsid w:val="005C745C"/>
    <w:rsid w:val="005D2A22"/>
    <w:rsid w:val="005D33EE"/>
    <w:rsid w:val="005D54F9"/>
    <w:rsid w:val="005E1CD6"/>
    <w:rsid w:val="00607311"/>
    <w:rsid w:val="00612000"/>
    <w:rsid w:val="006162C9"/>
    <w:rsid w:val="006220D9"/>
    <w:rsid w:val="00622BEA"/>
    <w:rsid w:val="00623A9C"/>
    <w:rsid w:val="00651ECD"/>
    <w:rsid w:val="00660592"/>
    <w:rsid w:val="00663E29"/>
    <w:rsid w:val="00666FD5"/>
    <w:rsid w:val="006719B6"/>
    <w:rsid w:val="00674DF1"/>
    <w:rsid w:val="00682C20"/>
    <w:rsid w:val="006836FC"/>
    <w:rsid w:val="00690357"/>
    <w:rsid w:val="00690923"/>
    <w:rsid w:val="00692547"/>
    <w:rsid w:val="006A0319"/>
    <w:rsid w:val="006A2A9E"/>
    <w:rsid w:val="006A4E00"/>
    <w:rsid w:val="006A79DC"/>
    <w:rsid w:val="006B41E0"/>
    <w:rsid w:val="006D3C83"/>
    <w:rsid w:val="006E5380"/>
    <w:rsid w:val="006E6287"/>
    <w:rsid w:val="006F64EA"/>
    <w:rsid w:val="0071428A"/>
    <w:rsid w:val="007146A6"/>
    <w:rsid w:val="00724F20"/>
    <w:rsid w:val="00737F9E"/>
    <w:rsid w:val="007408E9"/>
    <w:rsid w:val="00742F4A"/>
    <w:rsid w:val="00755D00"/>
    <w:rsid w:val="007651A7"/>
    <w:rsid w:val="0077340C"/>
    <w:rsid w:val="00775E1D"/>
    <w:rsid w:val="00780D4E"/>
    <w:rsid w:val="00792B8F"/>
    <w:rsid w:val="0079537E"/>
    <w:rsid w:val="007B084D"/>
    <w:rsid w:val="007B28B0"/>
    <w:rsid w:val="007B7230"/>
    <w:rsid w:val="007C28D7"/>
    <w:rsid w:val="007C3793"/>
    <w:rsid w:val="007C4D14"/>
    <w:rsid w:val="007D0FFC"/>
    <w:rsid w:val="007E1C02"/>
    <w:rsid w:val="007E5FE7"/>
    <w:rsid w:val="007F2104"/>
    <w:rsid w:val="007F7C40"/>
    <w:rsid w:val="00803490"/>
    <w:rsid w:val="00811FDC"/>
    <w:rsid w:val="00814193"/>
    <w:rsid w:val="008254BB"/>
    <w:rsid w:val="00831F7B"/>
    <w:rsid w:val="00860A82"/>
    <w:rsid w:val="00867814"/>
    <w:rsid w:val="00873306"/>
    <w:rsid w:val="008740C6"/>
    <w:rsid w:val="008769CB"/>
    <w:rsid w:val="00882D4C"/>
    <w:rsid w:val="0089075A"/>
    <w:rsid w:val="00896596"/>
    <w:rsid w:val="008A206E"/>
    <w:rsid w:val="008B0E51"/>
    <w:rsid w:val="008B498B"/>
    <w:rsid w:val="008B7B37"/>
    <w:rsid w:val="008D4D19"/>
    <w:rsid w:val="008E1465"/>
    <w:rsid w:val="008E2348"/>
    <w:rsid w:val="008E27D1"/>
    <w:rsid w:val="008E35D1"/>
    <w:rsid w:val="00903A49"/>
    <w:rsid w:val="00912C64"/>
    <w:rsid w:val="00915B78"/>
    <w:rsid w:val="00917BD3"/>
    <w:rsid w:val="00924691"/>
    <w:rsid w:val="00933866"/>
    <w:rsid w:val="00936D9E"/>
    <w:rsid w:val="00946165"/>
    <w:rsid w:val="00951D15"/>
    <w:rsid w:val="00953087"/>
    <w:rsid w:val="0095414A"/>
    <w:rsid w:val="00954B06"/>
    <w:rsid w:val="00955D6D"/>
    <w:rsid w:val="009571D1"/>
    <w:rsid w:val="0096217A"/>
    <w:rsid w:val="00983921"/>
    <w:rsid w:val="0099650D"/>
    <w:rsid w:val="009A12D7"/>
    <w:rsid w:val="009B21E0"/>
    <w:rsid w:val="009C1F11"/>
    <w:rsid w:val="009C588B"/>
    <w:rsid w:val="009D1939"/>
    <w:rsid w:val="009D6D9A"/>
    <w:rsid w:val="009D7151"/>
    <w:rsid w:val="009E4933"/>
    <w:rsid w:val="009E5C3B"/>
    <w:rsid w:val="009F2D36"/>
    <w:rsid w:val="00A0761D"/>
    <w:rsid w:val="00A10A5C"/>
    <w:rsid w:val="00A215AA"/>
    <w:rsid w:val="00A26667"/>
    <w:rsid w:val="00A31101"/>
    <w:rsid w:val="00A357AD"/>
    <w:rsid w:val="00A37028"/>
    <w:rsid w:val="00A456FC"/>
    <w:rsid w:val="00A5671E"/>
    <w:rsid w:val="00A60632"/>
    <w:rsid w:val="00A83108"/>
    <w:rsid w:val="00A876FA"/>
    <w:rsid w:val="00A93E00"/>
    <w:rsid w:val="00A9690C"/>
    <w:rsid w:val="00A97C77"/>
    <w:rsid w:val="00AA0005"/>
    <w:rsid w:val="00AA3547"/>
    <w:rsid w:val="00AA570A"/>
    <w:rsid w:val="00AB247C"/>
    <w:rsid w:val="00AB4290"/>
    <w:rsid w:val="00AB7D5B"/>
    <w:rsid w:val="00AC014E"/>
    <w:rsid w:val="00AC259C"/>
    <w:rsid w:val="00AD229A"/>
    <w:rsid w:val="00AD7D8E"/>
    <w:rsid w:val="00AE4B2C"/>
    <w:rsid w:val="00AF312F"/>
    <w:rsid w:val="00AF5583"/>
    <w:rsid w:val="00AF590A"/>
    <w:rsid w:val="00B06982"/>
    <w:rsid w:val="00B10624"/>
    <w:rsid w:val="00B1205E"/>
    <w:rsid w:val="00B14566"/>
    <w:rsid w:val="00B16CC5"/>
    <w:rsid w:val="00B246AE"/>
    <w:rsid w:val="00B30DA5"/>
    <w:rsid w:val="00B31A35"/>
    <w:rsid w:val="00B33C93"/>
    <w:rsid w:val="00B41D83"/>
    <w:rsid w:val="00B47DB6"/>
    <w:rsid w:val="00B560AD"/>
    <w:rsid w:val="00B60522"/>
    <w:rsid w:val="00B62201"/>
    <w:rsid w:val="00B669EF"/>
    <w:rsid w:val="00B71309"/>
    <w:rsid w:val="00B73713"/>
    <w:rsid w:val="00B8310F"/>
    <w:rsid w:val="00B834F8"/>
    <w:rsid w:val="00B907A9"/>
    <w:rsid w:val="00BA22BE"/>
    <w:rsid w:val="00BB00B0"/>
    <w:rsid w:val="00BB1CA3"/>
    <w:rsid w:val="00BC0740"/>
    <w:rsid w:val="00BD5ABD"/>
    <w:rsid w:val="00BF24BA"/>
    <w:rsid w:val="00C00F2E"/>
    <w:rsid w:val="00C1366F"/>
    <w:rsid w:val="00C14638"/>
    <w:rsid w:val="00C24ED1"/>
    <w:rsid w:val="00C27418"/>
    <w:rsid w:val="00C41073"/>
    <w:rsid w:val="00C47FB5"/>
    <w:rsid w:val="00C50D0C"/>
    <w:rsid w:val="00C51F5C"/>
    <w:rsid w:val="00C5303C"/>
    <w:rsid w:val="00C54FC9"/>
    <w:rsid w:val="00C6156E"/>
    <w:rsid w:val="00C6173A"/>
    <w:rsid w:val="00C62065"/>
    <w:rsid w:val="00C62956"/>
    <w:rsid w:val="00C65BAC"/>
    <w:rsid w:val="00C80D69"/>
    <w:rsid w:val="00C84496"/>
    <w:rsid w:val="00C852A9"/>
    <w:rsid w:val="00C86802"/>
    <w:rsid w:val="00C918A9"/>
    <w:rsid w:val="00CA05C9"/>
    <w:rsid w:val="00CA4754"/>
    <w:rsid w:val="00CA70F1"/>
    <w:rsid w:val="00CB2AF7"/>
    <w:rsid w:val="00CB3AEA"/>
    <w:rsid w:val="00CC4937"/>
    <w:rsid w:val="00CC4F78"/>
    <w:rsid w:val="00CC7E90"/>
    <w:rsid w:val="00CD08C8"/>
    <w:rsid w:val="00CD1D5E"/>
    <w:rsid w:val="00CD4B12"/>
    <w:rsid w:val="00CE4F7E"/>
    <w:rsid w:val="00CE5625"/>
    <w:rsid w:val="00CF40B3"/>
    <w:rsid w:val="00CF4F1B"/>
    <w:rsid w:val="00D0128D"/>
    <w:rsid w:val="00D0426A"/>
    <w:rsid w:val="00D060CC"/>
    <w:rsid w:val="00D15159"/>
    <w:rsid w:val="00D3124C"/>
    <w:rsid w:val="00D31F96"/>
    <w:rsid w:val="00D33CE8"/>
    <w:rsid w:val="00D40EE9"/>
    <w:rsid w:val="00D449CC"/>
    <w:rsid w:val="00D47CF1"/>
    <w:rsid w:val="00D51B4F"/>
    <w:rsid w:val="00D5613A"/>
    <w:rsid w:val="00D652FC"/>
    <w:rsid w:val="00D665AD"/>
    <w:rsid w:val="00D7753A"/>
    <w:rsid w:val="00D83BA6"/>
    <w:rsid w:val="00D857AA"/>
    <w:rsid w:val="00DB124B"/>
    <w:rsid w:val="00DC45F9"/>
    <w:rsid w:val="00DC5EFA"/>
    <w:rsid w:val="00DD327D"/>
    <w:rsid w:val="00DE327A"/>
    <w:rsid w:val="00DE6F05"/>
    <w:rsid w:val="00DF2D9B"/>
    <w:rsid w:val="00DF6419"/>
    <w:rsid w:val="00E17693"/>
    <w:rsid w:val="00E21D48"/>
    <w:rsid w:val="00E32773"/>
    <w:rsid w:val="00E41C44"/>
    <w:rsid w:val="00E4226C"/>
    <w:rsid w:val="00E44C90"/>
    <w:rsid w:val="00E501C4"/>
    <w:rsid w:val="00E54D33"/>
    <w:rsid w:val="00E567D0"/>
    <w:rsid w:val="00E653A2"/>
    <w:rsid w:val="00E6636A"/>
    <w:rsid w:val="00E73E3C"/>
    <w:rsid w:val="00E7585B"/>
    <w:rsid w:val="00E76872"/>
    <w:rsid w:val="00E770DD"/>
    <w:rsid w:val="00E90BCB"/>
    <w:rsid w:val="00E945DD"/>
    <w:rsid w:val="00E96CF2"/>
    <w:rsid w:val="00EA42F3"/>
    <w:rsid w:val="00EA58E5"/>
    <w:rsid w:val="00EA77EE"/>
    <w:rsid w:val="00EB3BED"/>
    <w:rsid w:val="00EB5B8F"/>
    <w:rsid w:val="00EC430A"/>
    <w:rsid w:val="00EC43FC"/>
    <w:rsid w:val="00EE4F72"/>
    <w:rsid w:val="00EE6130"/>
    <w:rsid w:val="00EE7AC7"/>
    <w:rsid w:val="00EF400B"/>
    <w:rsid w:val="00F0165E"/>
    <w:rsid w:val="00F02E91"/>
    <w:rsid w:val="00F04445"/>
    <w:rsid w:val="00F05331"/>
    <w:rsid w:val="00F05E3E"/>
    <w:rsid w:val="00F16CAD"/>
    <w:rsid w:val="00F211A7"/>
    <w:rsid w:val="00F24C0C"/>
    <w:rsid w:val="00F316C4"/>
    <w:rsid w:val="00F36043"/>
    <w:rsid w:val="00F44FE0"/>
    <w:rsid w:val="00F50D28"/>
    <w:rsid w:val="00F522B2"/>
    <w:rsid w:val="00F60388"/>
    <w:rsid w:val="00F705B4"/>
    <w:rsid w:val="00F708C5"/>
    <w:rsid w:val="00F743A0"/>
    <w:rsid w:val="00F81035"/>
    <w:rsid w:val="00F81830"/>
    <w:rsid w:val="00F85BC1"/>
    <w:rsid w:val="00F8608F"/>
    <w:rsid w:val="00FD1CC8"/>
    <w:rsid w:val="00FD1EA0"/>
    <w:rsid w:val="00FD767B"/>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9A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4"/>
      </w:numPr>
      <w:suppressAutoHyphens/>
      <w:spacing w:after="220"/>
      <w:jc w:val="both"/>
      <w:outlineLvl w:val="0"/>
    </w:pPr>
    <w:rPr>
      <w:rFonts w:ascii="Cambria" w:hAnsi="Cambria"/>
      <w:b/>
      <w:bCs/>
      <w:kern w:val="32"/>
      <w:sz w:val="32"/>
      <w:szCs w:val="32"/>
      <w:lang w:val="x-none" w:eastAsia="x-none"/>
    </w:rPr>
  </w:style>
  <w:style w:type="paragraph" w:styleId="Heading2">
    <w:name w:val="heading 2"/>
    <w:basedOn w:val="Normal"/>
    <w:next w:val="ParaNum"/>
    <w:link w:val="Heading2Char"/>
    <w:qFormat/>
    <w:pPr>
      <w:keepNext/>
      <w:widowControl w:val="0"/>
      <w:numPr>
        <w:ilvl w:val="1"/>
        <w:numId w:val="4"/>
      </w:numPr>
      <w:spacing w:after="220"/>
      <w:jc w:val="both"/>
      <w:outlineLvl w:val="1"/>
    </w:pPr>
    <w:rPr>
      <w:rFonts w:ascii="Cambria" w:hAnsi="Cambria"/>
      <w:b/>
      <w:bCs/>
      <w:i/>
      <w:iCs/>
      <w:sz w:val="28"/>
      <w:szCs w:val="28"/>
      <w:lang w:val="x-none" w:eastAsia="x-none"/>
    </w:rPr>
  </w:style>
  <w:style w:type="paragraph" w:styleId="Heading3">
    <w:name w:val="heading 3"/>
    <w:basedOn w:val="Normal"/>
    <w:next w:val="ParaNum"/>
    <w:link w:val="Heading3Char"/>
    <w:qFormat/>
    <w:pPr>
      <w:keepNext/>
      <w:widowControl w:val="0"/>
      <w:numPr>
        <w:ilvl w:val="2"/>
        <w:numId w:val="4"/>
      </w:numPr>
      <w:spacing w:after="220"/>
      <w:jc w:val="both"/>
      <w:outlineLvl w:val="2"/>
    </w:pPr>
    <w:rPr>
      <w:rFonts w:ascii="Cambria" w:hAnsi="Cambria"/>
      <w:b/>
      <w:bCs/>
      <w:sz w:val="26"/>
      <w:szCs w:val="26"/>
      <w:lang w:val="x-none" w:eastAsia="x-none"/>
    </w:rPr>
  </w:style>
  <w:style w:type="paragraph" w:styleId="Heading4">
    <w:name w:val="heading 4"/>
    <w:basedOn w:val="Normal"/>
    <w:next w:val="ParaNum"/>
    <w:link w:val="Heading4Char"/>
    <w:qFormat/>
    <w:pPr>
      <w:keepNext/>
      <w:widowControl w:val="0"/>
      <w:numPr>
        <w:ilvl w:val="3"/>
        <w:numId w:val="4"/>
      </w:numPr>
      <w:spacing w:after="220"/>
      <w:jc w:val="both"/>
      <w:outlineLvl w:val="3"/>
    </w:pPr>
    <w:rPr>
      <w:rFonts w:ascii="Calibri" w:hAnsi="Calibri"/>
      <w:b/>
      <w:bCs/>
      <w:sz w:val="28"/>
      <w:szCs w:val="28"/>
      <w:lang w:val="x-none" w:eastAsia="x-none"/>
    </w:rPr>
  </w:style>
  <w:style w:type="paragraph" w:styleId="Heading5">
    <w:name w:val="heading 5"/>
    <w:basedOn w:val="Normal"/>
    <w:next w:val="ParaNum"/>
    <w:link w:val="Heading5Char"/>
    <w:qFormat/>
    <w:pPr>
      <w:keepNext/>
      <w:widowControl w:val="0"/>
      <w:numPr>
        <w:ilvl w:val="4"/>
        <w:numId w:val="4"/>
      </w:numPr>
      <w:suppressAutoHyphens/>
      <w:spacing w:after="220"/>
      <w:jc w:val="both"/>
      <w:outlineLvl w:val="4"/>
    </w:pPr>
    <w:rPr>
      <w:rFonts w:ascii="Calibri" w:hAnsi="Calibri"/>
      <w:b/>
      <w:bCs/>
      <w:i/>
      <w:iCs/>
      <w:sz w:val="26"/>
      <w:szCs w:val="26"/>
      <w:lang w:val="x-none" w:eastAsia="x-none"/>
    </w:rPr>
  </w:style>
  <w:style w:type="paragraph" w:styleId="Heading6">
    <w:name w:val="heading 6"/>
    <w:basedOn w:val="Normal"/>
    <w:next w:val="ParaNum"/>
    <w:link w:val="Heading6Char"/>
    <w:qFormat/>
    <w:pPr>
      <w:widowControl w:val="0"/>
      <w:numPr>
        <w:ilvl w:val="5"/>
        <w:numId w:val="4"/>
      </w:numPr>
      <w:spacing w:after="220"/>
      <w:jc w:val="both"/>
      <w:outlineLvl w:val="5"/>
    </w:pPr>
    <w:rPr>
      <w:rFonts w:ascii="Calibri" w:hAnsi="Calibri"/>
      <w:b/>
      <w:bCs/>
      <w:sz w:val="20"/>
      <w:lang w:val="x-none" w:eastAsia="x-none"/>
    </w:rPr>
  </w:style>
  <w:style w:type="paragraph" w:styleId="Heading7">
    <w:name w:val="heading 7"/>
    <w:basedOn w:val="Normal"/>
    <w:next w:val="ParaNum"/>
    <w:link w:val="Heading7Char"/>
    <w:qFormat/>
    <w:pPr>
      <w:widowControl w:val="0"/>
      <w:numPr>
        <w:ilvl w:val="6"/>
        <w:numId w:val="4"/>
      </w:numPr>
      <w:spacing w:after="220"/>
      <w:jc w:val="both"/>
      <w:outlineLvl w:val="6"/>
    </w:pPr>
    <w:rPr>
      <w:rFonts w:ascii="Calibri" w:hAnsi="Calibri"/>
      <w:sz w:val="24"/>
      <w:szCs w:val="24"/>
      <w:lang w:val="x-none" w:eastAsia="x-none"/>
    </w:rPr>
  </w:style>
  <w:style w:type="paragraph" w:styleId="Heading8">
    <w:name w:val="heading 8"/>
    <w:basedOn w:val="Normal"/>
    <w:next w:val="ParaNum"/>
    <w:link w:val="Heading8Char"/>
    <w:qFormat/>
    <w:pPr>
      <w:widowControl w:val="0"/>
      <w:numPr>
        <w:ilvl w:val="7"/>
        <w:numId w:val="4"/>
      </w:numPr>
      <w:spacing w:after="220"/>
      <w:jc w:val="both"/>
      <w:outlineLvl w:val="7"/>
    </w:pPr>
    <w:rPr>
      <w:rFonts w:ascii="Calibri" w:hAnsi="Calibri"/>
      <w:i/>
      <w:iCs/>
      <w:sz w:val="24"/>
      <w:szCs w:val="24"/>
      <w:lang w:val="x-none" w:eastAsia="x-none"/>
    </w:rPr>
  </w:style>
  <w:style w:type="paragraph" w:styleId="Heading9">
    <w:name w:val="heading 9"/>
    <w:basedOn w:val="Normal"/>
    <w:next w:val="ParaNum"/>
    <w:link w:val="Heading9Char"/>
    <w:qFormat/>
    <w:pPr>
      <w:widowControl w:val="0"/>
      <w:numPr>
        <w:ilvl w:val="8"/>
        <w:numId w:val="4"/>
      </w:numPr>
      <w:spacing w:after="220"/>
      <w:jc w:val="both"/>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styleId="BalloonText">
    <w:name w:val="Balloon Text"/>
    <w:basedOn w:val="Normal"/>
    <w:link w:val="BalloonTextChar"/>
    <w:semiHidden/>
    <w:rPr>
      <w:sz w:val="2"/>
      <w:lang w:val="x-none" w:eastAsia="x-none"/>
    </w:rPr>
  </w:style>
  <w:style w:type="character" w:customStyle="1" w:styleId="BalloonTextChar">
    <w:name w:val="Balloon Text Char"/>
    <w:link w:val="BalloonText"/>
    <w:semiHidden/>
    <w:locked/>
    <w:rPr>
      <w:rFonts w:cs="Times New Roman"/>
      <w:sz w:val="2"/>
    </w:rPr>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
    <w:basedOn w:val="Normal"/>
    <w:link w:val="FootnoteTextChar2"/>
    <w:pPr>
      <w:tabs>
        <w:tab w:val="left" w:pos="180"/>
        <w:tab w:val="left" w:pos="720"/>
        <w:tab w:val="left" w:pos="1440"/>
        <w:tab w:val="left" w:pos="2160"/>
      </w:tabs>
      <w:spacing w:after="120"/>
      <w:jc w:val="both"/>
    </w:pPr>
    <w:rPr>
      <w:sz w:val="20"/>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 Char"/>
    <w:locked/>
    <w:rPr>
      <w:rFonts w:cs="Times New Roman"/>
      <w:sz w:val="20"/>
      <w:szCs w:val="20"/>
    </w:rPr>
  </w:style>
  <w:style w:type="paragraph" w:customStyle="1" w:styleId="Bullet">
    <w:name w:val="Bullet"/>
    <w:basedOn w:val="Normal"/>
    <w:pPr>
      <w:widowControl w:val="0"/>
      <w:numPr>
        <w:numId w:val="9"/>
      </w:numPr>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Style 4"/>
    <w:semiHidden/>
    <w:rPr>
      <w:rFonts w:cs="Times New Roman"/>
      <w:vertAlign w:val="superscript"/>
    </w:rPr>
  </w:style>
  <w:style w:type="paragraph" w:styleId="Header">
    <w:name w:val="header"/>
    <w:basedOn w:val="Normal"/>
    <w:link w:val="HeaderChar"/>
    <w:pPr>
      <w:tabs>
        <w:tab w:val="center" w:pos="4320"/>
        <w:tab w:val="right" w:pos="8640"/>
      </w:tabs>
    </w:pPr>
    <w:rPr>
      <w:sz w:val="20"/>
      <w:lang w:val="x-none" w:eastAsia="x-none"/>
    </w:r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pPr>
      <w:tabs>
        <w:tab w:val="center" w:pos="4320"/>
        <w:tab w:val="right" w:pos="8640"/>
      </w:tabs>
    </w:pPr>
    <w:rPr>
      <w:sz w:val="20"/>
      <w:lang w:val="x-none" w:eastAsia="x-none"/>
    </w:rPr>
  </w:style>
  <w:style w:type="character" w:customStyle="1" w:styleId="FooterChar">
    <w:name w:val="Footer Char"/>
    <w:link w:val="Footer"/>
    <w:semiHidden/>
    <w:locked/>
    <w:rPr>
      <w:rFonts w:cs="Times New Roman"/>
      <w:sz w:val="20"/>
      <w:szCs w:val="20"/>
    </w:r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spacing w:after="22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rPr>
      <w:rFonts w:cs="Times New Roman"/>
    </w:rPr>
  </w:style>
  <w:style w:type="paragraph" w:styleId="Title">
    <w:name w:val="Title"/>
    <w:basedOn w:val="Normal"/>
    <w:link w:val="TitleChar"/>
    <w:qFormat/>
    <w:pPr>
      <w:jc w:val="center"/>
    </w:pPr>
    <w:rPr>
      <w:rFonts w:ascii="Cambria" w:hAnsi="Cambria"/>
      <w:b/>
      <w:bCs/>
      <w:kern w:val="28"/>
      <w:sz w:val="32"/>
      <w:szCs w:val="32"/>
      <w:lang w:val="x-none" w:eastAsia="x-none"/>
    </w:rPr>
  </w:style>
  <w:style w:type="character" w:customStyle="1" w:styleId="TitleChar">
    <w:name w:val="Title Char"/>
    <w:link w:val="Title"/>
    <w:locked/>
    <w:rPr>
      <w:rFonts w:ascii="Cambria" w:hAnsi="Cambria" w:cs="Times New Roman"/>
      <w:b/>
      <w:bCs/>
      <w:kern w:val="28"/>
      <w:sz w:val="32"/>
      <w:szCs w:val="32"/>
    </w:rPr>
  </w:style>
  <w:style w:type="character" w:customStyle="1" w:styleId="Footnote">
    <w:name w:val="Footnote"/>
    <w:rPr>
      <w:rFonts w:ascii="Times New Roman" w:hAnsi="Times New Roman" w:cs="Times New Roman"/>
      <w:sz w:val="20"/>
    </w:rPr>
  </w:style>
  <w:style w:type="character" w:customStyle="1" w:styleId="pmterms11">
    <w:name w:val="pmterms11"/>
    <w:rPr>
      <w:rFonts w:ascii="Verdana" w:hAnsi="Verdana" w:cs="Times New Roman"/>
      <w:b/>
      <w:bCs/>
      <w:color w:val="000000"/>
      <w:sz w:val="20"/>
      <w:szCs w:val="20"/>
    </w:rPr>
  </w:style>
  <w:style w:type="character" w:customStyle="1" w:styleId="FootnoteTextChar2">
    <w:name w:val="Footnote Text Char2"/>
    <w:aliases w:val="rrfootnote Char1,Footnote Text Char1 Char1,Footnote Text Char Char Char1,rrfootnote Char Char Char1,Footnote Text Char1 Char Char Char1,Footnote Text Char Char Char Char Char1,rrfootnote Char Char Char Char Char1"/>
    <w:link w:val="FootnoteText"/>
    <w:locked/>
    <w:rPr>
      <w:rFonts w:cs="Times New Roman"/>
      <w:lang w:val="en-US" w:eastAsia="en-US" w:bidi="ar-SA"/>
    </w:rPr>
  </w:style>
  <w:style w:type="character" w:customStyle="1" w:styleId="documentbody">
    <w:name w:val="documentbody"/>
    <w:rPr>
      <w:rFonts w:cs="Times New Roman"/>
    </w:rPr>
  </w:style>
  <w:style w:type="character" w:customStyle="1" w:styleId="bestsection">
    <w:name w:val="bestsection"/>
    <w:rPr>
      <w:rFonts w:cs="Times New Roman"/>
    </w:rPr>
  </w:style>
  <w:style w:type="character" w:customStyle="1" w:styleId="FootnoteTextChar7CharCharChar">
    <w:name w:val="Footnote Text Char7 Char Char Char"/>
    <w:aliases w:val="Footnote Text Char4 Char1 Char Char Char,Footnote Text Char Char Char4 Char Char Char,Footnote Text Char7 Char Char Char Char Char Char Char,Footnote Text Char7 Char Char Char Char Char Char"/>
    <w:rPr>
      <w:rFonts w:cs="Times New Roman"/>
      <w:lang w:val="en-US" w:eastAsia="en-US" w:bidi="ar-SA"/>
    </w:rPr>
  </w:style>
  <w:style w:type="character" w:customStyle="1" w:styleId="documentbody1">
    <w:name w:val="documentbody1"/>
    <w:rPr>
      <w:rFonts w:ascii="Verdana" w:hAnsi="Verdana" w:cs="Times New Roman"/>
      <w:sz w:val="19"/>
      <w:szCs w:val="19"/>
    </w:rPr>
  </w:style>
  <w:style w:type="character" w:customStyle="1" w:styleId="searchterm1">
    <w:name w:val="searchterm1"/>
    <w:rPr>
      <w:rFonts w:cs="Times New Roman"/>
      <w:b/>
      <w:bCs/>
      <w:shd w:val="clear" w:color="auto" w:fill="FFFF00"/>
    </w:rPr>
  </w:style>
  <w:style w:type="character" w:styleId="Hyperlink">
    <w:name w:val="Hyperlink"/>
    <w:rPr>
      <w:rFonts w:cs="Times New Roman"/>
      <w:color w:val="0000FF"/>
      <w:u w:val="single"/>
    </w:rPr>
  </w:style>
  <w:style w:type="character" w:customStyle="1" w:styleId="bestsection1">
    <w:name w:val="bestsection1"/>
    <w:rPr>
      <w:rFonts w:cs="Times New Roman"/>
      <w:color w:val="FF0000"/>
    </w:rPr>
  </w:style>
  <w:style w:type="character" w:customStyle="1" w:styleId="groupheading4">
    <w:name w:val="groupheading4"/>
    <w:rPr>
      <w:rFonts w:ascii="Verdana" w:hAnsi="Verdana" w:cs="Times New Roman"/>
      <w:b/>
      <w:bCs/>
      <w:sz w:val="19"/>
      <w:szCs w:val="19"/>
    </w:rPr>
  </w:style>
  <w:style w:type="character" w:customStyle="1" w:styleId="informationalsmall3">
    <w:name w:val="informationalsmall3"/>
    <w:rPr>
      <w:rFonts w:ascii="Verdana" w:hAnsi="Verdana" w:cs="Times New Roman"/>
      <w:sz w:val="14"/>
      <w:szCs w:val="14"/>
    </w:r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character" w:customStyle="1" w:styleId="documentbody5">
    <w:name w:val="documentbody5"/>
    <w:rPr>
      <w:rFonts w:ascii="Verdana" w:hAnsi="Verdana" w:hint="default"/>
      <w:sz w:val="19"/>
      <w:szCs w:val="19"/>
    </w:rPr>
  </w:style>
  <w:style w:type="paragraph" w:styleId="HTMLPreformatted">
    <w:name w:val="HTML Preformatted"/>
    <w:basedOn w:val="Normal"/>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EmailStyle681">
    <w:name w:val="EmailStyle681"/>
    <w:semiHidden/>
    <w:rPr>
      <w:rFonts w:ascii="Arial" w:hAnsi="Arial" w:cs="Arial"/>
      <w:color w:val="000080"/>
      <w:sz w:val="20"/>
      <w:szCs w:val="20"/>
    </w:rPr>
  </w:style>
  <w:style w:type="character" w:customStyle="1" w:styleId="searchterm3">
    <w:name w:val="searchterm3"/>
    <w:rPr>
      <w:b/>
      <w:bCs/>
      <w:shd w:val="clear" w:color="auto" w:fill="FFFF00"/>
    </w:rPr>
  </w:style>
  <w:style w:type="character" w:customStyle="1" w:styleId="FootnoteTextCharChar1">
    <w:name w:val="Footnote Text Char Char1"/>
    <w:aliases w:val="Footnote Text Char1 Char Char2,Footnote Text Char7 Char Char Char2,Footnote Text Char4 Char1 Char Char Char2,Footnote Text Char Char Char4 Char Char Char2,Footnote Text Char7 Char Char Char Char Char Char2,Footnote Text Char4"/>
    <w:rsid w:val="008740C6"/>
    <w:rPr>
      <w:lang w:val="en-US" w:eastAsia="en-US" w:bidi="ar-SA"/>
    </w:rPr>
  </w:style>
  <w:style w:type="paragraph" w:styleId="ListBullet">
    <w:name w:val="List Bullet"/>
    <w:basedOn w:val="Normal"/>
    <w:locked/>
    <w:rsid w:val="00B246AE"/>
    <w:pPr>
      <w:numPr>
        <w:numId w:val="35"/>
      </w:numPr>
    </w:pPr>
  </w:style>
  <w:style w:type="character" w:customStyle="1" w:styleId="ParaNumChar">
    <w:name w:val="ParaNum Char"/>
    <w:link w:val="ParaNum"/>
    <w:locked/>
    <w:rsid w:val="007F210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4"/>
      </w:numPr>
      <w:suppressAutoHyphens/>
      <w:spacing w:after="220"/>
      <w:jc w:val="both"/>
      <w:outlineLvl w:val="0"/>
    </w:pPr>
    <w:rPr>
      <w:rFonts w:ascii="Cambria" w:hAnsi="Cambria"/>
      <w:b/>
      <w:bCs/>
      <w:kern w:val="32"/>
      <w:sz w:val="32"/>
      <w:szCs w:val="32"/>
      <w:lang w:val="x-none" w:eastAsia="x-none"/>
    </w:rPr>
  </w:style>
  <w:style w:type="paragraph" w:styleId="Heading2">
    <w:name w:val="heading 2"/>
    <w:basedOn w:val="Normal"/>
    <w:next w:val="ParaNum"/>
    <w:link w:val="Heading2Char"/>
    <w:qFormat/>
    <w:pPr>
      <w:keepNext/>
      <w:widowControl w:val="0"/>
      <w:numPr>
        <w:ilvl w:val="1"/>
        <w:numId w:val="4"/>
      </w:numPr>
      <w:spacing w:after="220"/>
      <w:jc w:val="both"/>
      <w:outlineLvl w:val="1"/>
    </w:pPr>
    <w:rPr>
      <w:rFonts w:ascii="Cambria" w:hAnsi="Cambria"/>
      <w:b/>
      <w:bCs/>
      <w:i/>
      <w:iCs/>
      <w:sz w:val="28"/>
      <w:szCs w:val="28"/>
      <w:lang w:val="x-none" w:eastAsia="x-none"/>
    </w:rPr>
  </w:style>
  <w:style w:type="paragraph" w:styleId="Heading3">
    <w:name w:val="heading 3"/>
    <w:basedOn w:val="Normal"/>
    <w:next w:val="ParaNum"/>
    <w:link w:val="Heading3Char"/>
    <w:qFormat/>
    <w:pPr>
      <w:keepNext/>
      <w:widowControl w:val="0"/>
      <w:numPr>
        <w:ilvl w:val="2"/>
        <w:numId w:val="4"/>
      </w:numPr>
      <w:spacing w:after="220"/>
      <w:jc w:val="both"/>
      <w:outlineLvl w:val="2"/>
    </w:pPr>
    <w:rPr>
      <w:rFonts w:ascii="Cambria" w:hAnsi="Cambria"/>
      <w:b/>
      <w:bCs/>
      <w:sz w:val="26"/>
      <w:szCs w:val="26"/>
      <w:lang w:val="x-none" w:eastAsia="x-none"/>
    </w:rPr>
  </w:style>
  <w:style w:type="paragraph" w:styleId="Heading4">
    <w:name w:val="heading 4"/>
    <w:basedOn w:val="Normal"/>
    <w:next w:val="ParaNum"/>
    <w:link w:val="Heading4Char"/>
    <w:qFormat/>
    <w:pPr>
      <w:keepNext/>
      <w:widowControl w:val="0"/>
      <w:numPr>
        <w:ilvl w:val="3"/>
        <w:numId w:val="4"/>
      </w:numPr>
      <w:spacing w:after="220"/>
      <w:jc w:val="both"/>
      <w:outlineLvl w:val="3"/>
    </w:pPr>
    <w:rPr>
      <w:rFonts w:ascii="Calibri" w:hAnsi="Calibri"/>
      <w:b/>
      <w:bCs/>
      <w:sz w:val="28"/>
      <w:szCs w:val="28"/>
      <w:lang w:val="x-none" w:eastAsia="x-none"/>
    </w:rPr>
  </w:style>
  <w:style w:type="paragraph" w:styleId="Heading5">
    <w:name w:val="heading 5"/>
    <w:basedOn w:val="Normal"/>
    <w:next w:val="ParaNum"/>
    <w:link w:val="Heading5Char"/>
    <w:qFormat/>
    <w:pPr>
      <w:keepNext/>
      <w:widowControl w:val="0"/>
      <w:numPr>
        <w:ilvl w:val="4"/>
        <w:numId w:val="4"/>
      </w:numPr>
      <w:suppressAutoHyphens/>
      <w:spacing w:after="220"/>
      <w:jc w:val="both"/>
      <w:outlineLvl w:val="4"/>
    </w:pPr>
    <w:rPr>
      <w:rFonts w:ascii="Calibri" w:hAnsi="Calibri"/>
      <w:b/>
      <w:bCs/>
      <w:i/>
      <w:iCs/>
      <w:sz w:val="26"/>
      <w:szCs w:val="26"/>
      <w:lang w:val="x-none" w:eastAsia="x-none"/>
    </w:rPr>
  </w:style>
  <w:style w:type="paragraph" w:styleId="Heading6">
    <w:name w:val="heading 6"/>
    <w:basedOn w:val="Normal"/>
    <w:next w:val="ParaNum"/>
    <w:link w:val="Heading6Char"/>
    <w:qFormat/>
    <w:pPr>
      <w:widowControl w:val="0"/>
      <w:numPr>
        <w:ilvl w:val="5"/>
        <w:numId w:val="4"/>
      </w:numPr>
      <w:spacing w:after="220"/>
      <w:jc w:val="both"/>
      <w:outlineLvl w:val="5"/>
    </w:pPr>
    <w:rPr>
      <w:rFonts w:ascii="Calibri" w:hAnsi="Calibri"/>
      <w:b/>
      <w:bCs/>
      <w:sz w:val="20"/>
      <w:lang w:val="x-none" w:eastAsia="x-none"/>
    </w:rPr>
  </w:style>
  <w:style w:type="paragraph" w:styleId="Heading7">
    <w:name w:val="heading 7"/>
    <w:basedOn w:val="Normal"/>
    <w:next w:val="ParaNum"/>
    <w:link w:val="Heading7Char"/>
    <w:qFormat/>
    <w:pPr>
      <w:widowControl w:val="0"/>
      <w:numPr>
        <w:ilvl w:val="6"/>
        <w:numId w:val="4"/>
      </w:numPr>
      <w:spacing w:after="220"/>
      <w:jc w:val="both"/>
      <w:outlineLvl w:val="6"/>
    </w:pPr>
    <w:rPr>
      <w:rFonts w:ascii="Calibri" w:hAnsi="Calibri"/>
      <w:sz w:val="24"/>
      <w:szCs w:val="24"/>
      <w:lang w:val="x-none" w:eastAsia="x-none"/>
    </w:rPr>
  </w:style>
  <w:style w:type="paragraph" w:styleId="Heading8">
    <w:name w:val="heading 8"/>
    <w:basedOn w:val="Normal"/>
    <w:next w:val="ParaNum"/>
    <w:link w:val="Heading8Char"/>
    <w:qFormat/>
    <w:pPr>
      <w:widowControl w:val="0"/>
      <w:numPr>
        <w:ilvl w:val="7"/>
        <w:numId w:val="4"/>
      </w:numPr>
      <w:spacing w:after="220"/>
      <w:jc w:val="both"/>
      <w:outlineLvl w:val="7"/>
    </w:pPr>
    <w:rPr>
      <w:rFonts w:ascii="Calibri" w:hAnsi="Calibri"/>
      <w:i/>
      <w:iCs/>
      <w:sz w:val="24"/>
      <w:szCs w:val="24"/>
      <w:lang w:val="x-none" w:eastAsia="x-none"/>
    </w:rPr>
  </w:style>
  <w:style w:type="paragraph" w:styleId="Heading9">
    <w:name w:val="heading 9"/>
    <w:basedOn w:val="Normal"/>
    <w:next w:val="ParaNum"/>
    <w:link w:val="Heading9Char"/>
    <w:qFormat/>
    <w:pPr>
      <w:widowControl w:val="0"/>
      <w:numPr>
        <w:ilvl w:val="8"/>
        <w:numId w:val="4"/>
      </w:numPr>
      <w:spacing w:after="220"/>
      <w:jc w:val="both"/>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styleId="BalloonText">
    <w:name w:val="Balloon Text"/>
    <w:basedOn w:val="Normal"/>
    <w:link w:val="BalloonTextChar"/>
    <w:semiHidden/>
    <w:rPr>
      <w:sz w:val="2"/>
      <w:lang w:val="x-none" w:eastAsia="x-none"/>
    </w:rPr>
  </w:style>
  <w:style w:type="character" w:customStyle="1" w:styleId="BalloonTextChar">
    <w:name w:val="Balloon Text Char"/>
    <w:link w:val="BalloonText"/>
    <w:semiHidden/>
    <w:locked/>
    <w:rPr>
      <w:rFonts w:cs="Times New Roman"/>
      <w:sz w:val="2"/>
    </w:rPr>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
    <w:basedOn w:val="Normal"/>
    <w:link w:val="FootnoteTextChar2"/>
    <w:pPr>
      <w:tabs>
        <w:tab w:val="left" w:pos="180"/>
        <w:tab w:val="left" w:pos="720"/>
        <w:tab w:val="left" w:pos="1440"/>
        <w:tab w:val="left" w:pos="2160"/>
      </w:tabs>
      <w:spacing w:after="120"/>
      <w:jc w:val="both"/>
    </w:pPr>
    <w:rPr>
      <w:sz w:val="20"/>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 Char"/>
    <w:locked/>
    <w:rPr>
      <w:rFonts w:cs="Times New Roman"/>
      <w:sz w:val="20"/>
      <w:szCs w:val="20"/>
    </w:rPr>
  </w:style>
  <w:style w:type="paragraph" w:customStyle="1" w:styleId="Bullet">
    <w:name w:val="Bullet"/>
    <w:basedOn w:val="Normal"/>
    <w:pPr>
      <w:widowControl w:val="0"/>
      <w:numPr>
        <w:numId w:val="9"/>
      </w:numPr>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Style 4"/>
    <w:semiHidden/>
    <w:rPr>
      <w:rFonts w:cs="Times New Roman"/>
      <w:vertAlign w:val="superscript"/>
    </w:rPr>
  </w:style>
  <w:style w:type="paragraph" w:styleId="Header">
    <w:name w:val="header"/>
    <w:basedOn w:val="Normal"/>
    <w:link w:val="HeaderChar"/>
    <w:pPr>
      <w:tabs>
        <w:tab w:val="center" w:pos="4320"/>
        <w:tab w:val="right" w:pos="8640"/>
      </w:tabs>
    </w:pPr>
    <w:rPr>
      <w:sz w:val="20"/>
      <w:lang w:val="x-none" w:eastAsia="x-none"/>
    </w:r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pPr>
      <w:tabs>
        <w:tab w:val="center" w:pos="4320"/>
        <w:tab w:val="right" w:pos="8640"/>
      </w:tabs>
    </w:pPr>
    <w:rPr>
      <w:sz w:val="20"/>
      <w:lang w:val="x-none" w:eastAsia="x-none"/>
    </w:rPr>
  </w:style>
  <w:style w:type="character" w:customStyle="1" w:styleId="FooterChar">
    <w:name w:val="Footer Char"/>
    <w:link w:val="Footer"/>
    <w:semiHidden/>
    <w:locked/>
    <w:rPr>
      <w:rFonts w:cs="Times New Roman"/>
      <w:sz w:val="20"/>
      <w:szCs w:val="20"/>
    </w:r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spacing w:after="22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rPr>
      <w:rFonts w:cs="Times New Roman"/>
    </w:rPr>
  </w:style>
  <w:style w:type="paragraph" w:styleId="Title">
    <w:name w:val="Title"/>
    <w:basedOn w:val="Normal"/>
    <w:link w:val="TitleChar"/>
    <w:qFormat/>
    <w:pPr>
      <w:jc w:val="center"/>
    </w:pPr>
    <w:rPr>
      <w:rFonts w:ascii="Cambria" w:hAnsi="Cambria"/>
      <w:b/>
      <w:bCs/>
      <w:kern w:val="28"/>
      <w:sz w:val="32"/>
      <w:szCs w:val="32"/>
      <w:lang w:val="x-none" w:eastAsia="x-none"/>
    </w:rPr>
  </w:style>
  <w:style w:type="character" w:customStyle="1" w:styleId="TitleChar">
    <w:name w:val="Title Char"/>
    <w:link w:val="Title"/>
    <w:locked/>
    <w:rPr>
      <w:rFonts w:ascii="Cambria" w:hAnsi="Cambria" w:cs="Times New Roman"/>
      <w:b/>
      <w:bCs/>
      <w:kern w:val="28"/>
      <w:sz w:val="32"/>
      <w:szCs w:val="32"/>
    </w:rPr>
  </w:style>
  <w:style w:type="character" w:customStyle="1" w:styleId="Footnote">
    <w:name w:val="Footnote"/>
    <w:rPr>
      <w:rFonts w:ascii="Times New Roman" w:hAnsi="Times New Roman" w:cs="Times New Roman"/>
      <w:sz w:val="20"/>
    </w:rPr>
  </w:style>
  <w:style w:type="character" w:customStyle="1" w:styleId="pmterms11">
    <w:name w:val="pmterms11"/>
    <w:rPr>
      <w:rFonts w:ascii="Verdana" w:hAnsi="Verdana" w:cs="Times New Roman"/>
      <w:b/>
      <w:bCs/>
      <w:color w:val="000000"/>
      <w:sz w:val="20"/>
      <w:szCs w:val="20"/>
    </w:rPr>
  </w:style>
  <w:style w:type="character" w:customStyle="1" w:styleId="FootnoteTextChar2">
    <w:name w:val="Footnote Text Char2"/>
    <w:aliases w:val="rrfootnote Char1,Footnote Text Char1 Char1,Footnote Text Char Char Char1,rrfootnote Char Char Char1,Footnote Text Char1 Char Char Char1,Footnote Text Char Char Char Char Char1,rrfootnote Char Char Char Char Char1"/>
    <w:link w:val="FootnoteText"/>
    <w:locked/>
    <w:rPr>
      <w:rFonts w:cs="Times New Roman"/>
      <w:lang w:val="en-US" w:eastAsia="en-US" w:bidi="ar-SA"/>
    </w:rPr>
  </w:style>
  <w:style w:type="character" w:customStyle="1" w:styleId="documentbody">
    <w:name w:val="documentbody"/>
    <w:rPr>
      <w:rFonts w:cs="Times New Roman"/>
    </w:rPr>
  </w:style>
  <w:style w:type="character" w:customStyle="1" w:styleId="bestsection">
    <w:name w:val="bestsection"/>
    <w:rPr>
      <w:rFonts w:cs="Times New Roman"/>
    </w:rPr>
  </w:style>
  <w:style w:type="character" w:customStyle="1" w:styleId="FootnoteTextChar7CharCharChar">
    <w:name w:val="Footnote Text Char7 Char Char Char"/>
    <w:aliases w:val="Footnote Text Char4 Char1 Char Char Char,Footnote Text Char Char Char4 Char Char Char,Footnote Text Char7 Char Char Char Char Char Char Char,Footnote Text Char7 Char Char Char Char Char Char"/>
    <w:rPr>
      <w:rFonts w:cs="Times New Roman"/>
      <w:lang w:val="en-US" w:eastAsia="en-US" w:bidi="ar-SA"/>
    </w:rPr>
  </w:style>
  <w:style w:type="character" w:customStyle="1" w:styleId="documentbody1">
    <w:name w:val="documentbody1"/>
    <w:rPr>
      <w:rFonts w:ascii="Verdana" w:hAnsi="Verdana" w:cs="Times New Roman"/>
      <w:sz w:val="19"/>
      <w:szCs w:val="19"/>
    </w:rPr>
  </w:style>
  <w:style w:type="character" w:customStyle="1" w:styleId="searchterm1">
    <w:name w:val="searchterm1"/>
    <w:rPr>
      <w:rFonts w:cs="Times New Roman"/>
      <w:b/>
      <w:bCs/>
      <w:shd w:val="clear" w:color="auto" w:fill="FFFF00"/>
    </w:rPr>
  </w:style>
  <w:style w:type="character" w:styleId="Hyperlink">
    <w:name w:val="Hyperlink"/>
    <w:rPr>
      <w:rFonts w:cs="Times New Roman"/>
      <w:color w:val="0000FF"/>
      <w:u w:val="single"/>
    </w:rPr>
  </w:style>
  <w:style w:type="character" w:customStyle="1" w:styleId="bestsection1">
    <w:name w:val="bestsection1"/>
    <w:rPr>
      <w:rFonts w:cs="Times New Roman"/>
      <w:color w:val="FF0000"/>
    </w:rPr>
  </w:style>
  <w:style w:type="character" w:customStyle="1" w:styleId="groupheading4">
    <w:name w:val="groupheading4"/>
    <w:rPr>
      <w:rFonts w:ascii="Verdana" w:hAnsi="Verdana" w:cs="Times New Roman"/>
      <w:b/>
      <w:bCs/>
      <w:sz w:val="19"/>
      <w:szCs w:val="19"/>
    </w:rPr>
  </w:style>
  <w:style w:type="character" w:customStyle="1" w:styleId="informationalsmall3">
    <w:name w:val="informationalsmall3"/>
    <w:rPr>
      <w:rFonts w:ascii="Verdana" w:hAnsi="Verdana" w:cs="Times New Roman"/>
      <w:sz w:val="14"/>
      <w:szCs w:val="14"/>
    </w:r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character" w:customStyle="1" w:styleId="documentbody5">
    <w:name w:val="documentbody5"/>
    <w:rPr>
      <w:rFonts w:ascii="Verdana" w:hAnsi="Verdana" w:hint="default"/>
      <w:sz w:val="19"/>
      <w:szCs w:val="19"/>
    </w:rPr>
  </w:style>
  <w:style w:type="paragraph" w:styleId="HTMLPreformatted">
    <w:name w:val="HTML Preformatted"/>
    <w:basedOn w:val="Normal"/>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EmailStyle681">
    <w:name w:val="EmailStyle681"/>
    <w:semiHidden/>
    <w:rPr>
      <w:rFonts w:ascii="Arial" w:hAnsi="Arial" w:cs="Arial"/>
      <w:color w:val="000080"/>
      <w:sz w:val="20"/>
      <w:szCs w:val="20"/>
    </w:rPr>
  </w:style>
  <w:style w:type="character" w:customStyle="1" w:styleId="searchterm3">
    <w:name w:val="searchterm3"/>
    <w:rPr>
      <w:b/>
      <w:bCs/>
      <w:shd w:val="clear" w:color="auto" w:fill="FFFF00"/>
    </w:rPr>
  </w:style>
  <w:style w:type="character" w:customStyle="1" w:styleId="FootnoteTextCharChar1">
    <w:name w:val="Footnote Text Char Char1"/>
    <w:aliases w:val="Footnote Text Char1 Char Char2,Footnote Text Char7 Char Char Char2,Footnote Text Char4 Char1 Char Char Char2,Footnote Text Char Char Char4 Char Char Char2,Footnote Text Char7 Char Char Char Char Char Char2,Footnote Text Char4"/>
    <w:rsid w:val="008740C6"/>
    <w:rPr>
      <w:lang w:val="en-US" w:eastAsia="en-US" w:bidi="ar-SA"/>
    </w:rPr>
  </w:style>
  <w:style w:type="paragraph" w:styleId="ListBullet">
    <w:name w:val="List Bullet"/>
    <w:basedOn w:val="Normal"/>
    <w:locked/>
    <w:rsid w:val="00B246AE"/>
    <w:pPr>
      <w:numPr>
        <w:numId w:val="35"/>
      </w:numPr>
    </w:pPr>
  </w:style>
  <w:style w:type="character" w:customStyle="1" w:styleId="ParaNumChar">
    <w:name w:val="ParaNum Char"/>
    <w:link w:val="ParaNum"/>
    <w:locked/>
    <w:rsid w:val="007F210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85698">
      <w:bodyDiv w:val="1"/>
      <w:marLeft w:val="30"/>
      <w:marRight w:val="30"/>
      <w:marTop w:val="30"/>
      <w:marBottom w:val="30"/>
      <w:divBdr>
        <w:top w:val="none" w:sz="0" w:space="0" w:color="auto"/>
        <w:left w:val="none" w:sz="0" w:space="0" w:color="auto"/>
        <w:bottom w:val="none" w:sz="0" w:space="0" w:color="auto"/>
        <w:right w:val="none" w:sz="0" w:space="0" w:color="auto"/>
      </w:divBdr>
      <w:divsChild>
        <w:div w:id="439835599">
          <w:marLeft w:val="0"/>
          <w:marRight w:val="0"/>
          <w:marTop w:val="0"/>
          <w:marBottom w:val="0"/>
          <w:divBdr>
            <w:top w:val="none" w:sz="0" w:space="0" w:color="auto"/>
            <w:left w:val="none" w:sz="0" w:space="0" w:color="auto"/>
            <w:bottom w:val="none" w:sz="0" w:space="0" w:color="auto"/>
            <w:right w:val="none" w:sz="0" w:space="0" w:color="auto"/>
          </w:divBdr>
          <w:divsChild>
            <w:div w:id="2090347664">
              <w:marLeft w:val="45"/>
              <w:marRight w:val="45"/>
              <w:marTop w:val="45"/>
              <w:marBottom w:val="45"/>
              <w:divBdr>
                <w:top w:val="none" w:sz="0" w:space="0" w:color="auto"/>
                <w:left w:val="none" w:sz="0" w:space="0" w:color="auto"/>
                <w:bottom w:val="none" w:sz="0" w:space="0" w:color="auto"/>
                <w:right w:val="none" w:sz="0" w:space="0" w:color="auto"/>
              </w:divBdr>
              <w:divsChild>
                <w:div w:id="1275362469">
                  <w:marLeft w:val="0"/>
                  <w:marRight w:val="0"/>
                  <w:marTop w:val="0"/>
                  <w:marBottom w:val="0"/>
                  <w:divBdr>
                    <w:top w:val="none" w:sz="0" w:space="0" w:color="auto"/>
                    <w:left w:val="none" w:sz="0" w:space="0" w:color="auto"/>
                    <w:bottom w:val="none" w:sz="0" w:space="0" w:color="auto"/>
                    <w:right w:val="none" w:sz="0" w:space="0" w:color="auto"/>
                  </w:divBdr>
                  <w:divsChild>
                    <w:div w:id="107310710">
                      <w:marLeft w:val="360"/>
                      <w:marRight w:val="0"/>
                      <w:marTop w:val="0"/>
                      <w:marBottom w:val="0"/>
                      <w:divBdr>
                        <w:top w:val="none" w:sz="0" w:space="0" w:color="auto"/>
                        <w:left w:val="none" w:sz="0" w:space="0" w:color="auto"/>
                        <w:bottom w:val="none" w:sz="0" w:space="0" w:color="auto"/>
                        <w:right w:val="none" w:sz="0" w:space="0" w:color="auto"/>
                      </w:divBdr>
                      <w:divsChild>
                        <w:div w:id="291592088">
                          <w:marLeft w:val="0"/>
                          <w:marRight w:val="0"/>
                          <w:marTop w:val="0"/>
                          <w:marBottom w:val="0"/>
                          <w:divBdr>
                            <w:top w:val="none" w:sz="0" w:space="0" w:color="auto"/>
                            <w:left w:val="none" w:sz="0" w:space="0" w:color="auto"/>
                            <w:bottom w:val="none" w:sz="0" w:space="0" w:color="auto"/>
                            <w:right w:val="none" w:sz="0" w:space="0" w:color="auto"/>
                          </w:divBdr>
                        </w:div>
                      </w:divsChild>
                    </w:div>
                    <w:div w:id="16998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estlaw.com/Find/Default.wl?rs=dfa1.0&amp;vr=2.0&amp;DB=1000546&amp;DocName=47USCAS307&amp;FindType=L&amp;ReferencePositionType=T&amp;ReferencePosition=SP_8b3b0000958a4" TargetMode="External"/><Relationship Id="rId1" Type="http://schemas.openxmlformats.org/officeDocument/2006/relationships/hyperlink" Target="http://www.westlaw.com/Find/Default.wl?rs=dfa1.0&amp;vr=2.0&amp;DB=4493&amp;FindType=Y&amp;ReferencePositionType=S&amp;SerialNum=1989192022&amp;ReferencePosition=6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2600</Words>
  <Characters>13896</Characters>
  <Application>Microsoft Office Word</Application>
  <DocSecurity>0</DocSecurity>
  <Lines>222</Lines>
  <Paragraphs>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16574</CharactersWithSpaces>
  <SharedDoc>false</SharedDoc>
  <HyperlinkBase> </HyperlinkBase>
  <HLinks>
    <vt:vector size="12" baseType="variant">
      <vt:variant>
        <vt:i4>1376370</vt:i4>
      </vt:variant>
      <vt:variant>
        <vt:i4>3</vt:i4>
      </vt:variant>
      <vt:variant>
        <vt:i4>0</vt:i4>
      </vt:variant>
      <vt:variant>
        <vt:i4>5</vt:i4>
      </vt:variant>
      <vt:variant>
        <vt:lpwstr>http://www.westlaw.com/Find/Default.wl?rs=dfa1.0&amp;vr=2.0&amp;DB=1000546&amp;DocName=47USCAS307&amp;FindType=L&amp;ReferencePositionType=T&amp;ReferencePosition=SP_8b3b0000958a4</vt:lpwstr>
      </vt:variant>
      <vt:variant>
        <vt:lpwstr/>
      </vt:variant>
      <vt:variant>
        <vt:i4>2490417</vt:i4>
      </vt:variant>
      <vt:variant>
        <vt:i4>0</vt:i4>
      </vt:variant>
      <vt:variant>
        <vt:i4>0</vt:i4>
      </vt:variant>
      <vt:variant>
        <vt:i4>5</vt:i4>
      </vt:variant>
      <vt:variant>
        <vt:lpwstr>http://www.westlaw.com/Find/Default.wl?rs=dfa1.0&amp;vr=2.0&amp;DB=4493&amp;FindType=Y&amp;ReferencePositionType=S&amp;SerialNum=1989192022&amp;ReferencePosition=6365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2012-10-09T15:35:00Z</cp:lastPrinted>
  <dcterms:created xsi:type="dcterms:W3CDTF">2016-06-16T11:52:00Z</dcterms:created>
  <dcterms:modified xsi:type="dcterms:W3CDTF">2016-06-16T11:52:00Z</dcterms:modified>
  <cp:category> </cp:category>
  <cp:contentStatus> </cp:contentStatus>
</cp:coreProperties>
</file>