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A" w:rsidRDefault="00630BEA" w:rsidP="00630BEA">
      <w:pPr>
        <w:jc w:val="center"/>
        <w:rPr>
          <w:b/>
        </w:rPr>
      </w:pPr>
      <w:bookmarkStart w:id="0" w:name="_GoBack"/>
      <w:bookmarkEnd w:id="0"/>
      <w:r>
        <w:rPr>
          <w:b/>
        </w:rPr>
        <w:t>Before the</w:t>
      </w:r>
    </w:p>
    <w:p w:rsidR="00630BEA" w:rsidRDefault="00630BEA" w:rsidP="00630BEA">
      <w:pPr>
        <w:jc w:val="center"/>
        <w:rPr>
          <w:b/>
        </w:rPr>
      </w:pPr>
      <w:r>
        <w:rPr>
          <w:b/>
        </w:rPr>
        <w:t>Federal Communications Commission</w:t>
      </w:r>
    </w:p>
    <w:p w:rsidR="00630BEA" w:rsidRDefault="00630BEA" w:rsidP="00630BEA">
      <w:pPr>
        <w:jc w:val="center"/>
        <w:rPr>
          <w:b/>
        </w:rPr>
      </w:pPr>
      <w:r>
        <w:rPr>
          <w:b/>
        </w:rPr>
        <w:t>Washington, D.C. 20554</w:t>
      </w:r>
    </w:p>
    <w:p w:rsidR="00630BEA" w:rsidRDefault="00630BEA" w:rsidP="00630BEA"/>
    <w:tbl>
      <w:tblPr>
        <w:tblW w:w="0" w:type="auto"/>
        <w:tblLayout w:type="fixed"/>
        <w:tblLook w:val="0000" w:firstRow="0" w:lastRow="0" w:firstColumn="0" w:lastColumn="0" w:noHBand="0" w:noVBand="0"/>
      </w:tblPr>
      <w:tblGrid>
        <w:gridCol w:w="4698"/>
        <w:gridCol w:w="720"/>
        <w:gridCol w:w="4230"/>
      </w:tblGrid>
      <w:tr w:rsidR="00630BEA" w:rsidTr="005379D0">
        <w:tc>
          <w:tcPr>
            <w:tcW w:w="4698" w:type="dxa"/>
          </w:tcPr>
          <w:p w:rsidR="00630BEA" w:rsidRDefault="00630BEA" w:rsidP="005379D0">
            <w:pPr>
              <w:ind w:right="-18"/>
            </w:pPr>
            <w:r>
              <w:t>In the Matter of</w:t>
            </w:r>
          </w:p>
          <w:p w:rsidR="00630BEA" w:rsidRDefault="00630BEA" w:rsidP="005379D0">
            <w:pPr>
              <w:ind w:right="-18"/>
            </w:pPr>
          </w:p>
          <w:p w:rsidR="00024576" w:rsidRDefault="00A668B1" w:rsidP="005379D0">
            <w:pPr>
              <w:ind w:right="-18"/>
            </w:pPr>
            <w:r>
              <w:t>WRNN License Company, LLC</w:t>
            </w:r>
          </w:p>
          <w:p w:rsidR="00630BEA" w:rsidRDefault="00630BEA" w:rsidP="005379D0">
            <w:pPr>
              <w:ind w:right="-18"/>
            </w:pPr>
            <w:r>
              <w:t xml:space="preserve">Licensee of Station </w:t>
            </w:r>
            <w:r w:rsidR="00A668B1">
              <w:t>WRNN-TV</w:t>
            </w:r>
          </w:p>
          <w:p w:rsidR="00630BEA" w:rsidRDefault="00A668B1" w:rsidP="00024576">
            <w:pPr>
              <w:ind w:right="-18"/>
            </w:pPr>
            <w:r>
              <w:t>Kingston, New York</w:t>
            </w:r>
          </w:p>
        </w:tc>
        <w:tc>
          <w:tcPr>
            <w:tcW w:w="720" w:type="dxa"/>
          </w:tcPr>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tc>
        <w:tc>
          <w:tcPr>
            <w:tcW w:w="4230" w:type="dxa"/>
          </w:tcPr>
          <w:p w:rsidR="00630BEA" w:rsidRDefault="00630BEA" w:rsidP="005379D0"/>
          <w:p w:rsidR="00630BEA" w:rsidRDefault="00630BEA" w:rsidP="005379D0"/>
          <w:p w:rsidR="00630BEA" w:rsidRDefault="00630BEA" w:rsidP="005379D0">
            <w:pPr>
              <w:rPr>
                <w:spacing w:val="-2"/>
              </w:rPr>
            </w:pPr>
            <w:r>
              <w:rPr>
                <w:spacing w:val="-2"/>
              </w:rPr>
              <w:t xml:space="preserve">Facility I.D. No. </w:t>
            </w:r>
            <w:r w:rsidR="00A668B1">
              <w:rPr>
                <w:spacing w:val="-2"/>
              </w:rPr>
              <w:t>74156</w:t>
            </w:r>
          </w:p>
          <w:p w:rsidR="002447F9" w:rsidRPr="002447F9" w:rsidRDefault="00630BEA" w:rsidP="002447F9">
            <w:r>
              <w:t>NAL/Acct</w:t>
            </w:r>
            <w:r w:rsidR="00675450">
              <w:rPr>
                <w:szCs w:val="22"/>
              </w:rPr>
              <w:t>. No.:  201641420002</w:t>
            </w:r>
          </w:p>
          <w:p w:rsidR="00630BEA" w:rsidRPr="00024576" w:rsidRDefault="00630BEA" w:rsidP="00A668B1">
            <w:pPr>
              <w:rPr>
                <w:szCs w:val="22"/>
              </w:rPr>
            </w:pPr>
            <w:r w:rsidRPr="00024576">
              <w:rPr>
                <w:spacing w:val="-2"/>
                <w:szCs w:val="22"/>
              </w:rPr>
              <w:t>FRN:</w:t>
            </w:r>
            <w:r w:rsidR="00675450">
              <w:rPr>
                <w:spacing w:val="-2"/>
                <w:szCs w:val="22"/>
              </w:rPr>
              <w:t xml:space="preserve">  0010622041</w:t>
            </w:r>
          </w:p>
        </w:tc>
      </w:tr>
    </w:tbl>
    <w:p w:rsidR="00630BEA" w:rsidRDefault="00630BEA" w:rsidP="00630BEA"/>
    <w:p w:rsidR="00A535EF" w:rsidRDefault="00A535EF" w:rsidP="00630BEA"/>
    <w:p w:rsidR="00A8024F" w:rsidRDefault="00630BEA" w:rsidP="00630BEA">
      <w:pPr>
        <w:jc w:val="center"/>
        <w:rPr>
          <w:b/>
          <w:spacing w:val="-2"/>
        </w:rPr>
      </w:pPr>
      <w:r>
        <w:rPr>
          <w:b/>
          <w:spacing w:val="-2"/>
        </w:rPr>
        <w:t>NOTICE OF APPARENT LIABILITY FOR FORFEITURE</w:t>
      </w:r>
      <w:r w:rsidR="00A8024F">
        <w:rPr>
          <w:b/>
          <w:spacing w:val="-2"/>
        </w:rPr>
        <w:t xml:space="preserve"> AND </w:t>
      </w:r>
    </w:p>
    <w:p w:rsidR="00630BEA" w:rsidRDefault="00A8024F" w:rsidP="00630BEA">
      <w:pPr>
        <w:jc w:val="center"/>
        <w:rPr>
          <w:b/>
          <w:spacing w:val="-2"/>
        </w:rPr>
      </w:pPr>
      <w:r>
        <w:rPr>
          <w:b/>
          <w:spacing w:val="-2"/>
        </w:rPr>
        <w:t>MEMORANDUM OPINION AND ORDER</w:t>
      </w:r>
    </w:p>
    <w:p w:rsidR="00630BEA" w:rsidRDefault="00630BEA" w:rsidP="00630BEA">
      <w:pPr>
        <w:jc w:val="center"/>
      </w:pPr>
    </w:p>
    <w:p w:rsidR="00630BEA" w:rsidRDefault="00630BEA" w:rsidP="00630BEA">
      <w:pPr>
        <w:tabs>
          <w:tab w:val="left" w:pos="5760"/>
        </w:tabs>
        <w:rPr>
          <w:b/>
          <w:szCs w:val="22"/>
        </w:rPr>
      </w:pPr>
      <w:r>
        <w:rPr>
          <w:b/>
          <w:szCs w:val="22"/>
        </w:rPr>
        <w:t xml:space="preserve">Adopted:  </w:t>
      </w:r>
      <w:r w:rsidR="00A535EF">
        <w:rPr>
          <w:b/>
          <w:szCs w:val="22"/>
        </w:rPr>
        <w:t xml:space="preserve">January </w:t>
      </w:r>
      <w:r w:rsidR="00714CB1">
        <w:rPr>
          <w:b/>
          <w:szCs w:val="22"/>
        </w:rPr>
        <w:t>20</w:t>
      </w:r>
      <w:r>
        <w:rPr>
          <w:b/>
          <w:szCs w:val="22"/>
        </w:rPr>
        <w:t>, 201</w:t>
      </w:r>
      <w:r w:rsidR="00A668B1">
        <w:rPr>
          <w:b/>
          <w:szCs w:val="22"/>
        </w:rPr>
        <w:t>6</w:t>
      </w:r>
      <w:r>
        <w:rPr>
          <w:b/>
          <w:szCs w:val="22"/>
        </w:rPr>
        <w:tab/>
      </w:r>
      <w:r>
        <w:rPr>
          <w:b/>
          <w:szCs w:val="22"/>
        </w:rPr>
        <w:tab/>
        <w:t xml:space="preserve">Released:  </w:t>
      </w:r>
      <w:r w:rsidR="00A535EF">
        <w:rPr>
          <w:b/>
          <w:szCs w:val="22"/>
        </w:rPr>
        <w:t xml:space="preserve">January </w:t>
      </w:r>
      <w:r w:rsidR="00714CB1">
        <w:rPr>
          <w:b/>
          <w:szCs w:val="22"/>
        </w:rPr>
        <w:t>20</w:t>
      </w:r>
      <w:r w:rsidR="00A668B1">
        <w:rPr>
          <w:b/>
          <w:szCs w:val="22"/>
        </w:rPr>
        <w:t>, 2016</w:t>
      </w:r>
    </w:p>
    <w:p w:rsidR="00630BEA" w:rsidRDefault="00630BEA" w:rsidP="00630BEA">
      <w:pPr>
        <w:tabs>
          <w:tab w:val="left" w:pos="5760"/>
        </w:tabs>
        <w:rPr>
          <w:b/>
        </w:rPr>
      </w:pPr>
    </w:p>
    <w:p w:rsidR="00630BEA" w:rsidRDefault="00630BEA" w:rsidP="00630BEA">
      <w:pPr>
        <w:tabs>
          <w:tab w:val="left" w:pos="5760"/>
        </w:tabs>
      </w:pPr>
      <w:r>
        <w:t>By the Chief, Video Division, Media Bureau</w:t>
      </w:r>
      <w:r>
        <w:rPr>
          <w:spacing w:val="-2"/>
        </w:rPr>
        <w:t>:</w:t>
      </w:r>
    </w:p>
    <w:p w:rsidR="00630BEA" w:rsidRDefault="00630BEA" w:rsidP="00630BEA"/>
    <w:p w:rsidR="00630BEA" w:rsidRDefault="00630BEA" w:rsidP="005731C3">
      <w:pPr>
        <w:pStyle w:val="Heading1"/>
      </w:pPr>
      <w:r>
        <w:t>INTRODUCTION:</w:t>
      </w:r>
    </w:p>
    <w:p w:rsidR="00630BEA" w:rsidRDefault="00630BEA" w:rsidP="005731C3">
      <w:pPr>
        <w:pStyle w:val="ParaNum"/>
      </w:pPr>
      <w:r>
        <w:t xml:space="preserve">In this </w:t>
      </w:r>
      <w:r>
        <w:rPr>
          <w:i/>
        </w:rPr>
        <w:t>Notice of Apparent</w:t>
      </w:r>
      <w:r>
        <w:t xml:space="preserve"> </w:t>
      </w:r>
      <w:r>
        <w:rPr>
          <w:i/>
        </w:rPr>
        <w:t xml:space="preserve">Liability for Forfeiture </w:t>
      </w:r>
      <w:r>
        <w:t>(“NAL”) issued pursuant to Section 503(b) of the Communications Act of 1934, as amended (the “Act”), and Section 1.80 of the Commission’s Rules (the “Rules”),</w:t>
      </w:r>
      <w:r>
        <w:rPr>
          <w:rStyle w:val="FootnoteReference"/>
        </w:rPr>
        <w:footnoteReference w:id="1"/>
      </w:r>
      <w:r>
        <w:t xml:space="preserve"> the Commission finds that </w:t>
      </w:r>
      <w:r w:rsidR="00A668B1">
        <w:t>WRNN License Company, LLC</w:t>
      </w:r>
      <w:r>
        <w:t xml:space="preserve"> (the “Licensee”), licensee of Station </w:t>
      </w:r>
      <w:r w:rsidR="00A668B1">
        <w:t>KRNN-TV</w:t>
      </w:r>
      <w:r>
        <w:t xml:space="preserve">, </w:t>
      </w:r>
      <w:r w:rsidR="00A668B1">
        <w:t>Kingston, New York</w:t>
      </w:r>
      <w:r>
        <w:t xml:space="preserve"> (the “Station”), apparently willf</w:t>
      </w:r>
      <w:r w:rsidR="00B75291">
        <w:t xml:space="preserve">ully and/or repeatedly violated:  (1) </w:t>
      </w:r>
      <w:r>
        <w:t xml:space="preserve">Section 73.671 of the Rules by failing to properly identify children’s programming </w:t>
      </w:r>
      <w:r w:rsidR="00FF7306">
        <w:t>though</w:t>
      </w:r>
      <w:r>
        <w:t xml:space="preserve"> display </w:t>
      </w:r>
      <w:r w:rsidR="00E2181F">
        <w:t xml:space="preserve">of the “E/I” symbol </w:t>
      </w:r>
      <w:r>
        <w:t>on the television screen</w:t>
      </w:r>
      <w:r w:rsidR="00B75291">
        <w:rPr>
          <w:rStyle w:val="FootnoteReference"/>
        </w:rPr>
        <w:footnoteReference w:id="2"/>
      </w:r>
      <w:r w:rsidR="00B75291">
        <w:t xml:space="preserve"> and (2)</w:t>
      </w:r>
      <w:r w:rsidR="00B75291" w:rsidRPr="00710773">
        <w:rPr>
          <w:szCs w:val="22"/>
        </w:rPr>
        <w:t xml:space="preserve"> </w:t>
      </w:r>
      <w:r w:rsidR="00B75291" w:rsidRPr="00710773">
        <w:rPr>
          <w:color w:val="010101"/>
          <w:szCs w:val="22"/>
        </w:rPr>
        <w:t>Section 73.3514(a)</w:t>
      </w:r>
      <w:r w:rsidR="00B75291" w:rsidRPr="00710773">
        <w:rPr>
          <w:szCs w:val="22"/>
        </w:rPr>
        <w:t xml:space="preserve"> of the Rule</w:t>
      </w:r>
      <w:r w:rsidR="00B75291">
        <w:rPr>
          <w:szCs w:val="22"/>
        </w:rPr>
        <w:t>s</w:t>
      </w:r>
      <w:r w:rsidR="00B75291" w:rsidRPr="00710773">
        <w:rPr>
          <w:szCs w:val="22"/>
        </w:rPr>
        <w:t xml:space="preserve"> for </w:t>
      </w:r>
      <w:r w:rsidR="00B75291" w:rsidRPr="00710773">
        <w:rPr>
          <w:color w:val="010101"/>
          <w:szCs w:val="22"/>
        </w:rPr>
        <w:t xml:space="preserve">failing to report </w:t>
      </w:r>
      <w:r w:rsidR="00B75291">
        <w:rPr>
          <w:color w:val="010101"/>
          <w:szCs w:val="22"/>
        </w:rPr>
        <w:t>in its license</w:t>
      </w:r>
      <w:r w:rsidR="00B75291" w:rsidRPr="00710773">
        <w:rPr>
          <w:color w:val="010101"/>
          <w:szCs w:val="22"/>
        </w:rPr>
        <w:t xml:space="preserve"> renewal application</w:t>
      </w:r>
      <w:r w:rsidR="00B75291">
        <w:rPr>
          <w:color w:val="010101"/>
          <w:szCs w:val="22"/>
        </w:rPr>
        <w:t xml:space="preserve"> its failure to properly display the “E/I” symbol</w:t>
      </w:r>
      <w:r w:rsidR="00B75291">
        <w:t>.</w:t>
      </w:r>
      <w:r w:rsidR="00B75291">
        <w:rPr>
          <w:rStyle w:val="FootnoteReference"/>
        </w:rPr>
        <w:footnoteReference w:id="3"/>
      </w:r>
      <w:r w:rsidR="00B75291">
        <w:t xml:space="preserve">  </w:t>
      </w:r>
      <w:r>
        <w:t xml:space="preserve">Based upon our review of the facts and circumstances before us, we conclude that the Licensee is apparently liable for a monetary forfeiture in the amount of </w:t>
      </w:r>
      <w:r w:rsidR="00FF0F82">
        <w:t>six thousand dollars ($6</w:t>
      </w:r>
      <w:r>
        <w:t>,000).</w:t>
      </w:r>
    </w:p>
    <w:p w:rsidR="00630BEA" w:rsidRDefault="00630BEA" w:rsidP="005731C3">
      <w:pPr>
        <w:pStyle w:val="Heading1"/>
      </w:pPr>
      <w:r>
        <w:t>BACKGROUND:</w:t>
      </w:r>
    </w:p>
    <w:p w:rsidR="00630BEA" w:rsidRDefault="00630BEA" w:rsidP="005731C3">
      <w:pPr>
        <w:pStyle w:val="ParaNum"/>
        <w:rPr>
          <w:szCs w:val="22"/>
        </w:rPr>
      </w:pPr>
      <w:r>
        <w:t>T</w:t>
      </w:r>
      <w:r w:rsidRPr="00962452">
        <w:t>he C</w:t>
      </w:r>
      <w:r>
        <w:t>hildren’s Television Act of 1990 (“CTA”)</w:t>
      </w:r>
      <w:r w:rsidRPr="00962452">
        <w:t xml:space="preserve"> </w:t>
      </w:r>
      <w:r>
        <w:t xml:space="preserve">provides </w:t>
      </w:r>
      <w:r w:rsidRPr="00FC465D">
        <w:t>television broadcast licensee</w:t>
      </w:r>
      <w:r>
        <w:t>s with</w:t>
      </w:r>
      <w:r w:rsidRPr="00FC465D">
        <w:t xml:space="preserve"> an affirmative obligation to offer </w:t>
      </w:r>
      <w:r>
        <w:t xml:space="preserve">programming that meets the </w:t>
      </w:r>
      <w:r w:rsidRPr="00FC465D">
        <w:t xml:space="preserve">educational and informational </w:t>
      </w:r>
      <w:r>
        <w:t>needs of children (“Core Programming”).</w:t>
      </w:r>
      <w:r w:rsidRPr="00962452">
        <w:rPr>
          <w:rStyle w:val="FootnoteReference"/>
          <w:szCs w:val="22"/>
        </w:rPr>
        <w:footnoteReference w:id="4"/>
      </w:r>
      <w:r>
        <w:t xml:space="preserve">  </w:t>
      </w:r>
      <w:r w:rsidRPr="00FC465D">
        <w:t xml:space="preserve"> </w:t>
      </w:r>
      <w:r>
        <w:t xml:space="preserve">Section 73.671 of the Rules </w:t>
      </w:r>
      <w:r w:rsidRPr="001C75C2">
        <w:rPr>
          <w:szCs w:val="22"/>
        </w:rPr>
        <w:t>requir</w:t>
      </w:r>
      <w:r>
        <w:rPr>
          <w:szCs w:val="22"/>
        </w:rPr>
        <w:t>es</w:t>
      </w:r>
      <w:r w:rsidRPr="001C75C2">
        <w:rPr>
          <w:szCs w:val="22"/>
        </w:rPr>
        <w:t xml:space="preserve"> </w:t>
      </w:r>
      <w:r>
        <w:rPr>
          <w:szCs w:val="22"/>
        </w:rPr>
        <w:t>television broadcast</w:t>
      </w:r>
      <w:r w:rsidRPr="001C75C2">
        <w:rPr>
          <w:szCs w:val="22"/>
        </w:rPr>
        <w:t xml:space="preserve"> licensees to</w:t>
      </w:r>
      <w:r>
        <w:rPr>
          <w:szCs w:val="22"/>
        </w:rPr>
        <w:t xml:space="preserve"> meet certain criteria in order to demonstrate compliance with the children’s programming obligations set forth by the CTA.</w:t>
      </w:r>
      <w:r>
        <w:rPr>
          <w:rStyle w:val="FootnoteReference"/>
          <w:szCs w:val="22"/>
        </w:rPr>
        <w:footnoteReference w:id="5"/>
      </w:r>
      <w:r>
        <w:rPr>
          <w:szCs w:val="22"/>
        </w:rPr>
        <w:t xml:space="preserve">  In furtherance of the children’s programming obligations established by the CTA, broadcasters are also required to </w:t>
      </w:r>
      <w:r w:rsidRPr="001C75C2">
        <w:rPr>
          <w:szCs w:val="22"/>
        </w:rPr>
        <w:t>provide</w:t>
      </w:r>
      <w:r>
        <w:rPr>
          <w:szCs w:val="22"/>
        </w:rPr>
        <w:t xml:space="preserve"> certain</w:t>
      </w:r>
      <w:r w:rsidRPr="001C75C2">
        <w:rPr>
          <w:szCs w:val="22"/>
        </w:rPr>
        <w:t xml:space="preserve"> information to the public </w:t>
      </w:r>
      <w:r>
        <w:rPr>
          <w:szCs w:val="22"/>
        </w:rPr>
        <w:t xml:space="preserve">and programmers </w:t>
      </w:r>
      <w:r w:rsidRPr="001C75C2">
        <w:rPr>
          <w:szCs w:val="22"/>
        </w:rPr>
        <w:t xml:space="preserve">about the </w:t>
      </w:r>
      <w:r>
        <w:rPr>
          <w:szCs w:val="22"/>
        </w:rPr>
        <w:t>children’s programming they air</w:t>
      </w:r>
      <w:r w:rsidRPr="001C75C2">
        <w:rPr>
          <w:szCs w:val="22"/>
        </w:rPr>
        <w:t>.</w:t>
      </w:r>
      <w:r>
        <w:t xml:space="preserve">  For example, subsection (c)(5) of the rule requires broadcasters to identify Core Programming </w:t>
      </w:r>
      <w:r>
        <w:rPr>
          <w:szCs w:val="22"/>
        </w:rPr>
        <w:t>by displaying the “</w:t>
      </w:r>
      <w:r w:rsidRPr="006A31D5">
        <w:rPr>
          <w:szCs w:val="22"/>
        </w:rPr>
        <w:t>E/I</w:t>
      </w:r>
      <w:r>
        <w:rPr>
          <w:szCs w:val="22"/>
        </w:rPr>
        <w:t>”</w:t>
      </w:r>
      <w:r w:rsidRPr="006A31D5">
        <w:rPr>
          <w:szCs w:val="22"/>
        </w:rPr>
        <w:t xml:space="preserve"> </w:t>
      </w:r>
      <w:r>
        <w:rPr>
          <w:szCs w:val="22"/>
        </w:rPr>
        <w:t>s</w:t>
      </w:r>
      <w:r w:rsidRPr="006A31D5">
        <w:rPr>
          <w:szCs w:val="22"/>
        </w:rPr>
        <w:t xml:space="preserve">ymbol </w:t>
      </w:r>
      <w:r>
        <w:rPr>
          <w:szCs w:val="22"/>
        </w:rPr>
        <w:t xml:space="preserve">on the television screen </w:t>
      </w:r>
      <w:r w:rsidRPr="006A31D5">
        <w:rPr>
          <w:szCs w:val="22"/>
        </w:rPr>
        <w:t xml:space="preserve">throughout the </w:t>
      </w:r>
      <w:r w:rsidRPr="006A31D5">
        <w:rPr>
          <w:szCs w:val="22"/>
        </w:rPr>
        <w:lastRenderedPageBreak/>
        <w:t>program</w:t>
      </w:r>
      <w:r>
        <w:rPr>
          <w:szCs w:val="22"/>
        </w:rPr>
        <w:t>.</w:t>
      </w:r>
      <w:r w:rsidRPr="006A31D5">
        <w:rPr>
          <w:rStyle w:val="FootnoteReference"/>
          <w:szCs w:val="22"/>
        </w:rPr>
        <w:footnoteReference w:id="6"/>
      </w:r>
      <w:r>
        <w:rPr>
          <w:szCs w:val="22"/>
        </w:rPr>
        <w:t xml:space="preserve"> </w:t>
      </w:r>
    </w:p>
    <w:p w:rsidR="00FF0F82" w:rsidRPr="00FF0F82" w:rsidRDefault="00FF0F82" w:rsidP="005731C3">
      <w:pPr>
        <w:pStyle w:val="ParaNum"/>
        <w:rPr>
          <w:szCs w:val="22"/>
        </w:rPr>
      </w:pPr>
      <w:r w:rsidRPr="00B32D21">
        <w:rPr>
          <w:color w:val="010101"/>
          <w:szCs w:val="22"/>
        </w:rPr>
        <w:t>Section 73.3514(a) of the Rules provides that “[e]ach application shall include all information called for by the particular form on which the application is required to be filed. . . .”</w:t>
      </w:r>
      <w:r>
        <w:rPr>
          <w:rStyle w:val="FootnoteReference"/>
          <w:color w:val="010101"/>
          <w:szCs w:val="22"/>
        </w:rPr>
        <w:footnoteReference w:id="7"/>
      </w:r>
      <w:r w:rsidRPr="00B32D21">
        <w:rPr>
          <w:color w:val="010101"/>
          <w:szCs w:val="22"/>
        </w:rPr>
        <w:t xml:space="preserve">  Section IV, Question </w:t>
      </w:r>
      <w:r w:rsidR="00FF7306">
        <w:rPr>
          <w:color w:val="010101"/>
          <w:szCs w:val="22"/>
        </w:rPr>
        <w:t>8</w:t>
      </w:r>
      <w:r w:rsidRPr="00B32D21">
        <w:rPr>
          <w:color w:val="010101"/>
          <w:szCs w:val="22"/>
        </w:rPr>
        <w:t xml:space="preserve"> of the license renewal application</w:t>
      </w:r>
      <w:r w:rsidR="00FF7306">
        <w:rPr>
          <w:color w:val="010101"/>
          <w:szCs w:val="22"/>
        </w:rPr>
        <w:t xml:space="preserve"> requires licensees to certify </w:t>
      </w:r>
      <w:r w:rsidR="00FF7306" w:rsidRPr="0041029A">
        <w:rPr>
          <w:szCs w:val="22"/>
        </w:rPr>
        <w:t xml:space="preserve">that it </w:t>
      </w:r>
      <w:r w:rsidR="00FF7306">
        <w:rPr>
          <w:szCs w:val="22"/>
        </w:rPr>
        <w:t>properly identified</w:t>
      </w:r>
      <w:r w:rsidR="00FF7306" w:rsidRPr="0041029A">
        <w:rPr>
          <w:szCs w:val="22"/>
        </w:rPr>
        <w:t xml:space="preserve"> “each CORE program aired at the beginning of the airing of each program.”</w:t>
      </w:r>
      <w:r>
        <w:rPr>
          <w:rStyle w:val="FootnoteReference"/>
          <w:color w:val="010101"/>
          <w:szCs w:val="22"/>
        </w:rPr>
        <w:footnoteReference w:id="8"/>
      </w:r>
      <w:r w:rsidRPr="00B32D21">
        <w:rPr>
          <w:color w:val="010101"/>
          <w:szCs w:val="22"/>
        </w:rPr>
        <w:t xml:space="preserve">  If the Licensee has failed to do so it must submit a statement of explanation as an exhibit.</w:t>
      </w:r>
      <w:r>
        <w:rPr>
          <w:rStyle w:val="FootnoteReference"/>
          <w:color w:val="010101"/>
          <w:szCs w:val="22"/>
        </w:rPr>
        <w:footnoteReference w:id="9"/>
      </w:r>
      <w:r w:rsidRPr="00B32D21">
        <w:rPr>
          <w:color w:val="010101"/>
          <w:szCs w:val="22"/>
        </w:rPr>
        <w:t xml:space="preserve">  </w:t>
      </w:r>
      <w:r w:rsidR="00FF7306">
        <w:rPr>
          <w:color w:val="010101"/>
          <w:szCs w:val="22"/>
        </w:rPr>
        <w:t>Here t</w:t>
      </w:r>
      <w:r w:rsidR="00C47A00">
        <w:rPr>
          <w:color w:val="010101"/>
          <w:szCs w:val="22"/>
        </w:rPr>
        <w:t>h</w:t>
      </w:r>
      <w:r w:rsidR="00FF7306">
        <w:rPr>
          <w:color w:val="010101"/>
          <w:szCs w:val="22"/>
        </w:rPr>
        <w:t>e</w:t>
      </w:r>
      <w:r w:rsidRPr="00B32D21">
        <w:rPr>
          <w:color w:val="010101"/>
          <w:szCs w:val="22"/>
        </w:rPr>
        <w:t xml:space="preserve"> Licensee failed to submit such an exhibit and </w:t>
      </w:r>
      <w:r w:rsidR="00FF7306">
        <w:rPr>
          <w:color w:val="010101"/>
          <w:szCs w:val="22"/>
        </w:rPr>
        <w:t xml:space="preserve">properly </w:t>
      </w:r>
      <w:r w:rsidRPr="00B32D21">
        <w:rPr>
          <w:color w:val="010101"/>
          <w:szCs w:val="22"/>
        </w:rPr>
        <w:t xml:space="preserve">report its failure </w:t>
      </w:r>
      <w:r w:rsidR="00FF7306">
        <w:rPr>
          <w:color w:val="010101"/>
          <w:szCs w:val="22"/>
        </w:rPr>
        <w:t>to display the “E/I” symbol on two of its digital multicast steams</w:t>
      </w:r>
      <w:r w:rsidRPr="00B32D21">
        <w:rPr>
          <w:color w:val="010101"/>
          <w:szCs w:val="22"/>
        </w:rPr>
        <w:t>.</w:t>
      </w:r>
      <w:r>
        <w:rPr>
          <w:color w:val="010101"/>
          <w:szCs w:val="22"/>
        </w:rPr>
        <w:t xml:space="preserve"> </w:t>
      </w:r>
    </w:p>
    <w:p w:rsidR="00630BEA" w:rsidRPr="00A668B1" w:rsidRDefault="00630BEA" w:rsidP="005731C3">
      <w:pPr>
        <w:pStyle w:val="ParaNum"/>
      </w:pPr>
      <w:r w:rsidRPr="0041029A">
        <w:t xml:space="preserve">On </w:t>
      </w:r>
      <w:r w:rsidR="00A668B1">
        <w:t>February 2, 2015</w:t>
      </w:r>
      <w:r w:rsidRPr="0041029A">
        <w:t>, the Licensee filed its license renewal application for the Station.</w:t>
      </w:r>
      <w:r w:rsidRPr="006A31D5">
        <w:rPr>
          <w:rStyle w:val="FootnoteReference"/>
          <w:szCs w:val="22"/>
        </w:rPr>
        <w:footnoteReference w:id="10"/>
      </w:r>
      <w:r w:rsidRPr="0041029A">
        <w:t xml:space="preserve">  </w:t>
      </w:r>
      <w:r w:rsidR="00A668B1">
        <w:t xml:space="preserve">A Video Division staff review of the Station’s Children’s </w:t>
      </w:r>
      <w:r w:rsidR="00FF7306">
        <w:t>Television Programming Reports</w:t>
      </w:r>
      <w:r w:rsidR="00A668B1">
        <w:t xml:space="preserve"> revealed that the Station failed to display the E/I symbol when airing children’s programming on its fourth and fifth multicast channels since the </w:t>
      </w:r>
      <w:r w:rsidR="00FF7306">
        <w:t xml:space="preserve">start of </w:t>
      </w:r>
      <w:r w:rsidR="00A668B1">
        <w:t>second quarter of 2012</w:t>
      </w:r>
      <w:r w:rsidR="00FF7306">
        <w:t xml:space="preserve"> (July 1, 2012)</w:t>
      </w:r>
      <w:r w:rsidR="00A668B1">
        <w:t>.</w:t>
      </w:r>
      <w:r w:rsidR="00A668B1">
        <w:rPr>
          <w:rStyle w:val="FootnoteReference"/>
          <w:szCs w:val="22"/>
        </w:rPr>
        <w:footnoteReference w:id="11"/>
      </w:r>
      <w:r w:rsidR="00A668B1">
        <w:t xml:space="preserve">  On </w:t>
      </w:r>
      <w:r w:rsidR="00C044C5">
        <w:t>January 7, 2016</w:t>
      </w:r>
      <w:r w:rsidR="00B75291">
        <w:t>, the Licensee amended its license renewal application</w:t>
      </w:r>
      <w:r w:rsidR="00C47A00">
        <w:t>,</w:t>
      </w:r>
      <w:r w:rsidR="00B75291">
        <w:t xml:space="preserve"> </w:t>
      </w:r>
      <w:r w:rsidR="00FF7306">
        <w:t>acknowledging</w:t>
      </w:r>
      <w:r w:rsidR="00B75291">
        <w:t xml:space="preserve"> </w:t>
      </w:r>
      <w:r w:rsidR="00FF7306">
        <w:t>this</w:t>
      </w:r>
      <w:r w:rsidR="00B75291">
        <w:t xml:space="preserve"> ongoing violation and stating that the E/I symbol </w:t>
      </w:r>
      <w:r w:rsidR="00C044C5">
        <w:t xml:space="preserve">was </w:t>
      </w:r>
      <w:r w:rsidR="00B75291">
        <w:t xml:space="preserve">properly displayed </w:t>
      </w:r>
      <w:r w:rsidR="00C044C5">
        <w:t>as of</w:t>
      </w:r>
      <w:r w:rsidR="00B75291">
        <w:t xml:space="preserve"> January </w:t>
      </w:r>
      <w:r w:rsidR="00C044C5">
        <w:t>1</w:t>
      </w:r>
      <w:r w:rsidR="00B75291">
        <w:t>, 2016.</w:t>
      </w:r>
      <w:r w:rsidR="00B75291">
        <w:rPr>
          <w:rStyle w:val="FootnoteReference"/>
          <w:szCs w:val="22"/>
        </w:rPr>
        <w:footnoteReference w:id="12"/>
      </w:r>
    </w:p>
    <w:p w:rsidR="00630BEA" w:rsidRDefault="00630BEA" w:rsidP="005731C3">
      <w:pPr>
        <w:pStyle w:val="Heading1"/>
        <w:rPr>
          <w:rStyle w:val="documentbody1"/>
        </w:rPr>
      </w:pPr>
      <w:r>
        <w:t>DISCUSSION</w:t>
      </w:r>
    </w:p>
    <w:p w:rsidR="00630BEA" w:rsidRDefault="00630BEA" w:rsidP="005731C3">
      <w:pPr>
        <w:pStyle w:val="ParaNum"/>
      </w:pPr>
      <w:r>
        <w:t xml:space="preserve">The Licensee </w:t>
      </w:r>
      <w:r w:rsidR="00B75291">
        <w:t>did not</w:t>
      </w:r>
      <w:r>
        <w:t xml:space="preserve"> identify children’s programming on</w:t>
      </w:r>
      <w:r w:rsidR="009F5568">
        <w:t xml:space="preserve"> two of</w:t>
      </w:r>
      <w:r>
        <w:t xml:space="preserve"> its digital multicast channel</w:t>
      </w:r>
      <w:r w:rsidR="009F5568">
        <w:t>s</w:t>
      </w:r>
      <w:r w:rsidR="00B75291">
        <w:t>, 48.4</w:t>
      </w:r>
      <w:r w:rsidR="0051173D">
        <w:t xml:space="preserve"> and </w:t>
      </w:r>
      <w:r w:rsidR="00B75291">
        <w:t>48.5</w:t>
      </w:r>
      <w:r>
        <w:t xml:space="preserve"> by </w:t>
      </w:r>
      <w:r w:rsidR="00B75291">
        <w:t>failing</w:t>
      </w:r>
      <w:r>
        <w:t xml:space="preserve"> displaying the “E/I” symbol </w:t>
      </w:r>
      <w:r w:rsidR="009F5568">
        <w:t xml:space="preserve">from </w:t>
      </w:r>
      <w:r w:rsidR="00B75291">
        <w:t>July</w:t>
      </w:r>
      <w:r w:rsidR="009F5568">
        <w:t xml:space="preserve"> </w:t>
      </w:r>
      <w:r w:rsidR="00B75291">
        <w:t>1, 2</w:t>
      </w:r>
      <w:r w:rsidR="009F5568">
        <w:t>0</w:t>
      </w:r>
      <w:r w:rsidR="00B75291">
        <w:t>12</w:t>
      </w:r>
      <w:r w:rsidR="00FF7306">
        <w:t xml:space="preserve"> through December 31, 2015</w:t>
      </w:r>
      <w:r w:rsidR="009F5568">
        <w:t xml:space="preserve">. </w:t>
      </w:r>
      <w:r w:rsidR="0051173D">
        <w:t xml:space="preserve"> </w:t>
      </w:r>
      <w:r>
        <w:t>Failing to display the “E/I” symbol</w:t>
      </w:r>
      <w:r w:rsidR="00FF7306">
        <w:t xml:space="preserve"> for two and one-half years</w:t>
      </w:r>
      <w:r>
        <w:t xml:space="preserve"> constitutes an apparent </w:t>
      </w:r>
      <w:r w:rsidRPr="00530EAA">
        <w:t xml:space="preserve">willful and/or repeated violation of </w:t>
      </w:r>
      <w:r>
        <w:t>Section 73.671</w:t>
      </w:r>
      <w:r w:rsidR="00FF7306">
        <w:t>(c)(5)</w:t>
      </w:r>
      <w:r>
        <w:t xml:space="preserve"> of the Rules.</w:t>
      </w:r>
      <w:r w:rsidR="00FF7306">
        <w:rPr>
          <w:rStyle w:val="FootnoteReference"/>
        </w:rPr>
        <w:footnoteReference w:id="13"/>
      </w:r>
      <w:r>
        <w:t xml:space="preserve">  </w:t>
      </w:r>
      <w:r w:rsidR="00FF7306">
        <w:rPr>
          <w:color w:val="000000"/>
          <w:szCs w:val="22"/>
        </w:rPr>
        <w:t>Furthermore, the</w:t>
      </w:r>
      <w:r w:rsidR="00B75291">
        <w:rPr>
          <w:color w:val="000000"/>
          <w:szCs w:val="22"/>
        </w:rPr>
        <w:t xml:space="preserve"> Licensee</w:t>
      </w:r>
      <w:r w:rsidR="00FF7306">
        <w:rPr>
          <w:color w:val="000000"/>
          <w:szCs w:val="22"/>
        </w:rPr>
        <w:t xml:space="preserve">’s failure to properly report on its license renewal application its failure to properly display the “E/I” symbol is a violation of Section </w:t>
      </w:r>
      <w:r w:rsidR="00FF7306" w:rsidRPr="00B32D21">
        <w:rPr>
          <w:color w:val="010101"/>
          <w:szCs w:val="22"/>
        </w:rPr>
        <w:t>73.3514(a) of the Rules</w:t>
      </w:r>
      <w:r w:rsidR="00FF7306">
        <w:rPr>
          <w:color w:val="000000"/>
          <w:szCs w:val="22"/>
        </w:rPr>
        <w:t>.</w:t>
      </w:r>
      <w:r w:rsidR="00FF7306">
        <w:rPr>
          <w:rStyle w:val="FootnoteReference"/>
          <w:color w:val="000000"/>
          <w:szCs w:val="22"/>
        </w:rPr>
        <w:footnoteReference w:id="14"/>
      </w:r>
      <w:r w:rsidR="00FF7306">
        <w:rPr>
          <w:color w:val="000000"/>
          <w:szCs w:val="22"/>
        </w:rPr>
        <w:t xml:space="preserve">  As noted above, beginning on January 1, 2016, the Licensee has commenced airing the “E/I” symbol on all of the Station’s digital broadcast streams.</w:t>
      </w:r>
      <w:r>
        <w:t xml:space="preserve"> </w:t>
      </w:r>
    </w:p>
    <w:p w:rsidR="00630BEA" w:rsidRDefault="00630BEA" w:rsidP="005731C3">
      <w:pPr>
        <w:pStyle w:val="ParaNum"/>
      </w:pPr>
      <w:r w:rsidRPr="00774356">
        <w:rPr>
          <w:szCs w:val="22"/>
        </w:rPr>
        <w:t xml:space="preserve">This </w:t>
      </w:r>
      <w:r w:rsidRPr="00774356">
        <w:rPr>
          <w:i/>
          <w:szCs w:val="22"/>
        </w:rPr>
        <w:t>NAL</w:t>
      </w:r>
      <w:r w:rsidRPr="00774356">
        <w:rPr>
          <w:szCs w:val="22"/>
        </w:rPr>
        <w:t xml:space="preserve"> is issued pursuant to Section 503(b)(1)(B)</w:t>
      </w:r>
      <w:r>
        <w:rPr>
          <w:szCs w:val="22"/>
        </w:rPr>
        <w:t xml:space="preserve"> of the Act.  </w:t>
      </w:r>
      <w:r>
        <w:t>Under that provision, a</w:t>
      </w:r>
      <w:r w:rsidRPr="009F0ED7">
        <w:t xml:space="preserve">ny person who is determined by the Commission to have </w:t>
      </w:r>
      <w:r>
        <w:t>“</w:t>
      </w:r>
      <w:r w:rsidRPr="009F0ED7">
        <w:t>willfully and/or repeatedly failed to comply with any provision of the Act or any rule, regulation, or order issued by the Commission</w:t>
      </w:r>
      <w:r>
        <w:t>…</w:t>
      </w:r>
      <w:r w:rsidRPr="009F0ED7">
        <w:t>shall be liable to the United States for a forfeiture penalty.</w:t>
      </w:r>
      <w:r>
        <w:t>”</w:t>
      </w:r>
      <w:r w:rsidRPr="007C3D9A">
        <w:rPr>
          <w:rStyle w:val="FootnoteReference"/>
          <w:szCs w:val="22"/>
        </w:rPr>
        <w:footnoteReference w:id="15"/>
      </w:r>
      <w:r w:rsidRPr="00774356">
        <w:rPr>
          <w:rStyle w:val="FootnoteReference"/>
          <w:szCs w:val="22"/>
        </w:rPr>
        <w:t xml:space="preserve"> </w:t>
      </w:r>
      <w:r w:rsidRPr="009F0ED7">
        <w:t xml:space="preserve"> Section 312(f)(1) of the Act defines willful as “the conscious and deliberate commission or omission of [any] act, irrespective of any intent to violate” the law.</w:t>
      </w:r>
      <w:r w:rsidRPr="007C3D9A">
        <w:rPr>
          <w:rStyle w:val="FootnoteReference"/>
          <w:szCs w:val="22"/>
        </w:rPr>
        <w:footnoteReference w:id="16"/>
      </w:r>
      <w:r w:rsidRPr="009F0ED7">
        <w:t xml:space="preserve">  The legislative history to Section 312(f)(1) of the Act clarifies that this definition of willful applies </w:t>
      </w:r>
      <w:r w:rsidRPr="009F0ED7">
        <w:lastRenderedPageBreak/>
        <w:t>to both Sections 312 and 503(b) of the Act,</w:t>
      </w:r>
      <w:r w:rsidRPr="007C3D9A">
        <w:rPr>
          <w:rStyle w:val="FootnoteReference"/>
          <w:szCs w:val="22"/>
        </w:rPr>
        <w:footnoteReference w:id="17"/>
      </w:r>
      <w:r w:rsidRPr="009F0ED7">
        <w:t xml:space="preserve"> and the Commission has so interpreted the term in the Section 503(b) context.</w:t>
      </w:r>
      <w:r w:rsidRPr="007C3D9A">
        <w:rPr>
          <w:rStyle w:val="FootnoteReference"/>
          <w:szCs w:val="22"/>
        </w:rPr>
        <w:footnoteReference w:id="18"/>
      </w:r>
      <w:r w:rsidRPr="00774356">
        <w:rPr>
          <w:rStyle w:val="FootnoteReference"/>
          <w:szCs w:val="22"/>
        </w:rPr>
        <w:t xml:space="preserve"> </w:t>
      </w:r>
      <w:r w:rsidR="00620BD9">
        <w:t xml:space="preserve"> </w:t>
      </w:r>
      <w:r w:rsidRPr="009F0ED7">
        <w:t>Section 312(f)(2) of the Act provides that “[t]he term ‘repeated,’ when used with reference to the commission or omission of any act, means the commission or omission of such act more than once or, if such commission or omission is continuous, for more than one day.”</w:t>
      </w:r>
      <w:r w:rsidRPr="007C3D9A">
        <w:rPr>
          <w:rStyle w:val="FootnoteReference"/>
          <w:szCs w:val="22"/>
        </w:rPr>
        <w:footnoteReference w:id="19"/>
      </w:r>
      <w:r w:rsidRPr="009F0ED7">
        <w:t xml:space="preserve">  </w:t>
      </w:r>
    </w:p>
    <w:p w:rsidR="00FF0F82" w:rsidRDefault="00630BEA" w:rsidP="005731C3">
      <w:pPr>
        <w:pStyle w:val="ParaNum"/>
      </w:pPr>
      <w:r w:rsidRPr="007F7BF9">
        <w:t>The</w:t>
      </w:r>
      <w:r w:rsidRPr="007F7BF9">
        <w:rPr>
          <w:i/>
        </w:rPr>
        <w:t xml:space="preserve"> </w:t>
      </w:r>
      <w:r w:rsidRPr="007F7BF9">
        <w:t>Commission’s</w:t>
      </w:r>
      <w:r w:rsidRPr="007F7BF9">
        <w:rPr>
          <w:i/>
        </w:rPr>
        <w:t xml:space="preserve"> Forfeiture Policy Statement</w:t>
      </w:r>
      <w:r w:rsidRPr="007F7BF9">
        <w:t xml:space="preserve"> and Section 1.80(b) of the Rules establish a base forfeiture amount of $8,000 for violations of the Commission’s children’s requirements</w:t>
      </w:r>
      <w:r w:rsidR="00A535EF">
        <w:t xml:space="preserve"> and of </w:t>
      </w:r>
      <w:r w:rsidR="00A535EF" w:rsidRPr="00912E96">
        <w:t>$3,000 for failure to file a required form or information</w:t>
      </w:r>
      <w:r w:rsidRPr="007F7BF9">
        <w:t>.</w:t>
      </w:r>
      <w:r w:rsidRPr="007F7BF9">
        <w:rPr>
          <w:rStyle w:val="FootnoteReference"/>
          <w:szCs w:val="22"/>
        </w:rPr>
        <w:footnoteReference w:id="20"/>
      </w:r>
      <w:r w:rsidRPr="00774356">
        <w:t xml:space="preserve">  </w:t>
      </w:r>
      <w:r w:rsidRPr="007C3D9A">
        <w:t>In determining the appropriate forfeiture amount, we may adjust the base amount upward or downward by considering the factors e</w:t>
      </w:r>
      <w:r>
        <w:t>numerated in Section 503(b)(2)(E</w:t>
      </w:r>
      <w:r w:rsidRPr="007C3D9A">
        <w:t>) of the Act, including “the nature, circumstances, extent and gravity of the violation, and, with respect to the violator, the degree of culpability, any history of prior offenses, ability to pay, and such other matters as justice may require.”</w:t>
      </w:r>
      <w:r w:rsidRPr="007C3D9A">
        <w:rPr>
          <w:rStyle w:val="FootnoteReference"/>
          <w:szCs w:val="22"/>
        </w:rPr>
        <w:footnoteReference w:id="21"/>
      </w:r>
      <w:r>
        <w:t xml:space="preserve">  </w:t>
      </w:r>
      <w:r w:rsidRPr="00774356">
        <w:t>Based on our review of the facts and circumstances</w:t>
      </w:r>
      <w:r>
        <w:t xml:space="preserve">, including </w:t>
      </w:r>
      <w:r w:rsidRPr="00774356">
        <w:t>the duration of the violation, we</w:t>
      </w:r>
      <w:r>
        <w:t xml:space="preserve"> find that the Licensee is liable for a forfeiture in the amount of $3,000 for its </w:t>
      </w:r>
      <w:r w:rsidR="00A535EF">
        <w:t>failure to properly display the “E/I” symbol for a period of two and one-half years on two of the Station’s digital multicar streams</w:t>
      </w:r>
      <w:r>
        <w:t>.</w:t>
      </w:r>
      <w:r w:rsidR="00A535EF">
        <w:t xml:space="preserve">  Furthermore, we find that a forfeiture in the amount of $3,000 for the Licensee’s failure to </w:t>
      </w:r>
      <w:r w:rsidR="00A535EF" w:rsidRPr="00EE4202">
        <w:t xml:space="preserve">report </w:t>
      </w:r>
      <w:r w:rsidR="00A535EF">
        <w:t xml:space="preserve">the aforementioned </w:t>
      </w:r>
      <w:r w:rsidR="00A535EF" w:rsidRPr="00EE4202">
        <w:t>violations in its renewal application</w:t>
      </w:r>
      <w:r w:rsidR="00A535EF">
        <w:t xml:space="preserve"> is warranted.  </w:t>
      </w:r>
      <w:r w:rsidR="00FF0F82" w:rsidRPr="002B72AC">
        <w:t>Accordingly, we propose a total forfeiture in the amount of $</w:t>
      </w:r>
      <w:r w:rsidR="00FF0F82">
        <w:t>6</w:t>
      </w:r>
      <w:r w:rsidR="00FF0F82" w:rsidRPr="002B72AC">
        <w:t xml:space="preserve">,000 for the Licensee’s apparent willful and/or repeated violations of </w:t>
      </w:r>
      <w:r w:rsidR="00FF0F82" w:rsidRPr="00992F87">
        <w:t xml:space="preserve">Sections </w:t>
      </w:r>
      <w:r w:rsidR="00FF0F82">
        <w:t xml:space="preserve">73.671 and </w:t>
      </w:r>
      <w:r w:rsidR="00FF0F82" w:rsidRPr="005177FD">
        <w:t xml:space="preserve">73.3514(a) </w:t>
      </w:r>
      <w:r w:rsidR="00FF0F82" w:rsidRPr="00992F87">
        <w:t xml:space="preserve">of the </w:t>
      </w:r>
      <w:r w:rsidR="00FF0F82">
        <w:t>Rules.</w:t>
      </w:r>
      <w:r w:rsidR="00A535EF">
        <w:rPr>
          <w:rStyle w:val="FootnoteReference"/>
        </w:rPr>
        <w:footnoteReference w:id="22"/>
      </w:r>
      <w:r w:rsidR="00FF0F82">
        <w:t xml:space="preserve">  </w:t>
      </w:r>
    </w:p>
    <w:p w:rsidR="00630BEA" w:rsidRPr="00774356" w:rsidRDefault="00FF0F82" w:rsidP="005731C3">
      <w:pPr>
        <w:pStyle w:val="ParaNum"/>
      </w:pPr>
      <w:r w:rsidRPr="002D1F0B">
        <w:t>We also find, pursuant to Section 309(k) of the Act,</w:t>
      </w:r>
      <w:r w:rsidRPr="00436E1C">
        <w:rPr>
          <w:rStyle w:val="FootnoteReference"/>
        </w:rPr>
        <w:footnoteReference w:id="23"/>
      </w:r>
      <w:r w:rsidRPr="002D1F0B">
        <w:t xml:space="preserve"> that the Licensee's apparent violation does not constitute a “serious violation” warranting designation for evidentiary hearing.  Moreover, we find no evidence that the violations, when considered togethe</w:t>
      </w:r>
      <w:r>
        <w:t>r, evidence a pattern of abuse.</w:t>
      </w:r>
      <w:r w:rsidR="00A8024F">
        <w:t xml:space="preserve">  </w:t>
      </w:r>
      <w:r>
        <w:t xml:space="preserve"> </w:t>
      </w:r>
      <w:r w:rsidR="00A8024F">
        <w:t xml:space="preserve">  </w:t>
      </w:r>
    </w:p>
    <w:p w:rsidR="00630BEA" w:rsidRDefault="00630BEA" w:rsidP="005731C3">
      <w:pPr>
        <w:pStyle w:val="Heading1"/>
        <w:keepNext w:val="0"/>
        <w:suppressAutoHyphens w:val="0"/>
      </w:pPr>
      <w:r>
        <w:t>ORDERING CLAUSES</w:t>
      </w:r>
    </w:p>
    <w:p w:rsidR="00630BEA" w:rsidRDefault="00630BEA" w:rsidP="005731C3">
      <w:pPr>
        <w:pStyle w:val="ParaNum"/>
      </w:pPr>
      <w:r>
        <w:t xml:space="preserve">Accordingly, </w:t>
      </w:r>
      <w:r w:rsidRPr="00405765">
        <w:rPr>
          <w:b/>
        </w:rPr>
        <w:t>IT IS ORDERED</w:t>
      </w:r>
      <w:r>
        <w:t>, pursuant to Section 503(b) of the Communications Act of 1934, as amended,</w:t>
      </w:r>
      <w:r w:rsidR="00FF0F82">
        <w:t xml:space="preserve"> 47 U.S.C. § 503(b),</w:t>
      </w:r>
      <w:r>
        <w:t xml:space="preserve"> and Section 1.80 of the Commission’s Rules, </w:t>
      </w:r>
      <w:r w:rsidR="00FF0F82">
        <w:t xml:space="preserve">47 C.F.R. § 1.80, </w:t>
      </w:r>
      <w:r>
        <w:t>tha</w:t>
      </w:r>
      <w:r w:rsidR="00C47A00">
        <w:t>t WRNN License Company, LLC</w:t>
      </w:r>
      <w:r>
        <w:t xml:space="preserve">, licensee of Station </w:t>
      </w:r>
      <w:r w:rsidR="00FF0F82">
        <w:t>WRNN-TV</w:t>
      </w:r>
      <w:r>
        <w:t xml:space="preserve">, </w:t>
      </w:r>
      <w:r w:rsidR="00FF0F82">
        <w:t>Kingston, New York</w:t>
      </w:r>
      <w:r>
        <w:t xml:space="preserve">, is hereby </w:t>
      </w:r>
      <w:r w:rsidRPr="00405765">
        <w:rPr>
          <w:b/>
        </w:rPr>
        <w:t>NOTIFIED</w:t>
      </w:r>
      <w:r>
        <w:t xml:space="preserve"> of its </w:t>
      </w:r>
      <w:r w:rsidRPr="00405765">
        <w:rPr>
          <w:b/>
        </w:rPr>
        <w:t>APPARENT LIABILITY FOR FORFEITURE</w:t>
      </w:r>
      <w:r>
        <w:t xml:space="preserve"> in the amount of </w:t>
      </w:r>
      <w:r w:rsidR="00FF0F82">
        <w:t>six</w:t>
      </w:r>
      <w:r>
        <w:t xml:space="preserve"> thousand dollars ($</w:t>
      </w:r>
      <w:r w:rsidR="00FF0F82">
        <w:t>6</w:t>
      </w:r>
      <w:r>
        <w:t>,000) for its apparent willful and</w:t>
      </w:r>
      <w:r w:rsidR="001B5AB9">
        <w:t>/or</w:t>
      </w:r>
      <w:r>
        <w:t xml:space="preserve"> repeated violations of Section</w:t>
      </w:r>
      <w:r w:rsidR="00FF0F82">
        <w:t>s</w:t>
      </w:r>
      <w:r>
        <w:t xml:space="preserve"> </w:t>
      </w:r>
      <w:r>
        <w:rPr>
          <w:szCs w:val="22"/>
        </w:rPr>
        <w:t>73.671</w:t>
      </w:r>
      <w:r w:rsidR="00FF0F82">
        <w:rPr>
          <w:szCs w:val="22"/>
        </w:rPr>
        <w:t xml:space="preserve"> and 73.3514(a)</w:t>
      </w:r>
      <w:r>
        <w:rPr>
          <w:szCs w:val="22"/>
        </w:rPr>
        <w:t xml:space="preserve"> </w:t>
      </w:r>
      <w:r>
        <w:t>of the Commission’s Rules</w:t>
      </w:r>
      <w:r w:rsidR="00FF0F82">
        <w:t>, 47 C.F.R. §§ 73.671 and 73.3514(a)</w:t>
      </w:r>
      <w:r>
        <w:t xml:space="preserve">. </w:t>
      </w:r>
    </w:p>
    <w:p w:rsidR="005731C3" w:rsidRDefault="00630BEA" w:rsidP="005731C3">
      <w:pPr>
        <w:pStyle w:val="ParaNum"/>
      </w:pPr>
      <w:r w:rsidRPr="00405765">
        <w:rPr>
          <w:b/>
        </w:rPr>
        <w:t>IT IS FURTHER ORDERED</w:t>
      </w:r>
      <w:r>
        <w:t xml:space="preserve">, pursuant to Section 1.80 of the Commission’s Rules, that within thirty (30) days of the release date of this </w:t>
      </w:r>
      <w:r>
        <w:rPr>
          <w:i/>
        </w:rPr>
        <w:t>NAL,</w:t>
      </w:r>
      <w:r>
        <w:t xml:space="preserve"> </w:t>
      </w:r>
      <w:r w:rsidR="00C47A00">
        <w:t>WRNN License Company, LLC</w:t>
      </w:r>
      <w:r>
        <w:t xml:space="preserve">, SHALL PAY the </w:t>
      </w:r>
      <w:r>
        <w:lastRenderedPageBreak/>
        <w:t xml:space="preserve">full amount of the proposed forfeiture or </w:t>
      </w:r>
      <w:r w:rsidRPr="00405765">
        <w:rPr>
          <w:b/>
        </w:rPr>
        <w:t>SHALL FILE</w:t>
      </w:r>
      <w:r>
        <w:t xml:space="preserve"> a written statement seeking reduction or cancellation of the proposed forfeiture.</w:t>
      </w:r>
    </w:p>
    <w:p w:rsidR="00FF0F82" w:rsidRPr="005731C3" w:rsidRDefault="00FF0F82" w:rsidP="005731C3">
      <w:pPr>
        <w:pStyle w:val="ParaNum"/>
      </w:pPr>
      <w:r w:rsidRPr="00DD2D25">
        <w:t>Payments of the proposed forfeiture must be made by check or similar instrument, wire transfer, or credit card, and must include the FRN referenced above.  Regardless of the form of payment, a completed FCC Form 159 (Remittance Advice) must be submitted.</w:t>
      </w:r>
      <w:r w:rsidRPr="00DD2D25">
        <w:rPr>
          <w:rStyle w:val="FootnoteReference"/>
        </w:rPr>
        <w:footnoteReference w:id="24"/>
      </w:r>
      <w:r w:rsidRPr="00DD2D25">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DD2D25">
        <w:rPr>
          <w:rStyle w:val="FootnoteReference"/>
        </w:rPr>
        <w:footnoteReference w:id="25"/>
      </w:r>
      <w:r w:rsidRPr="00DD2D25">
        <w:t xml:space="preserve"> </w:t>
      </w:r>
    </w:p>
    <w:p w:rsidR="00FF0F82" w:rsidRPr="00436E1C" w:rsidRDefault="00FF0F82" w:rsidP="005731C3">
      <w:pPr>
        <w:pStyle w:val="ParaNum"/>
        <w:numPr>
          <w:ilvl w:val="0"/>
          <w:numId w:val="4"/>
        </w:numPr>
        <w:rPr>
          <w:spacing w:val="-2"/>
        </w:rPr>
      </w:pPr>
      <w:r w:rsidRPr="00436E1C">
        <w:rPr>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FF0F82" w:rsidRPr="00436E1C" w:rsidRDefault="00FF0F82" w:rsidP="005731C3">
      <w:pPr>
        <w:pStyle w:val="ParaNum"/>
        <w:numPr>
          <w:ilvl w:val="0"/>
          <w:numId w:val="4"/>
        </w:numPr>
        <w:rPr>
          <w:spacing w:val="-2"/>
        </w:rPr>
      </w:pPr>
      <w:r w:rsidRPr="00436E1C">
        <w:rPr>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F0F82" w:rsidRPr="00436E1C" w:rsidRDefault="00FF0F82" w:rsidP="005731C3">
      <w:pPr>
        <w:pStyle w:val="ParaNum"/>
        <w:numPr>
          <w:ilvl w:val="0"/>
          <w:numId w:val="4"/>
        </w:numPr>
        <w:rPr>
          <w:spacing w:val="-2"/>
        </w:rPr>
      </w:pPr>
      <w:r w:rsidRPr="00436E1C">
        <w:rPr>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630BEA" w:rsidRDefault="00630BEA" w:rsidP="005731C3">
      <w:pPr>
        <w:pStyle w:val="ParaNum"/>
      </w:pPr>
      <w:r>
        <w:t>The response, if any, must be mailed to Office of the Secretary, Federal Communications Commission, 445 12</w:t>
      </w:r>
      <w:r>
        <w:rPr>
          <w:vertAlign w:val="superscript"/>
        </w:rPr>
        <w:t>th</w:t>
      </w:r>
      <w:r>
        <w:t xml:space="preserve"> Street, S.W., Washington, D.C. 20554, ATTN:  </w:t>
      </w:r>
      <w:r w:rsidR="00FF0F82">
        <w:t>Evan Morris</w:t>
      </w:r>
      <w:r>
        <w:t>, Video Division, Media Bureau, Room 2-C827 and MUST INCLUDE the NAL/Acct. No. referenced above.</w:t>
      </w:r>
    </w:p>
    <w:p w:rsidR="00630BEA" w:rsidRDefault="00630BEA" w:rsidP="005731C3">
      <w:pPr>
        <w:pStyle w:val="ParaNum"/>
      </w:pPr>
      <w: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rStyle w:val="FootnoteReference"/>
          <w:szCs w:val="22"/>
        </w:rPr>
        <w:footnoteReference w:id="26"/>
      </w:r>
      <w:r>
        <w:t xml:space="preserve"> </w:t>
      </w:r>
    </w:p>
    <w:p w:rsidR="00630BEA" w:rsidRDefault="00630BEA" w:rsidP="005731C3">
      <w:pPr>
        <w:pStyle w:val="ParaNum"/>
      </w:pPr>
      <w:r>
        <w:t xml:space="preserve">Requests for full payment of the forfeiture proposed in this </w:t>
      </w:r>
      <w:r>
        <w:rPr>
          <w:i/>
        </w:rPr>
        <w:t>NAL</w:t>
      </w:r>
      <w:r>
        <w:t xml:space="preserve"> under the installment plan should be sent to: Associate Managing Director- Financial Operations, 445 12th Street, S.W., Room 1-A625, Washington, D.C. 20554.</w:t>
      </w:r>
      <w:r>
        <w:rPr>
          <w:rStyle w:val="FootnoteReference"/>
          <w:szCs w:val="22"/>
        </w:rPr>
        <w:footnoteReference w:id="27"/>
      </w:r>
    </w:p>
    <w:p w:rsidR="00CE6215" w:rsidRDefault="00CE6215">
      <w:pPr>
        <w:widowControl/>
        <w:spacing w:after="200" w:line="276" w:lineRule="auto"/>
        <w:rPr>
          <w:b/>
        </w:rPr>
      </w:pPr>
      <w:r>
        <w:rPr>
          <w:b/>
        </w:rPr>
        <w:br w:type="page"/>
      </w:r>
    </w:p>
    <w:p w:rsidR="00630BEA" w:rsidRPr="00AB6512" w:rsidRDefault="00630BEA" w:rsidP="005731C3">
      <w:pPr>
        <w:pStyle w:val="ParaNum"/>
      </w:pPr>
      <w:r w:rsidRPr="00AB6512">
        <w:rPr>
          <w:b/>
        </w:rPr>
        <w:lastRenderedPageBreak/>
        <w:t>IT IS FURTHER ORDERED</w:t>
      </w:r>
      <w:r w:rsidRPr="00AB6512">
        <w:t xml:space="preserve"> that copies of this </w:t>
      </w:r>
      <w:r w:rsidRPr="00AB6512">
        <w:rPr>
          <w:i/>
        </w:rPr>
        <w:t>NAL</w:t>
      </w:r>
      <w:r w:rsidRPr="00AB6512">
        <w:t xml:space="preserve"> shall be sent, by First Class and Certified Mail, Return Receipt Requested, to </w:t>
      </w:r>
      <w:r w:rsidR="00FF0F82">
        <w:t>WRNN License Company, LLC</w:t>
      </w:r>
      <w:r>
        <w:t>,</w:t>
      </w:r>
      <w:r w:rsidR="00A767BE">
        <w:t xml:space="preserve"> </w:t>
      </w:r>
      <w:r w:rsidR="00FF0F82">
        <w:t>800 Westchester Avenue, S-650, Rye Brook, NY 10573</w:t>
      </w:r>
      <w:r w:rsidR="00A767BE">
        <w:t>,</w:t>
      </w:r>
      <w:r>
        <w:t xml:space="preserve"> </w:t>
      </w:r>
      <w:r w:rsidRPr="00AB6512">
        <w:t xml:space="preserve">and to its counsel, </w:t>
      </w:r>
      <w:r w:rsidR="00FF0F82">
        <w:t>Ari Meltzer</w:t>
      </w:r>
      <w:r w:rsidRPr="00AB6512">
        <w:t xml:space="preserve">, </w:t>
      </w:r>
      <w:r w:rsidR="00FF0F82">
        <w:t>Wiley Rein LLP</w:t>
      </w:r>
      <w:r w:rsidRPr="00AB6512">
        <w:t xml:space="preserve">, </w:t>
      </w:r>
      <w:r w:rsidR="00FF0F82">
        <w:t>1776 K Street, N.W.</w:t>
      </w:r>
      <w:r w:rsidR="00A767BE">
        <w:t>, Washington, DC 2000</w:t>
      </w:r>
      <w:r w:rsidR="00FF0F82">
        <w:t>6</w:t>
      </w:r>
      <w:r w:rsidRPr="00AB6512">
        <w:t xml:space="preserve">.   </w:t>
      </w:r>
    </w:p>
    <w:p w:rsidR="00630BEA" w:rsidRDefault="00630BEA" w:rsidP="005731C3">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30BEA" w:rsidRDefault="00630BEA" w:rsidP="005731C3">
      <w:pPr>
        <w:tabs>
          <w:tab w:val="left" w:pos="0"/>
        </w:tabs>
        <w:jc w:val="both"/>
        <w:rPr>
          <w:szCs w:val="22"/>
        </w:rPr>
      </w:pPr>
    </w:p>
    <w:p w:rsidR="009815AF" w:rsidRDefault="009815AF" w:rsidP="005731C3">
      <w:pPr>
        <w:tabs>
          <w:tab w:val="left" w:pos="0"/>
        </w:tabs>
        <w:jc w:val="both"/>
        <w:rPr>
          <w:szCs w:val="22"/>
        </w:rPr>
      </w:pPr>
    </w:p>
    <w:p w:rsidR="00630BEA" w:rsidRPr="007C3D9A" w:rsidRDefault="00630BEA" w:rsidP="005731C3">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630BEA" w:rsidRDefault="00630BEA" w:rsidP="005731C3">
      <w:pPr>
        <w:tabs>
          <w:tab w:val="left" w:pos="0"/>
        </w:tabs>
        <w:jc w:val="both"/>
        <w:rPr>
          <w:szCs w:val="22"/>
        </w:rPr>
      </w:pPr>
    </w:p>
    <w:p w:rsidR="00630BEA" w:rsidRPr="007C3D9A" w:rsidRDefault="00630BEA" w:rsidP="005731C3">
      <w:pPr>
        <w:tabs>
          <w:tab w:val="left" w:pos="0"/>
        </w:tabs>
        <w:jc w:val="both"/>
        <w:rPr>
          <w:szCs w:val="22"/>
        </w:rPr>
      </w:pPr>
    </w:p>
    <w:p w:rsidR="00630BEA" w:rsidRPr="007C3D9A" w:rsidRDefault="00630BEA" w:rsidP="005731C3">
      <w:pPr>
        <w:tabs>
          <w:tab w:val="left" w:pos="0"/>
        </w:tabs>
        <w:jc w:val="both"/>
        <w:rPr>
          <w:szCs w:val="22"/>
        </w:rPr>
      </w:pPr>
    </w:p>
    <w:p w:rsidR="00630BEA" w:rsidRPr="007C3D9A" w:rsidRDefault="00630BEA" w:rsidP="005731C3">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630BEA" w:rsidRPr="007C3D9A" w:rsidRDefault="00630BEA" w:rsidP="005731C3">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630BEA" w:rsidRDefault="00630BEA" w:rsidP="005731C3">
      <w:pPr>
        <w:tabs>
          <w:tab w:val="left" w:pos="0"/>
        </w:tabs>
        <w:jc w:val="both"/>
        <w:rPr>
          <w:sz w:val="24"/>
          <w:szCs w:val="24"/>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p w:rsidR="00252FBC" w:rsidRDefault="00252FBC" w:rsidP="005731C3"/>
    <w:sectPr w:rsidR="00252F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DF" w:rsidRDefault="007119DF" w:rsidP="00630BEA">
      <w:r>
        <w:separator/>
      </w:r>
    </w:p>
  </w:endnote>
  <w:endnote w:type="continuationSeparator" w:id="0">
    <w:p w:rsidR="007119DF" w:rsidRDefault="007119DF"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921" w:rsidRDefault="00EF60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093">
      <w:rPr>
        <w:rStyle w:val="PageNumber"/>
        <w:noProof/>
      </w:rPr>
      <w:t>5</w:t>
    </w:r>
    <w:r>
      <w:rPr>
        <w:rStyle w:val="PageNumber"/>
      </w:rPr>
      <w:fldChar w:fldCharType="end"/>
    </w:r>
  </w:p>
  <w:p w:rsidR="008A7921" w:rsidRDefault="00EF609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1" w:rsidRDefault="00B46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DF" w:rsidRDefault="007119DF" w:rsidP="00630BEA">
      <w:r>
        <w:separator/>
      </w:r>
    </w:p>
  </w:footnote>
  <w:footnote w:type="continuationSeparator" w:id="0">
    <w:p w:rsidR="007119DF" w:rsidRDefault="007119DF" w:rsidP="00630BEA">
      <w:r>
        <w:continuationSeparator/>
      </w:r>
    </w:p>
  </w:footnote>
  <w:footnote w:id="1">
    <w:p w:rsidR="00630BEA" w:rsidRPr="001255E3" w:rsidRDefault="00630BEA" w:rsidP="00630BEA">
      <w:pPr>
        <w:pStyle w:val="FootnoteText"/>
      </w:pPr>
      <w:r w:rsidRPr="001255E3">
        <w:rPr>
          <w:rStyle w:val="FootnoteReference"/>
        </w:rPr>
        <w:footnoteRef/>
      </w:r>
      <w:r w:rsidRPr="001255E3">
        <w:t xml:space="preserve"> 47 U.S.C. § 503(b); 47 C.F.R. § 1.80.</w:t>
      </w:r>
    </w:p>
  </w:footnote>
  <w:footnote w:id="2">
    <w:p w:rsidR="00B75291" w:rsidRDefault="00B75291">
      <w:pPr>
        <w:pStyle w:val="FootnoteText"/>
      </w:pPr>
      <w:r>
        <w:rPr>
          <w:rStyle w:val="FootnoteReference"/>
        </w:rPr>
        <w:footnoteRef/>
      </w:r>
      <w:r>
        <w:t xml:space="preserve"> 47 C.F.R. § 73.671.</w:t>
      </w:r>
    </w:p>
  </w:footnote>
  <w:footnote w:id="3">
    <w:p w:rsidR="00B75291" w:rsidRDefault="00B75291" w:rsidP="00B75291">
      <w:pPr>
        <w:pStyle w:val="FootnoteText"/>
      </w:pPr>
      <w:r>
        <w:rPr>
          <w:rStyle w:val="FootnoteReference"/>
        </w:rPr>
        <w:footnoteRef/>
      </w:r>
      <w:r>
        <w:t xml:space="preserve"> 47 C.F.R. § 73.3514(a).</w:t>
      </w:r>
    </w:p>
  </w:footnote>
  <w:footnote w:id="4">
    <w:p w:rsidR="00630BEA" w:rsidRPr="001255E3" w:rsidRDefault="00630BEA" w:rsidP="00630BEA">
      <w:pPr>
        <w:pStyle w:val="FootnoteText"/>
      </w:pPr>
      <w:r w:rsidRPr="001255E3">
        <w:rPr>
          <w:rStyle w:val="FootnoteReference"/>
        </w:rPr>
        <w:footnoteRef/>
      </w:r>
      <w:r w:rsidRPr="001255E3">
        <w:t xml:space="preserve"> Pub L. No. 101-437, 104 Stat. 996-1000, codified at 47 U.S.C. §§ 303(a), 303(b), and 394.  </w:t>
      </w:r>
    </w:p>
  </w:footnote>
  <w:footnote w:id="5">
    <w:p w:rsidR="00630BEA" w:rsidRPr="001255E3" w:rsidRDefault="00630BEA" w:rsidP="00630BEA">
      <w:pPr>
        <w:pStyle w:val="FootnoteText"/>
      </w:pPr>
      <w:r w:rsidRPr="001255E3">
        <w:rPr>
          <w:rStyle w:val="FootnoteReference"/>
        </w:rPr>
        <w:footnoteRef/>
      </w:r>
      <w:r w:rsidRPr="001255E3">
        <w:t xml:space="preserve"> Section 73.671 implements the provisions of the CTA by establishing a process for evaluating compliance as part of a broadcaster</w:t>
      </w:r>
      <w:r>
        <w:t>’s license renewal proceeding.  4</w:t>
      </w:r>
      <w:r w:rsidRPr="001255E3">
        <w:t xml:space="preserve">7 C.F.R. § 73.671(d),(e)(1).  Licensees that fail to meet the Commission’s processing guidelines must be referred to the Commission for approval of the CTA portion of their renewal applications.  47 C.F.R. § 73.671(d),(e)(1).  The Commission has established </w:t>
      </w:r>
      <w:r>
        <w:t xml:space="preserve">specific </w:t>
      </w:r>
      <w:r w:rsidRPr="001255E3">
        <w:t xml:space="preserve">criteria for determining whether a program qualifies as Core Programming.  47 C.F.R. § 73.671(c). </w:t>
      </w:r>
    </w:p>
  </w:footnote>
  <w:footnote w:id="6">
    <w:p w:rsidR="00630BEA" w:rsidRPr="001255E3" w:rsidRDefault="00630BEA" w:rsidP="00630BEA">
      <w:pPr>
        <w:pStyle w:val="FootnoteText"/>
      </w:pPr>
      <w:r w:rsidRPr="001255E3">
        <w:rPr>
          <w:rStyle w:val="FootnoteReference"/>
        </w:rPr>
        <w:footnoteRef/>
      </w:r>
      <w:r w:rsidRPr="001255E3">
        <w:t xml:space="preserve"> 47 C.F.R. § 73.671(c)(5); </w:t>
      </w:r>
      <w:r w:rsidRPr="001255E3">
        <w:rPr>
          <w:i/>
        </w:rPr>
        <w:t>Children’s Television Obligations of Digital Television Broadcasters, Report and Order and Further Notice of Proposed Rulemaking</w:t>
      </w:r>
      <w:r w:rsidRPr="001255E3">
        <w:t>, 19 FCC Rcd 22943, 2259-60 (2004) (“</w:t>
      </w:r>
      <w:r w:rsidRPr="001255E3">
        <w:rPr>
          <w:i/>
        </w:rPr>
        <w:t>2004 Report and Order</w:t>
      </w:r>
      <w:r w:rsidRPr="001255E3">
        <w:t>”).</w:t>
      </w:r>
    </w:p>
  </w:footnote>
  <w:footnote w:id="7">
    <w:p w:rsidR="00FF0F82" w:rsidRDefault="00FF0F82" w:rsidP="00FF0F82">
      <w:pPr>
        <w:pStyle w:val="FootnoteText"/>
      </w:pPr>
      <w:r>
        <w:rPr>
          <w:rStyle w:val="FootnoteReference"/>
        </w:rPr>
        <w:footnoteRef/>
      </w:r>
      <w:r>
        <w:t xml:space="preserve"> 47 C.F.R. § 73.3514(a).</w:t>
      </w:r>
    </w:p>
  </w:footnote>
  <w:footnote w:id="8">
    <w:p w:rsidR="00FF0F82" w:rsidRDefault="00FF0F82" w:rsidP="00FF0F82">
      <w:pPr>
        <w:pStyle w:val="FootnoteText"/>
      </w:pPr>
      <w:r>
        <w:rPr>
          <w:rStyle w:val="FootnoteReference"/>
        </w:rPr>
        <w:footnoteRef/>
      </w:r>
      <w:r>
        <w:t xml:space="preserve"> FCC Form 303-S</w:t>
      </w:r>
      <w:r w:rsidR="005731C3">
        <w:t xml:space="preserve"> available at:  </w:t>
      </w:r>
      <w:hyperlink r:id="rId1" w:history="1">
        <w:r w:rsidR="005731C3" w:rsidRPr="006D2405">
          <w:rPr>
            <w:rStyle w:val="Hyperlink"/>
          </w:rPr>
          <w:t>https://transition.fcc.gov/Forms/Form303-S/303s.pdf</w:t>
        </w:r>
      </w:hyperlink>
      <w:r w:rsidR="005731C3">
        <w:t xml:space="preserve">. </w:t>
      </w:r>
    </w:p>
  </w:footnote>
  <w:footnote w:id="9">
    <w:p w:rsidR="00FF0F82" w:rsidRDefault="00FF0F82" w:rsidP="00FF0F82">
      <w:pPr>
        <w:pStyle w:val="FootnoteText"/>
      </w:pPr>
      <w:r>
        <w:rPr>
          <w:rStyle w:val="FootnoteReference"/>
        </w:rPr>
        <w:footnoteRef/>
      </w:r>
      <w:r>
        <w:t xml:space="preserve"> </w:t>
      </w:r>
      <w:r w:rsidRPr="002B1EBA">
        <w:rPr>
          <w:i/>
        </w:rPr>
        <w:t xml:space="preserve">Id. </w:t>
      </w:r>
      <w:r>
        <w:t xml:space="preserve">at Section IV, Question </w:t>
      </w:r>
      <w:r w:rsidR="005731C3">
        <w:t>8</w:t>
      </w:r>
      <w:r>
        <w:t>.</w:t>
      </w:r>
    </w:p>
  </w:footnote>
  <w:footnote w:id="10">
    <w:p w:rsidR="00630BEA" w:rsidRPr="001255E3" w:rsidRDefault="00630BEA" w:rsidP="00630BEA">
      <w:pPr>
        <w:pStyle w:val="FootnoteText"/>
      </w:pPr>
      <w:r w:rsidRPr="001255E3">
        <w:rPr>
          <w:rStyle w:val="FootnoteReference"/>
        </w:rPr>
        <w:footnoteRef/>
      </w:r>
      <w:r w:rsidRPr="001255E3">
        <w:t xml:space="preserve"> File No. </w:t>
      </w:r>
      <w:r w:rsidR="00085315">
        <w:t>BRCDT-</w:t>
      </w:r>
      <w:r w:rsidR="00B75291">
        <w:t>20150202ADL</w:t>
      </w:r>
      <w:r w:rsidR="00085315">
        <w:t xml:space="preserve"> </w:t>
      </w:r>
      <w:r w:rsidRPr="00085315">
        <w:t>(</w:t>
      </w:r>
      <w:r w:rsidRPr="00085315">
        <w:rPr>
          <w:i/>
        </w:rPr>
        <w:t>“</w:t>
      </w:r>
      <w:r w:rsidR="00B75291">
        <w:t>WRNN-TV</w:t>
      </w:r>
      <w:r w:rsidRPr="001255E3">
        <w:t xml:space="preserve"> Renewal”).</w:t>
      </w:r>
      <w:r w:rsidR="00C044C5">
        <w:t xml:space="preserve">  In Attachment 20 of the license renewal application the licensee reports several violations of the Commission’s public file rules.  We find that these violations are </w:t>
      </w:r>
      <w:r w:rsidR="00C044C5" w:rsidRPr="00C044C5">
        <w:rPr>
          <w:i/>
        </w:rPr>
        <w:t>de minimis</w:t>
      </w:r>
      <w:r w:rsidR="00C044C5">
        <w:t xml:space="preserve"> and do not warrant any increase in the proposed forfeiture from what is proposed herein or independent sanction.</w:t>
      </w:r>
      <w:r w:rsidR="005731C3">
        <w:t xml:space="preserve">  </w:t>
      </w:r>
      <w:r w:rsidR="005731C3" w:rsidRPr="005731C3">
        <w:rPr>
          <w:i/>
        </w:rPr>
        <w:t xml:space="preserve">Id. </w:t>
      </w:r>
      <w:r w:rsidR="005731C3">
        <w:t>at Attachment 20.</w:t>
      </w:r>
    </w:p>
  </w:footnote>
  <w:footnote w:id="11">
    <w:p w:rsidR="00A668B1" w:rsidRDefault="00A668B1">
      <w:pPr>
        <w:pStyle w:val="FootnoteText"/>
      </w:pPr>
      <w:r>
        <w:rPr>
          <w:rStyle w:val="FootnoteReference"/>
        </w:rPr>
        <w:footnoteRef/>
      </w:r>
      <w:r>
        <w:t xml:space="preserve"> </w:t>
      </w:r>
      <w:r w:rsidRPr="00A668B1">
        <w:rPr>
          <w:i/>
        </w:rPr>
        <w:t>See e.g.,</w:t>
      </w:r>
      <w:r>
        <w:t xml:space="preserve"> Children’s Television Programming Report (FCC Form 398) for Station WRNN-TV (filed January 9, 2013) available at:  </w:t>
      </w:r>
      <w:hyperlink r:id="rId2" w:history="1">
        <w:r w:rsidRPr="00CC07DF">
          <w:rPr>
            <w:rStyle w:val="Hyperlink"/>
          </w:rPr>
          <w:t>http://data.fcc.gov/mediabureau/v01/tv/application/KidVid_137846.html</w:t>
        </w:r>
      </w:hyperlink>
      <w:r>
        <w:t xml:space="preserve">.  The shows listed as not having had the E/I symbol displayed properly included:  </w:t>
      </w:r>
      <w:r w:rsidRPr="00A668B1">
        <w:rPr>
          <w:i/>
        </w:rPr>
        <w:t>Super Rookie Ranger</w:t>
      </w:r>
      <w:r>
        <w:t xml:space="preserve">, </w:t>
      </w:r>
      <w:r w:rsidRPr="00A668B1">
        <w:rPr>
          <w:i/>
        </w:rPr>
        <w:t>Live Music Concert Nanjang</w:t>
      </w:r>
      <w:r>
        <w:t xml:space="preserve">, </w:t>
      </w:r>
      <w:r w:rsidRPr="00A668B1">
        <w:rPr>
          <w:i/>
        </w:rPr>
        <w:t>Begin Japanology</w:t>
      </w:r>
      <w:r>
        <w:t xml:space="preserve">, </w:t>
      </w:r>
      <w:r w:rsidRPr="00A668B1">
        <w:rPr>
          <w:i/>
        </w:rPr>
        <w:t>Science View</w:t>
      </w:r>
      <w:r>
        <w:t xml:space="preserve"> and </w:t>
      </w:r>
      <w:r w:rsidRPr="00A668B1">
        <w:rPr>
          <w:i/>
        </w:rPr>
        <w:t>Somewhere Street</w:t>
      </w:r>
      <w:r>
        <w:t>.</w:t>
      </w:r>
    </w:p>
  </w:footnote>
  <w:footnote w:id="12">
    <w:p w:rsidR="00B75291" w:rsidRDefault="00B75291">
      <w:pPr>
        <w:pStyle w:val="FootnoteText"/>
      </w:pPr>
      <w:r>
        <w:rPr>
          <w:rStyle w:val="FootnoteReference"/>
        </w:rPr>
        <w:footnoteRef/>
      </w:r>
      <w:r>
        <w:t xml:space="preserve"> WRNN-TV Renewal at </w:t>
      </w:r>
      <w:r w:rsidR="005731C3">
        <w:t>Attachment 25</w:t>
      </w:r>
      <w:r>
        <w:t>.</w:t>
      </w:r>
    </w:p>
  </w:footnote>
  <w:footnote w:id="13">
    <w:p w:rsidR="00FF7306" w:rsidRDefault="00FF7306">
      <w:pPr>
        <w:pStyle w:val="FootnoteText"/>
      </w:pPr>
      <w:r>
        <w:rPr>
          <w:rStyle w:val="FootnoteReference"/>
        </w:rPr>
        <w:footnoteRef/>
      </w:r>
      <w:r>
        <w:t xml:space="preserve"> 47 C.F.R. § 73.671(c)(5).</w:t>
      </w:r>
    </w:p>
  </w:footnote>
  <w:footnote w:id="14">
    <w:p w:rsidR="00FF7306" w:rsidRDefault="00FF7306">
      <w:pPr>
        <w:pStyle w:val="FootnoteText"/>
      </w:pPr>
      <w:r>
        <w:rPr>
          <w:rStyle w:val="FootnoteReference"/>
        </w:rPr>
        <w:footnoteRef/>
      </w:r>
      <w:r>
        <w:t xml:space="preserve"> 47 C.F.R. § 73.3514(a).</w:t>
      </w:r>
    </w:p>
  </w:footnote>
  <w:footnote w:id="15">
    <w:p w:rsidR="00630BEA" w:rsidRPr="001255E3" w:rsidRDefault="00630BEA" w:rsidP="00630BEA">
      <w:pPr>
        <w:pStyle w:val="FootnoteText"/>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16">
    <w:p w:rsidR="00630BEA" w:rsidRPr="001255E3" w:rsidRDefault="00630BEA" w:rsidP="00630BEA">
      <w:pPr>
        <w:pStyle w:val="FootnoteText"/>
      </w:pPr>
      <w:r w:rsidRPr="001255E3">
        <w:rPr>
          <w:rStyle w:val="FootnoteReference"/>
        </w:rPr>
        <w:footnoteRef/>
      </w:r>
      <w:r w:rsidRPr="001255E3">
        <w:t xml:space="preserve"> 47 U.S.C. § 312(f)(1).  </w:t>
      </w:r>
    </w:p>
  </w:footnote>
  <w:footnote w:id="17">
    <w:p w:rsidR="00630BEA" w:rsidRPr="001255E3" w:rsidRDefault="00630BEA" w:rsidP="00630BEA">
      <w:pPr>
        <w:pStyle w:val="FootnoteText"/>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18">
    <w:p w:rsidR="00630BEA" w:rsidRPr="001255E3" w:rsidRDefault="00630BEA" w:rsidP="00630BEA">
      <w:pPr>
        <w:pStyle w:val="FootnoteText"/>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19">
    <w:p w:rsidR="00630BEA" w:rsidRPr="001255E3" w:rsidRDefault="00630BEA" w:rsidP="00630BEA">
      <w:pPr>
        <w:pStyle w:val="FootnoteText"/>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20">
    <w:p w:rsidR="00630BEA" w:rsidRPr="001255E3" w:rsidRDefault="00630BEA" w:rsidP="00630BEA">
      <w:pPr>
        <w:pStyle w:val="FootnoteText"/>
      </w:pPr>
      <w:r w:rsidRPr="001255E3">
        <w:rPr>
          <w:rStyle w:val="FootnoteReference"/>
        </w:rPr>
        <w:footnoteRef/>
      </w:r>
      <w:r w:rsidRPr="001255E3">
        <w:t xml:space="preserve"> </w:t>
      </w:r>
      <w:r w:rsidRPr="001255E3">
        <w:rPr>
          <w:i/>
        </w:rPr>
        <w:t>See Forfeiture Policy Statement and Amendment of Section 1.80(b) of the Rules to Incorporate the Forfeiture Guidelines</w:t>
      </w:r>
      <w:r w:rsidRPr="001255E3">
        <w:t xml:space="preserve">, Report and Order, 12 FCC Rcd 17087, 17113-15 (1997) </w:t>
      </w:r>
      <w:r w:rsidRPr="001255E3">
        <w:rPr>
          <w:i/>
        </w:rPr>
        <w:t>(“Forfeiture Policy Statement”),</w:t>
      </w:r>
      <w:r w:rsidRPr="001255E3">
        <w:t xml:space="preserve"> </w:t>
      </w:r>
      <w:r w:rsidRPr="001255E3">
        <w:rPr>
          <w:i/>
        </w:rPr>
        <w:t>recon. denied</w:t>
      </w:r>
      <w:r w:rsidRPr="001255E3">
        <w:t>, 15 FCC Rcd. 303 (1999); 47 C.F.R. § 1.80(b), note to paragraph (b)(8), Section I.</w:t>
      </w:r>
    </w:p>
  </w:footnote>
  <w:footnote w:id="21">
    <w:p w:rsidR="00630BEA" w:rsidRPr="001255E3" w:rsidRDefault="00630BEA" w:rsidP="00630BEA">
      <w:pPr>
        <w:pStyle w:val="FootnoteText"/>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22">
    <w:p w:rsidR="00A535EF" w:rsidRDefault="00A535EF">
      <w:pPr>
        <w:pStyle w:val="FootnoteText"/>
      </w:pPr>
      <w:r>
        <w:rPr>
          <w:rStyle w:val="FootnoteReference"/>
        </w:rPr>
        <w:footnoteRef/>
      </w:r>
      <w:r>
        <w:t xml:space="preserve"> 47 C.F.R. §§ 73.671 and </w:t>
      </w:r>
      <w:r w:rsidRPr="005177FD">
        <w:t>73.3514(a)</w:t>
      </w:r>
      <w:r>
        <w:t>.</w:t>
      </w:r>
    </w:p>
  </w:footnote>
  <w:footnote w:id="23">
    <w:p w:rsidR="00FF0F82" w:rsidRPr="00C6545E" w:rsidRDefault="00FF0F82" w:rsidP="00FF0F82">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4">
    <w:p w:rsidR="00FF0F82" w:rsidRDefault="00FF0F82" w:rsidP="00FF0F82">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3" w:history="1">
        <w:r w:rsidRPr="00FF0843">
          <w:rPr>
            <w:rStyle w:val="Hyperlink"/>
            <w:rFonts w:eastAsia="MS Mincho" w:cs="Arial"/>
          </w:rPr>
          <w:t>http://www.fcc.gov/Forms/Form159/159.pdf</w:t>
        </w:r>
      </w:hyperlink>
      <w:r w:rsidRPr="00436E1C">
        <w:rPr>
          <w:rFonts w:eastAsia="MS Mincho" w:cs="Arial"/>
        </w:rPr>
        <w:t>.</w:t>
      </w:r>
    </w:p>
  </w:footnote>
  <w:footnote w:id="25">
    <w:p w:rsidR="00FF0F82" w:rsidRDefault="00FF0F82" w:rsidP="00FF0F82">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6">
    <w:p w:rsidR="00630BEA" w:rsidRPr="001255E3" w:rsidRDefault="00630BEA" w:rsidP="00630BEA">
      <w:pPr>
        <w:pStyle w:val="FootnoteText"/>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27">
    <w:p w:rsidR="00630BEA" w:rsidRPr="001255E3" w:rsidRDefault="00630BEA" w:rsidP="00630BEA">
      <w:pPr>
        <w:pStyle w:val="FootnoteText"/>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1" w:rsidRDefault="00B46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Header"/>
      <w:rPr>
        <w:b w:val="0"/>
      </w:rPr>
    </w:pPr>
    <w:r>
      <w:tab/>
      <w:t>Federal</w:t>
    </w:r>
    <w:r w:rsidR="00A535EF">
      <w:rPr>
        <w:b w:val="0"/>
      </w:rPr>
      <w:t xml:space="preserve"> Communications Commission</w:t>
    </w:r>
    <w:r w:rsidR="00A535EF">
      <w:rPr>
        <w:b w:val="0"/>
      </w:rPr>
      <w:tab/>
    </w:r>
    <w:r w:rsidR="00A535EF" w:rsidRPr="00714CB1">
      <w:t>DA 16</w:t>
    </w:r>
    <w:r w:rsidRPr="00714CB1">
      <w:t>-</w:t>
    </w:r>
    <w:r w:rsidR="00714CB1" w:rsidRPr="00714CB1">
      <w:t>67</w:t>
    </w:r>
  </w:p>
  <w:p w:rsidR="008A7921" w:rsidRDefault="00630BEA">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182D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8A7921" w:rsidRDefault="00EF6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Header"/>
      <w:jc w:val="right"/>
      <w:rPr>
        <w:b w:val="0"/>
      </w:rPr>
    </w:pPr>
    <w:r>
      <w:t>Federal Communications Commissio</w:t>
    </w:r>
    <w:r w:rsidR="00A535EF">
      <w:rPr>
        <w:b w:val="0"/>
      </w:rPr>
      <w:t>n</w:t>
    </w:r>
    <w:r w:rsidR="00A535EF">
      <w:rPr>
        <w:b w:val="0"/>
      </w:rPr>
      <w:tab/>
      <w:t xml:space="preserve">                         </w:t>
    </w:r>
    <w:r w:rsidR="00A535EF" w:rsidRPr="00714CB1">
      <w:t>DA 16</w:t>
    </w:r>
    <w:r w:rsidRPr="00714CB1">
      <w:t>-</w:t>
    </w:r>
    <w:r w:rsidR="00714CB1" w:rsidRPr="00714CB1">
      <w:t>67</w:t>
    </w:r>
  </w:p>
  <w:p w:rsidR="008A7921" w:rsidRDefault="00630BEA">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71F3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1B3D"/>
    <w:multiLevelType w:val="singleLevel"/>
    <w:tmpl w:val="A848807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8"/>
  </w:num>
  <w:num w:numId="4">
    <w:abstractNumId w:val="4"/>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EA"/>
    <w:rsid w:val="00024576"/>
    <w:rsid w:val="00060952"/>
    <w:rsid w:val="00062972"/>
    <w:rsid w:val="00072A77"/>
    <w:rsid w:val="00085315"/>
    <w:rsid w:val="001B5AB9"/>
    <w:rsid w:val="001C2D90"/>
    <w:rsid w:val="002447F9"/>
    <w:rsid w:val="00252FBC"/>
    <w:rsid w:val="00313C00"/>
    <w:rsid w:val="003D7DF1"/>
    <w:rsid w:val="004755F0"/>
    <w:rsid w:val="004E150C"/>
    <w:rsid w:val="0051173D"/>
    <w:rsid w:val="00517689"/>
    <w:rsid w:val="00517825"/>
    <w:rsid w:val="0052065C"/>
    <w:rsid w:val="005731C3"/>
    <w:rsid w:val="00620BD9"/>
    <w:rsid w:val="00630BEA"/>
    <w:rsid w:val="006614D2"/>
    <w:rsid w:val="00665F35"/>
    <w:rsid w:val="00675450"/>
    <w:rsid w:val="0069055A"/>
    <w:rsid w:val="006E1C24"/>
    <w:rsid w:val="007119DF"/>
    <w:rsid w:val="00714CB1"/>
    <w:rsid w:val="00754C19"/>
    <w:rsid w:val="007625BC"/>
    <w:rsid w:val="00783E3E"/>
    <w:rsid w:val="007A3A31"/>
    <w:rsid w:val="007A4794"/>
    <w:rsid w:val="007B651E"/>
    <w:rsid w:val="007F7BF9"/>
    <w:rsid w:val="00834947"/>
    <w:rsid w:val="008707B0"/>
    <w:rsid w:val="00916706"/>
    <w:rsid w:val="00976B46"/>
    <w:rsid w:val="00980228"/>
    <w:rsid w:val="009815AF"/>
    <w:rsid w:val="009A2D8F"/>
    <w:rsid w:val="009F5568"/>
    <w:rsid w:val="009F6D0E"/>
    <w:rsid w:val="00A35086"/>
    <w:rsid w:val="00A535EF"/>
    <w:rsid w:val="00A668B1"/>
    <w:rsid w:val="00A767BE"/>
    <w:rsid w:val="00A8024F"/>
    <w:rsid w:val="00AE129D"/>
    <w:rsid w:val="00B460B1"/>
    <w:rsid w:val="00B525CF"/>
    <w:rsid w:val="00B75291"/>
    <w:rsid w:val="00BC40F7"/>
    <w:rsid w:val="00BC63A8"/>
    <w:rsid w:val="00C044C5"/>
    <w:rsid w:val="00C47A00"/>
    <w:rsid w:val="00C74E4B"/>
    <w:rsid w:val="00C82FBF"/>
    <w:rsid w:val="00CD616F"/>
    <w:rsid w:val="00CE6215"/>
    <w:rsid w:val="00CF6019"/>
    <w:rsid w:val="00D36712"/>
    <w:rsid w:val="00D83478"/>
    <w:rsid w:val="00DA534E"/>
    <w:rsid w:val="00E05BD0"/>
    <w:rsid w:val="00E2181F"/>
    <w:rsid w:val="00E74878"/>
    <w:rsid w:val="00ED4E6C"/>
    <w:rsid w:val="00EF6093"/>
    <w:rsid w:val="00FC6E00"/>
    <w:rsid w:val="00FF0F82"/>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9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F6093"/>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F6093"/>
    <w:pPr>
      <w:keepNext/>
      <w:numPr>
        <w:ilvl w:val="1"/>
        <w:numId w:val="6"/>
      </w:numPr>
      <w:spacing w:after="120"/>
      <w:outlineLvl w:val="1"/>
    </w:pPr>
    <w:rPr>
      <w:b/>
    </w:rPr>
  </w:style>
  <w:style w:type="paragraph" w:styleId="Heading3">
    <w:name w:val="heading 3"/>
    <w:basedOn w:val="Normal"/>
    <w:next w:val="ParaNum"/>
    <w:link w:val="Heading3Char"/>
    <w:qFormat/>
    <w:rsid w:val="00EF6093"/>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F6093"/>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F6093"/>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F6093"/>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F6093"/>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F6093"/>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F6093"/>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093"/>
  </w:style>
  <w:style w:type="character" w:customStyle="1" w:styleId="Heading1Char">
    <w:name w:val="Heading 1 Char"/>
    <w:basedOn w:val="DefaultParagraphFont"/>
    <w:link w:val="Heading1"/>
    <w:rsid w:val="00630BE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F6093"/>
    <w:pPr>
      <w:numPr>
        <w:numId w:val="3"/>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ft"/>
    <w:link w:val="FootnoteTextChar3"/>
    <w:rsid w:val="00EF60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EF6093"/>
    <w:rPr>
      <w:rFonts w:ascii="Times New Roman" w:hAnsi="Times New Roman"/>
      <w:dstrike w:val="0"/>
      <w:color w:val="auto"/>
      <w:sz w:val="20"/>
      <w:vertAlign w:val="superscript"/>
    </w:rPr>
  </w:style>
  <w:style w:type="paragraph" w:styleId="Header">
    <w:name w:val="header"/>
    <w:basedOn w:val="Normal"/>
    <w:link w:val="HeaderChar"/>
    <w:autoRedefine/>
    <w:rsid w:val="00EF6093"/>
    <w:pPr>
      <w:tabs>
        <w:tab w:val="center" w:pos="4680"/>
        <w:tab w:val="right" w:pos="9360"/>
      </w:tabs>
    </w:pPr>
    <w:rPr>
      <w:b/>
    </w:rPr>
  </w:style>
  <w:style w:type="character" w:customStyle="1" w:styleId="HeaderChar">
    <w:name w:val="Header Char"/>
    <w:basedOn w:val="DefaultParagraphFont"/>
    <w:link w:val="Header"/>
    <w:rsid w:val="00630BEA"/>
    <w:rPr>
      <w:rFonts w:ascii="Times New Roman" w:eastAsia="Times New Roman" w:hAnsi="Times New Roman" w:cs="Times New Roman"/>
      <w:b/>
      <w:snapToGrid w:val="0"/>
      <w:kern w:val="28"/>
      <w:szCs w:val="20"/>
    </w:rPr>
  </w:style>
  <w:style w:type="paragraph" w:styleId="Footer">
    <w:name w:val="footer"/>
    <w:basedOn w:val="Normal"/>
    <w:link w:val="FooterChar"/>
    <w:rsid w:val="00EF6093"/>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napToGrid w:val="0"/>
      <w:kern w:val="28"/>
      <w:szCs w:val="20"/>
    </w:rPr>
  </w:style>
  <w:style w:type="character" w:styleId="PageNumber">
    <w:name w:val="page number"/>
    <w:basedOn w:val="DefaultParagraphFont"/>
    <w:rsid w:val="00EF6093"/>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 w:type="character" w:styleId="Hyperlink">
    <w:name w:val="Hyperlink"/>
    <w:rsid w:val="00EF6093"/>
    <w:rPr>
      <w:color w:val="0000FF"/>
      <w:u w:val="single"/>
    </w:rPr>
  </w:style>
  <w:style w:type="paragraph" w:styleId="EndnoteText">
    <w:name w:val="endnote text"/>
    <w:basedOn w:val="Normal"/>
    <w:link w:val="EndnoteTextChar"/>
    <w:semiHidden/>
    <w:rsid w:val="00EF6093"/>
    <w:rPr>
      <w:sz w:val="20"/>
    </w:rPr>
  </w:style>
  <w:style w:type="character" w:customStyle="1" w:styleId="EndnoteTextChar">
    <w:name w:val="Endnote Text Char"/>
    <w:basedOn w:val="DefaultParagraphFont"/>
    <w:link w:val="EndnoteText"/>
    <w:semiHidden/>
    <w:rsid w:val="005731C3"/>
    <w:rPr>
      <w:rFonts w:ascii="Times New Roman" w:eastAsia="Times New Roman" w:hAnsi="Times New Roman" w:cs="Times New Roman"/>
      <w:snapToGrid w:val="0"/>
      <w:kern w:val="28"/>
      <w:sz w:val="20"/>
      <w:szCs w:val="20"/>
    </w:rPr>
  </w:style>
  <w:style w:type="character" w:styleId="EndnoteReference">
    <w:name w:val="endnote reference"/>
    <w:semiHidden/>
    <w:rsid w:val="00EF6093"/>
    <w:rPr>
      <w:vertAlign w:val="superscript"/>
    </w:rPr>
  </w:style>
  <w:style w:type="paragraph" w:styleId="TOC1">
    <w:name w:val="toc 1"/>
    <w:basedOn w:val="Normal"/>
    <w:next w:val="Normal"/>
    <w:semiHidden/>
    <w:rsid w:val="00EF60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6093"/>
    <w:pPr>
      <w:tabs>
        <w:tab w:val="left" w:pos="720"/>
        <w:tab w:val="right" w:leader="dot" w:pos="9360"/>
      </w:tabs>
      <w:suppressAutoHyphens/>
      <w:ind w:left="720" w:right="720" w:hanging="360"/>
    </w:pPr>
    <w:rPr>
      <w:noProof/>
    </w:rPr>
  </w:style>
  <w:style w:type="paragraph" w:styleId="TOC3">
    <w:name w:val="toc 3"/>
    <w:basedOn w:val="Normal"/>
    <w:next w:val="Normal"/>
    <w:semiHidden/>
    <w:rsid w:val="00EF60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0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0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0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0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0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0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6093"/>
    <w:pPr>
      <w:tabs>
        <w:tab w:val="right" w:pos="9360"/>
      </w:tabs>
      <w:suppressAutoHyphens/>
    </w:pPr>
  </w:style>
  <w:style w:type="character" w:customStyle="1" w:styleId="EquationCaption">
    <w:name w:val="_Equation Caption"/>
    <w:rsid w:val="00EF6093"/>
  </w:style>
  <w:style w:type="paragraph" w:styleId="BlockText">
    <w:name w:val="Block Text"/>
    <w:basedOn w:val="Normal"/>
    <w:rsid w:val="00EF6093"/>
    <w:pPr>
      <w:spacing w:after="240"/>
      <w:ind w:left="1440" w:right="1440"/>
    </w:pPr>
  </w:style>
  <w:style w:type="paragraph" w:customStyle="1" w:styleId="Paratitle">
    <w:name w:val="Para title"/>
    <w:basedOn w:val="Normal"/>
    <w:rsid w:val="00EF6093"/>
    <w:pPr>
      <w:tabs>
        <w:tab w:val="center" w:pos="9270"/>
      </w:tabs>
      <w:spacing w:after="240"/>
    </w:pPr>
    <w:rPr>
      <w:spacing w:val="-2"/>
    </w:rPr>
  </w:style>
  <w:style w:type="paragraph" w:customStyle="1" w:styleId="Bullet">
    <w:name w:val="Bullet"/>
    <w:basedOn w:val="Normal"/>
    <w:rsid w:val="00EF6093"/>
    <w:pPr>
      <w:tabs>
        <w:tab w:val="left" w:pos="2160"/>
      </w:tabs>
      <w:spacing w:after="220"/>
      <w:ind w:left="2160" w:hanging="720"/>
    </w:pPr>
  </w:style>
  <w:style w:type="paragraph" w:customStyle="1" w:styleId="TableFormat">
    <w:name w:val="TableFormat"/>
    <w:basedOn w:val="Bullet"/>
    <w:rsid w:val="00EF6093"/>
    <w:pPr>
      <w:tabs>
        <w:tab w:val="clear" w:pos="2160"/>
        <w:tab w:val="left" w:pos="5040"/>
      </w:tabs>
      <w:ind w:left="5040" w:hanging="3600"/>
    </w:pPr>
  </w:style>
  <w:style w:type="paragraph" w:customStyle="1" w:styleId="TOCTitle">
    <w:name w:val="TOC Title"/>
    <w:basedOn w:val="Normal"/>
    <w:rsid w:val="00EF60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6093"/>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9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F6093"/>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F6093"/>
    <w:pPr>
      <w:keepNext/>
      <w:numPr>
        <w:ilvl w:val="1"/>
        <w:numId w:val="6"/>
      </w:numPr>
      <w:spacing w:after="120"/>
      <w:outlineLvl w:val="1"/>
    </w:pPr>
    <w:rPr>
      <w:b/>
    </w:rPr>
  </w:style>
  <w:style w:type="paragraph" w:styleId="Heading3">
    <w:name w:val="heading 3"/>
    <w:basedOn w:val="Normal"/>
    <w:next w:val="ParaNum"/>
    <w:link w:val="Heading3Char"/>
    <w:qFormat/>
    <w:rsid w:val="00EF6093"/>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F6093"/>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F6093"/>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F6093"/>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F6093"/>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F6093"/>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F6093"/>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093"/>
  </w:style>
  <w:style w:type="character" w:customStyle="1" w:styleId="Heading1Char">
    <w:name w:val="Heading 1 Char"/>
    <w:basedOn w:val="DefaultParagraphFont"/>
    <w:link w:val="Heading1"/>
    <w:rsid w:val="00630BE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EF6093"/>
    <w:pPr>
      <w:numPr>
        <w:numId w:val="3"/>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ft"/>
    <w:link w:val="FootnoteTextChar3"/>
    <w:rsid w:val="00EF60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EF6093"/>
    <w:rPr>
      <w:rFonts w:ascii="Times New Roman" w:hAnsi="Times New Roman"/>
      <w:dstrike w:val="0"/>
      <w:color w:val="auto"/>
      <w:sz w:val="20"/>
      <w:vertAlign w:val="superscript"/>
    </w:rPr>
  </w:style>
  <w:style w:type="paragraph" w:styleId="Header">
    <w:name w:val="header"/>
    <w:basedOn w:val="Normal"/>
    <w:link w:val="HeaderChar"/>
    <w:autoRedefine/>
    <w:rsid w:val="00EF6093"/>
    <w:pPr>
      <w:tabs>
        <w:tab w:val="center" w:pos="4680"/>
        <w:tab w:val="right" w:pos="9360"/>
      </w:tabs>
    </w:pPr>
    <w:rPr>
      <w:b/>
    </w:rPr>
  </w:style>
  <w:style w:type="character" w:customStyle="1" w:styleId="HeaderChar">
    <w:name w:val="Header Char"/>
    <w:basedOn w:val="DefaultParagraphFont"/>
    <w:link w:val="Header"/>
    <w:rsid w:val="00630BEA"/>
    <w:rPr>
      <w:rFonts w:ascii="Times New Roman" w:eastAsia="Times New Roman" w:hAnsi="Times New Roman" w:cs="Times New Roman"/>
      <w:b/>
      <w:snapToGrid w:val="0"/>
      <w:kern w:val="28"/>
      <w:szCs w:val="20"/>
    </w:rPr>
  </w:style>
  <w:style w:type="paragraph" w:styleId="Footer">
    <w:name w:val="footer"/>
    <w:basedOn w:val="Normal"/>
    <w:link w:val="FooterChar"/>
    <w:rsid w:val="00EF6093"/>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napToGrid w:val="0"/>
      <w:kern w:val="28"/>
      <w:szCs w:val="20"/>
    </w:rPr>
  </w:style>
  <w:style w:type="character" w:styleId="PageNumber">
    <w:name w:val="page number"/>
    <w:basedOn w:val="DefaultParagraphFont"/>
    <w:rsid w:val="00EF6093"/>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 w:type="character" w:styleId="Hyperlink">
    <w:name w:val="Hyperlink"/>
    <w:rsid w:val="00EF6093"/>
    <w:rPr>
      <w:color w:val="0000FF"/>
      <w:u w:val="single"/>
    </w:rPr>
  </w:style>
  <w:style w:type="paragraph" w:styleId="EndnoteText">
    <w:name w:val="endnote text"/>
    <w:basedOn w:val="Normal"/>
    <w:link w:val="EndnoteTextChar"/>
    <w:semiHidden/>
    <w:rsid w:val="00EF6093"/>
    <w:rPr>
      <w:sz w:val="20"/>
    </w:rPr>
  </w:style>
  <w:style w:type="character" w:customStyle="1" w:styleId="EndnoteTextChar">
    <w:name w:val="Endnote Text Char"/>
    <w:basedOn w:val="DefaultParagraphFont"/>
    <w:link w:val="EndnoteText"/>
    <w:semiHidden/>
    <w:rsid w:val="005731C3"/>
    <w:rPr>
      <w:rFonts w:ascii="Times New Roman" w:eastAsia="Times New Roman" w:hAnsi="Times New Roman" w:cs="Times New Roman"/>
      <w:snapToGrid w:val="0"/>
      <w:kern w:val="28"/>
      <w:sz w:val="20"/>
      <w:szCs w:val="20"/>
    </w:rPr>
  </w:style>
  <w:style w:type="character" w:styleId="EndnoteReference">
    <w:name w:val="endnote reference"/>
    <w:semiHidden/>
    <w:rsid w:val="00EF6093"/>
    <w:rPr>
      <w:vertAlign w:val="superscript"/>
    </w:rPr>
  </w:style>
  <w:style w:type="paragraph" w:styleId="TOC1">
    <w:name w:val="toc 1"/>
    <w:basedOn w:val="Normal"/>
    <w:next w:val="Normal"/>
    <w:semiHidden/>
    <w:rsid w:val="00EF60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6093"/>
    <w:pPr>
      <w:tabs>
        <w:tab w:val="left" w:pos="720"/>
        <w:tab w:val="right" w:leader="dot" w:pos="9360"/>
      </w:tabs>
      <w:suppressAutoHyphens/>
      <w:ind w:left="720" w:right="720" w:hanging="360"/>
    </w:pPr>
    <w:rPr>
      <w:noProof/>
    </w:rPr>
  </w:style>
  <w:style w:type="paragraph" w:styleId="TOC3">
    <w:name w:val="toc 3"/>
    <w:basedOn w:val="Normal"/>
    <w:next w:val="Normal"/>
    <w:semiHidden/>
    <w:rsid w:val="00EF60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0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0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0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0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0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0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6093"/>
    <w:pPr>
      <w:tabs>
        <w:tab w:val="right" w:pos="9360"/>
      </w:tabs>
      <w:suppressAutoHyphens/>
    </w:pPr>
  </w:style>
  <w:style w:type="character" w:customStyle="1" w:styleId="EquationCaption">
    <w:name w:val="_Equation Caption"/>
    <w:rsid w:val="00EF6093"/>
  </w:style>
  <w:style w:type="paragraph" w:styleId="BlockText">
    <w:name w:val="Block Text"/>
    <w:basedOn w:val="Normal"/>
    <w:rsid w:val="00EF6093"/>
    <w:pPr>
      <w:spacing w:after="240"/>
      <w:ind w:left="1440" w:right="1440"/>
    </w:pPr>
  </w:style>
  <w:style w:type="paragraph" w:customStyle="1" w:styleId="Paratitle">
    <w:name w:val="Para title"/>
    <w:basedOn w:val="Normal"/>
    <w:rsid w:val="00EF6093"/>
    <w:pPr>
      <w:tabs>
        <w:tab w:val="center" w:pos="9270"/>
      </w:tabs>
      <w:spacing w:after="240"/>
    </w:pPr>
    <w:rPr>
      <w:spacing w:val="-2"/>
    </w:rPr>
  </w:style>
  <w:style w:type="paragraph" w:customStyle="1" w:styleId="Bullet">
    <w:name w:val="Bullet"/>
    <w:basedOn w:val="Normal"/>
    <w:rsid w:val="00EF6093"/>
    <w:pPr>
      <w:tabs>
        <w:tab w:val="left" w:pos="2160"/>
      </w:tabs>
      <w:spacing w:after="220"/>
      <w:ind w:left="2160" w:hanging="720"/>
    </w:pPr>
  </w:style>
  <w:style w:type="paragraph" w:customStyle="1" w:styleId="TableFormat">
    <w:name w:val="TableFormat"/>
    <w:basedOn w:val="Bullet"/>
    <w:rsid w:val="00EF6093"/>
    <w:pPr>
      <w:tabs>
        <w:tab w:val="clear" w:pos="2160"/>
        <w:tab w:val="left" w:pos="5040"/>
      </w:tabs>
      <w:ind w:left="5040" w:hanging="3600"/>
    </w:pPr>
  </w:style>
  <w:style w:type="paragraph" w:customStyle="1" w:styleId="TOCTitle">
    <w:name w:val="TOC Title"/>
    <w:basedOn w:val="Normal"/>
    <w:rsid w:val="00EF60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6093"/>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Forms/Form159/159.pdf" TargetMode="External"/><Relationship Id="rId2" Type="http://schemas.openxmlformats.org/officeDocument/2006/relationships/hyperlink" Target="http://data.fcc.gov/mediabureau/v01/tv/application/KidVid_137846.html" TargetMode="External"/><Relationship Id="rId1" Type="http://schemas.openxmlformats.org/officeDocument/2006/relationships/hyperlink" Target="https://transition.fcc.gov/Forms/Form303-S/303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1663</Words>
  <Characters>8967</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2016-01-20T15:10:00Z</cp:lastPrinted>
  <dcterms:created xsi:type="dcterms:W3CDTF">2016-01-20T15:13:00Z</dcterms:created>
  <dcterms:modified xsi:type="dcterms:W3CDTF">2016-01-20T15:13:00Z</dcterms:modified>
  <cp:category> </cp:category>
  <cp:contentStatus> </cp:contentStatus>
</cp:coreProperties>
</file>