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48B9" w14:textId="3FAA47FA" w:rsidR="008206A0" w:rsidRPr="00FD4E96" w:rsidRDefault="002A5164" w:rsidP="008206A0">
      <w:pPr>
        <w:pStyle w:val="Title"/>
        <w:rPr>
          <w:smallCaps/>
          <w:szCs w:val="24"/>
        </w:rPr>
      </w:pPr>
      <w:bookmarkStart w:id="0" w:name="_GoBack"/>
      <w:bookmarkEnd w:id="0"/>
      <w:r w:rsidRPr="002A5164">
        <w:rPr>
          <w:noProof/>
        </w:rPr>
        <w:drawing>
          <wp:anchor distT="0" distB="0" distL="114300" distR="114300" simplePos="0" relativeHeight="251659264" behindDoc="0" locked="0" layoutInCell="1" allowOverlap="1" wp14:anchorId="6853B1A0" wp14:editId="3FEF442D">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8206A0" w:rsidRPr="00FD4E96">
        <w:rPr>
          <w:smallCaps/>
          <w:szCs w:val="24"/>
        </w:rPr>
        <w:t>Federal Communications Commission</w:t>
      </w:r>
    </w:p>
    <w:p w14:paraId="229ABB76" w14:textId="77777777" w:rsidR="008206A0" w:rsidRPr="00FD4E96" w:rsidRDefault="008206A0" w:rsidP="008206A0">
      <w:pPr>
        <w:jc w:val="center"/>
        <w:rPr>
          <w:szCs w:val="24"/>
        </w:rPr>
      </w:pPr>
      <w:r w:rsidRPr="00FD4E96">
        <w:rPr>
          <w:szCs w:val="24"/>
        </w:rPr>
        <w:t>Wireless Telecommunications Bureau</w:t>
      </w:r>
    </w:p>
    <w:p w14:paraId="25165C5C" w14:textId="739EA14B" w:rsidR="008206A0" w:rsidRPr="00FD4E96" w:rsidRDefault="008206A0" w:rsidP="008206A0">
      <w:pPr>
        <w:jc w:val="center"/>
        <w:rPr>
          <w:smallCaps/>
          <w:szCs w:val="24"/>
        </w:rPr>
      </w:pPr>
      <w:r w:rsidRPr="00FD4E96">
        <w:rPr>
          <w:szCs w:val="24"/>
        </w:rPr>
        <w:t>Competition</w:t>
      </w:r>
      <w:r w:rsidR="00F50B91" w:rsidRPr="00FD4E96">
        <w:rPr>
          <w:szCs w:val="24"/>
        </w:rPr>
        <w:t xml:space="preserve"> and Infrastructure</w:t>
      </w:r>
      <w:r w:rsidRPr="00FD4E96">
        <w:rPr>
          <w:szCs w:val="24"/>
        </w:rPr>
        <w:t xml:space="preserve"> Policy Division</w:t>
      </w:r>
    </w:p>
    <w:p w14:paraId="65E1FBA1" w14:textId="77777777" w:rsidR="008206A0" w:rsidRPr="00FD4E96" w:rsidRDefault="008206A0" w:rsidP="008206A0">
      <w:pPr>
        <w:jc w:val="center"/>
        <w:rPr>
          <w:sz w:val="22"/>
          <w:szCs w:val="22"/>
        </w:rPr>
      </w:pPr>
      <w:r w:rsidRPr="00FD4E96">
        <w:rPr>
          <w:sz w:val="22"/>
          <w:szCs w:val="22"/>
        </w:rPr>
        <w:t>445 12</w:t>
      </w:r>
      <w:r w:rsidRPr="00FD4E96">
        <w:rPr>
          <w:sz w:val="22"/>
          <w:szCs w:val="22"/>
          <w:vertAlign w:val="superscript"/>
        </w:rPr>
        <w:t>th</w:t>
      </w:r>
      <w:r w:rsidRPr="00FD4E96">
        <w:rPr>
          <w:sz w:val="22"/>
          <w:szCs w:val="22"/>
        </w:rPr>
        <w:t xml:space="preserve"> Street, SW</w:t>
      </w:r>
    </w:p>
    <w:p w14:paraId="297F30E6" w14:textId="77777777" w:rsidR="008206A0" w:rsidRPr="00FD4E96" w:rsidRDefault="008206A0" w:rsidP="008206A0">
      <w:pPr>
        <w:jc w:val="center"/>
        <w:rPr>
          <w:sz w:val="22"/>
          <w:szCs w:val="22"/>
        </w:rPr>
      </w:pPr>
      <w:r w:rsidRPr="00FD4E96">
        <w:rPr>
          <w:sz w:val="22"/>
          <w:szCs w:val="22"/>
        </w:rPr>
        <w:t>Washington, DC  20554</w:t>
      </w:r>
    </w:p>
    <w:p w14:paraId="0F83A021" w14:textId="77777777" w:rsidR="008206A0" w:rsidRPr="00FD4E96" w:rsidRDefault="008206A0" w:rsidP="008206A0">
      <w:pPr>
        <w:jc w:val="center"/>
        <w:rPr>
          <w:szCs w:val="24"/>
        </w:rPr>
      </w:pPr>
    </w:p>
    <w:p w14:paraId="47A2CAC9" w14:textId="77777777" w:rsidR="008206A0" w:rsidRPr="00FD4E96" w:rsidRDefault="008206A0" w:rsidP="008206A0">
      <w:pPr>
        <w:tabs>
          <w:tab w:val="left" w:pos="1941"/>
        </w:tabs>
        <w:rPr>
          <w:szCs w:val="24"/>
        </w:rPr>
      </w:pPr>
      <w:r w:rsidRPr="00FD4E96">
        <w:rPr>
          <w:szCs w:val="24"/>
        </w:rPr>
        <w:tab/>
      </w:r>
    </w:p>
    <w:p w14:paraId="4B4A4EB8" w14:textId="4486EBBA" w:rsidR="008206A0" w:rsidRPr="00FD4E96" w:rsidRDefault="00FD4E96" w:rsidP="00125FFE">
      <w:pPr>
        <w:jc w:val="center"/>
        <w:rPr>
          <w:szCs w:val="24"/>
        </w:rPr>
      </w:pPr>
      <w:r w:rsidRPr="00FD4E96">
        <w:rPr>
          <w:szCs w:val="24"/>
        </w:rPr>
        <w:t>June 1</w:t>
      </w:r>
      <w:r w:rsidR="00E521EB">
        <w:rPr>
          <w:szCs w:val="24"/>
        </w:rPr>
        <w:t>6</w:t>
      </w:r>
      <w:r w:rsidR="00D43991" w:rsidRPr="00FD4E96">
        <w:rPr>
          <w:szCs w:val="24"/>
        </w:rPr>
        <w:t>, 2016</w:t>
      </w:r>
    </w:p>
    <w:p w14:paraId="7CBAD08B" w14:textId="77777777" w:rsidR="008206A0" w:rsidRDefault="008206A0" w:rsidP="008206A0">
      <w:pPr>
        <w:jc w:val="center"/>
        <w:rPr>
          <w:szCs w:val="24"/>
        </w:rPr>
      </w:pPr>
    </w:p>
    <w:p w14:paraId="070E0C46" w14:textId="77777777" w:rsidR="00E521EB" w:rsidRPr="00FD4E96" w:rsidRDefault="00E521EB" w:rsidP="008206A0">
      <w:pPr>
        <w:jc w:val="center"/>
        <w:rPr>
          <w:szCs w:val="24"/>
        </w:rPr>
      </w:pPr>
    </w:p>
    <w:p w14:paraId="02A62121" w14:textId="16C76159" w:rsidR="008206A0" w:rsidRPr="00FD4E96" w:rsidRDefault="008206A0" w:rsidP="00E521EB">
      <w:pPr>
        <w:pStyle w:val="Heading2"/>
        <w:rPr>
          <w:b w:val="0"/>
          <w:szCs w:val="24"/>
        </w:rPr>
      </w:pPr>
      <w:r w:rsidRPr="00FD4E96">
        <w:rPr>
          <w:szCs w:val="24"/>
        </w:rPr>
        <w:t xml:space="preserve">VIA </w:t>
      </w:r>
      <w:r w:rsidR="00E521EB">
        <w:rPr>
          <w:szCs w:val="24"/>
        </w:rPr>
        <w:t xml:space="preserve">FIRST CLASS MAIL </w:t>
      </w:r>
      <w:r w:rsidRPr="00FD4E96">
        <w:rPr>
          <w:szCs w:val="24"/>
        </w:rPr>
        <w:t>AN</w:t>
      </w:r>
      <w:r w:rsidR="005A663B" w:rsidRPr="00FD4E96">
        <w:rPr>
          <w:szCs w:val="24"/>
        </w:rPr>
        <w:t>D EMAIL</w:t>
      </w:r>
    </w:p>
    <w:p w14:paraId="3A519667" w14:textId="77777777" w:rsidR="008206A0" w:rsidRPr="00FD4E96" w:rsidRDefault="008206A0" w:rsidP="008206A0">
      <w:pPr>
        <w:rPr>
          <w:szCs w:val="24"/>
        </w:rPr>
      </w:pPr>
    </w:p>
    <w:p w14:paraId="1C8010AF" w14:textId="77777777" w:rsidR="00887C53" w:rsidRPr="00FD4E96" w:rsidRDefault="00887C53" w:rsidP="00887C53">
      <w:pPr>
        <w:rPr>
          <w:rFonts w:eastAsiaTheme="minorHAnsi"/>
          <w:szCs w:val="24"/>
        </w:rPr>
      </w:pPr>
      <w:r w:rsidRPr="00FD4E96">
        <w:rPr>
          <w:rFonts w:eastAsiaTheme="minorHAnsi"/>
          <w:szCs w:val="24"/>
        </w:rPr>
        <w:t>Mr. Tim Romanski</w:t>
      </w:r>
    </w:p>
    <w:p w14:paraId="780CC896" w14:textId="77777777" w:rsidR="00887C53" w:rsidRPr="00FD4E96" w:rsidRDefault="00887C53" w:rsidP="00887C53">
      <w:pPr>
        <w:rPr>
          <w:rFonts w:eastAsiaTheme="minorHAnsi"/>
          <w:szCs w:val="24"/>
        </w:rPr>
      </w:pPr>
      <w:r w:rsidRPr="00FD4E96">
        <w:rPr>
          <w:rFonts w:eastAsiaTheme="minorHAnsi"/>
          <w:szCs w:val="24"/>
        </w:rPr>
        <w:t>Sierra Tower Partners, LLC</w:t>
      </w:r>
    </w:p>
    <w:p w14:paraId="1D78197B" w14:textId="77777777" w:rsidR="00887C53" w:rsidRPr="00FD4E96" w:rsidRDefault="00887C53" w:rsidP="00887C53">
      <w:pPr>
        <w:rPr>
          <w:rFonts w:eastAsiaTheme="minorHAnsi"/>
          <w:szCs w:val="24"/>
        </w:rPr>
      </w:pPr>
      <w:r w:rsidRPr="00FD4E96">
        <w:rPr>
          <w:rFonts w:eastAsiaTheme="minorHAnsi"/>
          <w:szCs w:val="24"/>
        </w:rPr>
        <w:t>15739 Churchill</w:t>
      </w:r>
    </w:p>
    <w:p w14:paraId="329B2EB1" w14:textId="2376483F" w:rsidR="00CD778B" w:rsidRPr="00FD4E96" w:rsidRDefault="00887C53" w:rsidP="00887C53">
      <w:pPr>
        <w:rPr>
          <w:rStyle w:val="st"/>
        </w:rPr>
      </w:pPr>
      <w:r w:rsidRPr="00FD4E96">
        <w:rPr>
          <w:rFonts w:eastAsiaTheme="minorHAnsi"/>
          <w:szCs w:val="24"/>
        </w:rPr>
        <w:t>Southgate, MI 48195</w:t>
      </w:r>
    </w:p>
    <w:p w14:paraId="6B6DE2CA" w14:textId="77777777" w:rsidR="00CD778B" w:rsidRPr="00FD4E96" w:rsidRDefault="00CD778B" w:rsidP="008206A0">
      <w:pPr>
        <w:rPr>
          <w:rStyle w:val="st"/>
        </w:rPr>
      </w:pPr>
    </w:p>
    <w:p w14:paraId="6A64D75F" w14:textId="648C97C4" w:rsidR="008206A0" w:rsidRPr="00FD4E96" w:rsidRDefault="008206A0" w:rsidP="00EF0E2D">
      <w:pPr>
        <w:ind w:firstLine="720"/>
        <w:rPr>
          <w:szCs w:val="24"/>
          <w:lang w:val="de-DE"/>
        </w:rPr>
      </w:pPr>
      <w:r w:rsidRPr="00FD4E96">
        <w:rPr>
          <w:b/>
          <w:szCs w:val="24"/>
        </w:rPr>
        <w:t xml:space="preserve">Re: </w:t>
      </w:r>
      <w:r w:rsidRPr="00FD4E96">
        <w:rPr>
          <w:b/>
          <w:szCs w:val="24"/>
        </w:rPr>
        <w:tab/>
        <w:t xml:space="preserve">VIOLATION OF </w:t>
      </w:r>
      <w:r w:rsidR="00EF0E2D" w:rsidRPr="00FD4E96">
        <w:rPr>
          <w:b/>
          <w:szCs w:val="24"/>
        </w:rPr>
        <w:t>FCC</w:t>
      </w:r>
      <w:r w:rsidR="00EA71A6" w:rsidRPr="00FD4E96">
        <w:rPr>
          <w:b/>
          <w:szCs w:val="24"/>
        </w:rPr>
        <w:t xml:space="preserve"> </w:t>
      </w:r>
      <w:r w:rsidR="00E75A28" w:rsidRPr="00FD4E96">
        <w:rPr>
          <w:b/>
          <w:szCs w:val="24"/>
        </w:rPr>
        <w:t>ENVIRONMENTAL</w:t>
      </w:r>
      <w:r w:rsidR="001835F7" w:rsidRPr="00FD4E96">
        <w:rPr>
          <w:b/>
          <w:szCs w:val="24"/>
        </w:rPr>
        <w:t xml:space="preserve"> </w:t>
      </w:r>
      <w:r w:rsidRPr="00FD4E96">
        <w:rPr>
          <w:b/>
          <w:szCs w:val="24"/>
        </w:rPr>
        <w:t xml:space="preserve">RULES </w:t>
      </w:r>
      <w:r w:rsidRPr="00FD4E96">
        <w:rPr>
          <w:b/>
          <w:szCs w:val="24"/>
        </w:rPr>
        <w:br/>
      </w:r>
    </w:p>
    <w:p w14:paraId="39A7505F" w14:textId="66D7033D" w:rsidR="008206A0" w:rsidRPr="00FD4E96" w:rsidRDefault="00534DB2" w:rsidP="008206A0">
      <w:pPr>
        <w:rPr>
          <w:szCs w:val="24"/>
        </w:rPr>
      </w:pPr>
      <w:r w:rsidRPr="00FD4E96">
        <w:rPr>
          <w:szCs w:val="24"/>
        </w:rPr>
        <w:t xml:space="preserve">Dear Mr. </w:t>
      </w:r>
      <w:r w:rsidR="00CF16E2" w:rsidRPr="00FD4E96">
        <w:rPr>
          <w:rFonts w:eastAsiaTheme="minorHAnsi"/>
          <w:szCs w:val="24"/>
        </w:rPr>
        <w:t>Romanski</w:t>
      </w:r>
      <w:r w:rsidR="008206A0" w:rsidRPr="00FD4E96">
        <w:rPr>
          <w:szCs w:val="24"/>
        </w:rPr>
        <w:t>:</w:t>
      </w:r>
    </w:p>
    <w:p w14:paraId="62C325D3" w14:textId="77777777" w:rsidR="008206A0" w:rsidRPr="00FD4E96" w:rsidRDefault="008206A0" w:rsidP="008206A0">
      <w:pPr>
        <w:rPr>
          <w:szCs w:val="24"/>
        </w:rPr>
      </w:pPr>
    </w:p>
    <w:p w14:paraId="738EFD45" w14:textId="3974CC46" w:rsidR="008206A0" w:rsidRPr="00FD4E96" w:rsidRDefault="008206A0" w:rsidP="003464E1">
      <w:pPr>
        <w:ind w:firstLine="720"/>
        <w:rPr>
          <w:szCs w:val="24"/>
        </w:rPr>
      </w:pPr>
      <w:r w:rsidRPr="00FD4E96">
        <w:rPr>
          <w:szCs w:val="24"/>
        </w:rPr>
        <w:t>This</w:t>
      </w:r>
      <w:r w:rsidR="00EA71A6" w:rsidRPr="00FD4E96">
        <w:rPr>
          <w:szCs w:val="24"/>
        </w:rPr>
        <w:t xml:space="preserve"> letter pertains to </w:t>
      </w:r>
      <w:r w:rsidR="00306288" w:rsidRPr="00FD4E96">
        <w:rPr>
          <w:szCs w:val="24"/>
        </w:rPr>
        <w:t xml:space="preserve">our findings that Sierra Tower Partners, LLC (Sierra) </w:t>
      </w:r>
      <w:r w:rsidRPr="00FD4E96">
        <w:rPr>
          <w:szCs w:val="24"/>
        </w:rPr>
        <w:t xml:space="preserve">failed to comply with the Commission’s </w:t>
      </w:r>
      <w:r w:rsidR="00EF4322" w:rsidRPr="00FD4E96">
        <w:rPr>
          <w:szCs w:val="24"/>
        </w:rPr>
        <w:t xml:space="preserve">regulations </w:t>
      </w:r>
      <w:r w:rsidRPr="00FD4E96">
        <w:rPr>
          <w:szCs w:val="24"/>
        </w:rPr>
        <w:t>implementing the National Environmental Policy Act of 1969 (NEPA)</w:t>
      </w:r>
      <w:r w:rsidR="00F50B91" w:rsidRPr="00FD4E96">
        <w:rPr>
          <w:szCs w:val="24"/>
        </w:rPr>
        <w:t xml:space="preserve"> and other federal environmental statutes</w:t>
      </w:r>
      <w:r w:rsidR="001337F2" w:rsidRPr="00FD4E96">
        <w:rPr>
          <w:szCs w:val="24"/>
        </w:rPr>
        <w:t>,</w:t>
      </w:r>
      <w:r w:rsidRPr="00FD4E96">
        <w:rPr>
          <w:rStyle w:val="FootnoteReference"/>
          <w:szCs w:val="24"/>
        </w:rPr>
        <w:footnoteReference w:id="1"/>
      </w:r>
      <w:r w:rsidR="001337F2" w:rsidRPr="00FD4E96">
        <w:rPr>
          <w:szCs w:val="24"/>
        </w:rPr>
        <w:t xml:space="preserve"> </w:t>
      </w:r>
      <w:r w:rsidR="00FB0916" w:rsidRPr="00FD4E96">
        <w:rPr>
          <w:szCs w:val="24"/>
        </w:rPr>
        <w:t xml:space="preserve">related </w:t>
      </w:r>
      <w:r w:rsidR="00A52179" w:rsidRPr="00FD4E96">
        <w:rPr>
          <w:szCs w:val="24"/>
        </w:rPr>
        <w:t>regulations pertaining to the Antenna Structure Registration (ASR) system</w:t>
      </w:r>
      <w:r w:rsidR="00E75A28" w:rsidRPr="00FD4E96">
        <w:rPr>
          <w:szCs w:val="24"/>
        </w:rPr>
        <w:t>,</w:t>
      </w:r>
      <w:r w:rsidR="00A52179" w:rsidRPr="00FD4E96">
        <w:rPr>
          <w:rStyle w:val="FootnoteReference"/>
          <w:szCs w:val="24"/>
        </w:rPr>
        <w:footnoteReference w:id="2"/>
      </w:r>
      <w:r w:rsidR="00E75A28" w:rsidRPr="00FD4E96">
        <w:rPr>
          <w:szCs w:val="24"/>
        </w:rPr>
        <w:t xml:space="preserve"> and its regulation requiring truthful and accurate statements.</w:t>
      </w:r>
      <w:r w:rsidR="00E75A28" w:rsidRPr="00FD4E96">
        <w:rPr>
          <w:rStyle w:val="FootnoteReference"/>
          <w:szCs w:val="24"/>
        </w:rPr>
        <w:footnoteReference w:id="3"/>
      </w:r>
      <w:r w:rsidR="00A52179" w:rsidRPr="00FD4E96">
        <w:rPr>
          <w:szCs w:val="24"/>
        </w:rPr>
        <w:t xml:space="preserve">  </w:t>
      </w:r>
      <w:r w:rsidR="002D5713" w:rsidRPr="00FD4E96">
        <w:rPr>
          <w:szCs w:val="24"/>
        </w:rPr>
        <w:t>T</w:t>
      </w:r>
      <w:r w:rsidR="00E75A28" w:rsidRPr="00FD4E96">
        <w:rPr>
          <w:szCs w:val="24"/>
        </w:rPr>
        <w:t>he Wireless Telecommunications</w:t>
      </w:r>
      <w:r w:rsidR="00A52179" w:rsidRPr="00FD4E96">
        <w:rPr>
          <w:szCs w:val="24"/>
        </w:rPr>
        <w:t xml:space="preserve"> Bureau has determined that Sierra violated Section</w:t>
      </w:r>
      <w:r w:rsidR="008F0C59" w:rsidRPr="00FD4E96">
        <w:rPr>
          <w:szCs w:val="24"/>
        </w:rPr>
        <w:t>s</w:t>
      </w:r>
      <w:r w:rsidR="00A52179" w:rsidRPr="00FD4E96">
        <w:rPr>
          <w:szCs w:val="24"/>
        </w:rPr>
        <w:t xml:space="preserve"> </w:t>
      </w:r>
      <w:r w:rsidR="00FB0916" w:rsidRPr="00FD4E96">
        <w:rPr>
          <w:szCs w:val="24"/>
        </w:rPr>
        <w:t>1.17</w:t>
      </w:r>
      <w:r w:rsidR="008F0C59" w:rsidRPr="00FD4E96">
        <w:rPr>
          <w:i/>
        </w:rPr>
        <w:t xml:space="preserve"> </w:t>
      </w:r>
      <w:r w:rsidR="008F0C59" w:rsidRPr="00FD4E96">
        <w:t>1.130</w:t>
      </w:r>
      <w:r w:rsidR="00E75A28" w:rsidRPr="00FD4E96">
        <w:t>7, 1.131</w:t>
      </w:r>
      <w:r w:rsidR="008F0C59" w:rsidRPr="00FD4E96">
        <w:t>1</w:t>
      </w:r>
      <w:r w:rsidR="008F0C59" w:rsidRPr="00FD4E96">
        <w:rPr>
          <w:i/>
        </w:rPr>
        <w:t xml:space="preserve">, </w:t>
      </w:r>
      <w:r w:rsidR="008F0C59" w:rsidRPr="00FD4E96">
        <w:t>and</w:t>
      </w:r>
      <w:r w:rsidR="008F0C59" w:rsidRPr="00FD4E96">
        <w:rPr>
          <w:i/>
        </w:rPr>
        <w:t xml:space="preserve"> </w:t>
      </w:r>
      <w:r w:rsidR="008F0C59" w:rsidRPr="00FD4E96">
        <w:rPr>
          <w:szCs w:val="24"/>
        </w:rPr>
        <w:t xml:space="preserve">17.4 </w:t>
      </w:r>
      <w:r w:rsidR="00A52179" w:rsidRPr="00FD4E96">
        <w:rPr>
          <w:szCs w:val="24"/>
        </w:rPr>
        <w:t xml:space="preserve">of the Commission’s rules </w:t>
      </w:r>
      <w:r w:rsidR="00E75A28" w:rsidRPr="00FD4E96">
        <w:rPr>
          <w:szCs w:val="24"/>
        </w:rPr>
        <w:t>by</w:t>
      </w:r>
      <w:r w:rsidR="00A52179" w:rsidRPr="00FD4E96">
        <w:rPr>
          <w:szCs w:val="24"/>
        </w:rPr>
        <w:t xml:space="preserve"> submitt</w:t>
      </w:r>
      <w:r w:rsidR="00E75A28" w:rsidRPr="00FD4E96">
        <w:rPr>
          <w:szCs w:val="24"/>
        </w:rPr>
        <w:t>ing</w:t>
      </w:r>
      <w:r w:rsidR="00A52179" w:rsidRPr="00FD4E96">
        <w:rPr>
          <w:szCs w:val="24"/>
        </w:rPr>
        <w:t xml:space="preserve"> an application to register a tower in Greenwell Springs, Louisiana, and certif</w:t>
      </w:r>
      <w:r w:rsidR="00E75A28" w:rsidRPr="00FD4E96">
        <w:rPr>
          <w:szCs w:val="24"/>
        </w:rPr>
        <w:t>ying</w:t>
      </w:r>
      <w:r w:rsidR="00A52179" w:rsidRPr="00FD4E96">
        <w:rPr>
          <w:szCs w:val="24"/>
        </w:rPr>
        <w:t xml:space="preserve"> compliance with </w:t>
      </w:r>
      <w:r w:rsidR="00E75A28" w:rsidRPr="00FD4E96">
        <w:rPr>
          <w:szCs w:val="24"/>
        </w:rPr>
        <w:t>the Commission’s</w:t>
      </w:r>
      <w:r w:rsidR="00A52179" w:rsidRPr="00FD4E96">
        <w:rPr>
          <w:szCs w:val="24"/>
        </w:rPr>
        <w:t xml:space="preserve"> environmental regulations when it had not completed </w:t>
      </w:r>
      <w:r w:rsidR="00E75A28" w:rsidRPr="00FD4E96">
        <w:rPr>
          <w:szCs w:val="24"/>
        </w:rPr>
        <w:t>the required</w:t>
      </w:r>
      <w:r w:rsidR="00A52179" w:rsidRPr="00FD4E96">
        <w:rPr>
          <w:szCs w:val="24"/>
        </w:rPr>
        <w:t xml:space="preserve"> environmental review.</w:t>
      </w:r>
      <w:r w:rsidR="00E75A28" w:rsidRPr="00FD4E96">
        <w:rPr>
          <w:rStyle w:val="FootnoteReference"/>
          <w:szCs w:val="24"/>
        </w:rPr>
        <w:footnoteReference w:id="4"/>
      </w:r>
      <w:r w:rsidR="00A52179" w:rsidRPr="00FD4E96">
        <w:rPr>
          <w:rFonts w:ascii="Verdana" w:hAnsi="Verdana" w:cs="Tahoma"/>
          <w:sz w:val="21"/>
          <w:szCs w:val="21"/>
          <w:shd w:val="clear" w:color="auto" w:fill="FFFFFF"/>
        </w:rPr>
        <w:t xml:space="preserve"> </w:t>
      </w:r>
      <w:r w:rsidR="00E75A28" w:rsidRPr="00FD4E96">
        <w:rPr>
          <w:rFonts w:ascii="Verdana" w:hAnsi="Verdana" w:cs="Tahoma"/>
          <w:sz w:val="21"/>
          <w:szCs w:val="21"/>
          <w:shd w:val="clear" w:color="auto" w:fill="FFFFFF"/>
        </w:rPr>
        <w:t xml:space="preserve"> </w:t>
      </w:r>
      <w:r w:rsidR="00E75A28" w:rsidRPr="00FD4E96">
        <w:rPr>
          <w:szCs w:val="24"/>
        </w:rPr>
        <w:t>By this letter, w</w:t>
      </w:r>
      <w:r w:rsidR="001835F7" w:rsidRPr="00FD4E96">
        <w:rPr>
          <w:szCs w:val="24"/>
        </w:rPr>
        <w:t>e apprise Sierra Towers of the implications of failing to comply with Commission regulations in the future.</w:t>
      </w:r>
    </w:p>
    <w:p w14:paraId="4F97364D" w14:textId="77777777" w:rsidR="008206A0" w:rsidRPr="00FD4E96" w:rsidRDefault="008206A0" w:rsidP="008206A0">
      <w:pPr>
        <w:ind w:firstLine="720"/>
        <w:rPr>
          <w:szCs w:val="24"/>
        </w:rPr>
      </w:pPr>
    </w:p>
    <w:p w14:paraId="066E8F6A" w14:textId="126CC231" w:rsidR="00EF0E2D" w:rsidRPr="00FD4E96" w:rsidRDefault="00EF0E2D" w:rsidP="00E75A28">
      <w:pPr>
        <w:keepNext/>
        <w:rPr>
          <w:b/>
          <w:szCs w:val="24"/>
        </w:rPr>
      </w:pPr>
      <w:r w:rsidRPr="00FD4E96">
        <w:rPr>
          <w:b/>
          <w:szCs w:val="24"/>
        </w:rPr>
        <w:lastRenderedPageBreak/>
        <w:t>Regulatory Requirements</w:t>
      </w:r>
    </w:p>
    <w:p w14:paraId="5A8098A4" w14:textId="77777777" w:rsidR="00EF0E2D" w:rsidRPr="00FD4E96" w:rsidRDefault="00EF0E2D" w:rsidP="00E75A28">
      <w:pPr>
        <w:keepNext/>
        <w:ind w:firstLine="720"/>
        <w:rPr>
          <w:szCs w:val="24"/>
        </w:rPr>
      </w:pPr>
    </w:p>
    <w:p w14:paraId="680188D4" w14:textId="11C09A66" w:rsidR="00F13C57" w:rsidRPr="00FD4E96" w:rsidRDefault="00F13C57" w:rsidP="00E75A28">
      <w:pPr>
        <w:keepNext/>
        <w:ind w:firstLine="720"/>
        <w:rPr>
          <w:szCs w:val="24"/>
        </w:rPr>
      </w:pPr>
      <w:r w:rsidRPr="00FD4E96">
        <w:rPr>
          <w:szCs w:val="24"/>
        </w:rPr>
        <w:t>Under the Commission’s rules, an applicant must consider, prior to initiating construction or deployment, whether the facility it proposes to build or use may have a significant effect on the environment.  If so, the applicant must prepare an EA in accordance with the Commission’s rules.</w:t>
      </w:r>
      <w:r w:rsidRPr="00FD4E96">
        <w:rPr>
          <w:rStyle w:val="FootnoteReference"/>
          <w:szCs w:val="24"/>
        </w:rPr>
        <w:footnoteReference w:id="5"/>
      </w:r>
      <w:r w:rsidRPr="00FD4E96">
        <w:rPr>
          <w:szCs w:val="24"/>
        </w:rPr>
        <w:t xml:space="preserve">  Specifically, an applicant must prepare an EA</w:t>
      </w:r>
      <w:r w:rsidR="002D5713" w:rsidRPr="00FD4E96">
        <w:rPr>
          <w:szCs w:val="24"/>
        </w:rPr>
        <w:t xml:space="preserve"> and submit the EA with its application</w:t>
      </w:r>
      <w:r w:rsidRPr="00FD4E96">
        <w:rPr>
          <w:szCs w:val="24"/>
        </w:rPr>
        <w:t xml:space="preserve"> if the proposed facility meets any of several criteria specified in the Commission’s rules</w:t>
      </w:r>
      <w:r w:rsidR="002D5713" w:rsidRPr="00FD4E96">
        <w:rPr>
          <w:szCs w:val="24"/>
        </w:rPr>
        <w:t xml:space="preserve"> – includi</w:t>
      </w:r>
      <w:r w:rsidR="00E521EB">
        <w:rPr>
          <w:szCs w:val="24"/>
        </w:rPr>
        <w:t>ng construction in a floodplain</w:t>
      </w:r>
      <w:r w:rsidRPr="00FD4E96">
        <w:rPr>
          <w:rStyle w:val="FootnoteReference"/>
          <w:szCs w:val="24"/>
        </w:rPr>
        <w:footnoteReference w:id="6"/>
      </w:r>
      <w:r w:rsidRPr="00FD4E96">
        <w:rPr>
          <w:szCs w:val="24"/>
        </w:rPr>
        <w:t xml:space="preserve"> </w:t>
      </w:r>
      <w:r w:rsidR="00E521EB" w:rsidRPr="00FD4E96">
        <w:rPr>
          <w:szCs w:val="24"/>
        </w:rPr>
        <w:t>–</w:t>
      </w:r>
      <w:r w:rsidR="00E521EB">
        <w:rPr>
          <w:szCs w:val="24"/>
        </w:rPr>
        <w:t xml:space="preserve"> </w:t>
      </w:r>
      <w:r w:rsidRPr="00FD4E96">
        <w:rPr>
          <w:szCs w:val="24"/>
        </w:rPr>
        <w:t>and it may not begin construction until the Commission’s environmental processing is completed.</w:t>
      </w:r>
      <w:r w:rsidRPr="00FD4E96">
        <w:rPr>
          <w:rStyle w:val="FootnoteReference"/>
          <w:szCs w:val="24"/>
        </w:rPr>
        <w:footnoteReference w:id="7"/>
      </w:r>
      <w:r w:rsidRPr="00FD4E96">
        <w:rPr>
          <w:szCs w:val="24"/>
        </w:rPr>
        <w:t xml:space="preserve">  </w:t>
      </w:r>
      <w:r w:rsidR="002D5713" w:rsidRPr="00FD4E96">
        <w:rPr>
          <w:szCs w:val="24"/>
        </w:rPr>
        <w:t>The Commission’s ASR rules also place a separate obligation to submit an EA with the ASR application if an EA is required under the Commission’s environmental rules.</w:t>
      </w:r>
      <w:r w:rsidR="002D5713" w:rsidRPr="00FD4E96">
        <w:rPr>
          <w:rStyle w:val="FootnoteReference"/>
          <w:szCs w:val="24"/>
        </w:rPr>
        <w:footnoteReference w:id="8"/>
      </w:r>
      <w:r w:rsidRPr="00FD4E96">
        <w:rPr>
          <w:szCs w:val="24"/>
        </w:rPr>
        <w:t xml:space="preserve"> </w:t>
      </w:r>
    </w:p>
    <w:p w14:paraId="1DEB1E89" w14:textId="77777777" w:rsidR="00F13C57" w:rsidRPr="00FD4E96" w:rsidRDefault="00F13C57" w:rsidP="00F13C57">
      <w:pPr>
        <w:ind w:firstLine="720"/>
        <w:rPr>
          <w:szCs w:val="24"/>
        </w:rPr>
      </w:pPr>
    </w:p>
    <w:p w14:paraId="5FFF285D" w14:textId="3DE9C73D" w:rsidR="00F13C57" w:rsidRPr="00FD4E96" w:rsidRDefault="00F13C57" w:rsidP="00F13C57">
      <w:pPr>
        <w:ind w:firstLine="720"/>
        <w:rPr>
          <w:szCs w:val="24"/>
        </w:rPr>
      </w:pPr>
      <w:r w:rsidRPr="00FD4E96">
        <w:rPr>
          <w:szCs w:val="24"/>
        </w:rPr>
        <w:t>Section 1.1307(a)(4) of the rules requires applicants to consider, prior to initiating construction or deployment, whether their proposed facilities would affect properties listed or eligible for listing in the National Register of Historic Places.</w:t>
      </w:r>
      <w:r w:rsidRPr="00FD4E96">
        <w:rPr>
          <w:rStyle w:val="FootnoteReference"/>
          <w:szCs w:val="24"/>
        </w:rPr>
        <w:footnoteReference w:id="9"/>
      </w:r>
      <w:r w:rsidRPr="00FD4E96">
        <w:rPr>
          <w:szCs w:val="24"/>
        </w:rPr>
        <w:t xml:space="preserve">  In considering effects on these properties, Section 1.1307(a)(4) requires applicants to follow the prescribed procedures set forth in the rules of the Advisory Council on Historic Preservation (Advisory Council),</w:t>
      </w:r>
      <w:r w:rsidRPr="00FD4E96">
        <w:rPr>
          <w:rStyle w:val="FootnoteReference"/>
          <w:szCs w:val="24"/>
        </w:rPr>
        <w:footnoteReference w:id="10"/>
      </w:r>
      <w:r w:rsidRPr="00FD4E96">
        <w:rPr>
          <w:szCs w:val="24"/>
        </w:rPr>
        <w:t xml:space="preserve"> as modified by the Nationwide Programmatic Agreement for the Collocation of Wireless Antennas (Collocation Agreement)</w:t>
      </w:r>
      <w:r w:rsidRPr="00FD4E96">
        <w:rPr>
          <w:rStyle w:val="FootnoteReference"/>
          <w:szCs w:val="24"/>
        </w:rPr>
        <w:footnoteReference w:id="11"/>
      </w:r>
      <w:r w:rsidRPr="00FD4E96">
        <w:rPr>
          <w:szCs w:val="24"/>
        </w:rPr>
        <w:t xml:space="preserve"> and the Nationwide Programmatic Agreement Regarding the Section 106 National Historic Preservation Act Review Process (NPA).</w:t>
      </w:r>
      <w:r w:rsidRPr="00FD4E96">
        <w:rPr>
          <w:rStyle w:val="FootnoteReference"/>
          <w:szCs w:val="24"/>
        </w:rPr>
        <w:footnoteReference w:id="12"/>
      </w:r>
      <w:r w:rsidRPr="00FD4E96">
        <w:rPr>
          <w:szCs w:val="24"/>
        </w:rPr>
        <w:t xml:space="preserve">  These agreements tailor and streamline the review and consultation procedures routinely </w:t>
      </w:r>
      <w:r w:rsidRPr="00FD4E96">
        <w:rPr>
          <w:szCs w:val="24"/>
        </w:rPr>
        <w:lastRenderedPageBreak/>
        <w:t>required by the National Historic Preservation Act of 1966 (NHPA)</w:t>
      </w:r>
      <w:r w:rsidRPr="00FD4E96">
        <w:rPr>
          <w:rStyle w:val="FootnoteReference"/>
          <w:szCs w:val="24"/>
        </w:rPr>
        <w:footnoteReference w:id="13"/>
      </w:r>
      <w:r w:rsidRPr="00FD4E96">
        <w:rPr>
          <w:szCs w:val="24"/>
        </w:rPr>
        <w:t xml:space="preserve"> and the implementing regulations issued by the Advisory Council. </w:t>
      </w:r>
    </w:p>
    <w:p w14:paraId="486E6B11" w14:textId="0BA1C77E" w:rsidR="003464E1" w:rsidRPr="00FD4E96" w:rsidRDefault="008042B8" w:rsidP="00ED05C0">
      <w:pPr>
        <w:rPr>
          <w:szCs w:val="24"/>
        </w:rPr>
      </w:pPr>
      <w:r w:rsidRPr="00FD4E96">
        <w:rPr>
          <w:b/>
          <w:szCs w:val="24"/>
        </w:rPr>
        <w:t>Sierra</w:t>
      </w:r>
      <w:r w:rsidR="00ED05C0" w:rsidRPr="00FD4E96">
        <w:rPr>
          <w:b/>
          <w:szCs w:val="24"/>
        </w:rPr>
        <w:t>’s Conduct</w:t>
      </w:r>
      <w:r w:rsidR="003464E1" w:rsidRPr="00FD4E96">
        <w:rPr>
          <w:szCs w:val="24"/>
        </w:rPr>
        <w:t xml:space="preserve"> </w:t>
      </w:r>
    </w:p>
    <w:p w14:paraId="6EDF9A20" w14:textId="77777777" w:rsidR="003464E1" w:rsidRPr="00FD4E96" w:rsidRDefault="003464E1" w:rsidP="00ED05C0">
      <w:pPr>
        <w:rPr>
          <w:szCs w:val="24"/>
        </w:rPr>
      </w:pPr>
    </w:p>
    <w:p w14:paraId="58F01B0C" w14:textId="4748012F" w:rsidR="002773F2" w:rsidRPr="00FD4E96" w:rsidRDefault="008042B8" w:rsidP="00FD4E96">
      <w:pPr>
        <w:ind w:firstLine="720"/>
        <w:rPr>
          <w:rFonts w:eastAsiaTheme="minorHAnsi"/>
          <w:szCs w:val="24"/>
        </w:rPr>
      </w:pPr>
      <w:r w:rsidRPr="00FD4E96">
        <w:rPr>
          <w:szCs w:val="24"/>
        </w:rPr>
        <w:t>Sierra</w:t>
      </w:r>
      <w:r w:rsidR="003464E1" w:rsidRPr="00FD4E96">
        <w:rPr>
          <w:szCs w:val="24"/>
        </w:rPr>
        <w:t xml:space="preserve"> has failed to comply with the Commission’s environmental</w:t>
      </w:r>
      <w:r w:rsidR="00125FFE" w:rsidRPr="00FD4E96">
        <w:rPr>
          <w:szCs w:val="24"/>
        </w:rPr>
        <w:t xml:space="preserve"> and</w:t>
      </w:r>
      <w:r w:rsidR="00FD4E96">
        <w:rPr>
          <w:szCs w:val="24"/>
        </w:rPr>
        <w:t xml:space="preserve"> </w:t>
      </w:r>
      <w:r w:rsidR="00125FFE" w:rsidRPr="00FD4E96">
        <w:rPr>
          <w:szCs w:val="24"/>
        </w:rPr>
        <w:t xml:space="preserve">ASR </w:t>
      </w:r>
      <w:r w:rsidR="003464E1" w:rsidRPr="00FD4E96">
        <w:rPr>
          <w:szCs w:val="24"/>
        </w:rPr>
        <w:t>regulations.</w:t>
      </w:r>
      <w:r w:rsidR="00575E19" w:rsidRPr="00FD4E96">
        <w:rPr>
          <w:rFonts w:eastAsiaTheme="minorHAnsi"/>
          <w:szCs w:val="24"/>
          <w:vertAlign w:val="superscript"/>
        </w:rPr>
        <w:footnoteReference w:id="14"/>
      </w:r>
      <w:r w:rsidR="003464E1" w:rsidRPr="00FD4E96">
        <w:rPr>
          <w:szCs w:val="24"/>
        </w:rPr>
        <w:t xml:space="preserve">  </w:t>
      </w:r>
      <w:r w:rsidR="00C41DBB" w:rsidRPr="00FD4E96">
        <w:rPr>
          <w:szCs w:val="24"/>
        </w:rPr>
        <w:t xml:space="preserve">Specifically, </w:t>
      </w:r>
      <w:r w:rsidR="002773F2" w:rsidRPr="00FD4E96">
        <w:rPr>
          <w:rFonts w:eastAsiaTheme="minorHAnsi"/>
          <w:szCs w:val="24"/>
        </w:rPr>
        <w:t>Sierra incorrectly certified</w:t>
      </w:r>
      <w:r w:rsidR="00C41DBB" w:rsidRPr="00FD4E96">
        <w:rPr>
          <w:rFonts w:eastAsiaTheme="minorHAnsi"/>
          <w:szCs w:val="24"/>
        </w:rPr>
        <w:t xml:space="preserve"> on its completed ASR application that the Greenwell Springs tower would not have a significant environmental impact, even though (1) the tower would be built in a floodplain and Sierra had not submitted an EA for the Commission’s review and processing, and (2) Sierra had not completed other aspects of the required environmental and historic preservation review.</w:t>
      </w:r>
    </w:p>
    <w:p w14:paraId="0E4A70B5" w14:textId="77777777" w:rsidR="002773F2" w:rsidRPr="00FD4E96" w:rsidRDefault="002773F2" w:rsidP="002773F2">
      <w:pPr>
        <w:ind w:firstLine="720"/>
        <w:rPr>
          <w:rFonts w:eastAsiaTheme="minorHAnsi"/>
          <w:szCs w:val="24"/>
        </w:rPr>
      </w:pPr>
    </w:p>
    <w:p w14:paraId="58D27EF5" w14:textId="7C411B23" w:rsidR="002773F2" w:rsidRPr="00FD4E96" w:rsidRDefault="002773F2" w:rsidP="002773F2">
      <w:pPr>
        <w:ind w:firstLine="720"/>
        <w:rPr>
          <w:rFonts w:eastAsiaTheme="minorHAnsi"/>
          <w:szCs w:val="24"/>
        </w:rPr>
      </w:pPr>
      <w:r w:rsidRPr="00FD4E96">
        <w:rPr>
          <w:rFonts w:eastAsiaTheme="minorHAnsi"/>
          <w:szCs w:val="24"/>
        </w:rPr>
        <w:t>On January 31, 2014, Sierra submitted an ASR application via FCC Form 854 for a proposed site in Greenwell Springs, L</w:t>
      </w:r>
      <w:r w:rsidR="00C41DBB" w:rsidRPr="00FD4E96">
        <w:rPr>
          <w:rFonts w:eastAsiaTheme="minorHAnsi"/>
          <w:szCs w:val="24"/>
        </w:rPr>
        <w:t>ouisiana</w:t>
      </w:r>
      <w:r w:rsidRPr="00FD4E96">
        <w:rPr>
          <w:rFonts w:eastAsiaTheme="minorHAnsi"/>
          <w:szCs w:val="24"/>
        </w:rPr>
        <w:t xml:space="preserve">.  In connection with that application, Sierra </w:t>
      </w:r>
      <w:r w:rsidR="00C41DBB" w:rsidRPr="00FD4E96">
        <w:rPr>
          <w:rFonts w:eastAsiaTheme="minorHAnsi"/>
          <w:szCs w:val="24"/>
        </w:rPr>
        <w:t>certified</w:t>
      </w:r>
      <w:r w:rsidRPr="00FD4E96">
        <w:rPr>
          <w:rFonts w:eastAsiaTheme="minorHAnsi"/>
          <w:szCs w:val="24"/>
        </w:rPr>
        <w:t xml:space="preserve"> that it had completed an environmental review, </w:t>
      </w:r>
      <w:r w:rsidR="00C41DBB" w:rsidRPr="00FD4E96">
        <w:rPr>
          <w:rFonts w:eastAsiaTheme="minorHAnsi"/>
          <w:szCs w:val="24"/>
        </w:rPr>
        <w:t>that the tower did not require an EA under Section 1.1307, and that the project would not have a significant environmental impact.</w:t>
      </w:r>
      <w:r w:rsidRPr="00FD4E96">
        <w:rPr>
          <w:rFonts w:eastAsiaTheme="minorHAnsi"/>
          <w:szCs w:val="24"/>
        </w:rPr>
        <w:t xml:space="preserve">  On March 21, 2014, based on Sierra’s certification, the</w:t>
      </w:r>
      <w:r w:rsidR="00C41DBB" w:rsidRPr="00FD4E96">
        <w:rPr>
          <w:rFonts w:eastAsiaTheme="minorHAnsi"/>
          <w:szCs w:val="24"/>
        </w:rPr>
        <w:t xml:space="preserve"> Wireless Telecommunications Bureau</w:t>
      </w:r>
      <w:r w:rsidRPr="00FD4E96">
        <w:rPr>
          <w:rFonts w:eastAsiaTheme="minorHAnsi"/>
          <w:szCs w:val="24"/>
        </w:rPr>
        <w:t xml:space="preserve"> </w:t>
      </w:r>
      <w:r w:rsidR="00C41DBB" w:rsidRPr="00FD4E96">
        <w:rPr>
          <w:rFonts w:eastAsiaTheme="minorHAnsi"/>
          <w:szCs w:val="24"/>
        </w:rPr>
        <w:t>(</w:t>
      </w:r>
      <w:r w:rsidRPr="00FD4E96">
        <w:rPr>
          <w:rFonts w:eastAsiaTheme="minorHAnsi"/>
          <w:szCs w:val="24"/>
        </w:rPr>
        <w:t>Bureau</w:t>
      </w:r>
      <w:r w:rsidR="00C41DBB" w:rsidRPr="00FD4E96">
        <w:rPr>
          <w:rFonts w:eastAsiaTheme="minorHAnsi"/>
          <w:szCs w:val="24"/>
        </w:rPr>
        <w:t>)</w:t>
      </w:r>
      <w:r w:rsidR="00D814C4" w:rsidRPr="00FD4E96">
        <w:rPr>
          <w:rFonts w:eastAsiaTheme="minorHAnsi"/>
          <w:szCs w:val="24"/>
        </w:rPr>
        <w:t xml:space="preserve"> </w:t>
      </w:r>
      <w:r w:rsidRPr="00FD4E96">
        <w:rPr>
          <w:rFonts w:eastAsiaTheme="minorHAnsi"/>
          <w:szCs w:val="24"/>
        </w:rPr>
        <w:t>granted its application and issued a registration.</w:t>
      </w:r>
      <w:r w:rsidRPr="00FD4E96">
        <w:rPr>
          <w:rFonts w:eastAsiaTheme="minorHAnsi"/>
          <w:szCs w:val="24"/>
          <w:vertAlign w:val="superscript"/>
        </w:rPr>
        <w:footnoteReference w:id="15"/>
      </w:r>
    </w:p>
    <w:p w14:paraId="3A730832" w14:textId="77777777" w:rsidR="002773F2" w:rsidRPr="00FD4E96" w:rsidRDefault="002773F2" w:rsidP="002773F2">
      <w:pPr>
        <w:ind w:firstLine="720"/>
        <w:rPr>
          <w:rFonts w:eastAsiaTheme="minorHAnsi"/>
          <w:szCs w:val="24"/>
        </w:rPr>
      </w:pPr>
    </w:p>
    <w:p w14:paraId="2F31E760" w14:textId="3E8D7680" w:rsidR="002773F2" w:rsidRPr="00FD4E96" w:rsidRDefault="002773F2" w:rsidP="00BD7C06">
      <w:pPr>
        <w:ind w:firstLine="720"/>
        <w:rPr>
          <w:rFonts w:eastAsiaTheme="minorHAnsi"/>
          <w:szCs w:val="24"/>
        </w:rPr>
      </w:pPr>
      <w:r w:rsidRPr="00FD4E96">
        <w:rPr>
          <w:rFonts w:eastAsiaTheme="minorHAnsi"/>
          <w:szCs w:val="24"/>
        </w:rPr>
        <w:t>On July 3, 2014, Sierra submitted, with no explanation and without any reference to the earlier application that had already</w:t>
      </w:r>
      <w:r w:rsidR="00C41DBB" w:rsidRPr="00FD4E96">
        <w:rPr>
          <w:rFonts w:eastAsiaTheme="minorHAnsi"/>
          <w:szCs w:val="24"/>
        </w:rPr>
        <w:t xml:space="preserve"> been</w:t>
      </w:r>
      <w:r w:rsidRPr="00FD4E96">
        <w:rPr>
          <w:rFonts w:eastAsiaTheme="minorHAnsi"/>
          <w:szCs w:val="24"/>
        </w:rPr>
        <w:t xml:space="preserve"> granted, another application for registration for the same tower.</w:t>
      </w:r>
      <w:r w:rsidRPr="00FD4E96">
        <w:rPr>
          <w:rFonts w:eastAsiaTheme="minorHAnsi"/>
          <w:szCs w:val="24"/>
          <w:vertAlign w:val="superscript"/>
        </w:rPr>
        <w:footnoteReference w:id="16"/>
      </w:r>
      <w:r w:rsidRPr="00FD4E96">
        <w:rPr>
          <w:rFonts w:eastAsiaTheme="minorHAnsi"/>
          <w:szCs w:val="24"/>
        </w:rPr>
        <w:t xml:space="preserve">  </w:t>
      </w:r>
      <w:r w:rsidR="00C41DBB" w:rsidRPr="00FD4E96">
        <w:rPr>
          <w:rFonts w:eastAsiaTheme="minorHAnsi"/>
          <w:szCs w:val="24"/>
        </w:rPr>
        <w:t>With this application, Sierra submitted an EA showing that the tower would be located in</w:t>
      </w:r>
      <w:r w:rsidR="00AC4932" w:rsidRPr="00FD4E96">
        <w:rPr>
          <w:rFonts w:eastAsiaTheme="minorHAnsi"/>
          <w:szCs w:val="24"/>
        </w:rPr>
        <w:t xml:space="preserve"> a flood</w:t>
      </w:r>
      <w:r w:rsidRPr="00FD4E96">
        <w:rPr>
          <w:rFonts w:eastAsiaTheme="minorHAnsi"/>
          <w:szCs w:val="24"/>
        </w:rPr>
        <w:t>plain</w:t>
      </w:r>
      <w:r w:rsidR="00C41DBB" w:rsidRPr="00FD4E96">
        <w:rPr>
          <w:rFonts w:eastAsiaTheme="minorHAnsi"/>
          <w:szCs w:val="24"/>
        </w:rPr>
        <w:t>.</w:t>
      </w:r>
      <w:r w:rsidR="008D43BE" w:rsidRPr="00FD4E96">
        <w:rPr>
          <w:rFonts w:eastAsiaTheme="minorHAnsi"/>
          <w:szCs w:val="24"/>
        </w:rPr>
        <w:t xml:space="preserve">  In addition, documentation attached to the EA</w:t>
      </w:r>
      <w:r w:rsidR="00F1456A" w:rsidRPr="00FD4E96">
        <w:rPr>
          <w:rFonts w:eastAsiaTheme="minorHAnsi"/>
          <w:szCs w:val="24"/>
        </w:rPr>
        <w:t xml:space="preserve"> demonstrates that Sierra had no</w:t>
      </w:r>
      <w:r w:rsidR="008D43BE" w:rsidRPr="00FD4E96">
        <w:rPr>
          <w:rFonts w:eastAsiaTheme="minorHAnsi"/>
          <w:szCs w:val="24"/>
        </w:rPr>
        <w:t>t completed other aspects of the environmental and historic preservation review prior to certifying in its initial application that the tower would not have a significant environmental impact.  After initially issuing</w:t>
      </w:r>
      <w:r w:rsidRPr="00FD4E96">
        <w:rPr>
          <w:rFonts w:eastAsiaTheme="minorHAnsi"/>
          <w:szCs w:val="24"/>
        </w:rPr>
        <w:t xml:space="preserve"> a Finding of No Significant Impact (FONSI) </w:t>
      </w:r>
      <w:r w:rsidR="008D43BE" w:rsidRPr="00FD4E96">
        <w:rPr>
          <w:rFonts w:eastAsiaTheme="minorHAnsi"/>
          <w:szCs w:val="24"/>
        </w:rPr>
        <w:t>and granting the second application,</w:t>
      </w:r>
      <w:r w:rsidR="005915B4" w:rsidRPr="00FD4E96">
        <w:rPr>
          <w:rFonts w:eastAsiaTheme="minorHAnsi"/>
          <w:szCs w:val="24"/>
          <w:vertAlign w:val="superscript"/>
        </w:rPr>
        <w:footnoteReference w:id="17"/>
      </w:r>
      <w:r w:rsidR="008D43BE" w:rsidRPr="00FD4E96">
        <w:rPr>
          <w:rFonts w:eastAsiaTheme="minorHAnsi"/>
          <w:szCs w:val="24"/>
        </w:rPr>
        <w:t xml:space="preserve"> Bureau staff discovered the duplication</w:t>
      </w:r>
      <w:r w:rsidR="00FD4E96">
        <w:rPr>
          <w:rFonts w:eastAsiaTheme="minorHAnsi"/>
          <w:szCs w:val="24"/>
        </w:rPr>
        <w:t xml:space="preserve"> and</w:t>
      </w:r>
      <w:r w:rsidR="00BD7C06" w:rsidRPr="00FD4E96">
        <w:rPr>
          <w:rFonts w:eastAsiaTheme="minorHAnsi"/>
          <w:szCs w:val="24"/>
        </w:rPr>
        <w:t xml:space="preserve"> </w:t>
      </w:r>
      <w:r w:rsidR="008D43BE" w:rsidRPr="00FD4E96">
        <w:rPr>
          <w:rFonts w:eastAsiaTheme="minorHAnsi"/>
          <w:szCs w:val="24"/>
        </w:rPr>
        <w:t>rescinded the FONSI, and returned the second application to pending status for investigation.</w:t>
      </w:r>
      <w:r w:rsidR="005915B4" w:rsidRPr="00FD4E96">
        <w:rPr>
          <w:rFonts w:eastAsiaTheme="minorHAnsi"/>
          <w:szCs w:val="24"/>
          <w:vertAlign w:val="superscript"/>
        </w:rPr>
        <w:footnoteReference w:id="18"/>
      </w:r>
      <w:r w:rsidR="00BD7C06" w:rsidRPr="00FD4E96">
        <w:rPr>
          <w:rFonts w:eastAsiaTheme="minorHAnsi"/>
          <w:szCs w:val="24"/>
        </w:rPr>
        <w:t xml:space="preserve">  Ultimately, </w:t>
      </w:r>
      <w:r w:rsidR="00FD4E96">
        <w:rPr>
          <w:rFonts w:eastAsiaTheme="minorHAnsi"/>
          <w:szCs w:val="24"/>
        </w:rPr>
        <w:t xml:space="preserve">the Bureau </w:t>
      </w:r>
      <w:r w:rsidR="008D43BE" w:rsidRPr="00FD4E96">
        <w:rPr>
          <w:rFonts w:eastAsiaTheme="minorHAnsi"/>
          <w:szCs w:val="24"/>
        </w:rPr>
        <w:t>canceled the initial registration,</w:t>
      </w:r>
      <w:r w:rsidR="00BD7C06" w:rsidRPr="00FD4E96">
        <w:rPr>
          <w:rFonts w:eastAsiaTheme="minorHAnsi"/>
          <w:szCs w:val="24"/>
        </w:rPr>
        <w:t xml:space="preserve"> </w:t>
      </w:r>
      <w:r w:rsidR="008D43BE" w:rsidRPr="00FD4E96">
        <w:rPr>
          <w:rFonts w:eastAsiaTheme="minorHAnsi"/>
          <w:szCs w:val="24"/>
        </w:rPr>
        <w:t>reinstated the FONSI, and</w:t>
      </w:r>
      <w:r w:rsidR="00FD4E96">
        <w:rPr>
          <w:rFonts w:eastAsiaTheme="minorHAnsi"/>
          <w:szCs w:val="24"/>
        </w:rPr>
        <w:t xml:space="preserve"> </w:t>
      </w:r>
      <w:r w:rsidR="008D43BE" w:rsidRPr="00FD4E96">
        <w:rPr>
          <w:rFonts w:eastAsiaTheme="minorHAnsi"/>
          <w:szCs w:val="24"/>
        </w:rPr>
        <w:t>granted the second application.</w:t>
      </w:r>
      <w:r w:rsidRPr="00FD4E96">
        <w:rPr>
          <w:rFonts w:eastAsiaTheme="minorHAnsi"/>
          <w:szCs w:val="24"/>
          <w:vertAlign w:val="superscript"/>
        </w:rPr>
        <w:footnoteReference w:id="19"/>
      </w:r>
      <w:r w:rsidRPr="00FD4E96">
        <w:rPr>
          <w:rFonts w:eastAsiaTheme="minorHAnsi"/>
          <w:szCs w:val="24"/>
        </w:rPr>
        <w:t xml:space="preserve">  </w:t>
      </w:r>
    </w:p>
    <w:p w14:paraId="288610A3" w14:textId="77777777" w:rsidR="002773F2" w:rsidRPr="00FD4E96" w:rsidRDefault="002773F2" w:rsidP="002773F2">
      <w:pPr>
        <w:ind w:firstLine="720"/>
        <w:rPr>
          <w:rFonts w:eastAsiaTheme="minorHAnsi"/>
          <w:szCs w:val="24"/>
        </w:rPr>
      </w:pPr>
    </w:p>
    <w:p w14:paraId="70F8B68D" w14:textId="7D0742C1" w:rsidR="002773F2" w:rsidRPr="00FD4E96" w:rsidRDefault="0061639A" w:rsidP="002773F2">
      <w:pPr>
        <w:ind w:firstLine="720"/>
        <w:rPr>
          <w:szCs w:val="24"/>
        </w:rPr>
      </w:pPr>
      <w:r w:rsidRPr="00FD4E96">
        <w:rPr>
          <w:rFonts w:eastAsiaTheme="minorHAnsi"/>
          <w:szCs w:val="24"/>
        </w:rPr>
        <w:t xml:space="preserve">These facts demonstrate that in submitting its initial ASR application and certifying to no significant environmental impact, </w:t>
      </w:r>
      <w:r w:rsidR="002773F2" w:rsidRPr="00FD4E96">
        <w:rPr>
          <w:rFonts w:eastAsiaTheme="minorHAnsi"/>
          <w:szCs w:val="24"/>
        </w:rPr>
        <w:t xml:space="preserve">Sierra violated </w:t>
      </w:r>
      <w:r w:rsidRPr="00FD4E96">
        <w:rPr>
          <w:rFonts w:eastAsiaTheme="minorHAnsi"/>
          <w:szCs w:val="24"/>
        </w:rPr>
        <w:t>several</w:t>
      </w:r>
      <w:r w:rsidR="002773F2" w:rsidRPr="00FD4E96">
        <w:rPr>
          <w:rFonts w:eastAsiaTheme="minorHAnsi"/>
          <w:szCs w:val="24"/>
        </w:rPr>
        <w:t xml:space="preserve"> of</w:t>
      </w:r>
      <w:r w:rsidRPr="00FD4E96">
        <w:rPr>
          <w:rFonts w:eastAsiaTheme="minorHAnsi"/>
          <w:szCs w:val="24"/>
        </w:rPr>
        <w:t xml:space="preserve"> the</w:t>
      </w:r>
      <w:r w:rsidR="002773F2" w:rsidRPr="00FD4E96">
        <w:rPr>
          <w:rFonts w:eastAsiaTheme="minorHAnsi"/>
          <w:szCs w:val="24"/>
        </w:rPr>
        <w:t xml:space="preserve"> Commission</w:t>
      </w:r>
      <w:r w:rsidRPr="00FD4E96">
        <w:rPr>
          <w:rFonts w:eastAsiaTheme="minorHAnsi"/>
          <w:szCs w:val="24"/>
        </w:rPr>
        <w:t>’s</w:t>
      </w:r>
      <w:r w:rsidR="002773F2" w:rsidRPr="00FD4E96">
        <w:rPr>
          <w:rFonts w:eastAsiaTheme="minorHAnsi"/>
          <w:szCs w:val="24"/>
        </w:rPr>
        <w:t xml:space="preserve"> rules</w:t>
      </w:r>
      <w:r w:rsidRPr="00FD4E96">
        <w:rPr>
          <w:rFonts w:eastAsiaTheme="minorHAnsi"/>
          <w:szCs w:val="24"/>
        </w:rPr>
        <w:t>.  First, Sierra failed to submit an EA and certified that no EA was needed even though the tower was to be located in a floodplain, which necessi</w:t>
      </w:r>
      <w:r w:rsidR="00BD7C06" w:rsidRPr="00FD4E96">
        <w:rPr>
          <w:rFonts w:eastAsiaTheme="minorHAnsi"/>
          <w:szCs w:val="24"/>
        </w:rPr>
        <w:t>tates an EA under Section 1.1307(c)(6)</w:t>
      </w:r>
      <w:r w:rsidRPr="00FD4E96">
        <w:rPr>
          <w:rFonts w:eastAsiaTheme="minorHAnsi"/>
          <w:szCs w:val="24"/>
        </w:rPr>
        <w:t>.</w:t>
      </w:r>
      <w:r w:rsidRPr="00FD4E96">
        <w:rPr>
          <w:rStyle w:val="FootnoteReference"/>
          <w:rFonts w:eastAsiaTheme="minorHAnsi"/>
          <w:szCs w:val="24"/>
        </w:rPr>
        <w:footnoteReference w:id="20"/>
      </w:r>
      <w:r w:rsidR="002773F2" w:rsidRPr="00FD4E96">
        <w:rPr>
          <w:rFonts w:eastAsiaTheme="minorHAnsi"/>
          <w:szCs w:val="24"/>
        </w:rPr>
        <w:t xml:space="preserve"> </w:t>
      </w:r>
      <w:r w:rsidRPr="00FD4E96">
        <w:rPr>
          <w:rFonts w:eastAsiaTheme="minorHAnsi"/>
          <w:szCs w:val="24"/>
        </w:rPr>
        <w:t xml:space="preserve"> In addition, at the time of this certification, Sierra had not completed the required review for several other potential significant environmental impacts, and therefore it could not have known whether an</w:t>
      </w:r>
      <w:r w:rsidR="002773F2" w:rsidRPr="00FD4E96">
        <w:rPr>
          <w:rFonts w:eastAsiaTheme="minorHAnsi"/>
          <w:szCs w:val="24"/>
        </w:rPr>
        <w:t xml:space="preserve"> EA was required </w:t>
      </w:r>
      <w:r w:rsidRPr="00FD4E96">
        <w:rPr>
          <w:rFonts w:eastAsiaTheme="minorHAnsi"/>
          <w:szCs w:val="24"/>
        </w:rPr>
        <w:t>for these reasons.</w:t>
      </w:r>
      <w:r w:rsidRPr="00FD4E96">
        <w:rPr>
          <w:rStyle w:val="FootnoteReference"/>
          <w:rFonts w:eastAsiaTheme="minorHAnsi"/>
          <w:szCs w:val="24"/>
        </w:rPr>
        <w:footnoteReference w:id="21"/>
      </w:r>
      <w:r w:rsidRPr="00FD4E96">
        <w:rPr>
          <w:rFonts w:eastAsiaTheme="minorHAnsi"/>
          <w:szCs w:val="24"/>
        </w:rPr>
        <w:t xml:space="preserve"> </w:t>
      </w:r>
      <w:r w:rsidR="00F1456A" w:rsidRPr="00FD4E96">
        <w:rPr>
          <w:rFonts w:eastAsiaTheme="minorHAnsi"/>
          <w:szCs w:val="24"/>
        </w:rPr>
        <w:t xml:space="preserve"> </w:t>
      </w:r>
      <w:r w:rsidRPr="00FD4E96">
        <w:rPr>
          <w:rFonts w:eastAsiaTheme="minorHAnsi"/>
          <w:szCs w:val="24"/>
        </w:rPr>
        <w:t xml:space="preserve">For example, although Sierra certified to no significant environmental impact on March 23, 2014, the Louisiana State Historic Preservation Officer did not find that the tower would not have an adverse effect on historic properties until March 25, 2014, </w:t>
      </w:r>
      <w:r w:rsidR="00BD7C06" w:rsidRPr="00FD4E96">
        <w:rPr>
          <w:rFonts w:eastAsiaTheme="minorHAnsi"/>
          <w:szCs w:val="24"/>
        </w:rPr>
        <w:t>and Tribal Nations did not complete their review until May 14, 2014.</w:t>
      </w:r>
      <w:r w:rsidR="00BD7C06" w:rsidRPr="00FD4E96">
        <w:rPr>
          <w:rStyle w:val="FootnoteReference"/>
          <w:rFonts w:eastAsiaTheme="minorHAnsi"/>
          <w:szCs w:val="24"/>
        </w:rPr>
        <w:footnoteReference w:id="22"/>
      </w:r>
      <w:r w:rsidR="00BD7C06" w:rsidRPr="00FD4E96">
        <w:rPr>
          <w:rFonts w:eastAsiaTheme="minorHAnsi"/>
          <w:szCs w:val="24"/>
        </w:rPr>
        <w:t xml:space="preserve"> </w:t>
      </w:r>
      <w:r w:rsidR="00F1456A" w:rsidRPr="00FD4E96">
        <w:rPr>
          <w:rFonts w:eastAsiaTheme="minorHAnsi"/>
          <w:szCs w:val="24"/>
        </w:rPr>
        <w:t xml:space="preserve"> </w:t>
      </w:r>
      <w:r w:rsidR="00BD7C06" w:rsidRPr="00FD4E96">
        <w:rPr>
          <w:rFonts w:eastAsiaTheme="minorHAnsi"/>
          <w:szCs w:val="24"/>
        </w:rPr>
        <w:t>Similarly, the U.S. Fish and Wildlife Service did not provide its evaluation of impact on endangered species until after Sierra’s certification.</w:t>
      </w:r>
      <w:r w:rsidR="00C150B7" w:rsidRPr="00FD4E96">
        <w:rPr>
          <w:rStyle w:val="FootnoteReference"/>
          <w:rFonts w:eastAsiaTheme="minorHAnsi"/>
          <w:szCs w:val="24"/>
        </w:rPr>
        <w:footnoteReference w:id="23"/>
      </w:r>
      <w:r w:rsidR="00C150B7" w:rsidRPr="00FD4E96">
        <w:rPr>
          <w:rFonts w:eastAsiaTheme="minorHAnsi"/>
          <w:szCs w:val="24"/>
        </w:rPr>
        <w:t xml:space="preserve">  Under these facts, Sierra’s certification that the tower would have no significant environmental impacts constituted a material misstatement of fact without a reasonable basis for believing that the statement was correct and not misleading.</w:t>
      </w:r>
      <w:r w:rsidR="00C150B7" w:rsidRPr="00FD4E96">
        <w:rPr>
          <w:rStyle w:val="FootnoteReference"/>
          <w:rFonts w:eastAsiaTheme="minorHAnsi"/>
          <w:szCs w:val="24"/>
        </w:rPr>
        <w:footnoteReference w:id="24"/>
      </w:r>
    </w:p>
    <w:p w14:paraId="498D1A8D" w14:textId="77777777" w:rsidR="008206A0" w:rsidRPr="00FD4E96" w:rsidRDefault="008206A0" w:rsidP="008206A0">
      <w:pPr>
        <w:ind w:firstLine="720"/>
        <w:rPr>
          <w:szCs w:val="24"/>
        </w:rPr>
      </w:pPr>
    </w:p>
    <w:p w14:paraId="32EAABEB" w14:textId="1A98DE13" w:rsidR="001835F7" w:rsidRPr="00FD4E96" w:rsidRDefault="008206A0" w:rsidP="001835F7">
      <w:pPr>
        <w:ind w:firstLine="720"/>
        <w:rPr>
          <w:szCs w:val="24"/>
        </w:rPr>
      </w:pPr>
      <w:r w:rsidRPr="00FD4E96">
        <w:rPr>
          <w:szCs w:val="24"/>
        </w:rPr>
        <w:t xml:space="preserve">Based </w:t>
      </w:r>
      <w:r w:rsidR="006663F1" w:rsidRPr="00FD4E96">
        <w:rPr>
          <w:szCs w:val="24"/>
        </w:rPr>
        <w:t xml:space="preserve">on the information </w:t>
      </w:r>
      <w:r w:rsidR="008042B8" w:rsidRPr="00FD4E96">
        <w:rPr>
          <w:szCs w:val="24"/>
        </w:rPr>
        <w:t>Sierra</w:t>
      </w:r>
      <w:r w:rsidR="006663F1" w:rsidRPr="00FD4E96">
        <w:rPr>
          <w:szCs w:val="24"/>
        </w:rPr>
        <w:t xml:space="preserve"> provided</w:t>
      </w:r>
      <w:r w:rsidRPr="00FD4E96">
        <w:rPr>
          <w:szCs w:val="24"/>
        </w:rPr>
        <w:t xml:space="preserve">, </w:t>
      </w:r>
      <w:r w:rsidR="006663F1" w:rsidRPr="00FD4E96">
        <w:rPr>
          <w:szCs w:val="24"/>
        </w:rPr>
        <w:t xml:space="preserve">we find that </w:t>
      </w:r>
      <w:r w:rsidR="008042B8" w:rsidRPr="00FD4E96">
        <w:rPr>
          <w:szCs w:val="24"/>
        </w:rPr>
        <w:t>Sierra</w:t>
      </w:r>
      <w:r w:rsidR="006663F1" w:rsidRPr="00FD4E96">
        <w:rPr>
          <w:szCs w:val="24"/>
        </w:rPr>
        <w:t xml:space="preserve"> </w:t>
      </w:r>
      <w:r w:rsidRPr="00FD4E96">
        <w:rPr>
          <w:szCs w:val="24"/>
        </w:rPr>
        <w:t>violated the Commission’s environmental</w:t>
      </w:r>
      <w:r w:rsidR="00BE2291" w:rsidRPr="00FD4E96">
        <w:rPr>
          <w:szCs w:val="24"/>
        </w:rPr>
        <w:t xml:space="preserve"> and ASR</w:t>
      </w:r>
      <w:r w:rsidR="006663F1" w:rsidRPr="00FD4E96">
        <w:rPr>
          <w:szCs w:val="24"/>
        </w:rPr>
        <w:t xml:space="preserve"> </w:t>
      </w:r>
      <w:r w:rsidRPr="00FD4E96">
        <w:rPr>
          <w:szCs w:val="24"/>
        </w:rPr>
        <w:t>regulations</w:t>
      </w:r>
      <w:r w:rsidR="00F1456A" w:rsidRPr="00FD4E96">
        <w:rPr>
          <w:szCs w:val="24"/>
        </w:rPr>
        <w:t>, as well as the regulation requiring truthful and accurate statements</w:t>
      </w:r>
      <w:r w:rsidR="00575E19" w:rsidRPr="00FD4E96">
        <w:rPr>
          <w:szCs w:val="24"/>
        </w:rPr>
        <w:t xml:space="preserve">.  </w:t>
      </w:r>
      <w:r w:rsidR="001835F7" w:rsidRPr="00FD4E96">
        <w:rPr>
          <w:szCs w:val="24"/>
        </w:rPr>
        <w:t>F</w:t>
      </w:r>
      <w:r w:rsidR="001835F7" w:rsidRPr="00FD4E96">
        <w:t>uture violations may result in additional action, including the imposition of monetary penalties, pursuant to the Wireless</w:t>
      </w:r>
      <w:r w:rsidR="00F1456A" w:rsidRPr="00FD4E96">
        <w:t xml:space="preserve"> Telecommunications</w:t>
      </w:r>
      <w:r w:rsidR="001835F7" w:rsidRPr="00FD4E96">
        <w:t xml:space="preserve"> Bureau’s authority under 47 C.F.R. § 0.111(a)(11) or via referral to the Commission’s Enforcement Bureau.  Furthermore, </w:t>
      </w:r>
      <w:r w:rsidR="00F1456A" w:rsidRPr="00FD4E96">
        <w:t>Sierra</w:t>
      </w:r>
      <w:r w:rsidR="001835F7" w:rsidRPr="00FD4E96">
        <w:t xml:space="preserve">’s conduct at issue in this letter may provide grounds for an upward adjustment in the amount of a penalty.  </w:t>
      </w:r>
    </w:p>
    <w:p w14:paraId="255B6937" w14:textId="77777777" w:rsidR="001835F7" w:rsidRPr="00FD4E96" w:rsidRDefault="001835F7" w:rsidP="008206A0">
      <w:pPr>
        <w:ind w:firstLine="720"/>
        <w:rPr>
          <w:szCs w:val="24"/>
        </w:rPr>
      </w:pPr>
    </w:p>
    <w:p w14:paraId="7AF101F2" w14:textId="375D03ED" w:rsidR="008206A0" w:rsidRPr="00FD4E96" w:rsidRDefault="008206A0" w:rsidP="008206A0">
      <w:pPr>
        <w:ind w:firstLine="720"/>
        <w:rPr>
          <w:szCs w:val="24"/>
        </w:rPr>
      </w:pPr>
      <w:r w:rsidRPr="00FD4E96">
        <w:rPr>
          <w:szCs w:val="24"/>
        </w:rPr>
        <w:t>Please direct any questions regarding this letter to Erica Rosenberg (</w:t>
      </w:r>
      <w:hyperlink r:id="rId9" w:history="1">
        <w:r w:rsidR="00592DB4" w:rsidRPr="00FD4E96">
          <w:rPr>
            <w:rStyle w:val="Hyperlink"/>
            <w:color w:val="auto"/>
            <w:szCs w:val="24"/>
          </w:rPr>
          <w:t>erica.rosenberg@fcc.gov</w:t>
        </w:r>
      </w:hyperlink>
      <w:r w:rsidRPr="00FD4E96">
        <w:rPr>
          <w:szCs w:val="24"/>
        </w:rPr>
        <w:t>, (202) 418-1343</w:t>
      </w:r>
      <w:r w:rsidR="00385211" w:rsidRPr="00FD4E96">
        <w:rPr>
          <w:szCs w:val="24"/>
        </w:rPr>
        <w:t>)</w:t>
      </w:r>
      <w:r w:rsidRPr="00FD4E96">
        <w:rPr>
          <w:szCs w:val="24"/>
        </w:rPr>
        <w:t>.</w:t>
      </w:r>
    </w:p>
    <w:p w14:paraId="0AE49B47" w14:textId="77777777" w:rsidR="008206A0" w:rsidRPr="00FD4E96" w:rsidRDefault="008206A0" w:rsidP="008206A0">
      <w:pPr>
        <w:rPr>
          <w:szCs w:val="24"/>
        </w:rPr>
      </w:pPr>
    </w:p>
    <w:p w14:paraId="7F2597BB" w14:textId="77777777" w:rsidR="008206A0" w:rsidRPr="00FD4E96" w:rsidRDefault="008206A0" w:rsidP="008206A0">
      <w:pPr>
        <w:tabs>
          <w:tab w:val="left" w:pos="-720"/>
        </w:tabs>
        <w:suppressAutoHyphens/>
        <w:rPr>
          <w:szCs w:val="24"/>
        </w:rPr>
      </w:pPr>
    </w:p>
    <w:p w14:paraId="60FB4D41" w14:textId="77777777" w:rsidR="00B52E02" w:rsidRPr="00FD4E96" w:rsidRDefault="008206A0" w:rsidP="008206A0">
      <w:pPr>
        <w:tabs>
          <w:tab w:val="left" w:pos="-720"/>
        </w:tabs>
        <w:suppressAutoHyphens/>
        <w:rPr>
          <w:szCs w:val="24"/>
        </w:rPr>
      </w:pPr>
      <w:r w:rsidRPr="00FD4E96">
        <w:rPr>
          <w:szCs w:val="24"/>
        </w:rPr>
        <w:tab/>
      </w:r>
      <w:r w:rsidRPr="00FD4E96">
        <w:rPr>
          <w:szCs w:val="24"/>
        </w:rPr>
        <w:tab/>
      </w:r>
      <w:r w:rsidRPr="00FD4E96">
        <w:rPr>
          <w:szCs w:val="24"/>
        </w:rPr>
        <w:tab/>
      </w:r>
      <w:r w:rsidRPr="00FD4E96">
        <w:rPr>
          <w:szCs w:val="24"/>
        </w:rPr>
        <w:tab/>
      </w:r>
      <w:r w:rsidRPr="00FD4E96">
        <w:rPr>
          <w:szCs w:val="24"/>
        </w:rPr>
        <w:tab/>
        <w:t xml:space="preserve">   </w:t>
      </w:r>
    </w:p>
    <w:p w14:paraId="603ACFD3" w14:textId="021FBE7F" w:rsidR="008206A0" w:rsidRPr="00FD4E96" w:rsidRDefault="00B52E02" w:rsidP="008206A0">
      <w:pPr>
        <w:tabs>
          <w:tab w:val="left" w:pos="-720"/>
        </w:tabs>
        <w:suppressAutoHyphens/>
        <w:rPr>
          <w:szCs w:val="24"/>
        </w:rPr>
      </w:pPr>
      <w:r w:rsidRPr="00FD4E96">
        <w:rPr>
          <w:szCs w:val="24"/>
        </w:rPr>
        <w:tab/>
      </w:r>
      <w:r w:rsidRPr="00FD4E96">
        <w:rPr>
          <w:szCs w:val="24"/>
        </w:rPr>
        <w:tab/>
      </w:r>
      <w:r w:rsidRPr="00FD4E96">
        <w:rPr>
          <w:szCs w:val="24"/>
        </w:rPr>
        <w:tab/>
      </w:r>
      <w:r w:rsidRPr="00FD4E96">
        <w:rPr>
          <w:szCs w:val="24"/>
        </w:rPr>
        <w:tab/>
      </w:r>
      <w:r w:rsidRPr="00FD4E96">
        <w:rPr>
          <w:szCs w:val="24"/>
        </w:rPr>
        <w:tab/>
      </w:r>
      <w:r w:rsidR="008206A0" w:rsidRPr="00FD4E96">
        <w:rPr>
          <w:szCs w:val="24"/>
        </w:rPr>
        <w:t xml:space="preserve">  </w:t>
      </w:r>
      <w:r w:rsidRPr="00FD4E96">
        <w:rPr>
          <w:szCs w:val="24"/>
        </w:rPr>
        <w:t xml:space="preserve">  </w:t>
      </w:r>
      <w:r w:rsidR="008206A0" w:rsidRPr="00FD4E96">
        <w:rPr>
          <w:szCs w:val="24"/>
        </w:rPr>
        <w:t>Sincerely,</w:t>
      </w:r>
    </w:p>
    <w:p w14:paraId="4B43CB43" w14:textId="77777777" w:rsidR="008206A0" w:rsidRPr="00FD4E96" w:rsidRDefault="008206A0" w:rsidP="008206A0">
      <w:pPr>
        <w:pStyle w:val="Header"/>
        <w:tabs>
          <w:tab w:val="clear" w:pos="4320"/>
          <w:tab w:val="clear" w:pos="8640"/>
        </w:tabs>
        <w:rPr>
          <w:szCs w:val="24"/>
        </w:rPr>
      </w:pPr>
    </w:p>
    <w:p w14:paraId="02D99B9D" w14:textId="77777777" w:rsidR="008206A0" w:rsidRPr="00FD4E96" w:rsidRDefault="008206A0" w:rsidP="008206A0">
      <w:pPr>
        <w:pStyle w:val="Header"/>
        <w:tabs>
          <w:tab w:val="clear" w:pos="4320"/>
          <w:tab w:val="clear" w:pos="8640"/>
        </w:tabs>
        <w:rPr>
          <w:szCs w:val="24"/>
        </w:rPr>
      </w:pPr>
    </w:p>
    <w:p w14:paraId="71339A71" w14:textId="77777777" w:rsidR="008206A0" w:rsidRPr="00FD4E96" w:rsidRDefault="008206A0" w:rsidP="008206A0">
      <w:pPr>
        <w:rPr>
          <w:szCs w:val="24"/>
        </w:rPr>
      </w:pPr>
    </w:p>
    <w:p w14:paraId="63B8DB09" w14:textId="77777777" w:rsidR="008206A0" w:rsidRPr="00FD4E96" w:rsidRDefault="008206A0" w:rsidP="008206A0">
      <w:pPr>
        <w:ind w:left="2880" w:firstLine="720"/>
        <w:rPr>
          <w:b/>
          <w:szCs w:val="24"/>
        </w:rPr>
      </w:pPr>
      <w:r w:rsidRPr="00FD4E96">
        <w:rPr>
          <w:b/>
          <w:szCs w:val="24"/>
        </w:rPr>
        <w:t xml:space="preserve">     </w:t>
      </w:r>
    </w:p>
    <w:p w14:paraId="45B7CE19" w14:textId="77777777" w:rsidR="008206A0" w:rsidRPr="00FD4E96" w:rsidRDefault="008206A0" w:rsidP="008206A0">
      <w:pPr>
        <w:ind w:left="3600"/>
        <w:rPr>
          <w:szCs w:val="24"/>
        </w:rPr>
      </w:pPr>
      <w:r w:rsidRPr="00FD4E96">
        <w:rPr>
          <w:szCs w:val="24"/>
        </w:rPr>
        <w:t xml:space="preserve">     Jeffrey S. Steinberg</w:t>
      </w:r>
    </w:p>
    <w:p w14:paraId="376A6927" w14:textId="77777777" w:rsidR="00F242C0" w:rsidRPr="00FD4E96" w:rsidRDefault="008206A0" w:rsidP="008206A0">
      <w:pPr>
        <w:ind w:left="3600"/>
        <w:rPr>
          <w:szCs w:val="24"/>
        </w:rPr>
      </w:pPr>
      <w:r w:rsidRPr="00FD4E96">
        <w:rPr>
          <w:szCs w:val="24"/>
        </w:rPr>
        <w:t xml:space="preserve">     Deputy Chief</w:t>
      </w:r>
    </w:p>
    <w:p w14:paraId="1F300698" w14:textId="5A23298F" w:rsidR="008206A0" w:rsidRPr="00FD4E96" w:rsidRDefault="001B3720" w:rsidP="001B3720">
      <w:pPr>
        <w:ind w:left="3600"/>
        <w:rPr>
          <w:szCs w:val="24"/>
        </w:rPr>
      </w:pPr>
      <w:r w:rsidRPr="00FD4E96">
        <w:rPr>
          <w:szCs w:val="24"/>
        </w:rPr>
        <w:t xml:space="preserve">     </w:t>
      </w:r>
      <w:r w:rsidR="008206A0" w:rsidRPr="00FD4E96">
        <w:rPr>
          <w:szCs w:val="24"/>
        </w:rPr>
        <w:t xml:space="preserve">Competition </w:t>
      </w:r>
      <w:r w:rsidR="00F242C0" w:rsidRPr="00FD4E96">
        <w:rPr>
          <w:szCs w:val="24"/>
        </w:rPr>
        <w:t xml:space="preserve">and Infrastructure </w:t>
      </w:r>
      <w:r w:rsidR="008206A0" w:rsidRPr="00FD4E96">
        <w:rPr>
          <w:szCs w:val="24"/>
        </w:rPr>
        <w:t>Policy Division</w:t>
      </w:r>
    </w:p>
    <w:p w14:paraId="1079A69A" w14:textId="77777777" w:rsidR="008206A0" w:rsidRPr="00FD4E96" w:rsidRDefault="008206A0" w:rsidP="008206A0">
      <w:pPr>
        <w:ind w:left="2880" w:firstLine="720"/>
        <w:rPr>
          <w:szCs w:val="24"/>
        </w:rPr>
      </w:pPr>
      <w:r w:rsidRPr="00FD4E96">
        <w:rPr>
          <w:szCs w:val="24"/>
        </w:rPr>
        <w:t xml:space="preserve">     Wireless Telecommunications Bureau</w:t>
      </w:r>
    </w:p>
    <w:p w14:paraId="25F909F5" w14:textId="77777777" w:rsidR="008206A0" w:rsidRPr="00FD4E96" w:rsidRDefault="008206A0" w:rsidP="008206A0">
      <w:pPr>
        <w:rPr>
          <w:szCs w:val="24"/>
        </w:rPr>
      </w:pPr>
      <w:r w:rsidRPr="00FD4E96">
        <w:rPr>
          <w:szCs w:val="24"/>
        </w:rPr>
        <w:t xml:space="preserve">    </w:t>
      </w:r>
      <w:r w:rsidRPr="00FD4E96">
        <w:rPr>
          <w:szCs w:val="24"/>
        </w:rPr>
        <w:tab/>
      </w:r>
      <w:r w:rsidRPr="00FD4E96">
        <w:rPr>
          <w:szCs w:val="24"/>
        </w:rPr>
        <w:tab/>
      </w:r>
      <w:r w:rsidRPr="00FD4E96">
        <w:rPr>
          <w:szCs w:val="24"/>
        </w:rPr>
        <w:tab/>
      </w:r>
      <w:r w:rsidRPr="00FD4E96">
        <w:rPr>
          <w:szCs w:val="24"/>
        </w:rPr>
        <w:tab/>
      </w:r>
      <w:r w:rsidRPr="00FD4E96">
        <w:rPr>
          <w:szCs w:val="24"/>
        </w:rPr>
        <w:tab/>
        <w:t xml:space="preserve">     </w:t>
      </w:r>
      <w:r w:rsidRPr="00FD4E96">
        <w:rPr>
          <w:szCs w:val="24"/>
        </w:rPr>
        <w:tab/>
      </w:r>
    </w:p>
    <w:p w14:paraId="5DFFD5B1" w14:textId="77777777" w:rsidR="008206A0" w:rsidRPr="00FD4E96" w:rsidRDefault="008206A0" w:rsidP="008206A0">
      <w:pPr>
        <w:rPr>
          <w:szCs w:val="24"/>
        </w:rPr>
      </w:pPr>
    </w:p>
    <w:p w14:paraId="7CE75C28" w14:textId="77777777" w:rsidR="00D814C4" w:rsidRPr="00FD4E96" w:rsidRDefault="00F1456A" w:rsidP="008206A0">
      <w:r w:rsidRPr="00FD4E96">
        <w:t>cc: Marjorie Spivak, Esq.</w:t>
      </w:r>
    </w:p>
    <w:p w14:paraId="705CB71E" w14:textId="52C76689" w:rsidR="00F1456A" w:rsidRPr="00FD4E96" w:rsidRDefault="00F1456A" w:rsidP="00F90803">
      <w:pPr>
        <w:ind w:firstLine="360"/>
      </w:pPr>
      <w:r w:rsidRPr="00FD4E96">
        <w:t>Bennet &amp; Bennet</w:t>
      </w:r>
    </w:p>
    <w:p w14:paraId="39C5BBE3" w14:textId="7F3C7B8D" w:rsidR="00F1456A" w:rsidRPr="00FD4E96" w:rsidRDefault="00F1456A" w:rsidP="00F90803">
      <w:pPr>
        <w:ind w:firstLine="360"/>
      </w:pPr>
      <w:r w:rsidRPr="00FD4E96">
        <w:t>6124 MacArthur Boulevard</w:t>
      </w:r>
    </w:p>
    <w:p w14:paraId="4DFD0883" w14:textId="4E5CDAFD" w:rsidR="00F1456A" w:rsidRPr="00FD4E96" w:rsidRDefault="00F1456A" w:rsidP="00F90803">
      <w:pPr>
        <w:ind w:firstLine="360"/>
        <w:rPr>
          <w:szCs w:val="24"/>
        </w:rPr>
      </w:pPr>
      <w:r w:rsidRPr="00FD4E96">
        <w:t>Bethesda, MD  20816</w:t>
      </w:r>
    </w:p>
    <w:p w14:paraId="6C2F17AF" w14:textId="77777777" w:rsidR="003C128E" w:rsidRPr="00FD4E96" w:rsidRDefault="003C128E"/>
    <w:sectPr w:rsidR="003C128E" w:rsidRPr="00FD4E96" w:rsidSect="003C12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0EDB" w14:textId="77777777" w:rsidR="00503F5D" w:rsidRDefault="00503F5D" w:rsidP="008206A0">
      <w:r>
        <w:separator/>
      </w:r>
    </w:p>
  </w:endnote>
  <w:endnote w:type="continuationSeparator" w:id="0">
    <w:p w14:paraId="56D3A93D" w14:textId="77777777" w:rsidR="00503F5D" w:rsidRDefault="00503F5D" w:rsidP="008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FD34" w14:textId="77777777" w:rsidR="003C128E" w:rsidRDefault="008B7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164">
      <w:rPr>
        <w:rStyle w:val="PageNumber"/>
        <w:noProof/>
      </w:rPr>
      <w:t>1</w:t>
    </w:r>
    <w:r>
      <w:rPr>
        <w:rStyle w:val="PageNumber"/>
      </w:rPr>
      <w:fldChar w:fldCharType="end"/>
    </w:r>
  </w:p>
  <w:p w14:paraId="448E978C" w14:textId="77777777" w:rsidR="003C128E" w:rsidRDefault="003C1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8BAC" w14:textId="77777777" w:rsidR="003C128E" w:rsidRDefault="003C128E">
    <w:pPr>
      <w:pStyle w:val="Footer"/>
      <w:framePr w:wrap="around" w:vAnchor="text" w:hAnchor="margin" w:xAlign="center" w:y="1"/>
      <w:rPr>
        <w:rStyle w:val="PageNumber"/>
      </w:rPr>
    </w:pPr>
  </w:p>
  <w:p w14:paraId="0F4F1F40" w14:textId="77777777" w:rsidR="003C128E" w:rsidRDefault="003C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00DC" w14:textId="77777777" w:rsidR="002A5164" w:rsidRDefault="002A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F6F3" w14:textId="77777777" w:rsidR="00503F5D" w:rsidRDefault="00503F5D" w:rsidP="008206A0">
      <w:r>
        <w:separator/>
      </w:r>
    </w:p>
  </w:footnote>
  <w:footnote w:type="continuationSeparator" w:id="0">
    <w:p w14:paraId="01E683AA" w14:textId="77777777" w:rsidR="00503F5D" w:rsidRDefault="00503F5D" w:rsidP="008206A0">
      <w:r>
        <w:continuationSeparator/>
      </w:r>
    </w:p>
  </w:footnote>
  <w:footnote w:id="1">
    <w:p w14:paraId="4AC66F17" w14:textId="7DF0B907" w:rsidR="008206A0" w:rsidRPr="00D814C4" w:rsidRDefault="008206A0" w:rsidP="00FD4E96">
      <w:pPr>
        <w:pStyle w:val="FootnoteText"/>
        <w:spacing w:after="120"/>
        <w:rPr>
          <w:i/>
        </w:rPr>
      </w:pPr>
      <w:r>
        <w:rPr>
          <w:rStyle w:val="FootnoteReference"/>
        </w:rPr>
        <w:footnoteRef/>
      </w:r>
      <w:r>
        <w:t xml:space="preserve"> </w:t>
      </w:r>
      <w:r>
        <w:rPr>
          <w:i/>
        </w:rPr>
        <w:t xml:space="preserve">See </w:t>
      </w:r>
      <w:r w:rsidR="00E34A69">
        <w:t xml:space="preserve">47 C.F.R. §§ 1.1301 </w:t>
      </w:r>
      <w:r w:rsidR="00E34A69">
        <w:rPr>
          <w:i/>
        </w:rPr>
        <w:t>et seq.</w:t>
      </w:r>
      <w:r w:rsidR="00E34A69" w:rsidRPr="00E75A28">
        <w:t>;</w:t>
      </w:r>
      <w:r w:rsidR="00E34A69">
        <w:rPr>
          <w:i/>
        </w:rPr>
        <w:t xml:space="preserve"> see also </w:t>
      </w:r>
      <w:r w:rsidRPr="000A3DE2">
        <w:t xml:space="preserve">42 U.S.C. </w:t>
      </w:r>
      <w:r w:rsidR="008B7D71" w:rsidRPr="000A3DE2">
        <w:t>§</w:t>
      </w:r>
      <w:r w:rsidRPr="000A3DE2">
        <w:t>§</w:t>
      </w:r>
      <w:r w:rsidR="008B7D71">
        <w:t xml:space="preserve"> </w:t>
      </w:r>
      <w:r w:rsidRPr="000A3DE2">
        <w:t xml:space="preserve">4321-4335.  NEPA requires that federal agencies consider the environmental effects of their </w:t>
      </w:r>
      <w:r w:rsidR="00E34A69">
        <w:t>major federal actions</w:t>
      </w:r>
      <w:r w:rsidRPr="000A3DE2">
        <w:t xml:space="preserve"> before taking action, including issuing permits, licenses, or approvals.</w:t>
      </w:r>
      <w:r w:rsidR="00E75A28">
        <w:t xml:space="preserve">  </w:t>
      </w:r>
      <w:r w:rsidR="00E75A28">
        <w:rPr>
          <w:i/>
        </w:rPr>
        <w:t xml:space="preserve">See also </w:t>
      </w:r>
      <w:r w:rsidR="00E75A28">
        <w:t xml:space="preserve">the National Historic Preservation Act, 54 U.S.C. §§ 300101 </w:t>
      </w:r>
      <w:r w:rsidR="00E75A28">
        <w:rPr>
          <w:i/>
        </w:rPr>
        <w:t>et seq.</w:t>
      </w:r>
    </w:p>
  </w:footnote>
  <w:footnote w:id="2">
    <w:p w14:paraId="5D7A16FA" w14:textId="04E1F125" w:rsidR="00A52179" w:rsidRPr="00086553" w:rsidRDefault="00A52179" w:rsidP="00FD4E96">
      <w:pPr>
        <w:pStyle w:val="FootnoteText"/>
        <w:spacing w:after="120"/>
      </w:pPr>
      <w:r w:rsidRPr="00086553">
        <w:rPr>
          <w:rStyle w:val="FootnoteReference"/>
        </w:rPr>
        <w:footnoteRef/>
      </w:r>
      <w:r w:rsidRPr="00086553">
        <w:t xml:space="preserve">  </w:t>
      </w:r>
      <w:r w:rsidRPr="00086553">
        <w:rPr>
          <w:i/>
        </w:rPr>
        <w:t>See</w:t>
      </w:r>
      <w:r w:rsidRPr="00086553">
        <w:t xml:space="preserve"> 47 C.F.R. Part 17</w:t>
      </w:r>
      <w:r w:rsidR="00FB0916">
        <w:t>.</w:t>
      </w:r>
    </w:p>
  </w:footnote>
  <w:footnote w:id="3">
    <w:p w14:paraId="2BC73581" w14:textId="1ABC0BF7" w:rsidR="00E75A28" w:rsidRPr="00086553" w:rsidRDefault="00E75A28" w:rsidP="00FD4E96">
      <w:pPr>
        <w:pStyle w:val="FootnoteText"/>
        <w:spacing w:after="120"/>
      </w:pPr>
      <w:r w:rsidRPr="00086553">
        <w:rPr>
          <w:rStyle w:val="FootnoteReference"/>
        </w:rPr>
        <w:footnoteRef/>
      </w:r>
      <w:r>
        <w:t xml:space="preserve"> 47 C.F.R. §</w:t>
      </w:r>
      <w:r w:rsidRPr="00086553">
        <w:t xml:space="preserve"> </w:t>
      </w:r>
      <w:r w:rsidRPr="00C27D0C">
        <w:t>1</w:t>
      </w:r>
      <w:r>
        <w:t>.17</w:t>
      </w:r>
      <w:r>
        <w:rPr>
          <w:i/>
        </w:rPr>
        <w:t>.</w:t>
      </w:r>
    </w:p>
  </w:footnote>
  <w:footnote w:id="4">
    <w:p w14:paraId="2B2E0C31" w14:textId="1AB1C468" w:rsidR="00E75A28" w:rsidRPr="00E75A28" w:rsidRDefault="00E75A28" w:rsidP="00FD4E96">
      <w:pPr>
        <w:pStyle w:val="FootnoteText"/>
        <w:spacing w:after="120"/>
      </w:pPr>
      <w:r>
        <w:rPr>
          <w:rStyle w:val="FootnoteReference"/>
        </w:rPr>
        <w:footnoteRef/>
      </w:r>
      <w:r>
        <w:t xml:space="preserve"> </w:t>
      </w:r>
      <w:r>
        <w:rPr>
          <w:i/>
        </w:rPr>
        <w:t>See</w:t>
      </w:r>
      <w:r>
        <w:t xml:space="preserve"> 47 C.</w:t>
      </w:r>
      <w:r w:rsidR="002D5713">
        <w:t>F.R. §§ 1.17, 1.1307, 1.1311, 17.4.</w:t>
      </w:r>
    </w:p>
  </w:footnote>
  <w:footnote w:id="5">
    <w:p w14:paraId="4B0EB830" w14:textId="77777777" w:rsidR="00F13C57" w:rsidRPr="000A3DE2" w:rsidRDefault="00F13C57" w:rsidP="00FD4E96">
      <w:pPr>
        <w:pStyle w:val="FootnoteText"/>
        <w:spacing w:after="120"/>
      </w:pPr>
      <w:r w:rsidRPr="000A3DE2">
        <w:rPr>
          <w:rStyle w:val="FootnoteReference"/>
        </w:rPr>
        <w:footnoteRef/>
      </w:r>
      <w:r w:rsidRPr="000A3DE2">
        <w:t xml:space="preserve"> 47 C</w:t>
      </w:r>
      <w:r>
        <w:t>.</w:t>
      </w:r>
      <w:r w:rsidRPr="000A3DE2">
        <w:t>F</w:t>
      </w:r>
      <w:r>
        <w:t>.</w:t>
      </w:r>
      <w:r w:rsidRPr="000A3DE2">
        <w:t>R</w:t>
      </w:r>
      <w:r>
        <w:t>.</w:t>
      </w:r>
      <w:r w:rsidRPr="000A3DE2">
        <w:t xml:space="preserve"> §</w:t>
      </w:r>
      <w:r>
        <w:t xml:space="preserve">§ 1.1307, </w:t>
      </w:r>
      <w:r w:rsidRPr="000A3DE2">
        <w:t>1.</w:t>
      </w:r>
      <w:r>
        <w:t>1311(a).</w:t>
      </w:r>
    </w:p>
  </w:footnote>
  <w:footnote w:id="6">
    <w:p w14:paraId="7D2EC611" w14:textId="2007B4B3" w:rsidR="00F13C57" w:rsidRDefault="00F13C57" w:rsidP="00FD4E96">
      <w:pPr>
        <w:pStyle w:val="FootnoteText"/>
        <w:spacing w:after="120"/>
      </w:pPr>
      <w:r>
        <w:rPr>
          <w:rStyle w:val="FootnoteReference"/>
        </w:rPr>
        <w:footnoteRef/>
      </w:r>
      <w:r>
        <w:t xml:space="preserve"> </w:t>
      </w:r>
      <w:r>
        <w:rPr>
          <w:i/>
        </w:rPr>
        <w:t xml:space="preserve">See </w:t>
      </w:r>
      <w:r>
        <w:t>47 C.F.R. § 1.1307(a) (specifying eight criteria that require preparation of an EA), 1.1307(b) (EA required if human exposure to radio frequency emissions will exceed certain limits), 1.1307(d) Note (processing bureau shall require an EA for new and certain modified antenna structures over 450 feet in height).  In addition, the processing bureau shall require an EA if it determines, in response to an interested person’s allegation or on its own motion, that an otherwise categorically excluded facility may have a significant environmental impact.  47 C.F.R. § 1.1307(c), (d).</w:t>
      </w:r>
    </w:p>
  </w:footnote>
  <w:footnote w:id="7">
    <w:p w14:paraId="4BEC1BEA" w14:textId="62AC04CD" w:rsidR="00F13C57" w:rsidRPr="00830E8D" w:rsidRDefault="00F13C57" w:rsidP="00FD4E96">
      <w:pPr>
        <w:pStyle w:val="FootnoteText"/>
        <w:spacing w:after="120"/>
      </w:pPr>
      <w:r>
        <w:rPr>
          <w:rStyle w:val="FootnoteReference"/>
        </w:rPr>
        <w:footnoteRef/>
      </w:r>
      <w:r>
        <w:t xml:space="preserve"> 47 C.F.R. § 1.1312(b).  The contents of an EA are described in 47 C.F.R. § 1.1311.  </w:t>
      </w:r>
      <w:r>
        <w:rPr>
          <w:i/>
        </w:rPr>
        <w:t xml:space="preserve">See also </w:t>
      </w:r>
      <w:r>
        <w:t>47 C.F.R. § 1.1308 (discussing the Commission’s process for reviewing EAs).</w:t>
      </w:r>
    </w:p>
  </w:footnote>
  <w:footnote w:id="8">
    <w:p w14:paraId="3F4E800D" w14:textId="0929DF13" w:rsidR="002D5713" w:rsidRPr="002D5713" w:rsidRDefault="002D5713" w:rsidP="00FD4E96">
      <w:pPr>
        <w:pStyle w:val="FootnoteText"/>
        <w:spacing w:after="120"/>
      </w:pPr>
      <w:r>
        <w:rPr>
          <w:rStyle w:val="FootnoteReference"/>
        </w:rPr>
        <w:footnoteRef/>
      </w:r>
      <w:r>
        <w:t xml:space="preserve"> </w:t>
      </w:r>
      <w:r>
        <w:rPr>
          <w:i/>
        </w:rPr>
        <w:t xml:space="preserve">See </w:t>
      </w:r>
      <w:r>
        <w:t>47 C.F.R. § 17.4(c)(7) (if an EA is required under Section 1.1307, the ASR applicant shall attach the EA to its environmental submission), 17.4(c)(8) (the processing Bureau shall resolve all environmental issues in accordance with the environmental regulations before the tower owner may complete the ASR application).</w:t>
      </w:r>
    </w:p>
  </w:footnote>
  <w:footnote w:id="9">
    <w:p w14:paraId="0E119BCE" w14:textId="77777777" w:rsidR="00F13C57" w:rsidRPr="000A3DE2" w:rsidRDefault="00F13C57" w:rsidP="00FD4E96">
      <w:pPr>
        <w:pStyle w:val="FootnoteText"/>
        <w:spacing w:after="120"/>
      </w:pPr>
      <w:r w:rsidRPr="000A3DE2">
        <w:rPr>
          <w:rStyle w:val="FootnoteReference"/>
        </w:rPr>
        <w:footnoteRef/>
      </w:r>
      <w:r w:rsidRPr="000A3DE2">
        <w:t xml:space="preserve"> 47 C.</w:t>
      </w:r>
      <w:r>
        <w:t>F.R. § 1.1307(a)(4).</w:t>
      </w:r>
    </w:p>
  </w:footnote>
  <w:footnote w:id="10">
    <w:p w14:paraId="5492D3D3" w14:textId="77777777" w:rsidR="00F13C57" w:rsidRDefault="00F13C57" w:rsidP="00FD4E96">
      <w:pPr>
        <w:pStyle w:val="FootnoteText"/>
        <w:spacing w:after="120"/>
      </w:pPr>
      <w:r>
        <w:rPr>
          <w:rStyle w:val="FootnoteReference"/>
        </w:rPr>
        <w:footnoteRef/>
      </w:r>
      <w:r>
        <w:t xml:space="preserve"> 36 C.F.R. Part 800.</w:t>
      </w:r>
    </w:p>
  </w:footnote>
  <w:footnote w:id="11">
    <w:p w14:paraId="1FD52304" w14:textId="42B33A07" w:rsidR="00F13C57" w:rsidRPr="000A3DE2" w:rsidRDefault="00F13C57" w:rsidP="00FD4E96">
      <w:pPr>
        <w:pStyle w:val="FootnoteText"/>
        <w:spacing w:after="120"/>
      </w:pPr>
      <w:r w:rsidRPr="000A3DE2">
        <w:rPr>
          <w:rStyle w:val="FootnoteReference"/>
        </w:rPr>
        <w:footnoteRef/>
      </w:r>
      <w:r w:rsidRPr="000A3DE2">
        <w:t xml:space="preserve"> </w:t>
      </w:r>
      <w:r>
        <w:t xml:space="preserve">47 C.F.R. Pt. 1, App. B; </w:t>
      </w:r>
      <w:r>
        <w:rPr>
          <w:i/>
        </w:rPr>
        <w:t>s</w:t>
      </w:r>
      <w:r w:rsidRPr="000A3DE2">
        <w:rPr>
          <w:i/>
        </w:rPr>
        <w:t xml:space="preserve">ee Wireless Telecommunications Bureau Announces Execution of Programmatic Agreement with respect to Collocating Wireless Antennas on Existing Structures, </w:t>
      </w:r>
      <w:r w:rsidRPr="000A3DE2">
        <w:t xml:space="preserve">Public Notice, 16 FCC Rcd 5574 (WTB 2001), </w:t>
      </w:r>
      <w:r w:rsidRPr="000A3DE2">
        <w:rPr>
          <w:i/>
        </w:rPr>
        <w:t>recon. denied</w:t>
      </w:r>
      <w:r w:rsidR="00E521EB">
        <w:t>,</w:t>
      </w:r>
      <w:r w:rsidRPr="000A3DE2">
        <w:rPr>
          <w:i/>
        </w:rPr>
        <w:t xml:space="preserve"> </w:t>
      </w:r>
      <w:r w:rsidRPr="000A3DE2">
        <w:t>20 FCC Rcd 4084 (WTB 2005).</w:t>
      </w:r>
    </w:p>
  </w:footnote>
  <w:footnote w:id="12">
    <w:p w14:paraId="4EAD105E" w14:textId="77777777" w:rsidR="00F13C57" w:rsidRPr="000A3DE2" w:rsidRDefault="00F13C57" w:rsidP="00FD4E96">
      <w:pPr>
        <w:pStyle w:val="FootnoteText"/>
        <w:spacing w:after="120"/>
      </w:pPr>
      <w:r w:rsidRPr="000A3DE2">
        <w:rPr>
          <w:rStyle w:val="FootnoteReference"/>
        </w:rPr>
        <w:footnoteRef/>
      </w:r>
      <w:r w:rsidRPr="000A3DE2">
        <w:t xml:space="preserve"> </w:t>
      </w:r>
      <w:r>
        <w:t xml:space="preserve">47 C.F.R. Pt. 1, App. C; </w:t>
      </w:r>
      <w:r>
        <w:rPr>
          <w:i/>
        </w:rPr>
        <w:t>s</w:t>
      </w:r>
      <w:r w:rsidRPr="000A3DE2">
        <w:rPr>
          <w:i/>
        </w:rPr>
        <w:t>ee</w:t>
      </w:r>
      <w:r>
        <w:rPr>
          <w:i/>
        </w:rPr>
        <w:t xml:space="preserve"> Nationwide Programmatic Agreement Regarding the Section 106 National Historic Preservation Act Review Process</w:t>
      </w:r>
      <w:r w:rsidRPr="000A3DE2">
        <w:rPr>
          <w:i/>
        </w:rPr>
        <w:t>,</w:t>
      </w:r>
      <w:r w:rsidRPr="000A3DE2">
        <w:t xml:space="preserve"> Report and Order, 20 FCC Rcd 1073 (2004), </w:t>
      </w:r>
      <w:r w:rsidRPr="000A3DE2">
        <w:rPr>
          <w:i/>
        </w:rPr>
        <w:t>clarified</w:t>
      </w:r>
      <w:r w:rsidRPr="000A3DE2">
        <w:t xml:space="preserve">, 20 FCC Rcd 17995 (2005), </w:t>
      </w:r>
      <w:r w:rsidRPr="000A3DE2">
        <w:rPr>
          <w:i/>
        </w:rPr>
        <w:t>aff’d, CTIA-The Wireless Ass’n. v. FCC</w:t>
      </w:r>
      <w:r>
        <w:t xml:space="preserve">, 466 F.3d 105 </w:t>
      </w:r>
      <w:r w:rsidRPr="000A3DE2">
        <w:t>(D.C. Cir. 2006) (</w:t>
      </w:r>
      <w:r>
        <w:rPr>
          <w:i/>
          <w:iCs/>
        </w:rPr>
        <w:t>NPA Report and Order</w:t>
      </w:r>
      <w:r w:rsidRPr="000A3DE2">
        <w:t>)</w:t>
      </w:r>
      <w:r w:rsidRPr="00AD25EA">
        <w:t>.</w:t>
      </w:r>
      <w:r w:rsidRPr="004D5A0B">
        <w:t xml:space="preserve"> </w:t>
      </w:r>
      <w:r w:rsidRPr="000A3DE2">
        <w:t xml:space="preserve">Under the NHPA and the Advisory Council’s implementing regulations, </w:t>
      </w:r>
      <w:r>
        <w:t>the Advisory Council</w:t>
      </w:r>
      <w:r w:rsidRPr="000A3DE2">
        <w:t xml:space="preserve"> may</w:t>
      </w:r>
      <w:r>
        <w:t xml:space="preserve"> approve program alternatives that </w:t>
      </w:r>
      <w:r w:rsidRPr="000A3DE2">
        <w:t xml:space="preserve">tailor </w:t>
      </w:r>
      <w:r>
        <w:t>a federal agency’s</w:t>
      </w:r>
      <w:r w:rsidRPr="000A3DE2">
        <w:t xml:space="preserve"> historic preservation review and consultation procedures</w:t>
      </w:r>
      <w:r>
        <w:t xml:space="preserve"> to  the particular circumstances of the agency’s program or that </w:t>
      </w:r>
      <w:r w:rsidRPr="000A3DE2">
        <w:t>exempt</w:t>
      </w:r>
      <w:r>
        <w:t xml:space="preserve"> from historic preservation review</w:t>
      </w:r>
      <w:r w:rsidRPr="000A3DE2">
        <w:t xml:space="preserve"> actions that are unlikely to affect historic properties.  </w:t>
      </w:r>
      <w:r w:rsidRPr="000A3DE2">
        <w:rPr>
          <w:i/>
        </w:rPr>
        <w:t xml:space="preserve">See </w:t>
      </w:r>
      <w:r>
        <w:t>54 U.S.C. § 304108</w:t>
      </w:r>
      <w:r>
        <w:rPr>
          <w:i/>
        </w:rPr>
        <w:t xml:space="preserve"> et seq.</w:t>
      </w:r>
      <w:r w:rsidRPr="000A3DE2">
        <w:t>; 36 C.F.R. § 800.14(b),</w:t>
      </w:r>
      <w:r>
        <w:t xml:space="preserve"> </w:t>
      </w:r>
      <w:r w:rsidRPr="000A3DE2">
        <w:t>(c).</w:t>
      </w:r>
    </w:p>
  </w:footnote>
  <w:footnote w:id="13">
    <w:p w14:paraId="6059BDAA" w14:textId="77777777" w:rsidR="00F13C57" w:rsidRPr="000A3DE2" w:rsidRDefault="00F13C57" w:rsidP="00FD4E96">
      <w:pPr>
        <w:pStyle w:val="FootnoteText"/>
        <w:spacing w:after="120"/>
      </w:pPr>
      <w:r w:rsidRPr="000A3DE2">
        <w:rPr>
          <w:rStyle w:val="FootnoteReference"/>
        </w:rPr>
        <w:footnoteRef/>
      </w:r>
      <w:r w:rsidRPr="000A3DE2">
        <w:t xml:space="preserve"> </w:t>
      </w:r>
      <w:r w:rsidRPr="00FA1213">
        <w:t>54 U.S.C. § 300101</w:t>
      </w:r>
      <w:r>
        <w:rPr>
          <w:i/>
        </w:rPr>
        <w:t xml:space="preserve"> et seq.  </w:t>
      </w:r>
      <w:r w:rsidRPr="000A3DE2">
        <w:t xml:space="preserve">The NHPA requires that a federal agency consider the effects of its federal undertakings, including actions that it authorizes or approves, on historic properties prior to issuing federal licenses, permits or approvals.  </w:t>
      </w:r>
      <w:r w:rsidRPr="000A3DE2">
        <w:rPr>
          <w:i/>
        </w:rPr>
        <w:t xml:space="preserve">See </w:t>
      </w:r>
      <w:r>
        <w:t>54</w:t>
      </w:r>
      <w:r w:rsidRPr="000A3DE2">
        <w:t xml:space="preserve"> U.S.C. §§ </w:t>
      </w:r>
      <w:r>
        <w:t>306108, 300320</w:t>
      </w:r>
      <w:r w:rsidRPr="000A3DE2">
        <w:t>.</w:t>
      </w:r>
      <w:r>
        <w:t xml:space="preserve">  This review is commonly referred to as “Section 106 Review” because the provision requiring the review was originally enacted as Section 106 of the NHPA.</w:t>
      </w:r>
      <w:r w:rsidRPr="000A3DE2">
        <w:t xml:space="preserve">  In considering such effects, the NHPA further requires the federal agency to consider the views of expert agencies.  Specifically, the </w:t>
      </w:r>
      <w:smartTag w:uri="urn:schemas-microsoft-com:office:smarttags" w:element="stockticker">
        <w:r w:rsidRPr="000A3DE2">
          <w:t>NHP</w:t>
        </w:r>
      </w:smartTag>
      <w:r w:rsidRPr="000A3DE2">
        <w:t>A requires the federal agency to consider the views of the Advisory Council,</w:t>
      </w:r>
      <w:r>
        <w:t xml:space="preserve"> which is</w:t>
      </w:r>
      <w:r w:rsidRPr="000A3DE2">
        <w:t xml:space="preserve"> the</w:t>
      </w:r>
      <w:r>
        <w:t xml:space="preserve"> federal</w:t>
      </w:r>
      <w:r w:rsidRPr="000A3DE2">
        <w:t xml:space="preserve"> agency responsib</w:t>
      </w:r>
      <w:r>
        <w:t>le</w:t>
      </w:r>
      <w:r w:rsidRPr="000A3DE2">
        <w:t xml:space="preserve"> for implementing the NHPA</w:t>
      </w:r>
      <w:r>
        <w:t>;</w:t>
      </w:r>
      <w:r w:rsidRPr="000A3DE2">
        <w:t xml:space="preserve"> the appropriate State Historic Preservation Officer</w:t>
      </w:r>
      <w:r>
        <w:t>;</w:t>
      </w:r>
      <w:r w:rsidRPr="000A3DE2">
        <w:t xml:space="preserve"> and, if historic properties of religious or cultural significance to</w:t>
      </w:r>
      <w:r>
        <w:t xml:space="preserve"> federally recognized Tribal Nations</w:t>
      </w:r>
      <w:r w:rsidRPr="000A3DE2">
        <w:t xml:space="preserve"> or Native Hawaiian organizations</w:t>
      </w:r>
      <w:r>
        <w:t xml:space="preserve"> may be affected</w:t>
      </w:r>
      <w:r w:rsidRPr="000A3DE2">
        <w:t xml:space="preserve">, their representatives.  </w:t>
      </w:r>
      <w:r w:rsidRPr="000A3DE2">
        <w:rPr>
          <w:i/>
        </w:rPr>
        <w:t xml:space="preserve">See </w:t>
      </w:r>
      <w:r>
        <w:t>54</w:t>
      </w:r>
      <w:r w:rsidRPr="000A3DE2">
        <w:t xml:space="preserve"> U.S.C. §§ </w:t>
      </w:r>
      <w:r>
        <w:t>302104, 302706, 306108, 304101</w:t>
      </w:r>
      <w:r w:rsidRPr="000A3DE2">
        <w:t xml:space="preserve">.  </w:t>
      </w:r>
      <w:r>
        <w:t xml:space="preserve">As authorized by </w:t>
      </w:r>
      <w:r w:rsidRPr="000A3DE2">
        <w:t>the Advisory Council, the Commission’s environmental rules delegate</w:t>
      </w:r>
      <w:r>
        <w:t xml:space="preserve"> to its licensees, permittees, and applicants initial responsibility for</w:t>
      </w:r>
      <w:r w:rsidRPr="000A3DE2">
        <w:t xml:space="preserve"> identif</w:t>
      </w:r>
      <w:r>
        <w:t>ying historic properties</w:t>
      </w:r>
      <w:r w:rsidRPr="000A3DE2">
        <w:t xml:space="preserve"> and </w:t>
      </w:r>
      <w:r>
        <w:t>evaluating</w:t>
      </w:r>
      <w:r w:rsidRPr="000A3DE2">
        <w:t xml:space="preserve"> the effects that</w:t>
      </w:r>
      <w:r>
        <w:t xml:space="preserve"> their</w:t>
      </w:r>
      <w:r w:rsidRPr="000A3DE2">
        <w:t xml:space="preserve"> proposed facilities may have on </w:t>
      </w:r>
      <w:r>
        <w:t>such</w:t>
      </w:r>
      <w:r w:rsidRPr="000A3DE2">
        <w:t xml:space="preserve"> properties, but the Commission remains ultimately responsible for </w:t>
      </w:r>
      <w:r>
        <w:t>ensuring that the Section 106 process occurs in accordance with applicable statutory and regulatory provisions, as well as for government-to-government consultation with federally recognized Tribal Nations</w:t>
      </w:r>
      <w:r w:rsidRPr="000A3DE2">
        <w:t xml:space="preserve">.  </w:t>
      </w:r>
      <w:r w:rsidRPr="000A3DE2">
        <w:rPr>
          <w:i/>
        </w:rPr>
        <w:t xml:space="preserve">See </w:t>
      </w:r>
      <w:r w:rsidRPr="000A3DE2">
        <w:t xml:space="preserve">47 C.F.R. § 1.1307(a)(4); </w:t>
      </w:r>
      <w:r w:rsidRPr="000A3DE2">
        <w:rPr>
          <w:i/>
        </w:rPr>
        <w:t xml:space="preserve">see also </w:t>
      </w:r>
      <w:r w:rsidRPr="000A3DE2">
        <w:t xml:space="preserve">36 C.F.R. § 800.2(a)(3); </w:t>
      </w:r>
      <w:r>
        <w:rPr>
          <w:i/>
        </w:rPr>
        <w:t>NPA Report and Order</w:t>
      </w:r>
      <w:r w:rsidRPr="000A3DE2">
        <w:rPr>
          <w:i/>
        </w:rPr>
        <w:t xml:space="preserve">, </w:t>
      </w:r>
      <w:r w:rsidRPr="000A3DE2">
        <w:t xml:space="preserve">20 FCC Rcd at 1076-77 ¶ 5.   </w:t>
      </w:r>
    </w:p>
  </w:footnote>
  <w:footnote w:id="14">
    <w:p w14:paraId="749D0B4C" w14:textId="2EFD5372" w:rsidR="00575E19" w:rsidRPr="00086553" w:rsidRDefault="00575E19" w:rsidP="00FD4E96">
      <w:pPr>
        <w:pStyle w:val="FootnoteText"/>
        <w:spacing w:after="120"/>
      </w:pPr>
      <w:r w:rsidRPr="00086553">
        <w:rPr>
          <w:rStyle w:val="FootnoteReference"/>
        </w:rPr>
        <w:footnoteRef/>
      </w:r>
      <w:r w:rsidRPr="00086553">
        <w:t xml:space="preserve"> </w:t>
      </w:r>
      <w:r w:rsidRPr="00086553">
        <w:rPr>
          <w:i/>
        </w:rPr>
        <w:t xml:space="preserve">See </w:t>
      </w:r>
      <w:r w:rsidRPr="00086553">
        <w:t xml:space="preserve">47 C.F.R. </w:t>
      </w:r>
      <w:r w:rsidR="00C41DBB">
        <w:t>§</w:t>
      </w:r>
      <w:r w:rsidRPr="00086553">
        <w:t xml:space="preserve">§ 1.1301 </w:t>
      </w:r>
      <w:r w:rsidRPr="00086553">
        <w:rPr>
          <w:i/>
        </w:rPr>
        <w:t>et seq</w:t>
      </w:r>
      <w:r w:rsidRPr="00086553">
        <w:t>.</w:t>
      </w:r>
      <w:r w:rsidR="00E521EB">
        <w:t xml:space="preserve">, </w:t>
      </w:r>
      <w:r w:rsidRPr="00086553">
        <w:t>17.</w:t>
      </w:r>
      <w:r w:rsidR="00C41DBB">
        <w:t xml:space="preserve">1 </w:t>
      </w:r>
      <w:r w:rsidR="00C41DBB">
        <w:rPr>
          <w:i/>
        </w:rPr>
        <w:t>et seq</w:t>
      </w:r>
      <w:r w:rsidRPr="00086553">
        <w:t>.</w:t>
      </w:r>
    </w:p>
  </w:footnote>
  <w:footnote w:id="15">
    <w:p w14:paraId="47D77BB9" w14:textId="3B7E713D" w:rsidR="002773F2" w:rsidRPr="00086553" w:rsidRDefault="002773F2" w:rsidP="00FD4E96">
      <w:pPr>
        <w:pStyle w:val="FootnoteText"/>
        <w:spacing w:after="120"/>
        <w:rPr>
          <w:i/>
        </w:rPr>
      </w:pPr>
      <w:r w:rsidRPr="00086553">
        <w:rPr>
          <w:rStyle w:val="FootnoteReference"/>
        </w:rPr>
        <w:footnoteRef/>
      </w:r>
      <w:r w:rsidRPr="00086553">
        <w:t xml:space="preserve"> </w:t>
      </w:r>
      <w:r w:rsidRPr="00086553">
        <w:rPr>
          <w:i/>
        </w:rPr>
        <w:t xml:space="preserve">See </w:t>
      </w:r>
      <w:r w:rsidRPr="00086553">
        <w:t>ASR Registration  No</w:t>
      </w:r>
      <w:r w:rsidRPr="00086553">
        <w:rPr>
          <w:i/>
        </w:rPr>
        <w:t>,</w:t>
      </w:r>
      <w:r w:rsidR="00E521EB">
        <w:t xml:space="preserve">1290968. </w:t>
      </w:r>
      <w:r w:rsidRPr="00E521EB">
        <w:t>http://wireless2.fcc.gov/UlsApp/AsrSearch/asrRegistration.jsp?regKey=2690485</w:t>
      </w:r>
      <w:r>
        <w:rPr>
          <w:i/>
        </w:rPr>
        <w:t>.</w:t>
      </w:r>
    </w:p>
  </w:footnote>
  <w:footnote w:id="16">
    <w:p w14:paraId="43C6ACC9" w14:textId="6D980500" w:rsidR="002773F2" w:rsidRPr="00086553" w:rsidRDefault="002773F2" w:rsidP="00FD4E96">
      <w:pPr>
        <w:pStyle w:val="FootnoteText"/>
        <w:spacing w:after="120"/>
      </w:pPr>
      <w:r w:rsidRPr="00086553">
        <w:rPr>
          <w:rStyle w:val="FootnoteReference"/>
        </w:rPr>
        <w:footnoteRef/>
      </w:r>
      <w:r w:rsidRPr="00086553">
        <w:t xml:space="preserve"> </w:t>
      </w:r>
      <w:r w:rsidRPr="00086553">
        <w:rPr>
          <w:i/>
        </w:rPr>
        <w:t>See</w:t>
      </w:r>
      <w:r w:rsidRPr="00086553">
        <w:t xml:space="preserve"> A0908561, ASR Application #2</w:t>
      </w:r>
      <w:r w:rsidR="005F6717">
        <w:t>.</w:t>
      </w:r>
    </w:p>
  </w:footnote>
  <w:footnote w:id="17">
    <w:p w14:paraId="6E30F9FB" w14:textId="77777777" w:rsidR="005915B4" w:rsidRPr="005F2B43" w:rsidRDefault="005915B4" w:rsidP="00FD4E96">
      <w:pPr>
        <w:pStyle w:val="FootnoteText"/>
        <w:spacing w:after="120"/>
        <w:rPr>
          <w:i/>
        </w:rPr>
      </w:pPr>
      <w:r w:rsidRPr="00086553">
        <w:rPr>
          <w:rStyle w:val="FootnoteReference"/>
        </w:rPr>
        <w:footnoteRef/>
      </w:r>
      <w:r w:rsidRPr="00086553">
        <w:t xml:space="preserve"> </w:t>
      </w:r>
      <w:r w:rsidRPr="005F2B43">
        <w:rPr>
          <w:i/>
        </w:rPr>
        <w:t>Id.</w:t>
      </w:r>
    </w:p>
  </w:footnote>
  <w:footnote w:id="18">
    <w:p w14:paraId="76642394" w14:textId="351A1301" w:rsidR="005915B4" w:rsidRPr="005915B4" w:rsidRDefault="005915B4" w:rsidP="00FD4E96">
      <w:pPr>
        <w:pStyle w:val="FootnoteText"/>
        <w:spacing w:after="120"/>
      </w:pPr>
      <w:r w:rsidRPr="00086553">
        <w:rPr>
          <w:rStyle w:val="FootnoteReference"/>
        </w:rPr>
        <w:footnoteRef/>
      </w:r>
      <w:r w:rsidRPr="00086553">
        <w:t xml:space="preserve"> </w:t>
      </w:r>
      <w:r w:rsidRPr="00086553">
        <w:rPr>
          <w:i/>
        </w:rPr>
        <w:t>Id.</w:t>
      </w:r>
      <w:r>
        <w:rPr>
          <w:i/>
        </w:rPr>
        <w:t xml:space="preserve">; see also </w:t>
      </w:r>
      <w:r>
        <w:t>Email from Competition and Infrastructure Policy Division</w:t>
      </w:r>
      <w:r w:rsidRPr="005915B4">
        <w:t xml:space="preserve"> </w:t>
      </w:r>
      <w:r w:rsidRPr="00086553">
        <w:t>to Tim Romanski, Sierra Partners,</w:t>
      </w:r>
      <w:r>
        <w:t xml:space="preserve"> LLC (Sept.</w:t>
      </w:r>
      <w:r w:rsidRPr="00086553">
        <w:t xml:space="preserve"> 17, 2014)</w:t>
      </w:r>
      <w:r>
        <w:t xml:space="preserve"> (directing Sierra to cease any construction work related to the tower).</w:t>
      </w:r>
    </w:p>
  </w:footnote>
  <w:footnote w:id="19">
    <w:p w14:paraId="118FA426" w14:textId="739CF651" w:rsidR="002773F2" w:rsidRPr="00086553" w:rsidRDefault="002773F2" w:rsidP="00FD4E96">
      <w:pPr>
        <w:pStyle w:val="FootnoteText"/>
        <w:spacing w:after="120"/>
      </w:pPr>
      <w:r w:rsidRPr="00086553">
        <w:rPr>
          <w:rStyle w:val="FootnoteReference"/>
        </w:rPr>
        <w:footnoteRef/>
      </w:r>
      <w:r w:rsidRPr="00086553">
        <w:t xml:space="preserve">  </w:t>
      </w:r>
      <w:r w:rsidR="005915B4">
        <w:rPr>
          <w:i/>
        </w:rPr>
        <w:t xml:space="preserve">See </w:t>
      </w:r>
      <w:r w:rsidRPr="00086553">
        <w:t>ASR Registration Service Information, Public Notice, CWS 15-02 (Nov</w:t>
      </w:r>
      <w:r w:rsidR="005915B4">
        <w:t>.</w:t>
      </w:r>
      <w:r w:rsidRPr="00086553">
        <w:t xml:space="preserve"> 15</w:t>
      </w:r>
      <w:r w:rsidR="005915B4">
        <w:t>,</w:t>
      </w:r>
      <w:r w:rsidRPr="00086553">
        <w:t xml:space="preserve"> 2014)</w:t>
      </w:r>
      <w:r w:rsidR="005915B4">
        <w:t xml:space="preserve">  (memorializing cancellation of initial registration on October 9, 2014); </w:t>
      </w:r>
      <w:r w:rsidR="005915B4" w:rsidRPr="00086553">
        <w:t xml:space="preserve">ASR Registration No.1293473. </w:t>
      </w:r>
      <w:hyperlink r:id="rId1" w:history="1">
        <w:r w:rsidR="005915B4" w:rsidRPr="00351F08">
          <w:rPr>
            <w:rStyle w:val="Hyperlink"/>
          </w:rPr>
          <w:t>http://wireless2.fcc.gov/UlsApp/AsrSearch/asrRegistration.jsp?regKey=269299</w:t>
        </w:r>
      </w:hyperlink>
      <w:r w:rsidR="005915B4">
        <w:t xml:space="preserve"> (showing issuance of FONSI on October</w:t>
      </w:r>
      <w:r w:rsidR="0061639A">
        <w:t xml:space="preserve"> 15, 2014, and grant of registration on October 16, 2014).  Sierra</w:t>
      </w:r>
      <w:r w:rsidR="00F1456A">
        <w:t xml:space="preserve"> completed construction on Nove</w:t>
      </w:r>
      <w:r w:rsidR="0061639A">
        <w:t>mber 17, 2014</w:t>
      </w:r>
      <w:r w:rsidRPr="00086553">
        <w:t>.</w:t>
      </w:r>
    </w:p>
  </w:footnote>
  <w:footnote w:id="20">
    <w:p w14:paraId="3F1C4417" w14:textId="54F75393" w:rsidR="0061639A" w:rsidRPr="0061639A" w:rsidRDefault="0061639A" w:rsidP="00FD4E96">
      <w:pPr>
        <w:pStyle w:val="FootnoteText"/>
        <w:spacing w:after="120"/>
      </w:pPr>
      <w:r>
        <w:rPr>
          <w:rStyle w:val="FootnoteReference"/>
        </w:rPr>
        <w:footnoteRef/>
      </w:r>
      <w:r>
        <w:t xml:space="preserve"> 47 C.F.R. § 1.1307(a)(6); </w:t>
      </w:r>
      <w:r>
        <w:rPr>
          <w:i/>
        </w:rPr>
        <w:t xml:space="preserve">see </w:t>
      </w:r>
      <w:r>
        <w:t>47 C.F.R. §§ 1.1311(a), 17.4 (c)(7).</w:t>
      </w:r>
    </w:p>
  </w:footnote>
  <w:footnote w:id="21">
    <w:p w14:paraId="6C4D3D87" w14:textId="22EFC31D" w:rsidR="0061639A" w:rsidRPr="0061639A" w:rsidRDefault="0061639A" w:rsidP="00FD4E96">
      <w:pPr>
        <w:pStyle w:val="FootnoteText"/>
        <w:spacing w:after="120"/>
      </w:pPr>
      <w:r>
        <w:rPr>
          <w:rStyle w:val="FootnoteReference"/>
        </w:rPr>
        <w:footnoteRef/>
      </w:r>
      <w:r>
        <w:t xml:space="preserve"> </w:t>
      </w:r>
      <w:r>
        <w:rPr>
          <w:i/>
        </w:rPr>
        <w:t>See</w:t>
      </w:r>
      <w:r>
        <w:t xml:space="preserve"> 47 C.F.R. §§ 1.1307(a), 17.4(c)(8).</w:t>
      </w:r>
    </w:p>
  </w:footnote>
  <w:footnote w:id="22">
    <w:p w14:paraId="17618B9F" w14:textId="19128EF4" w:rsidR="00BD7C06" w:rsidRPr="00BD7C06" w:rsidRDefault="00BD7C06" w:rsidP="00FD4E96">
      <w:pPr>
        <w:pStyle w:val="FootnoteText"/>
        <w:spacing w:after="120"/>
      </w:pPr>
      <w:r>
        <w:rPr>
          <w:rStyle w:val="FootnoteReference"/>
        </w:rPr>
        <w:footnoteRef/>
      </w:r>
      <w:r>
        <w:t xml:space="preserve"> </w:t>
      </w:r>
      <w:r>
        <w:rPr>
          <w:i/>
        </w:rPr>
        <w:t>See</w:t>
      </w:r>
      <w:r>
        <w:t xml:space="preserve"> 47 C.F.R. § 1.1307(a)(4) and Pt. 1, App. C; Letter</w:t>
      </w:r>
      <w:r w:rsidRPr="00086553">
        <w:t xml:space="preserve"> from Pam Breaux, Louisiana State Historic Preservation Officer, to Thaddeus Nicholls, Field Scien</w:t>
      </w:r>
      <w:r>
        <w:t>t</w:t>
      </w:r>
      <w:r w:rsidRPr="00086553">
        <w:t>i</w:t>
      </w:r>
      <w:r>
        <w:t>s</w:t>
      </w:r>
      <w:r w:rsidRPr="00086553">
        <w:t>t, Martin Environmental</w:t>
      </w:r>
      <w:r w:rsidRPr="00A25487">
        <w:t xml:space="preserve"> Solutions (March 25, 2014)</w:t>
      </w:r>
      <w:r>
        <w:t xml:space="preserve"> (on file in the Division); </w:t>
      </w:r>
      <w:r w:rsidRPr="00086553">
        <w:t>Email from Kimberly S. Waldon, Cultural Director of the Chitimacha Tribe of Louisiana, to Lisa Heise, NEPA Specialist at Martin</w:t>
      </w:r>
      <w:r w:rsidRPr="00A25487">
        <w:t xml:space="preserve"> Environmental Solutions</w:t>
      </w:r>
      <w:r w:rsidRPr="00403A72">
        <w:t>, Inc</w:t>
      </w:r>
      <w:r>
        <w:t>.</w:t>
      </w:r>
      <w:r w:rsidRPr="00A25487">
        <w:t xml:space="preserve"> </w:t>
      </w:r>
      <w:r w:rsidRPr="00403A72">
        <w:t>(April 23, 2014)</w:t>
      </w:r>
      <w:r>
        <w:t xml:space="preserve"> (on file in the Division)</w:t>
      </w:r>
      <w:r w:rsidRPr="00403A72">
        <w:t>; Letter from Dana Masters, Jena Band of Choctaw Indians</w:t>
      </w:r>
      <w:r>
        <w:t>,</w:t>
      </w:r>
      <w:r w:rsidRPr="00403A72">
        <w:t xml:space="preserve"> to Lisa Heise, Martin Environmental (May 14, 2014)</w:t>
      </w:r>
      <w:r>
        <w:t xml:space="preserve"> (on file in the Division)</w:t>
      </w:r>
      <w:r w:rsidRPr="00403A72">
        <w:t>.</w:t>
      </w:r>
    </w:p>
  </w:footnote>
  <w:footnote w:id="23">
    <w:p w14:paraId="72B058FF" w14:textId="444D551D" w:rsidR="00C150B7" w:rsidRPr="00C150B7" w:rsidRDefault="00C150B7" w:rsidP="00FD4E96">
      <w:pPr>
        <w:pStyle w:val="FootnoteText"/>
        <w:spacing w:after="120"/>
      </w:pPr>
      <w:r>
        <w:rPr>
          <w:rStyle w:val="FootnoteReference"/>
        </w:rPr>
        <w:footnoteRef/>
      </w:r>
      <w:r>
        <w:t xml:space="preserve"> </w:t>
      </w:r>
      <w:r>
        <w:rPr>
          <w:i/>
        </w:rPr>
        <w:t>See</w:t>
      </w:r>
      <w:r>
        <w:t xml:space="preserve"> 47 C.F.R. § 1.1307(a)(3); </w:t>
      </w:r>
      <w:r w:rsidRPr="00086553">
        <w:t>Louisiana Ecological Services</w:t>
      </w:r>
      <w:r>
        <w:t>,</w:t>
      </w:r>
      <w:r w:rsidRPr="00086553">
        <w:t xml:space="preserve"> Office of the United States Fish and Wildlife Service</w:t>
      </w:r>
      <w:r>
        <w:t>,</w:t>
      </w:r>
      <w:r w:rsidRPr="00086553">
        <w:t xml:space="preserve"> ESA Technical Assistance Form (March 27, 2014</w:t>
      </w:r>
      <w:r>
        <w:t>).</w:t>
      </w:r>
    </w:p>
  </w:footnote>
  <w:footnote w:id="24">
    <w:p w14:paraId="682A346F" w14:textId="517AF63E" w:rsidR="00C150B7" w:rsidRPr="00C150B7" w:rsidRDefault="00C150B7" w:rsidP="00FD4E96">
      <w:pPr>
        <w:pStyle w:val="FootnoteText"/>
        <w:spacing w:after="120"/>
      </w:pPr>
      <w:r>
        <w:rPr>
          <w:rStyle w:val="FootnoteReference"/>
        </w:rPr>
        <w:footnoteRef/>
      </w:r>
      <w:r>
        <w:t xml:space="preserve"> </w:t>
      </w:r>
      <w:r>
        <w:rPr>
          <w:i/>
        </w:rPr>
        <w:t>See</w:t>
      </w:r>
      <w:r>
        <w:t xml:space="preserve"> 47 C.F.R. § 1.17(a)(2).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09E1" w14:textId="77777777" w:rsidR="002A5164" w:rsidRDefault="002A5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A30" w14:textId="5DDA7001" w:rsidR="003C128E" w:rsidRPr="00503F37" w:rsidRDefault="00FD4E96">
    <w:pPr>
      <w:rPr>
        <w:szCs w:val="24"/>
      </w:rPr>
    </w:pPr>
    <w:r>
      <w:rPr>
        <w:rFonts w:eastAsiaTheme="minorHAnsi"/>
        <w:szCs w:val="24"/>
      </w:rPr>
      <w:t xml:space="preserve">Mr. </w:t>
    </w:r>
    <w:r w:rsidR="00887C53" w:rsidRPr="00887C53">
      <w:rPr>
        <w:rFonts w:eastAsiaTheme="minorHAnsi"/>
        <w:szCs w:val="24"/>
      </w:rPr>
      <w:t>Tim Romanski</w:t>
    </w:r>
    <w:r w:rsidR="008B7D71" w:rsidRPr="00503F37">
      <w:rPr>
        <w:szCs w:val="24"/>
      </w:rPr>
      <w:t xml:space="preserve"> </w:t>
    </w:r>
  </w:p>
  <w:p w14:paraId="6F22A4F4" w14:textId="03A5E79A" w:rsidR="00887C53" w:rsidRDefault="00FD4E96">
    <w:pPr>
      <w:rPr>
        <w:szCs w:val="24"/>
      </w:rPr>
    </w:pPr>
    <w:r>
      <w:rPr>
        <w:szCs w:val="24"/>
      </w:rPr>
      <w:t>June 1</w:t>
    </w:r>
    <w:r w:rsidR="00E521EB">
      <w:rPr>
        <w:szCs w:val="24"/>
      </w:rPr>
      <w:t>6</w:t>
    </w:r>
    <w:r w:rsidR="00887C53">
      <w:rPr>
        <w:szCs w:val="24"/>
      </w:rPr>
      <w:t>, 2016</w:t>
    </w:r>
  </w:p>
  <w:p w14:paraId="4930EA6F" w14:textId="1F1F2046" w:rsidR="003C128E" w:rsidRDefault="008B7D71">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2A551A">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2A551A">
      <w:rPr>
        <w:rStyle w:val="PageNumber"/>
        <w:noProof/>
      </w:rPr>
      <w:t>2</w:t>
    </w:r>
    <w:r w:rsidRPr="00503F37">
      <w:rPr>
        <w:rStyle w:val="PageNumber"/>
      </w:rPr>
      <w:fldChar w:fldCharType="end"/>
    </w:r>
  </w:p>
  <w:p w14:paraId="749E91CB" w14:textId="77777777" w:rsidR="003C128E" w:rsidRDefault="003C1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D30E" w14:textId="765088FE" w:rsidR="00E521EB" w:rsidRPr="00E521EB" w:rsidRDefault="00E521EB" w:rsidP="00E521EB">
    <w:pPr>
      <w:pStyle w:val="Header"/>
      <w:jc w:val="right"/>
      <w:rPr>
        <w:b/>
        <w:lang w:val="en-US"/>
      </w:rPr>
    </w:pPr>
    <w:r>
      <w:rPr>
        <w:b/>
        <w:lang w:val="en-US"/>
      </w:rPr>
      <w:t>DA 16-683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1479"/>
    <w:multiLevelType w:val="hybridMultilevel"/>
    <w:tmpl w:val="D6F8A8AA"/>
    <w:lvl w:ilvl="0" w:tplc="FFFFFFFF">
      <w:start w:val="1"/>
      <w:numFmt w:val="decimal"/>
      <w:pStyle w:val="StyleParaNumLeft"/>
      <w:lvlText w:val="%1."/>
      <w:lvlJc w:val="left"/>
      <w:pPr>
        <w:tabs>
          <w:tab w:val="num" w:pos="1440"/>
        </w:tabs>
        <w:ind w:left="0" w:firstLine="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A0"/>
    <w:rsid w:val="000E6052"/>
    <w:rsid w:val="00125FFE"/>
    <w:rsid w:val="001337F2"/>
    <w:rsid w:val="001835F7"/>
    <w:rsid w:val="00195040"/>
    <w:rsid w:val="00197F74"/>
    <w:rsid w:val="001A1C79"/>
    <w:rsid w:val="001B3720"/>
    <w:rsid w:val="001B395D"/>
    <w:rsid w:val="001F1DCC"/>
    <w:rsid w:val="00210281"/>
    <w:rsid w:val="002457BC"/>
    <w:rsid w:val="00264C7A"/>
    <w:rsid w:val="00265B45"/>
    <w:rsid w:val="00271B95"/>
    <w:rsid w:val="00272277"/>
    <w:rsid w:val="00272BDD"/>
    <w:rsid w:val="002773F2"/>
    <w:rsid w:val="00292D64"/>
    <w:rsid w:val="002A5164"/>
    <w:rsid w:val="002A551A"/>
    <w:rsid w:val="002B0D6E"/>
    <w:rsid w:val="002D5713"/>
    <w:rsid w:val="002F160B"/>
    <w:rsid w:val="00306288"/>
    <w:rsid w:val="003464E1"/>
    <w:rsid w:val="00385211"/>
    <w:rsid w:val="003B54FF"/>
    <w:rsid w:val="003C128E"/>
    <w:rsid w:val="003D1CFD"/>
    <w:rsid w:val="00404F4D"/>
    <w:rsid w:val="00407E48"/>
    <w:rsid w:val="00410C6C"/>
    <w:rsid w:val="00433AB1"/>
    <w:rsid w:val="004349EC"/>
    <w:rsid w:val="00491D65"/>
    <w:rsid w:val="004C5843"/>
    <w:rsid w:val="004F0DDF"/>
    <w:rsid w:val="00503F5D"/>
    <w:rsid w:val="00534DB2"/>
    <w:rsid w:val="00552CB3"/>
    <w:rsid w:val="00561EFD"/>
    <w:rsid w:val="00575E19"/>
    <w:rsid w:val="005915B4"/>
    <w:rsid w:val="00592DB4"/>
    <w:rsid w:val="005A663B"/>
    <w:rsid w:val="005D489F"/>
    <w:rsid w:val="005F6717"/>
    <w:rsid w:val="00607477"/>
    <w:rsid w:val="0061639A"/>
    <w:rsid w:val="0065678C"/>
    <w:rsid w:val="006663F1"/>
    <w:rsid w:val="006B5E7C"/>
    <w:rsid w:val="006C5423"/>
    <w:rsid w:val="006C69D7"/>
    <w:rsid w:val="006E03FE"/>
    <w:rsid w:val="006E2759"/>
    <w:rsid w:val="006E4BB7"/>
    <w:rsid w:val="007B67A9"/>
    <w:rsid w:val="007C11A2"/>
    <w:rsid w:val="007C2764"/>
    <w:rsid w:val="007D2E48"/>
    <w:rsid w:val="008042B8"/>
    <w:rsid w:val="0080664C"/>
    <w:rsid w:val="00811C03"/>
    <w:rsid w:val="008206A0"/>
    <w:rsid w:val="00823A60"/>
    <w:rsid w:val="00830E8D"/>
    <w:rsid w:val="00847CBD"/>
    <w:rsid w:val="00882D41"/>
    <w:rsid w:val="008832A9"/>
    <w:rsid w:val="00887C53"/>
    <w:rsid w:val="008A5C7E"/>
    <w:rsid w:val="008A73A9"/>
    <w:rsid w:val="008B7D71"/>
    <w:rsid w:val="008D1962"/>
    <w:rsid w:val="008D361D"/>
    <w:rsid w:val="008D43BE"/>
    <w:rsid w:val="008E2E69"/>
    <w:rsid w:val="008E75E7"/>
    <w:rsid w:val="008E7BF6"/>
    <w:rsid w:val="008F0C59"/>
    <w:rsid w:val="00910E5A"/>
    <w:rsid w:val="009260C9"/>
    <w:rsid w:val="009336BC"/>
    <w:rsid w:val="00934A10"/>
    <w:rsid w:val="00946E23"/>
    <w:rsid w:val="00A00CC3"/>
    <w:rsid w:val="00A1566C"/>
    <w:rsid w:val="00A2085B"/>
    <w:rsid w:val="00A20A32"/>
    <w:rsid w:val="00A26339"/>
    <w:rsid w:val="00A36045"/>
    <w:rsid w:val="00A52179"/>
    <w:rsid w:val="00A87542"/>
    <w:rsid w:val="00A969CE"/>
    <w:rsid w:val="00AC0AF7"/>
    <w:rsid w:val="00AC4932"/>
    <w:rsid w:val="00AC575C"/>
    <w:rsid w:val="00AE3D00"/>
    <w:rsid w:val="00B13EFA"/>
    <w:rsid w:val="00B15001"/>
    <w:rsid w:val="00B25FF9"/>
    <w:rsid w:val="00B30C60"/>
    <w:rsid w:val="00B3644D"/>
    <w:rsid w:val="00B4275C"/>
    <w:rsid w:val="00B52E02"/>
    <w:rsid w:val="00B7538A"/>
    <w:rsid w:val="00B8535D"/>
    <w:rsid w:val="00B92369"/>
    <w:rsid w:val="00BB77AF"/>
    <w:rsid w:val="00BD7C06"/>
    <w:rsid w:val="00BE2291"/>
    <w:rsid w:val="00C064A8"/>
    <w:rsid w:val="00C150B7"/>
    <w:rsid w:val="00C41DBB"/>
    <w:rsid w:val="00C50C94"/>
    <w:rsid w:val="00C701BF"/>
    <w:rsid w:val="00CD778B"/>
    <w:rsid w:val="00CE17D2"/>
    <w:rsid w:val="00CF16E2"/>
    <w:rsid w:val="00D22891"/>
    <w:rsid w:val="00D43991"/>
    <w:rsid w:val="00D652BD"/>
    <w:rsid w:val="00D814C4"/>
    <w:rsid w:val="00DA016A"/>
    <w:rsid w:val="00DC4A49"/>
    <w:rsid w:val="00DD6849"/>
    <w:rsid w:val="00DE392F"/>
    <w:rsid w:val="00DE4501"/>
    <w:rsid w:val="00DE6686"/>
    <w:rsid w:val="00E34A69"/>
    <w:rsid w:val="00E521EB"/>
    <w:rsid w:val="00E570EF"/>
    <w:rsid w:val="00E65FD9"/>
    <w:rsid w:val="00E70AD7"/>
    <w:rsid w:val="00E75A28"/>
    <w:rsid w:val="00E8162D"/>
    <w:rsid w:val="00E85841"/>
    <w:rsid w:val="00E95B9A"/>
    <w:rsid w:val="00EA71A6"/>
    <w:rsid w:val="00EC7855"/>
    <w:rsid w:val="00ED05C0"/>
    <w:rsid w:val="00EF0E2D"/>
    <w:rsid w:val="00EF4322"/>
    <w:rsid w:val="00F13C57"/>
    <w:rsid w:val="00F1456A"/>
    <w:rsid w:val="00F23554"/>
    <w:rsid w:val="00F242C0"/>
    <w:rsid w:val="00F50B91"/>
    <w:rsid w:val="00F572BE"/>
    <w:rsid w:val="00F67D39"/>
    <w:rsid w:val="00F90803"/>
    <w:rsid w:val="00FA68F4"/>
    <w:rsid w:val="00FB0916"/>
    <w:rsid w:val="00FB6164"/>
    <w:rsid w:val="00FB6C0D"/>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7E1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A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206A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6A0"/>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8206A0"/>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8206A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8206A0"/>
    <w:rPr>
      <w:vertAlign w:val="superscript"/>
    </w:rPr>
  </w:style>
  <w:style w:type="paragraph" w:styleId="Title">
    <w:name w:val="Title"/>
    <w:basedOn w:val="Normal"/>
    <w:link w:val="TitleChar"/>
    <w:qFormat/>
    <w:rsid w:val="008206A0"/>
    <w:pPr>
      <w:jc w:val="center"/>
    </w:pPr>
    <w:rPr>
      <w:b/>
    </w:rPr>
  </w:style>
  <w:style w:type="character" w:customStyle="1" w:styleId="TitleChar">
    <w:name w:val="Title Char"/>
    <w:basedOn w:val="DefaultParagraphFont"/>
    <w:link w:val="Title"/>
    <w:rsid w:val="008206A0"/>
    <w:rPr>
      <w:rFonts w:ascii="Times New Roman" w:eastAsia="Times New Roman" w:hAnsi="Times New Roman" w:cs="Times New Roman"/>
      <w:b/>
      <w:sz w:val="24"/>
      <w:szCs w:val="20"/>
    </w:rPr>
  </w:style>
  <w:style w:type="paragraph" w:styleId="Header">
    <w:name w:val="header"/>
    <w:basedOn w:val="Normal"/>
    <w:link w:val="HeaderChar"/>
    <w:rsid w:val="008206A0"/>
    <w:pPr>
      <w:tabs>
        <w:tab w:val="center" w:pos="4320"/>
        <w:tab w:val="right" w:pos="8640"/>
      </w:tabs>
    </w:pPr>
    <w:rPr>
      <w:lang w:val="x-none" w:eastAsia="x-none"/>
    </w:rPr>
  </w:style>
  <w:style w:type="character" w:customStyle="1" w:styleId="HeaderChar">
    <w:name w:val="Header Char"/>
    <w:basedOn w:val="DefaultParagraphFont"/>
    <w:link w:val="Header"/>
    <w:rsid w:val="008206A0"/>
    <w:rPr>
      <w:rFonts w:ascii="Times New Roman" w:eastAsia="Times New Roman" w:hAnsi="Times New Roman" w:cs="Times New Roman"/>
      <w:sz w:val="24"/>
      <w:szCs w:val="20"/>
      <w:lang w:val="x-none" w:eastAsia="x-none"/>
    </w:rPr>
  </w:style>
  <w:style w:type="paragraph" w:styleId="Footer">
    <w:name w:val="footer"/>
    <w:basedOn w:val="Normal"/>
    <w:link w:val="FooterChar"/>
    <w:rsid w:val="008206A0"/>
    <w:pPr>
      <w:tabs>
        <w:tab w:val="center" w:pos="4320"/>
        <w:tab w:val="right" w:pos="8640"/>
      </w:tabs>
    </w:pPr>
  </w:style>
  <w:style w:type="character" w:customStyle="1" w:styleId="FooterChar">
    <w:name w:val="Footer Char"/>
    <w:basedOn w:val="DefaultParagraphFont"/>
    <w:link w:val="Footer"/>
    <w:rsid w:val="008206A0"/>
    <w:rPr>
      <w:rFonts w:ascii="Times New Roman" w:eastAsia="Times New Roman" w:hAnsi="Times New Roman" w:cs="Times New Roman"/>
      <w:sz w:val="24"/>
      <w:szCs w:val="20"/>
    </w:rPr>
  </w:style>
  <w:style w:type="character" w:styleId="PageNumber">
    <w:name w:val="page number"/>
    <w:basedOn w:val="DefaultParagraphFont"/>
    <w:rsid w:val="008206A0"/>
  </w:style>
  <w:style w:type="paragraph" w:customStyle="1" w:styleId="StyleParaNumLeft">
    <w:name w:val="Style ParaNum + Left"/>
    <w:basedOn w:val="Normal"/>
    <w:rsid w:val="008206A0"/>
    <w:pPr>
      <w:widowControl w:val="0"/>
      <w:numPr>
        <w:numId w:val="1"/>
      </w:numPr>
      <w:tabs>
        <w:tab w:val="clear" w:pos="1440"/>
        <w:tab w:val="num" w:pos="360"/>
        <w:tab w:val="left" w:pos="720"/>
      </w:tabs>
      <w:spacing w:after="220"/>
    </w:pPr>
    <w:rPr>
      <w:snapToGrid w:val="0"/>
      <w:kern w:val="28"/>
      <w:sz w:val="22"/>
      <w:szCs w:val="22"/>
    </w:rPr>
  </w:style>
  <w:style w:type="character" w:styleId="Hyperlink">
    <w:name w:val="Hyperlink"/>
    <w:basedOn w:val="DefaultParagraphFont"/>
    <w:uiPriority w:val="99"/>
    <w:unhideWhenUsed/>
    <w:rsid w:val="008206A0"/>
    <w:rPr>
      <w:color w:val="0000FF" w:themeColor="hyperlink"/>
      <w:u w:val="single"/>
    </w:rPr>
  </w:style>
  <w:style w:type="paragraph" w:styleId="BalloonText">
    <w:name w:val="Balloon Text"/>
    <w:basedOn w:val="Normal"/>
    <w:link w:val="BalloonTextChar"/>
    <w:uiPriority w:val="99"/>
    <w:semiHidden/>
    <w:unhideWhenUsed/>
    <w:rsid w:val="008B7D71"/>
    <w:rPr>
      <w:rFonts w:ascii="Tahoma" w:hAnsi="Tahoma" w:cs="Tahoma"/>
      <w:sz w:val="16"/>
      <w:szCs w:val="16"/>
    </w:rPr>
  </w:style>
  <w:style w:type="character" w:customStyle="1" w:styleId="BalloonTextChar">
    <w:name w:val="Balloon Text Char"/>
    <w:basedOn w:val="DefaultParagraphFont"/>
    <w:link w:val="BalloonText"/>
    <w:uiPriority w:val="99"/>
    <w:semiHidden/>
    <w:rsid w:val="008B7D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4A69"/>
    <w:rPr>
      <w:sz w:val="16"/>
      <w:szCs w:val="16"/>
    </w:rPr>
  </w:style>
  <w:style w:type="paragraph" w:styleId="CommentText">
    <w:name w:val="annotation text"/>
    <w:basedOn w:val="Normal"/>
    <w:link w:val="CommentTextChar"/>
    <w:uiPriority w:val="99"/>
    <w:semiHidden/>
    <w:unhideWhenUsed/>
    <w:rsid w:val="00E34A69"/>
    <w:rPr>
      <w:sz w:val="20"/>
    </w:rPr>
  </w:style>
  <w:style w:type="character" w:customStyle="1" w:styleId="CommentTextChar">
    <w:name w:val="Comment Text Char"/>
    <w:basedOn w:val="DefaultParagraphFont"/>
    <w:link w:val="CommentText"/>
    <w:uiPriority w:val="99"/>
    <w:semiHidden/>
    <w:rsid w:val="00E34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A69"/>
    <w:rPr>
      <w:b/>
      <w:bCs/>
    </w:rPr>
  </w:style>
  <w:style w:type="character" w:customStyle="1" w:styleId="CommentSubjectChar">
    <w:name w:val="Comment Subject Char"/>
    <w:basedOn w:val="CommentTextChar"/>
    <w:link w:val="CommentSubject"/>
    <w:uiPriority w:val="99"/>
    <w:semiHidden/>
    <w:rsid w:val="00E34A69"/>
    <w:rPr>
      <w:rFonts w:ascii="Times New Roman" w:eastAsia="Times New Roman" w:hAnsi="Times New Roman" w:cs="Times New Roman"/>
      <w:b/>
      <w:bCs/>
      <w:sz w:val="20"/>
      <w:szCs w:val="20"/>
    </w:rPr>
  </w:style>
  <w:style w:type="character" w:customStyle="1" w:styleId="st">
    <w:name w:val="st"/>
    <w:basedOn w:val="DefaultParagraphFont"/>
    <w:rsid w:val="00CD7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A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206A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6A0"/>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8206A0"/>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8206A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8206A0"/>
    <w:rPr>
      <w:vertAlign w:val="superscript"/>
    </w:rPr>
  </w:style>
  <w:style w:type="paragraph" w:styleId="Title">
    <w:name w:val="Title"/>
    <w:basedOn w:val="Normal"/>
    <w:link w:val="TitleChar"/>
    <w:qFormat/>
    <w:rsid w:val="008206A0"/>
    <w:pPr>
      <w:jc w:val="center"/>
    </w:pPr>
    <w:rPr>
      <w:b/>
    </w:rPr>
  </w:style>
  <w:style w:type="character" w:customStyle="1" w:styleId="TitleChar">
    <w:name w:val="Title Char"/>
    <w:basedOn w:val="DefaultParagraphFont"/>
    <w:link w:val="Title"/>
    <w:rsid w:val="008206A0"/>
    <w:rPr>
      <w:rFonts w:ascii="Times New Roman" w:eastAsia="Times New Roman" w:hAnsi="Times New Roman" w:cs="Times New Roman"/>
      <w:b/>
      <w:sz w:val="24"/>
      <w:szCs w:val="20"/>
    </w:rPr>
  </w:style>
  <w:style w:type="paragraph" w:styleId="Header">
    <w:name w:val="header"/>
    <w:basedOn w:val="Normal"/>
    <w:link w:val="HeaderChar"/>
    <w:rsid w:val="008206A0"/>
    <w:pPr>
      <w:tabs>
        <w:tab w:val="center" w:pos="4320"/>
        <w:tab w:val="right" w:pos="8640"/>
      </w:tabs>
    </w:pPr>
    <w:rPr>
      <w:lang w:val="x-none" w:eastAsia="x-none"/>
    </w:rPr>
  </w:style>
  <w:style w:type="character" w:customStyle="1" w:styleId="HeaderChar">
    <w:name w:val="Header Char"/>
    <w:basedOn w:val="DefaultParagraphFont"/>
    <w:link w:val="Header"/>
    <w:rsid w:val="008206A0"/>
    <w:rPr>
      <w:rFonts w:ascii="Times New Roman" w:eastAsia="Times New Roman" w:hAnsi="Times New Roman" w:cs="Times New Roman"/>
      <w:sz w:val="24"/>
      <w:szCs w:val="20"/>
      <w:lang w:val="x-none" w:eastAsia="x-none"/>
    </w:rPr>
  </w:style>
  <w:style w:type="paragraph" w:styleId="Footer">
    <w:name w:val="footer"/>
    <w:basedOn w:val="Normal"/>
    <w:link w:val="FooterChar"/>
    <w:rsid w:val="008206A0"/>
    <w:pPr>
      <w:tabs>
        <w:tab w:val="center" w:pos="4320"/>
        <w:tab w:val="right" w:pos="8640"/>
      </w:tabs>
    </w:pPr>
  </w:style>
  <w:style w:type="character" w:customStyle="1" w:styleId="FooterChar">
    <w:name w:val="Footer Char"/>
    <w:basedOn w:val="DefaultParagraphFont"/>
    <w:link w:val="Footer"/>
    <w:rsid w:val="008206A0"/>
    <w:rPr>
      <w:rFonts w:ascii="Times New Roman" w:eastAsia="Times New Roman" w:hAnsi="Times New Roman" w:cs="Times New Roman"/>
      <w:sz w:val="24"/>
      <w:szCs w:val="20"/>
    </w:rPr>
  </w:style>
  <w:style w:type="character" w:styleId="PageNumber">
    <w:name w:val="page number"/>
    <w:basedOn w:val="DefaultParagraphFont"/>
    <w:rsid w:val="008206A0"/>
  </w:style>
  <w:style w:type="paragraph" w:customStyle="1" w:styleId="StyleParaNumLeft">
    <w:name w:val="Style ParaNum + Left"/>
    <w:basedOn w:val="Normal"/>
    <w:rsid w:val="008206A0"/>
    <w:pPr>
      <w:widowControl w:val="0"/>
      <w:numPr>
        <w:numId w:val="1"/>
      </w:numPr>
      <w:tabs>
        <w:tab w:val="clear" w:pos="1440"/>
        <w:tab w:val="num" w:pos="360"/>
        <w:tab w:val="left" w:pos="720"/>
      </w:tabs>
      <w:spacing w:after="220"/>
    </w:pPr>
    <w:rPr>
      <w:snapToGrid w:val="0"/>
      <w:kern w:val="28"/>
      <w:sz w:val="22"/>
      <w:szCs w:val="22"/>
    </w:rPr>
  </w:style>
  <w:style w:type="character" w:styleId="Hyperlink">
    <w:name w:val="Hyperlink"/>
    <w:basedOn w:val="DefaultParagraphFont"/>
    <w:uiPriority w:val="99"/>
    <w:unhideWhenUsed/>
    <w:rsid w:val="008206A0"/>
    <w:rPr>
      <w:color w:val="0000FF" w:themeColor="hyperlink"/>
      <w:u w:val="single"/>
    </w:rPr>
  </w:style>
  <w:style w:type="paragraph" w:styleId="BalloonText">
    <w:name w:val="Balloon Text"/>
    <w:basedOn w:val="Normal"/>
    <w:link w:val="BalloonTextChar"/>
    <w:uiPriority w:val="99"/>
    <w:semiHidden/>
    <w:unhideWhenUsed/>
    <w:rsid w:val="008B7D71"/>
    <w:rPr>
      <w:rFonts w:ascii="Tahoma" w:hAnsi="Tahoma" w:cs="Tahoma"/>
      <w:sz w:val="16"/>
      <w:szCs w:val="16"/>
    </w:rPr>
  </w:style>
  <w:style w:type="character" w:customStyle="1" w:styleId="BalloonTextChar">
    <w:name w:val="Balloon Text Char"/>
    <w:basedOn w:val="DefaultParagraphFont"/>
    <w:link w:val="BalloonText"/>
    <w:uiPriority w:val="99"/>
    <w:semiHidden/>
    <w:rsid w:val="008B7D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4A69"/>
    <w:rPr>
      <w:sz w:val="16"/>
      <w:szCs w:val="16"/>
    </w:rPr>
  </w:style>
  <w:style w:type="paragraph" w:styleId="CommentText">
    <w:name w:val="annotation text"/>
    <w:basedOn w:val="Normal"/>
    <w:link w:val="CommentTextChar"/>
    <w:uiPriority w:val="99"/>
    <w:semiHidden/>
    <w:unhideWhenUsed/>
    <w:rsid w:val="00E34A69"/>
    <w:rPr>
      <w:sz w:val="20"/>
    </w:rPr>
  </w:style>
  <w:style w:type="character" w:customStyle="1" w:styleId="CommentTextChar">
    <w:name w:val="Comment Text Char"/>
    <w:basedOn w:val="DefaultParagraphFont"/>
    <w:link w:val="CommentText"/>
    <w:uiPriority w:val="99"/>
    <w:semiHidden/>
    <w:rsid w:val="00E34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A69"/>
    <w:rPr>
      <w:b/>
      <w:bCs/>
    </w:rPr>
  </w:style>
  <w:style w:type="character" w:customStyle="1" w:styleId="CommentSubjectChar">
    <w:name w:val="Comment Subject Char"/>
    <w:basedOn w:val="CommentTextChar"/>
    <w:link w:val="CommentSubject"/>
    <w:uiPriority w:val="99"/>
    <w:semiHidden/>
    <w:rsid w:val="00E34A69"/>
    <w:rPr>
      <w:rFonts w:ascii="Times New Roman" w:eastAsia="Times New Roman" w:hAnsi="Times New Roman" w:cs="Times New Roman"/>
      <w:b/>
      <w:bCs/>
      <w:sz w:val="20"/>
      <w:szCs w:val="20"/>
    </w:rPr>
  </w:style>
  <w:style w:type="character" w:customStyle="1" w:styleId="st">
    <w:name w:val="st"/>
    <w:basedOn w:val="DefaultParagraphFont"/>
    <w:rsid w:val="00CD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108">
      <w:bodyDiv w:val="1"/>
      <w:marLeft w:val="0"/>
      <w:marRight w:val="0"/>
      <w:marTop w:val="0"/>
      <w:marBottom w:val="0"/>
      <w:divBdr>
        <w:top w:val="none" w:sz="0" w:space="0" w:color="auto"/>
        <w:left w:val="none" w:sz="0" w:space="0" w:color="auto"/>
        <w:bottom w:val="none" w:sz="0" w:space="0" w:color="auto"/>
        <w:right w:val="none" w:sz="0" w:space="0" w:color="auto"/>
      </w:divBdr>
    </w:div>
    <w:div w:id="452600730">
      <w:bodyDiv w:val="1"/>
      <w:marLeft w:val="0"/>
      <w:marRight w:val="0"/>
      <w:marTop w:val="0"/>
      <w:marBottom w:val="0"/>
      <w:divBdr>
        <w:top w:val="none" w:sz="0" w:space="0" w:color="auto"/>
        <w:left w:val="none" w:sz="0" w:space="0" w:color="auto"/>
        <w:bottom w:val="none" w:sz="0" w:space="0" w:color="auto"/>
        <w:right w:val="none" w:sz="0" w:space="0" w:color="auto"/>
      </w:divBdr>
    </w:div>
    <w:div w:id="14318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rosenber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ireless2.fcc.gov/UlsApp/AsrSearch/asrRegistration.jsp?regKey=269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6076</Characters>
  <Application>Microsoft Office Word</Application>
  <DocSecurity>0</DocSecurity>
  <Lines>127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2016-06-16T13:58:00Z</cp:lastPrinted>
  <dcterms:created xsi:type="dcterms:W3CDTF">2016-06-16T17:18:00Z</dcterms:created>
  <dcterms:modified xsi:type="dcterms:W3CDTF">2016-06-16T17:18:00Z</dcterms:modified>
  <cp:category> </cp:category>
  <cp:contentStatus> </cp:contentStatus>
</cp:coreProperties>
</file>