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FD2EA" w14:textId="2AB95D2F" w:rsidR="004D3571" w:rsidRPr="00FF04DF" w:rsidRDefault="00925D5B" w:rsidP="004D3571">
      <w:pPr>
        <w:pStyle w:val="Title"/>
        <w:rPr>
          <w:smallCaps/>
          <w:szCs w:val="24"/>
        </w:rPr>
      </w:pPr>
      <w:bookmarkStart w:id="0" w:name="_GoBack"/>
      <w:bookmarkEnd w:id="0"/>
      <w:r w:rsidRPr="00925D5B">
        <w:rPr>
          <w:noProof/>
        </w:rPr>
        <w:drawing>
          <wp:anchor distT="0" distB="0" distL="114300" distR="114300" simplePos="0" relativeHeight="251659264" behindDoc="0" locked="0" layoutInCell="1" allowOverlap="1" wp14:anchorId="32830051" wp14:editId="7BCC9612">
            <wp:simplePos x="0" y="0"/>
            <wp:positionH relativeFrom="column">
              <wp:posOffset>-291465</wp:posOffset>
            </wp:positionH>
            <wp:positionV relativeFrom="paragraph">
              <wp:posOffset>-111760</wp:posOffset>
            </wp:positionV>
            <wp:extent cx="1027469" cy="977900"/>
            <wp:effectExtent l="0" t="0" r="127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7469" cy="977900"/>
                    </a:xfrm>
                    <a:prstGeom prst="rect">
                      <a:avLst/>
                    </a:prstGeom>
                  </pic:spPr>
                </pic:pic>
              </a:graphicData>
            </a:graphic>
            <wp14:sizeRelH relativeFrom="page">
              <wp14:pctWidth>0</wp14:pctWidth>
            </wp14:sizeRelH>
            <wp14:sizeRelV relativeFrom="page">
              <wp14:pctHeight>0</wp14:pctHeight>
            </wp14:sizeRelV>
          </wp:anchor>
        </w:drawing>
      </w:r>
      <w:r w:rsidR="004D3571" w:rsidRPr="00FF04DF">
        <w:rPr>
          <w:smallCaps/>
          <w:szCs w:val="24"/>
        </w:rPr>
        <w:t>Federal Communications Commission</w:t>
      </w:r>
    </w:p>
    <w:p w14:paraId="183B5871" w14:textId="77777777" w:rsidR="004D3571" w:rsidRPr="00FF04DF" w:rsidRDefault="004D3571" w:rsidP="004D3571">
      <w:pPr>
        <w:jc w:val="center"/>
        <w:rPr>
          <w:szCs w:val="24"/>
        </w:rPr>
      </w:pPr>
      <w:r w:rsidRPr="00FF04DF">
        <w:rPr>
          <w:szCs w:val="24"/>
        </w:rPr>
        <w:t>Wireless Telecommunications Bureau</w:t>
      </w:r>
    </w:p>
    <w:p w14:paraId="37BC9D3A" w14:textId="29E3A18B" w:rsidR="004D3571" w:rsidRPr="00FF04DF" w:rsidRDefault="004D3571" w:rsidP="004D3571">
      <w:pPr>
        <w:jc w:val="center"/>
        <w:rPr>
          <w:smallCaps/>
          <w:szCs w:val="24"/>
        </w:rPr>
      </w:pPr>
      <w:r w:rsidRPr="00FF04DF">
        <w:rPr>
          <w:szCs w:val="24"/>
        </w:rPr>
        <w:t>Competition</w:t>
      </w:r>
      <w:r w:rsidR="004A4CF5" w:rsidRPr="00FF04DF">
        <w:rPr>
          <w:szCs w:val="24"/>
        </w:rPr>
        <w:t xml:space="preserve"> and Infrastructure</w:t>
      </w:r>
      <w:r w:rsidRPr="00FF04DF">
        <w:rPr>
          <w:szCs w:val="24"/>
        </w:rPr>
        <w:t xml:space="preserve"> Policy Division</w:t>
      </w:r>
    </w:p>
    <w:p w14:paraId="59E87A0F" w14:textId="77777777" w:rsidR="004D3571" w:rsidRPr="00FF04DF" w:rsidRDefault="004D3571" w:rsidP="004D3571">
      <w:pPr>
        <w:jc w:val="center"/>
        <w:rPr>
          <w:sz w:val="22"/>
          <w:szCs w:val="22"/>
        </w:rPr>
      </w:pPr>
      <w:r w:rsidRPr="00FF04DF">
        <w:rPr>
          <w:sz w:val="22"/>
          <w:szCs w:val="22"/>
        </w:rPr>
        <w:t>445 12</w:t>
      </w:r>
      <w:r w:rsidRPr="00FF04DF">
        <w:rPr>
          <w:sz w:val="22"/>
          <w:szCs w:val="22"/>
          <w:vertAlign w:val="superscript"/>
        </w:rPr>
        <w:t>th</w:t>
      </w:r>
      <w:r w:rsidRPr="00FF04DF">
        <w:rPr>
          <w:sz w:val="22"/>
          <w:szCs w:val="22"/>
        </w:rPr>
        <w:t xml:space="preserve"> Street, SW</w:t>
      </w:r>
    </w:p>
    <w:p w14:paraId="469F6FEF" w14:textId="77777777" w:rsidR="004D3571" w:rsidRPr="00FF04DF" w:rsidRDefault="004D3571" w:rsidP="004D3571">
      <w:pPr>
        <w:jc w:val="center"/>
        <w:rPr>
          <w:sz w:val="22"/>
          <w:szCs w:val="22"/>
        </w:rPr>
      </w:pPr>
      <w:r w:rsidRPr="00FF04DF">
        <w:rPr>
          <w:sz w:val="22"/>
          <w:szCs w:val="22"/>
        </w:rPr>
        <w:t>Washington, DC  20554</w:t>
      </w:r>
    </w:p>
    <w:p w14:paraId="6D95FF89" w14:textId="77777777" w:rsidR="004D3571" w:rsidRDefault="004D3571" w:rsidP="004D3571">
      <w:pPr>
        <w:jc w:val="center"/>
        <w:rPr>
          <w:szCs w:val="24"/>
        </w:rPr>
      </w:pPr>
    </w:p>
    <w:p w14:paraId="79CC2D1A" w14:textId="77777777" w:rsidR="00592EDD" w:rsidRPr="00FF04DF" w:rsidRDefault="00592EDD" w:rsidP="004D3571">
      <w:pPr>
        <w:jc w:val="center"/>
        <w:rPr>
          <w:szCs w:val="24"/>
        </w:rPr>
      </w:pPr>
    </w:p>
    <w:p w14:paraId="759590B0" w14:textId="7FA99C88" w:rsidR="004D3571" w:rsidRPr="00FF04DF" w:rsidRDefault="00186FA1" w:rsidP="00592EDD">
      <w:pPr>
        <w:tabs>
          <w:tab w:val="left" w:pos="1941"/>
        </w:tabs>
        <w:jc w:val="center"/>
        <w:rPr>
          <w:szCs w:val="24"/>
        </w:rPr>
      </w:pPr>
      <w:r w:rsidRPr="00FF04DF">
        <w:rPr>
          <w:szCs w:val="24"/>
        </w:rPr>
        <w:t>June</w:t>
      </w:r>
      <w:r w:rsidR="00591E41" w:rsidRPr="00FF04DF">
        <w:rPr>
          <w:szCs w:val="24"/>
        </w:rPr>
        <w:t xml:space="preserve"> </w:t>
      </w:r>
      <w:r w:rsidR="00592EDD">
        <w:rPr>
          <w:szCs w:val="24"/>
        </w:rPr>
        <w:t>16</w:t>
      </w:r>
      <w:r w:rsidR="004D3571" w:rsidRPr="00FF04DF">
        <w:rPr>
          <w:szCs w:val="24"/>
        </w:rPr>
        <w:t>, 201</w:t>
      </w:r>
      <w:r w:rsidR="0025713B" w:rsidRPr="00FF04DF">
        <w:rPr>
          <w:szCs w:val="24"/>
        </w:rPr>
        <w:t>6</w:t>
      </w:r>
    </w:p>
    <w:p w14:paraId="7F133EC0" w14:textId="0D0B339E" w:rsidR="004D3571" w:rsidRDefault="004D3571" w:rsidP="004D3571">
      <w:pPr>
        <w:pStyle w:val="Heading2"/>
        <w:rPr>
          <w:szCs w:val="24"/>
        </w:rPr>
      </w:pPr>
    </w:p>
    <w:p w14:paraId="28E7152E" w14:textId="77777777" w:rsidR="00592EDD" w:rsidRPr="00592EDD" w:rsidRDefault="00592EDD" w:rsidP="00592EDD"/>
    <w:p w14:paraId="5311F87B" w14:textId="1F874D5C" w:rsidR="004D3571" w:rsidRPr="00FF04DF" w:rsidRDefault="004D3571" w:rsidP="00592EDD">
      <w:pPr>
        <w:pStyle w:val="Heading2"/>
        <w:rPr>
          <w:b w:val="0"/>
          <w:szCs w:val="24"/>
        </w:rPr>
      </w:pPr>
      <w:r w:rsidRPr="00FF04DF">
        <w:rPr>
          <w:szCs w:val="24"/>
        </w:rPr>
        <w:t xml:space="preserve">VIA </w:t>
      </w:r>
      <w:r w:rsidR="00592EDD">
        <w:rPr>
          <w:szCs w:val="24"/>
        </w:rPr>
        <w:t>FIRST CLASS MAIL AND E</w:t>
      </w:r>
      <w:r w:rsidRPr="00FF04DF">
        <w:rPr>
          <w:szCs w:val="24"/>
        </w:rPr>
        <w:t>MAIL</w:t>
      </w:r>
    </w:p>
    <w:p w14:paraId="73766FF4" w14:textId="77777777" w:rsidR="004D3571" w:rsidRPr="00FF04DF" w:rsidRDefault="004D3571" w:rsidP="004D3571">
      <w:pPr>
        <w:rPr>
          <w:szCs w:val="24"/>
        </w:rPr>
      </w:pPr>
    </w:p>
    <w:p w14:paraId="0BD7650D" w14:textId="77777777" w:rsidR="00BC61E3" w:rsidRPr="00FF04DF" w:rsidRDefault="00BC61E3" w:rsidP="00BC61E3">
      <w:pPr>
        <w:rPr>
          <w:szCs w:val="24"/>
        </w:rPr>
      </w:pPr>
      <w:r w:rsidRPr="00FF04DF">
        <w:rPr>
          <w:szCs w:val="24"/>
        </w:rPr>
        <w:t>Kenneth R. Meyers</w:t>
      </w:r>
    </w:p>
    <w:p w14:paraId="614C48CF" w14:textId="77777777" w:rsidR="00BC61E3" w:rsidRPr="00FF04DF" w:rsidRDefault="00BC61E3" w:rsidP="00BC61E3">
      <w:pPr>
        <w:rPr>
          <w:szCs w:val="24"/>
        </w:rPr>
      </w:pPr>
      <w:r w:rsidRPr="00FF04DF">
        <w:rPr>
          <w:szCs w:val="24"/>
        </w:rPr>
        <w:t>President and Chief Executive Officer</w:t>
      </w:r>
    </w:p>
    <w:p w14:paraId="46922A08" w14:textId="2310BE88" w:rsidR="00BC61E3" w:rsidRPr="00FF04DF" w:rsidRDefault="00BC61E3" w:rsidP="00BC61E3">
      <w:pPr>
        <w:rPr>
          <w:rStyle w:val="st"/>
          <w:szCs w:val="24"/>
        </w:rPr>
      </w:pPr>
      <w:r w:rsidRPr="00FF04DF">
        <w:rPr>
          <w:szCs w:val="24"/>
        </w:rPr>
        <w:t>United States Cellular Corporation</w:t>
      </w:r>
      <w:r w:rsidR="00E13A79" w:rsidRPr="00FF04DF">
        <w:rPr>
          <w:rStyle w:val="st"/>
        </w:rPr>
        <w:t>/</w:t>
      </w:r>
      <w:r w:rsidR="00E13A79" w:rsidRPr="00FF04DF">
        <w:rPr>
          <w:szCs w:val="24"/>
        </w:rPr>
        <w:t xml:space="preserve"> Maine RSA No. 1</w:t>
      </w:r>
    </w:p>
    <w:p w14:paraId="70633FE8" w14:textId="77777777" w:rsidR="00BC61E3" w:rsidRPr="00FF04DF" w:rsidRDefault="00BC61E3" w:rsidP="00BC61E3">
      <w:pPr>
        <w:rPr>
          <w:rStyle w:val="st"/>
        </w:rPr>
      </w:pPr>
      <w:r w:rsidRPr="00FF04DF">
        <w:rPr>
          <w:rStyle w:val="st"/>
        </w:rPr>
        <w:t xml:space="preserve">8410 West Bryn Mawr Avenue, Suite 700 </w:t>
      </w:r>
    </w:p>
    <w:p w14:paraId="2A97A0AB" w14:textId="77777777" w:rsidR="00BC61E3" w:rsidRPr="00FF04DF" w:rsidRDefault="00BC61E3" w:rsidP="00BC61E3">
      <w:pPr>
        <w:rPr>
          <w:rStyle w:val="st"/>
        </w:rPr>
      </w:pPr>
      <w:r w:rsidRPr="00FF04DF">
        <w:rPr>
          <w:rStyle w:val="st"/>
        </w:rPr>
        <w:t xml:space="preserve">Chicago, IL 60631-3486 </w:t>
      </w:r>
    </w:p>
    <w:p w14:paraId="13718D8F" w14:textId="77777777" w:rsidR="001A09B2" w:rsidRPr="00FF04DF" w:rsidRDefault="001A09B2" w:rsidP="00BC61E3">
      <w:pPr>
        <w:rPr>
          <w:rStyle w:val="st"/>
        </w:rPr>
      </w:pPr>
    </w:p>
    <w:p w14:paraId="3C75B1F7" w14:textId="7A94370B" w:rsidR="004D3571" w:rsidRPr="00FF04DF" w:rsidRDefault="004D3571" w:rsidP="002739B1">
      <w:pPr>
        <w:ind w:firstLine="720"/>
        <w:rPr>
          <w:szCs w:val="24"/>
          <w:lang w:val="de-DE"/>
        </w:rPr>
      </w:pPr>
      <w:r w:rsidRPr="00FF04DF">
        <w:rPr>
          <w:b/>
          <w:szCs w:val="24"/>
        </w:rPr>
        <w:t xml:space="preserve">Re: </w:t>
      </w:r>
      <w:r w:rsidRPr="00FF04DF">
        <w:rPr>
          <w:b/>
          <w:szCs w:val="24"/>
        </w:rPr>
        <w:tab/>
        <w:t xml:space="preserve">VIOLATION OF </w:t>
      </w:r>
      <w:r w:rsidR="002739B1" w:rsidRPr="00FF04DF">
        <w:rPr>
          <w:b/>
          <w:szCs w:val="24"/>
        </w:rPr>
        <w:t xml:space="preserve">FCC </w:t>
      </w:r>
      <w:r w:rsidR="002C5C29" w:rsidRPr="00FF04DF">
        <w:rPr>
          <w:b/>
          <w:szCs w:val="24"/>
        </w:rPr>
        <w:t>E</w:t>
      </w:r>
      <w:r w:rsidR="0082126F" w:rsidRPr="00FF04DF">
        <w:rPr>
          <w:b/>
          <w:szCs w:val="24"/>
        </w:rPr>
        <w:t>NVI</w:t>
      </w:r>
      <w:r w:rsidR="002C5C29" w:rsidRPr="00FF04DF">
        <w:rPr>
          <w:b/>
          <w:szCs w:val="24"/>
        </w:rPr>
        <w:t xml:space="preserve">RONMENTAL </w:t>
      </w:r>
      <w:r w:rsidR="002739B1" w:rsidRPr="00FF04DF">
        <w:rPr>
          <w:b/>
          <w:szCs w:val="24"/>
        </w:rPr>
        <w:t xml:space="preserve">RULES </w:t>
      </w:r>
      <w:r w:rsidRPr="00FF04DF">
        <w:rPr>
          <w:b/>
          <w:szCs w:val="24"/>
        </w:rPr>
        <w:br/>
      </w:r>
    </w:p>
    <w:p w14:paraId="0A393417" w14:textId="1C93C8DA" w:rsidR="004D3571" w:rsidRPr="00FF04DF" w:rsidRDefault="004D3571" w:rsidP="004D3571">
      <w:pPr>
        <w:rPr>
          <w:szCs w:val="24"/>
        </w:rPr>
      </w:pPr>
      <w:r w:rsidRPr="00FF04DF">
        <w:rPr>
          <w:szCs w:val="24"/>
        </w:rPr>
        <w:t xml:space="preserve">Dear Mr. </w:t>
      </w:r>
      <w:r w:rsidR="007D603B" w:rsidRPr="00FF04DF">
        <w:rPr>
          <w:szCs w:val="24"/>
        </w:rPr>
        <w:t>Meyers</w:t>
      </w:r>
      <w:r w:rsidRPr="00FF04DF">
        <w:rPr>
          <w:szCs w:val="24"/>
        </w:rPr>
        <w:t>:</w:t>
      </w:r>
    </w:p>
    <w:p w14:paraId="4F900449" w14:textId="77777777" w:rsidR="004D3571" w:rsidRPr="00FF04DF" w:rsidRDefault="004D3571" w:rsidP="004D3571">
      <w:pPr>
        <w:rPr>
          <w:szCs w:val="24"/>
        </w:rPr>
      </w:pPr>
    </w:p>
    <w:p w14:paraId="138FCC16" w14:textId="36F20EA2" w:rsidR="00BC61E3" w:rsidRPr="00FF04DF" w:rsidRDefault="004D3571" w:rsidP="00BC61E3">
      <w:pPr>
        <w:ind w:firstLine="720"/>
        <w:rPr>
          <w:szCs w:val="24"/>
        </w:rPr>
      </w:pPr>
      <w:r w:rsidRPr="00FF04DF">
        <w:rPr>
          <w:szCs w:val="24"/>
        </w:rPr>
        <w:t xml:space="preserve">This letter pertains to </w:t>
      </w:r>
      <w:r w:rsidR="009F1CCB" w:rsidRPr="00FF04DF">
        <w:rPr>
          <w:szCs w:val="24"/>
        </w:rPr>
        <w:t xml:space="preserve">our </w:t>
      </w:r>
      <w:r w:rsidR="00597C8D" w:rsidRPr="00FF04DF">
        <w:rPr>
          <w:szCs w:val="24"/>
        </w:rPr>
        <w:t xml:space="preserve">findings that United States Cellular Corporation (USCC) </w:t>
      </w:r>
      <w:r w:rsidRPr="00FF04DF">
        <w:rPr>
          <w:szCs w:val="24"/>
        </w:rPr>
        <w:t>failed to comply with the Commission’s regulations implementing the National Environmental Policy Act of 1969 (NEPA) and other</w:t>
      </w:r>
      <w:r w:rsidR="00A84F73" w:rsidRPr="00FF04DF">
        <w:rPr>
          <w:szCs w:val="24"/>
        </w:rPr>
        <w:t xml:space="preserve"> federal environmental statutes</w:t>
      </w:r>
      <w:r w:rsidRPr="00FF04DF">
        <w:rPr>
          <w:rStyle w:val="FootnoteReference"/>
          <w:szCs w:val="24"/>
        </w:rPr>
        <w:footnoteReference w:id="1"/>
      </w:r>
      <w:r w:rsidRPr="00FF04DF">
        <w:rPr>
          <w:szCs w:val="24"/>
        </w:rPr>
        <w:t xml:space="preserve"> </w:t>
      </w:r>
      <w:r w:rsidR="00A84F73" w:rsidRPr="00FF04DF">
        <w:rPr>
          <w:szCs w:val="24"/>
        </w:rPr>
        <w:t>and</w:t>
      </w:r>
      <w:r w:rsidR="00697A3C" w:rsidRPr="00FF04DF">
        <w:rPr>
          <w:szCs w:val="24"/>
        </w:rPr>
        <w:t xml:space="preserve"> related</w:t>
      </w:r>
      <w:r w:rsidR="00A84F73" w:rsidRPr="00FF04DF">
        <w:rPr>
          <w:szCs w:val="24"/>
        </w:rPr>
        <w:t xml:space="preserve"> licensing rules.</w:t>
      </w:r>
      <w:r w:rsidR="00697A3C" w:rsidRPr="00FF04DF">
        <w:rPr>
          <w:rStyle w:val="FootnoteReference"/>
          <w:szCs w:val="24"/>
        </w:rPr>
        <w:footnoteReference w:id="2"/>
      </w:r>
      <w:r w:rsidR="00A84F73" w:rsidRPr="00FF04DF">
        <w:rPr>
          <w:szCs w:val="24"/>
        </w:rPr>
        <w:t xml:space="preserve">  </w:t>
      </w:r>
      <w:r w:rsidR="00927E34" w:rsidRPr="00FF04DF">
        <w:rPr>
          <w:szCs w:val="24"/>
        </w:rPr>
        <w:t xml:space="preserve">The Wireless Telecommunications Bureau </w:t>
      </w:r>
      <w:r w:rsidR="00335907" w:rsidRPr="00FF04DF">
        <w:rPr>
          <w:szCs w:val="24"/>
        </w:rPr>
        <w:t xml:space="preserve">has determined that </w:t>
      </w:r>
      <w:r w:rsidR="00451AF0" w:rsidRPr="00FF04DF">
        <w:rPr>
          <w:szCs w:val="24"/>
        </w:rPr>
        <w:t xml:space="preserve">USCC </w:t>
      </w:r>
      <w:r w:rsidR="00927E34" w:rsidRPr="00FF04DF">
        <w:rPr>
          <w:szCs w:val="24"/>
        </w:rPr>
        <w:t xml:space="preserve">violated </w:t>
      </w:r>
      <w:r w:rsidR="00E3570C" w:rsidRPr="00FF04DF">
        <w:rPr>
          <w:szCs w:val="24"/>
        </w:rPr>
        <w:t xml:space="preserve">Sections </w:t>
      </w:r>
      <w:r w:rsidR="00927E34" w:rsidRPr="00FF04DF">
        <w:rPr>
          <w:szCs w:val="24"/>
        </w:rPr>
        <w:t>1.1307</w:t>
      </w:r>
      <w:r w:rsidR="005D09AA" w:rsidRPr="00FF04DF">
        <w:rPr>
          <w:szCs w:val="24"/>
        </w:rPr>
        <w:t>, 1.1312</w:t>
      </w:r>
      <w:r w:rsidR="0082126F" w:rsidRPr="00FF04DF">
        <w:rPr>
          <w:szCs w:val="24"/>
        </w:rPr>
        <w:t>,</w:t>
      </w:r>
      <w:r w:rsidR="005D09AA" w:rsidRPr="00FF04DF">
        <w:rPr>
          <w:szCs w:val="24"/>
        </w:rPr>
        <w:t xml:space="preserve"> </w:t>
      </w:r>
      <w:r w:rsidR="00186FA1" w:rsidRPr="00FF04DF">
        <w:rPr>
          <w:szCs w:val="24"/>
        </w:rPr>
        <w:t xml:space="preserve">and </w:t>
      </w:r>
      <w:r w:rsidR="00591E41" w:rsidRPr="00FF04DF">
        <w:rPr>
          <w:szCs w:val="24"/>
        </w:rPr>
        <w:t xml:space="preserve">24.2 </w:t>
      </w:r>
      <w:r w:rsidR="00927E34" w:rsidRPr="00FF04DF">
        <w:rPr>
          <w:szCs w:val="24"/>
        </w:rPr>
        <w:t>of the Commission’s rules</w:t>
      </w:r>
      <w:r w:rsidR="00591E41" w:rsidRPr="00FF04DF">
        <w:rPr>
          <w:rStyle w:val="FootnoteReference"/>
          <w:szCs w:val="24"/>
        </w:rPr>
        <w:footnoteReference w:id="3"/>
      </w:r>
      <w:r w:rsidR="00927E34" w:rsidRPr="00FF04DF">
        <w:rPr>
          <w:szCs w:val="24"/>
        </w:rPr>
        <w:t xml:space="preserve"> by constructing </w:t>
      </w:r>
      <w:r w:rsidR="002A7429" w:rsidRPr="00FF04DF">
        <w:rPr>
          <w:szCs w:val="24"/>
        </w:rPr>
        <w:t>a tower in Farmington, M</w:t>
      </w:r>
      <w:r w:rsidR="00591E41" w:rsidRPr="00FF04DF">
        <w:rPr>
          <w:szCs w:val="24"/>
        </w:rPr>
        <w:t>aine,</w:t>
      </w:r>
      <w:r w:rsidR="002A7429" w:rsidRPr="00FF04DF">
        <w:rPr>
          <w:szCs w:val="24"/>
        </w:rPr>
        <w:t xml:space="preserve"> </w:t>
      </w:r>
      <w:r w:rsidR="002737F6" w:rsidRPr="00FF04DF">
        <w:rPr>
          <w:szCs w:val="24"/>
        </w:rPr>
        <w:t xml:space="preserve">without </w:t>
      </w:r>
      <w:r w:rsidR="00591E41" w:rsidRPr="00FF04DF">
        <w:rPr>
          <w:szCs w:val="24"/>
        </w:rPr>
        <w:t xml:space="preserve">first completing the required </w:t>
      </w:r>
      <w:r w:rsidR="002737F6" w:rsidRPr="00FF04DF">
        <w:rPr>
          <w:szCs w:val="24"/>
        </w:rPr>
        <w:t xml:space="preserve">historic preservation </w:t>
      </w:r>
      <w:r w:rsidR="00591E41" w:rsidRPr="00FF04DF">
        <w:rPr>
          <w:szCs w:val="24"/>
        </w:rPr>
        <w:t>review</w:t>
      </w:r>
      <w:r w:rsidR="002737F6" w:rsidRPr="00FF04DF">
        <w:rPr>
          <w:szCs w:val="24"/>
        </w:rPr>
        <w:t>.</w:t>
      </w:r>
      <w:r w:rsidR="00591E41" w:rsidRPr="00FF04DF">
        <w:rPr>
          <w:szCs w:val="24"/>
        </w:rPr>
        <w:t xml:space="preserve">  </w:t>
      </w:r>
      <w:r w:rsidR="002C5C29" w:rsidRPr="00FF04DF">
        <w:rPr>
          <w:szCs w:val="24"/>
        </w:rPr>
        <w:t>By this letter, w</w:t>
      </w:r>
      <w:r w:rsidR="00BC61E3" w:rsidRPr="00FF04DF">
        <w:rPr>
          <w:szCs w:val="24"/>
        </w:rPr>
        <w:t>e apprise USCC of the implications of failing to comply with Commission regulations in the future.</w:t>
      </w:r>
    </w:p>
    <w:p w14:paraId="69E0785D" w14:textId="77777777" w:rsidR="00BC61E3" w:rsidRPr="00FF04DF" w:rsidRDefault="00BC61E3" w:rsidP="00905570">
      <w:pPr>
        <w:rPr>
          <w:szCs w:val="24"/>
        </w:rPr>
      </w:pPr>
    </w:p>
    <w:p w14:paraId="597C1B30" w14:textId="72563EFB" w:rsidR="00905570" w:rsidRPr="00FF04DF" w:rsidRDefault="00905570" w:rsidP="00905570">
      <w:pPr>
        <w:rPr>
          <w:b/>
          <w:szCs w:val="24"/>
        </w:rPr>
      </w:pPr>
      <w:r w:rsidRPr="00FF04DF">
        <w:rPr>
          <w:b/>
          <w:szCs w:val="24"/>
        </w:rPr>
        <w:t>Regulatory Requirements</w:t>
      </w:r>
    </w:p>
    <w:p w14:paraId="092BD9FC" w14:textId="77777777" w:rsidR="00905570" w:rsidRPr="00FF04DF" w:rsidRDefault="00905570" w:rsidP="00927E34">
      <w:pPr>
        <w:ind w:firstLine="720"/>
        <w:rPr>
          <w:szCs w:val="24"/>
        </w:rPr>
      </w:pPr>
    </w:p>
    <w:p w14:paraId="2324241F" w14:textId="3D2BF969" w:rsidR="004D3571" w:rsidRDefault="00927E34" w:rsidP="004D3571">
      <w:pPr>
        <w:ind w:firstLine="720"/>
        <w:rPr>
          <w:szCs w:val="24"/>
        </w:rPr>
      </w:pPr>
      <w:r w:rsidRPr="00FF04DF">
        <w:rPr>
          <w:szCs w:val="24"/>
        </w:rPr>
        <w:t xml:space="preserve">Under the Commission’s rules, an applicant must consider, prior to initiating construction or deployment, whether the facility it proposes to build or use may have a </w:t>
      </w:r>
      <w:r w:rsidRPr="00FF04DF">
        <w:rPr>
          <w:szCs w:val="24"/>
        </w:rPr>
        <w:lastRenderedPageBreak/>
        <w:t>significant effect on the environment.</w:t>
      </w:r>
      <w:r w:rsidR="00591E41" w:rsidRPr="00FF04DF">
        <w:rPr>
          <w:rStyle w:val="FootnoteReference"/>
          <w:szCs w:val="24"/>
        </w:rPr>
        <w:footnoteReference w:id="4"/>
      </w:r>
      <w:r w:rsidRPr="00FF04DF">
        <w:rPr>
          <w:szCs w:val="24"/>
        </w:rPr>
        <w:t xml:space="preserve">  </w:t>
      </w:r>
      <w:r w:rsidR="000D047F" w:rsidRPr="00FF04DF">
        <w:rPr>
          <w:szCs w:val="24"/>
        </w:rPr>
        <w:t xml:space="preserve">As part of this review, </w:t>
      </w:r>
      <w:r w:rsidR="004D3571" w:rsidRPr="00FF04DF">
        <w:rPr>
          <w:szCs w:val="24"/>
        </w:rPr>
        <w:t>Section 1.1307(a)(4) of the rules requires applicants to consider, prior to initiating construction or deployment, whether their proposed facilities would affect properties listed or eligible for listing in the National Register of Historic Places.</w:t>
      </w:r>
      <w:r w:rsidR="004D3571" w:rsidRPr="00FF04DF">
        <w:rPr>
          <w:rStyle w:val="FootnoteReference"/>
          <w:szCs w:val="24"/>
        </w:rPr>
        <w:footnoteReference w:id="5"/>
      </w:r>
      <w:r w:rsidR="000D047F" w:rsidRPr="00FF04DF">
        <w:rPr>
          <w:szCs w:val="24"/>
        </w:rPr>
        <w:t xml:space="preserve">  In considering</w:t>
      </w:r>
      <w:r w:rsidR="004D3571" w:rsidRPr="00FF04DF">
        <w:rPr>
          <w:szCs w:val="24"/>
        </w:rPr>
        <w:t xml:space="preserve"> effects on these properties, Section 1.1307(a)(4) requires applicants to follow the prescribed procedures set forth in the rules of the Advisory Council on Historic Preservation (Advisory Council),</w:t>
      </w:r>
      <w:r w:rsidR="004D3571" w:rsidRPr="00FF04DF">
        <w:rPr>
          <w:rStyle w:val="FootnoteReference"/>
          <w:szCs w:val="24"/>
        </w:rPr>
        <w:footnoteReference w:id="6"/>
      </w:r>
      <w:r w:rsidR="004D3571" w:rsidRPr="00FF04DF">
        <w:rPr>
          <w:szCs w:val="24"/>
        </w:rPr>
        <w:t xml:space="preserve"> as modified by the Nationwide Programmatic Agreement for the Collocation of Wireless Antennas (Collocation Agreement)</w:t>
      </w:r>
      <w:r w:rsidR="004D3571" w:rsidRPr="00FF04DF">
        <w:rPr>
          <w:rStyle w:val="FootnoteReference"/>
          <w:szCs w:val="24"/>
        </w:rPr>
        <w:footnoteReference w:id="7"/>
      </w:r>
      <w:r w:rsidR="004D3571" w:rsidRPr="00FF04DF">
        <w:rPr>
          <w:szCs w:val="24"/>
        </w:rPr>
        <w:t xml:space="preserve"> and the Nationwide Programmatic Agreement Regarding the Section 106 National Historic Preservation Act Review Process (NPA).</w:t>
      </w:r>
      <w:r w:rsidR="004D3571" w:rsidRPr="00FF04DF">
        <w:rPr>
          <w:rStyle w:val="FootnoteReference"/>
          <w:szCs w:val="24"/>
        </w:rPr>
        <w:footnoteReference w:id="8"/>
      </w:r>
      <w:r w:rsidR="004D3571" w:rsidRPr="00FF04DF">
        <w:rPr>
          <w:szCs w:val="24"/>
        </w:rPr>
        <w:t xml:space="preserve">  These agreements tailor and streamline the review and consultation procedures </w:t>
      </w:r>
      <w:r w:rsidR="007E19B5" w:rsidRPr="00FF04DF">
        <w:rPr>
          <w:szCs w:val="24"/>
        </w:rPr>
        <w:t xml:space="preserve">routinely </w:t>
      </w:r>
      <w:r w:rsidR="004D3571" w:rsidRPr="00FF04DF">
        <w:rPr>
          <w:szCs w:val="24"/>
        </w:rPr>
        <w:t>required by the National Historic Preservation Act of 1966 (NHPA)</w:t>
      </w:r>
      <w:r w:rsidR="004D3571" w:rsidRPr="00FF04DF">
        <w:rPr>
          <w:rStyle w:val="FootnoteReference"/>
          <w:szCs w:val="24"/>
        </w:rPr>
        <w:footnoteReference w:id="9"/>
      </w:r>
      <w:r w:rsidR="004D3571" w:rsidRPr="00FF04DF">
        <w:rPr>
          <w:szCs w:val="24"/>
        </w:rPr>
        <w:t xml:space="preserve"> and the implementing regulations issued by the Advisory Council. </w:t>
      </w:r>
    </w:p>
    <w:p w14:paraId="7FE9F6DB" w14:textId="77777777" w:rsidR="00592EDD" w:rsidRPr="00FF04DF" w:rsidRDefault="00592EDD" w:rsidP="004D3571">
      <w:pPr>
        <w:ind w:firstLine="720"/>
        <w:rPr>
          <w:szCs w:val="24"/>
        </w:rPr>
      </w:pPr>
    </w:p>
    <w:p w14:paraId="71BB2A5A" w14:textId="440B8330" w:rsidR="00905570" w:rsidRPr="00FF04DF" w:rsidRDefault="008B4F6F" w:rsidP="00592EDD">
      <w:pPr>
        <w:pStyle w:val="PlainText"/>
        <w:rPr>
          <w:rFonts w:ascii="Times New Roman" w:hAnsi="Times New Roman" w:cs="Times New Roman"/>
          <w:b/>
          <w:sz w:val="24"/>
          <w:szCs w:val="24"/>
        </w:rPr>
      </w:pPr>
      <w:r w:rsidRPr="00FF04DF">
        <w:rPr>
          <w:rFonts w:ascii="Times New Roman" w:hAnsi="Times New Roman" w:cs="Times New Roman"/>
          <w:b/>
          <w:sz w:val="24"/>
          <w:szCs w:val="24"/>
        </w:rPr>
        <w:t>USCC</w:t>
      </w:r>
      <w:r w:rsidR="00905570" w:rsidRPr="00FF04DF">
        <w:rPr>
          <w:rFonts w:ascii="Times New Roman" w:hAnsi="Times New Roman" w:cs="Times New Roman"/>
          <w:b/>
          <w:sz w:val="24"/>
          <w:szCs w:val="24"/>
        </w:rPr>
        <w:t>’s Conduct</w:t>
      </w:r>
    </w:p>
    <w:p w14:paraId="3454B29C" w14:textId="77777777" w:rsidR="00905570" w:rsidRPr="00FF04DF" w:rsidRDefault="00905570" w:rsidP="00592EDD">
      <w:pPr>
        <w:pStyle w:val="PlainText"/>
        <w:ind w:firstLine="720"/>
        <w:rPr>
          <w:rFonts w:ascii="Times New Roman" w:hAnsi="Times New Roman" w:cs="Times New Roman"/>
          <w:sz w:val="24"/>
          <w:szCs w:val="24"/>
        </w:rPr>
      </w:pPr>
    </w:p>
    <w:p w14:paraId="4412C6B6" w14:textId="09DBA91E" w:rsidR="009C03CC" w:rsidRPr="00FF04DF" w:rsidRDefault="0082126F" w:rsidP="00592EDD">
      <w:pPr>
        <w:ind w:firstLine="720"/>
        <w:rPr>
          <w:szCs w:val="24"/>
        </w:rPr>
      </w:pPr>
      <w:r w:rsidRPr="00FF04DF">
        <w:lastRenderedPageBreak/>
        <w:t>USCC has failed to comply with</w:t>
      </w:r>
      <w:r w:rsidR="000D047F" w:rsidRPr="00FF04DF">
        <w:t xml:space="preserve"> the Commission’s</w:t>
      </w:r>
      <w:r w:rsidRPr="00FF04DF">
        <w:t xml:space="preserve"> environmental</w:t>
      </w:r>
      <w:r w:rsidR="000D047F" w:rsidRPr="00FF04DF">
        <w:t xml:space="preserve"> and licensing</w:t>
      </w:r>
      <w:r w:rsidRPr="00FF04DF">
        <w:t xml:space="preserve"> regulations.</w:t>
      </w:r>
      <w:r w:rsidR="000D047F" w:rsidRPr="00FF04DF">
        <w:rPr>
          <w:rStyle w:val="FootnoteReference"/>
        </w:rPr>
        <w:footnoteReference w:id="10"/>
      </w:r>
      <w:r w:rsidRPr="00FF04DF">
        <w:t xml:space="preserve">  In </w:t>
      </w:r>
      <w:r w:rsidR="00360400" w:rsidRPr="00FF04DF">
        <w:t xml:space="preserve">2008, it constructed a tower at </w:t>
      </w:r>
      <w:r w:rsidR="00360400" w:rsidRPr="00FF04DF">
        <w:rPr>
          <w:szCs w:val="24"/>
        </w:rPr>
        <w:t>376 Titcomb</w:t>
      </w:r>
      <w:r w:rsidR="000D047F" w:rsidRPr="00FF04DF">
        <w:rPr>
          <w:szCs w:val="24"/>
        </w:rPr>
        <w:t xml:space="preserve"> Hill</w:t>
      </w:r>
      <w:r w:rsidR="00360400" w:rsidRPr="00FF04DF">
        <w:rPr>
          <w:szCs w:val="24"/>
        </w:rPr>
        <w:t xml:space="preserve"> Road in Farmington, M</w:t>
      </w:r>
      <w:r w:rsidR="000D047F" w:rsidRPr="00FF04DF">
        <w:rPr>
          <w:szCs w:val="24"/>
        </w:rPr>
        <w:t>aine,</w:t>
      </w:r>
      <w:r w:rsidR="00360400" w:rsidRPr="00FF04DF">
        <w:t xml:space="preserve"> </w:t>
      </w:r>
      <w:r w:rsidRPr="00FF04DF">
        <w:t>without completing the required historic preservation review process.</w:t>
      </w:r>
      <w:r w:rsidRPr="00FF04DF">
        <w:rPr>
          <w:rStyle w:val="FootnoteReference"/>
        </w:rPr>
        <w:footnoteReference w:id="11"/>
      </w:r>
      <w:r w:rsidRPr="00FF04DF">
        <w:t>  In particular, it constructed</w:t>
      </w:r>
      <w:r w:rsidR="000D047F" w:rsidRPr="00FF04DF">
        <w:t xml:space="preserve"> the tower</w:t>
      </w:r>
      <w:r w:rsidRPr="00FF04DF">
        <w:t xml:space="preserve"> before the</w:t>
      </w:r>
      <w:r w:rsidR="000D047F" w:rsidRPr="00FF04DF">
        <w:t xml:space="preserve"> Maine State Historic Preservation Officer had</w:t>
      </w:r>
      <w:r w:rsidRPr="00FF04DF">
        <w:t xml:space="preserve"> reviewed for adverse effects on historic properties at the site.</w:t>
      </w:r>
      <w:r w:rsidR="00360400" w:rsidRPr="00FF04DF">
        <w:rPr>
          <w:rStyle w:val="FootnoteReference"/>
        </w:rPr>
        <w:footnoteReference w:id="12"/>
      </w:r>
      <w:r w:rsidRPr="00FF04DF">
        <w:t xml:space="preserve"> </w:t>
      </w:r>
      <w:r w:rsidR="000D047F" w:rsidRPr="00FF04DF">
        <w:t xml:space="preserve"> </w:t>
      </w:r>
      <w:r w:rsidRPr="00FF04DF">
        <w:t xml:space="preserve">In addition, because USCC constructed the tower to provide service under a PCS license, its construction before completing the required historic preservation review </w:t>
      </w:r>
      <w:r w:rsidR="000D047F" w:rsidRPr="00FF04DF">
        <w:t>constituted a violation of</w:t>
      </w:r>
      <w:r w:rsidRPr="00FF04DF">
        <w:t xml:space="preserve"> the licensing rules.</w:t>
      </w:r>
      <w:r w:rsidR="00360400" w:rsidRPr="00FF04DF">
        <w:rPr>
          <w:rStyle w:val="FootnoteReference"/>
        </w:rPr>
        <w:footnoteReference w:id="13"/>
      </w:r>
      <w:r w:rsidRPr="00FF04DF">
        <w:t xml:space="preserve">  </w:t>
      </w:r>
    </w:p>
    <w:p w14:paraId="0B8D63F5" w14:textId="77777777" w:rsidR="004D3571" w:rsidRPr="00FF04DF" w:rsidRDefault="004D3571" w:rsidP="004D3571">
      <w:pPr>
        <w:pStyle w:val="PlainText"/>
        <w:rPr>
          <w:rFonts w:ascii="Times New Roman" w:hAnsi="Times New Roman" w:cs="Times New Roman"/>
          <w:szCs w:val="24"/>
        </w:rPr>
      </w:pPr>
    </w:p>
    <w:p w14:paraId="4A406932" w14:textId="36B31BD1" w:rsidR="004D3571" w:rsidRPr="00FF04DF" w:rsidRDefault="004D3571" w:rsidP="001006A3">
      <w:pPr>
        <w:ind w:firstLine="720"/>
        <w:rPr>
          <w:szCs w:val="24"/>
        </w:rPr>
      </w:pPr>
      <w:r w:rsidRPr="00FF04DF">
        <w:rPr>
          <w:szCs w:val="24"/>
        </w:rPr>
        <w:t xml:space="preserve">Based on </w:t>
      </w:r>
      <w:r w:rsidR="009C03CC" w:rsidRPr="00FF04DF">
        <w:rPr>
          <w:szCs w:val="24"/>
        </w:rPr>
        <w:t>the information we have received, we find that USCC violated the Commission’s</w:t>
      </w:r>
      <w:r w:rsidRPr="00FF04DF">
        <w:t xml:space="preserve"> regulations implementing NEPA and other environmental statutes</w:t>
      </w:r>
      <w:r w:rsidR="000D047F" w:rsidRPr="00FF04DF">
        <w:t>, including the NHPA</w:t>
      </w:r>
      <w:r w:rsidR="00A84F73" w:rsidRPr="00FF04DF">
        <w:t>, as well as</w:t>
      </w:r>
      <w:r w:rsidR="00073C04" w:rsidRPr="00FF04DF">
        <w:t xml:space="preserve"> related</w:t>
      </w:r>
      <w:r w:rsidR="00A84F73" w:rsidRPr="00FF04DF">
        <w:t xml:space="preserve"> licensing requirements</w:t>
      </w:r>
      <w:r w:rsidRPr="00FF04DF">
        <w:t xml:space="preserve">.  </w:t>
      </w:r>
      <w:r w:rsidR="00BC61E3" w:rsidRPr="00FF04DF">
        <w:rPr>
          <w:szCs w:val="24"/>
        </w:rPr>
        <w:t>F</w:t>
      </w:r>
      <w:r w:rsidR="00BC61E3" w:rsidRPr="00FF04DF">
        <w:t xml:space="preserve">uture violations may result in additional action, including the imposition of monetary penalties, pursuant to the Wireless </w:t>
      </w:r>
      <w:r w:rsidR="00186FA1" w:rsidRPr="00FF04DF">
        <w:t xml:space="preserve">Telecommunications </w:t>
      </w:r>
      <w:r w:rsidR="00BC61E3" w:rsidRPr="00FF04DF">
        <w:t xml:space="preserve">Bureau’s authority under 47 C.F.R. § 0.111(a)(11) or via referral to the Commission’s Enforcement Bureau.  Furthermore, USCC’s conduct at issue in this letter may provide grounds for an upward adjustment in the amount of a penalty.  </w:t>
      </w:r>
    </w:p>
    <w:p w14:paraId="4E5D8DD1" w14:textId="77777777" w:rsidR="004D3571" w:rsidRPr="00FF04DF" w:rsidRDefault="004D3571" w:rsidP="004D3571">
      <w:pPr>
        <w:ind w:firstLine="720"/>
        <w:rPr>
          <w:szCs w:val="24"/>
        </w:rPr>
      </w:pPr>
    </w:p>
    <w:p w14:paraId="2A728030" w14:textId="17633830" w:rsidR="004D3571" w:rsidRPr="00FF04DF" w:rsidRDefault="004D3571" w:rsidP="004D3571">
      <w:pPr>
        <w:ind w:firstLine="720"/>
        <w:rPr>
          <w:szCs w:val="24"/>
        </w:rPr>
      </w:pPr>
      <w:r w:rsidRPr="00FF04DF">
        <w:rPr>
          <w:szCs w:val="24"/>
        </w:rPr>
        <w:t>Please direct any questions regarding this letter to Erica Rosenberg (</w:t>
      </w:r>
      <w:hyperlink r:id="rId8" w:history="1">
        <w:r w:rsidRPr="00FF04DF">
          <w:rPr>
            <w:rStyle w:val="Hyperlink"/>
            <w:color w:val="auto"/>
            <w:szCs w:val="24"/>
          </w:rPr>
          <w:t>erica.rosenberg@fcc.gov</w:t>
        </w:r>
      </w:hyperlink>
      <w:r w:rsidRPr="00FF04DF">
        <w:rPr>
          <w:szCs w:val="24"/>
        </w:rPr>
        <w:t>, (202) 418-1343</w:t>
      </w:r>
      <w:r w:rsidR="00186FA1" w:rsidRPr="00FF04DF">
        <w:rPr>
          <w:szCs w:val="24"/>
        </w:rPr>
        <w:t>).</w:t>
      </w:r>
    </w:p>
    <w:p w14:paraId="05AC7FE4" w14:textId="77777777" w:rsidR="004D3571" w:rsidRPr="00FF04DF" w:rsidRDefault="004D3571" w:rsidP="004D3571">
      <w:pPr>
        <w:rPr>
          <w:szCs w:val="24"/>
        </w:rPr>
      </w:pPr>
    </w:p>
    <w:p w14:paraId="004B733E" w14:textId="5BDC0A8C" w:rsidR="004D3571" w:rsidRPr="00FF04DF" w:rsidRDefault="004D3571" w:rsidP="004D3571">
      <w:pPr>
        <w:tabs>
          <w:tab w:val="left" w:pos="-720"/>
        </w:tabs>
        <w:suppressAutoHyphens/>
        <w:rPr>
          <w:szCs w:val="24"/>
        </w:rPr>
      </w:pPr>
      <w:r w:rsidRPr="00FF04DF">
        <w:rPr>
          <w:szCs w:val="24"/>
        </w:rPr>
        <w:tab/>
      </w:r>
      <w:r w:rsidRPr="00FF04DF">
        <w:rPr>
          <w:szCs w:val="24"/>
        </w:rPr>
        <w:tab/>
      </w:r>
      <w:r w:rsidRPr="00FF04DF">
        <w:rPr>
          <w:szCs w:val="24"/>
        </w:rPr>
        <w:tab/>
      </w:r>
      <w:r w:rsidRPr="00FF04DF">
        <w:rPr>
          <w:szCs w:val="24"/>
        </w:rPr>
        <w:tab/>
      </w:r>
      <w:r w:rsidRPr="00FF04DF">
        <w:rPr>
          <w:szCs w:val="24"/>
        </w:rPr>
        <w:tab/>
      </w:r>
      <w:r w:rsidR="00993AF5" w:rsidRPr="00FF04DF">
        <w:rPr>
          <w:szCs w:val="24"/>
        </w:rPr>
        <w:tab/>
      </w:r>
      <w:r w:rsidRPr="00FF04DF">
        <w:rPr>
          <w:szCs w:val="24"/>
        </w:rPr>
        <w:t>Sincerely,</w:t>
      </w:r>
    </w:p>
    <w:p w14:paraId="6990CD2A" w14:textId="77777777" w:rsidR="004D3571" w:rsidRPr="00FF04DF" w:rsidRDefault="004D3571" w:rsidP="004D3571">
      <w:pPr>
        <w:pStyle w:val="Header"/>
        <w:tabs>
          <w:tab w:val="clear" w:pos="4320"/>
          <w:tab w:val="clear" w:pos="8640"/>
        </w:tabs>
        <w:rPr>
          <w:szCs w:val="24"/>
        </w:rPr>
      </w:pPr>
    </w:p>
    <w:p w14:paraId="08EB5E59" w14:textId="77777777" w:rsidR="004D3571" w:rsidRDefault="004D3571" w:rsidP="004D3571">
      <w:pPr>
        <w:rPr>
          <w:szCs w:val="24"/>
        </w:rPr>
      </w:pPr>
    </w:p>
    <w:p w14:paraId="73973FCA" w14:textId="77777777" w:rsidR="00592EDD" w:rsidRPr="00FF04DF" w:rsidRDefault="00592EDD" w:rsidP="004D3571">
      <w:pPr>
        <w:rPr>
          <w:szCs w:val="24"/>
        </w:rPr>
      </w:pPr>
    </w:p>
    <w:p w14:paraId="488F2205" w14:textId="77777777" w:rsidR="004D3571" w:rsidRPr="00FF04DF" w:rsidRDefault="004D3571" w:rsidP="004D3571">
      <w:pPr>
        <w:ind w:left="2880" w:firstLine="720"/>
        <w:rPr>
          <w:b/>
          <w:szCs w:val="24"/>
        </w:rPr>
      </w:pPr>
      <w:r w:rsidRPr="00FF04DF">
        <w:rPr>
          <w:b/>
          <w:szCs w:val="24"/>
        </w:rPr>
        <w:t xml:space="preserve">     </w:t>
      </w:r>
    </w:p>
    <w:p w14:paraId="361901AB" w14:textId="32AFDA31" w:rsidR="004D3571" w:rsidRPr="00FF04DF" w:rsidRDefault="00993AF5" w:rsidP="00993AF5">
      <w:pPr>
        <w:ind w:left="3600" w:firstLine="720"/>
        <w:rPr>
          <w:szCs w:val="24"/>
        </w:rPr>
      </w:pPr>
      <w:r w:rsidRPr="00FF04DF">
        <w:rPr>
          <w:szCs w:val="24"/>
        </w:rPr>
        <w:t>J</w:t>
      </w:r>
      <w:r w:rsidR="004D3571" w:rsidRPr="00FF04DF">
        <w:rPr>
          <w:szCs w:val="24"/>
        </w:rPr>
        <w:t>effrey S. Steinberg</w:t>
      </w:r>
    </w:p>
    <w:p w14:paraId="7861CD84" w14:textId="5B33041A" w:rsidR="0037445D" w:rsidRPr="00FF04DF" w:rsidRDefault="004D3571" w:rsidP="00993AF5">
      <w:pPr>
        <w:ind w:left="3600" w:firstLine="720"/>
        <w:rPr>
          <w:szCs w:val="24"/>
        </w:rPr>
      </w:pPr>
      <w:r w:rsidRPr="00FF04DF">
        <w:rPr>
          <w:szCs w:val="24"/>
        </w:rPr>
        <w:t>Deputy Chief</w:t>
      </w:r>
    </w:p>
    <w:p w14:paraId="5B163D55" w14:textId="42423D28" w:rsidR="004D3571" w:rsidRPr="00FF04DF" w:rsidRDefault="004D3571" w:rsidP="00993AF5">
      <w:pPr>
        <w:ind w:left="3600" w:firstLine="720"/>
        <w:rPr>
          <w:szCs w:val="24"/>
        </w:rPr>
      </w:pPr>
      <w:r w:rsidRPr="00FF04DF">
        <w:rPr>
          <w:szCs w:val="24"/>
        </w:rPr>
        <w:t>Competition</w:t>
      </w:r>
      <w:r w:rsidR="0037445D" w:rsidRPr="00FF04DF">
        <w:rPr>
          <w:szCs w:val="24"/>
        </w:rPr>
        <w:t xml:space="preserve"> and Infrastructure </w:t>
      </w:r>
    </w:p>
    <w:p w14:paraId="7F3BD3CC" w14:textId="77777777" w:rsidR="004D3571" w:rsidRPr="00FF04DF" w:rsidRDefault="004D3571" w:rsidP="004D3571">
      <w:pPr>
        <w:ind w:left="3600" w:firstLine="720"/>
        <w:rPr>
          <w:szCs w:val="24"/>
        </w:rPr>
      </w:pPr>
      <w:r w:rsidRPr="00FF04DF">
        <w:rPr>
          <w:szCs w:val="24"/>
        </w:rPr>
        <w:t>Policy Division</w:t>
      </w:r>
    </w:p>
    <w:p w14:paraId="18B17048" w14:textId="3ACDE3F6" w:rsidR="004D3571" w:rsidRDefault="004D3571" w:rsidP="00FF04DF">
      <w:pPr>
        <w:ind w:left="3600" w:firstLine="720"/>
        <w:rPr>
          <w:szCs w:val="24"/>
        </w:rPr>
      </w:pPr>
      <w:r w:rsidRPr="00FF04DF">
        <w:rPr>
          <w:szCs w:val="24"/>
        </w:rPr>
        <w:t>Wi</w:t>
      </w:r>
      <w:r w:rsidR="00FF04DF">
        <w:rPr>
          <w:szCs w:val="24"/>
        </w:rPr>
        <w:t>reless Telecommunications Bureau</w:t>
      </w:r>
    </w:p>
    <w:p w14:paraId="68B6357D" w14:textId="77777777" w:rsidR="00955BC3" w:rsidRDefault="00955BC3" w:rsidP="00FF04DF">
      <w:pPr>
        <w:ind w:left="3600" w:firstLine="720"/>
        <w:rPr>
          <w:szCs w:val="24"/>
        </w:rPr>
      </w:pPr>
    </w:p>
    <w:p w14:paraId="0073BFF1" w14:textId="77777777" w:rsidR="00592EDD" w:rsidRDefault="00592EDD" w:rsidP="00FF04DF">
      <w:pPr>
        <w:ind w:left="3600" w:firstLine="720"/>
        <w:rPr>
          <w:szCs w:val="24"/>
        </w:rPr>
      </w:pPr>
    </w:p>
    <w:p w14:paraId="7D986479" w14:textId="155F34A8" w:rsidR="00955BC3" w:rsidRPr="00FF04DF" w:rsidRDefault="00955BC3" w:rsidP="00592EDD">
      <w:pPr>
        <w:rPr>
          <w:szCs w:val="24"/>
        </w:rPr>
      </w:pPr>
      <w:r>
        <w:rPr>
          <w:szCs w:val="24"/>
        </w:rPr>
        <w:t xml:space="preserve">cc: </w:t>
      </w:r>
      <w:r w:rsidRPr="00FF04DF">
        <w:rPr>
          <w:szCs w:val="24"/>
        </w:rPr>
        <w:t>Peter Connolly</w:t>
      </w:r>
      <w:r w:rsidR="00592EDD">
        <w:rPr>
          <w:szCs w:val="24"/>
        </w:rPr>
        <w:t xml:space="preserve">, </w:t>
      </w:r>
      <w:r w:rsidRPr="00FF04DF">
        <w:rPr>
          <w:szCs w:val="24"/>
        </w:rPr>
        <w:t>Counsel, United States Cellular Corporation</w:t>
      </w:r>
    </w:p>
    <w:p w14:paraId="5A53800C" w14:textId="77777777" w:rsidR="00955BC3" w:rsidRPr="00FF04DF" w:rsidRDefault="00955BC3" w:rsidP="00955BC3">
      <w:pPr>
        <w:ind w:firstLine="360"/>
        <w:rPr>
          <w:szCs w:val="24"/>
        </w:rPr>
      </w:pPr>
      <w:r w:rsidRPr="00FF04DF">
        <w:rPr>
          <w:szCs w:val="24"/>
        </w:rPr>
        <w:t>Holland and Knight</w:t>
      </w:r>
    </w:p>
    <w:p w14:paraId="50644392" w14:textId="77777777" w:rsidR="00955BC3" w:rsidRPr="00FF04DF" w:rsidRDefault="00955BC3" w:rsidP="00955BC3">
      <w:pPr>
        <w:ind w:firstLine="360"/>
        <w:rPr>
          <w:szCs w:val="24"/>
        </w:rPr>
      </w:pPr>
      <w:r w:rsidRPr="00FF04DF">
        <w:rPr>
          <w:szCs w:val="24"/>
        </w:rPr>
        <w:t>800 17</w:t>
      </w:r>
      <w:r w:rsidRPr="00FF04DF">
        <w:rPr>
          <w:szCs w:val="24"/>
          <w:vertAlign w:val="superscript"/>
        </w:rPr>
        <w:t>th</w:t>
      </w:r>
      <w:r w:rsidRPr="00FF04DF">
        <w:rPr>
          <w:szCs w:val="24"/>
        </w:rPr>
        <w:t xml:space="preserve"> St., NW Suite 1100</w:t>
      </w:r>
    </w:p>
    <w:p w14:paraId="31811181" w14:textId="77777777" w:rsidR="00955BC3" w:rsidRPr="00FF04DF" w:rsidRDefault="00955BC3" w:rsidP="00955BC3">
      <w:pPr>
        <w:ind w:firstLine="360"/>
        <w:rPr>
          <w:rStyle w:val="st"/>
        </w:rPr>
      </w:pPr>
      <w:r w:rsidRPr="00FF04DF">
        <w:rPr>
          <w:szCs w:val="24"/>
        </w:rPr>
        <w:t>Washington, DC 20006</w:t>
      </w:r>
    </w:p>
    <w:p w14:paraId="312EE9E2" w14:textId="77777777" w:rsidR="00955BC3" w:rsidRPr="00FF04DF" w:rsidRDefault="00955BC3" w:rsidP="00FF04DF">
      <w:pPr>
        <w:ind w:left="3600" w:firstLine="720"/>
        <w:rPr>
          <w:szCs w:val="24"/>
        </w:rPr>
      </w:pPr>
    </w:p>
    <w:sectPr w:rsidR="00955BC3" w:rsidRPr="00FF04DF" w:rsidSect="00C63DF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BAF38" w14:textId="77777777" w:rsidR="00690DA1" w:rsidRDefault="00690DA1" w:rsidP="004D3571">
      <w:r>
        <w:separator/>
      </w:r>
    </w:p>
  </w:endnote>
  <w:endnote w:type="continuationSeparator" w:id="0">
    <w:p w14:paraId="5B95F438" w14:textId="77777777" w:rsidR="00690DA1" w:rsidRDefault="00690DA1" w:rsidP="004D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62A97" w14:textId="77777777" w:rsidR="00C63DF6" w:rsidRDefault="005A0F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5D5B">
      <w:rPr>
        <w:rStyle w:val="PageNumber"/>
        <w:noProof/>
      </w:rPr>
      <w:t>1</w:t>
    </w:r>
    <w:r>
      <w:rPr>
        <w:rStyle w:val="PageNumber"/>
      </w:rPr>
      <w:fldChar w:fldCharType="end"/>
    </w:r>
  </w:p>
  <w:p w14:paraId="5D7C8EFD" w14:textId="77777777" w:rsidR="00C63DF6" w:rsidRDefault="00C63D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9CD54" w14:textId="77777777" w:rsidR="00C63DF6" w:rsidRDefault="00C63DF6">
    <w:pPr>
      <w:pStyle w:val="Footer"/>
      <w:framePr w:wrap="around" w:vAnchor="text" w:hAnchor="margin" w:xAlign="center" w:y="1"/>
      <w:rPr>
        <w:rStyle w:val="PageNumber"/>
      </w:rPr>
    </w:pPr>
  </w:p>
  <w:p w14:paraId="1FE6DF64" w14:textId="77777777" w:rsidR="00C63DF6" w:rsidRDefault="00C63D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7442A" w14:textId="77777777" w:rsidR="00925D5B" w:rsidRDefault="00925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73AF4" w14:textId="77777777" w:rsidR="00690DA1" w:rsidRDefault="00690DA1" w:rsidP="004D3571">
      <w:r>
        <w:separator/>
      </w:r>
    </w:p>
  </w:footnote>
  <w:footnote w:type="continuationSeparator" w:id="0">
    <w:p w14:paraId="188F3FC6" w14:textId="77777777" w:rsidR="00690DA1" w:rsidRDefault="00690DA1" w:rsidP="004D3571">
      <w:r>
        <w:continuationSeparator/>
      </w:r>
    </w:p>
  </w:footnote>
  <w:footnote w:id="1">
    <w:p w14:paraId="3F5A3769" w14:textId="17FCB94A" w:rsidR="004D3571" w:rsidRPr="00591E41" w:rsidRDefault="004D3571" w:rsidP="00870CA6">
      <w:pPr>
        <w:pStyle w:val="FootnoteText"/>
        <w:spacing w:after="120"/>
        <w:rPr>
          <w:i/>
        </w:rPr>
      </w:pPr>
      <w:r>
        <w:rPr>
          <w:rStyle w:val="FootnoteReference"/>
        </w:rPr>
        <w:footnoteRef/>
      </w:r>
      <w:r>
        <w:t xml:space="preserve"> </w:t>
      </w:r>
      <w:r w:rsidRPr="008F4FCD">
        <w:rPr>
          <w:i/>
        </w:rPr>
        <w:t xml:space="preserve">See </w:t>
      </w:r>
      <w:r w:rsidRPr="000A3DE2">
        <w:t>47 C</w:t>
      </w:r>
      <w:r>
        <w:t>.</w:t>
      </w:r>
      <w:r w:rsidRPr="000A3DE2">
        <w:t>F</w:t>
      </w:r>
      <w:r>
        <w:t>.</w:t>
      </w:r>
      <w:r w:rsidRPr="000A3DE2">
        <w:t>R</w:t>
      </w:r>
      <w:r>
        <w:t>.</w:t>
      </w:r>
      <w:r w:rsidRPr="000A3DE2">
        <w:t xml:space="preserve"> §§ 1.1301 </w:t>
      </w:r>
      <w:r w:rsidRPr="000A3DE2">
        <w:rPr>
          <w:i/>
        </w:rPr>
        <w:t>et seq.</w:t>
      </w:r>
      <w:r w:rsidRPr="00870CA6">
        <w:t>;</w:t>
      </w:r>
      <w:r w:rsidRPr="000A3DE2">
        <w:rPr>
          <w:i/>
        </w:rPr>
        <w:t xml:space="preserve"> </w:t>
      </w:r>
      <w:r>
        <w:rPr>
          <w:i/>
        </w:rPr>
        <w:t xml:space="preserve">see also </w:t>
      </w:r>
      <w:r w:rsidRPr="000A3DE2">
        <w:t>42 U.S.C. §§</w:t>
      </w:r>
      <w:r>
        <w:t xml:space="preserve"> </w:t>
      </w:r>
      <w:r w:rsidRPr="000A3DE2">
        <w:t xml:space="preserve">4321-4335.  NEPA requires that federal agencies consider the environmental effects of their </w:t>
      </w:r>
      <w:r>
        <w:t>major federal actions</w:t>
      </w:r>
      <w:r w:rsidRPr="000A3DE2">
        <w:t xml:space="preserve"> before taking action, including issuing permits, licenses, or approvals.</w:t>
      </w:r>
      <w:r w:rsidR="00591E41">
        <w:t xml:space="preserve">  </w:t>
      </w:r>
      <w:r w:rsidR="00591E41">
        <w:rPr>
          <w:i/>
        </w:rPr>
        <w:t>See also</w:t>
      </w:r>
      <w:r w:rsidR="00591E41">
        <w:t xml:space="preserve"> the National Historic Preservation Act, 54 U.S.C. § 300101 </w:t>
      </w:r>
      <w:r w:rsidR="00591E41">
        <w:rPr>
          <w:i/>
        </w:rPr>
        <w:t>et seq.</w:t>
      </w:r>
    </w:p>
  </w:footnote>
  <w:footnote w:id="2">
    <w:p w14:paraId="20E01109" w14:textId="1723962D" w:rsidR="00697A3C" w:rsidRPr="00697A3C" w:rsidRDefault="00697A3C" w:rsidP="00870CA6">
      <w:pPr>
        <w:pStyle w:val="FootnoteText"/>
        <w:spacing w:after="120"/>
      </w:pPr>
      <w:r>
        <w:rPr>
          <w:rStyle w:val="FootnoteReference"/>
        </w:rPr>
        <w:footnoteRef/>
      </w:r>
      <w:r>
        <w:t xml:space="preserve"> </w:t>
      </w:r>
      <w:r>
        <w:rPr>
          <w:i/>
        </w:rPr>
        <w:t>See</w:t>
      </w:r>
      <w:r>
        <w:t xml:space="preserve"> 47 C.F.R. </w:t>
      </w:r>
      <w:r w:rsidR="005D09AA">
        <w:t>§</w:t>
      </w:r>
      <w:r w:rsidR="00591E41">
        <w:t xml:space="preserve"> 24.2(b)</w:t>
      </w:r>
      <w:r w:rsidR="005D09AA">
        <w:t xml:space="preserve">.  </w:t>
      </w:r>
    </w:p>
  </w:footnote>
  <w:footnote w:id="3">
    <w:p w14:paraId="442BBCF5" w14:textId="4B450B8C" w:rsidR="00591E41" w:rsidRPr="00591E41" w:rsidRDefault="00591E41" w:rsidP="00870CA6">
      <w:pPr>
        <w:pStyle w:val="FootnoteText"/>
        <w:spacing w:after="120"/>
      </w:pPr>
      <w:r>
        <w:rPr>
          <w:rStyle w:val="FootnoteReference"/>
        </w:rPr>
        <w:footnoteRef/>
      </w:r>
      <w:r>
        <w:t xml:space="preserve"> </w:t>
      </w:r>
      <w:r>
        <w:rPr>
          <w:i/>
        </w:rPr>
        <w:t>See</w:t>
      </w:r>
      <w:r>
        <w:t xml:space="preserve"> 47 C.F.R. §§ 1.1307, 1.1312, 24.2.</w:t>
      </w:r>
    </w:p>
  </w:footnote>
  <w:footnote w:id="4">
    <w:p w14:paraId="6A7AAA1B" w14:textId="22D21E9A" w:rsidR="00591E41" w:rsidRPr="000D047F" w:rsidRDefault="00591E41" w:rsidP="00870CA6">
      <w:pPr>
        <w:pStyle w:val="FootnoteText"/>
        <w:spacing w:after="120"/>
      </w:pPr>
      <w:r>
        <w:rPr>
          <w:rStyle w:val="FootnoteReference"/>
        </w:rPr>
        <w:footnoteRef/>
      </w:r>
      <w:r>
        <w:t xml:space="preserve"> 47 C.F.R. § 1.1312(a); </w:t>
      </w:r>
      <w:r>
        <w:rPr>
          <w:i/>
        </w:rPr>
        <w:t>see also</w:t>
      </w:r>
      <w:r>
        <w:t xml:space="preserve"> 47 C.F.R. § 24.2(b) (requiring licensees in the Personal Communications Services to comply with the environmental requirements in Part 1 prior to construction).  </w:t>
      </w:r>
      <w:r w:rsidRPr="00724B48">
        <w:rPr>
          <w:szCs w:val="24"/>
        </w:rPr>
        <w:t xml:space="preserve">If </w:t>
      </w:r>
      <w:r>
        <w:rPr>
          <w:szCs w:val="24"/>
        </w:rPr>
        <w:t>the facility may have a significant environmental impact</w:t>
      </w:r>
      <w:r w:rsidRPr="00724B48">
        <w:rPr>
          <w:szCs w:val="24"/>
        </w:rPr>
        <w:t>, the applicant must prepare an EA in accordance with the Commission’s rules.</w:t>
      </w:r>
      <w:r w:rsidR="000D047F">
        <w:rPr>
          <w:szCs w:val="24"/>
        </w:rPr>
        <w:t xml:space="preserve">  </w:t>
      </w:r>
      <w:r w:rsidR="000D047F">
        <w:rPr>
          <w:i/>
          <w:szCs w:val="24"/>
        </w:rPr>
        <w:t>See</w:t>
      </w:r>
      <w:r w:rsidR="000D047F">
        <w:rPr>
          <w:szCs w:val="24"/>
        </w:rPr>
        <w:t xml:space="preserve"> </w:t>
      </w:r>
      <w:r w:rsidR="000D047F" w:rsidRPr="000A3DE2">
        <w:t>47 C</w:t>
      </w:r>
      <w:r w:rsidR="000D047F">
        <w:t>.</w:t>
      </w:r>
      <w:r w:rsidR="000D047F" w:rsidRPr="000A3DE2">
        <w:t>F</w:t>
      </w:r>
      <w:r w:rsidR="000D047F">
        <w:t>.</w:t>
      </w:r>
      <w:r w:rsidR="000D047F" w:rsidRPr="000A3DE2">
        <w:t>R</w:t>
      </w:r>
      <w:r w:rsidR="000D047F">
        <w:t>.</w:t>
      </w:r>
      <w:r w:rsidR="000D047F" w:rsidRPr="000A3DE2">
        <w:t xml:space="preserve"> §</w:t>
      </w:r>
      <w:r w:rsidR="000D047F">
        <w:t xml:space="preserve">§ 1.1307, </w:t>
      </w:r>
      <w:r w:rsidR="000D047F" w:rsidRPr="000A3DE2">
        <w:t>1.</w:t>
      </w:r>
      <w:r w:rsidR="000D047F">
        <w:t>1311(a).</w:t>
      </w:r>
    </w:p>
  </w:footnote>
  <w:footnote w:id="5">
    <w:p w14:paraId="103B525F" w14:textId="1D02F054" w:rsidR="004D3571" w:rsidRPr="000A3DE2" w:rsidRDefault="004D3571" w:rsidP="00870CA6">
      <w:pPr>
        <w:pStyle w:val="FootnoteText"/>
        <w:spacing w:after="120"/>
      </w:pPr>
      <w:r w:rsidRPr="000A3DE2">
        <w:rPr>
          <w:rStyle w:val="FootnoteReference"/>
        </w:rPr>
        <w:footnoteRef/>
      </w:r>
      <w:r w:rsidRPr="000A3DE2">
        <w:t xml:space="preserve"> 47 C.</w:t>
      </w:r>
      <w:r>
        <w:t>F.R. § 1.1307(a)(4).</w:t>
      </w:r>
    </w:p>
  </w:footnote>
  <w:footnote w:id="6">
    <w:p w14:paraId="4ED3D27D" w14:textId="77777777" w:rsidR="004D3571" w:rsidRDefault="004D3571" w:rsidP="00870CA6">
      <w:pPr>
        <w:pStyle w:val="FootnoteText"/>
        <w:spacing w:after="120"/>
      </w:pPr>
      <w:r>
        <w:rPr>
          <w:rStyle w:val="FootnoteReference"/>
        </w:rPr>
        <w:footnoteRef/>
      </w:r>
      <w:r>
        <w:t xml:space="preserve"> 36 C.F.R. Part 800.</w:t>
      </w:r>
    </w:p>
  </w:footnote>
  <w:footnote w:id="7">
    <w:p w14:paraId="2F3EE64B" w14:textId="6AC9146E" w:rsidR="004D3571" w:rsidRPr="000A3DE2" w:rsidRDefault="004D3571" w:rsidP="00870CA6">
      <w:pPr>
        <w:pStyle w:val="FootnoteText"/>
        <w:spacing w:after="120"/>
      </w:pPr>
      <w:r w:rsidRPr="000A3DE2">
        <w:rPr>
          <w:rStyle w:val="FootnoteReference"/>
        </w:rPr>
        <w:footnoteRef/>
      </w:r>
      <w:r w:rsidRPr="000A3DE2">
        <w:t xml:space="preserve"> </w:t>
      </w:r>
      <w:r>
        <w:t xml:space="preserve">47 C.F.R. Pt. 1, App. B; </w:t>
      </w:r>
      <w:r>
        <w:rPr>
          <w:i/>
        </w:rPr>
        <w:t>s</w:t>
      </w:r>
      <w:r w:rsidRPr="000A3DE2">
        <w:rPr>
          <w:i/>
        </w:rPr>
        <w:t xml:space="preserve">ee Wireless Telecommunications Bureau Announces Execution of Programmatic Agreement with respect to Collocating Wireless Antennas on Existing Structures, </w:t>
      </w:r>
      <w:r w:rsidRPr="000A3DE2">
        <w:t xml:space="preserve">Public Notice, 16 FCC Rcd 5574 (WTB 2001), </w:t>
      </w:r>
      <w:r w:rsidRPr="000A3DE2">
        <w:rPr>
          <w:i/>
        </w:rPr>
        <w:t>recon. denied</w:t>
      </w:r>
      <w:r w:rsidRPr="00592EDD">
        <w:t>,</w:t>
      </w:r>
      <w:r w:rsidRPr="000A3DE2">
        <w:rPr>
          <w:i/>
        </w:rPr>
        <w:t xml:space="preserve"> </w:t>
      </w:r>
      <w:r w:rsidRPr="000A3DE2">
        <w:t>20 FCC Rcd 4084 (WTB 2005).</w:t>
      </w:r>
    </w:p>
  </w:footnote>
  <w:footnote w:id="8">
    <w:p w14:paraId="1B159FC5" w14:textId="07AF315B" w:rsidR="004D3571" w:rsidRPr="000A3DE2" w:rsidRDefault="004D3571" w:rsidP="00870CA6">
      <w:pPr>
        <w:pStyle w:val="FootnoteText"/>
        <w:spacing w:after="120"/>
      </w:pPr>
      <w:r w:rsidRPr="000A3DE2">
        <w:rPr>
          <w:rStyle w:val="FootnoteReference"/>
        </w:rPr>
        <w:footnoteRef/>
      </w:r>
      <w:r w:rsidRPr="000A3DE2">
        <w:t xml:space="preserve"> </w:t>
      </w:r>
      <w:r>
        <w:t xml:space="preserve">47 C.F.R. Pt. 1, App. C; </w:t>
      </w:r>
      <w:r>
        <w:rPr>
          <w:i/>
        </w:rPr>
        <w:t>s</w:t>
      </w:r>
      <w:r w:rsidRPr="000A3DE2">
        <w:rPr>
          <w:i/>
        </w:rPr>
        <w:t>ee</w:t>
      </w:r>
      <w:r>
        <w:rPr>
          <w:i/>
        </w:rPr>
        <w:t xml:space="preserve"> Nationwide Programmatic Agreement Regarding the Section 106 National Historic Preservation Act Review Process</w:t>
      </w:r>
      <w:r w:rsidRPr="000A3DE2">
        <w:rPr>
          <w:i/>
        </w:rPr>
        <w:t>,</w:t>
      </w:r>
      <w:r w:rsidRPr="000A3DE2">
        <w:t xml:space="preserve"> Report and Order, 20 FCC Rcd 1073 (2004), </w:t>
      </w:r>
      <w:r w:rsidRPr="000A3DE2">
        <w:rPr>
          <w:i/>
        </w:rPr>
        <w:t>clarified</w:t>
      </w:r>
      <w:r w:rsidRPr="000A3DE2">
        <w:t xml:space="preserve">, 20 FCC Rcd 17995 (2005), </w:t>
      </w:r>
      <w:r w:rsidRPr="000A3DE2">
        <w:rPr>
          <w:i/>
        </w:rPr>
        <w:t>aff’d, CTIA-The Wireless Ass’n. v. FCC</w:t>
      </w:r>
      <w:r>
        <w:t xml:space="preserve">, 466 F.3d 105 </w:t>
      </w:r>
      <w:r w:rsidRPr="000A3DE2">
        <w:t>(D.C. Cir. 2006) (</w:t>
      </w:r>
      <w:r>
        <w:rPr>
          <w:i/>
          <w:iCs/>
        </w:rPr>
        <w:t>NPA Report and Order</w:t>
      </w:r>
      <w:r w:rsidRPr="000A3DE2">
        <w:t>)</w:t>
      </w:r>
      <w:r w:rsidRPr="00AD25EA">
        <w:t>.</w:t>
      </w:r>
      <w:r w:rsidRPr="004D5A0B">
        <w:t xml:space="preserve"> </w:t>
      </w:r>
      <w:r w:rsidRPr="000A3DE2">
        <w:t xml:space="preserve">Under the NHPA and the Advisory Council’s implementing regulations, </w:t>
      </w:r>
      <w:r w:rsidR="00841393">
        <w:t>the Advisory Council</w:t>
      </w:r>
      <w:r w:rsidRPr="000A3DE2">
        <w:t xml:space="preserve"> may</w:t>
      </w:r>
      <w:r>
        <w:t xml:space="preserve"> </w:t>
      </w:r>
      <w:r w:rsidR="00841393">
        <w:t>approve</w:t>
      </w:r>
      <w:r w:rsidR="007E19B5">
        <w:t xml:space="preserve"> program alternatives</w:t>
      </w:r>
      <w:r>
        <w:t xml:space="preserve"> </w:t>
      </w:r>
      <w:r w:rsidR="007E19B5">
        <w:t xml:space="preserve">that </w:t>
      </w:r>
      <w:r w:rsidRPr="000A3DE2">
        <w:t xml:space="preserve">tailor </w:t>
      </w:r>
      <w:r w:rsidR="00841393">
        <w:t>a federal agency’s</w:t>
      </w:r>
      <w:r w:rsidRPr="000A3DE2">
        <w:t xml:space="preserve"> historic preservation review and consultation procedures</w:t>
      </w:r>
      <w:r>
        <w:t xml:space="preserve"> to </w:t>
      </w:r>
      <w:r w:rsidR="007E19B5">
        <w:t xml:space="preserve">the </w:t>
      </w:r>
      <w:r>
        <w:t>particular circumstances</w:t>
      </w:r>
      <w:r w:rsidR="007E19B5">
        <w:t xml:space="preserve"> of </w:t>
      </w:r>
      <w:r w:rsidR="00841393">
        <w:t>the</w:t>
      </w:r>
      <w:r w:rsidR="007E19B5">
        <w:t xml:space="preserve"> agency</w:t>
      </w:r>
      <w:r w:rsidR="00841393">
        <w:t>’s</w:t>
      </w:r>
      <w:r w:rsidR="007E19B5">
        <w:t xml:space="preserve"> program or</w:t>
      </w:r>
      <w:r w:rsidR="00841393">
        <w:t xml:space="preserve"> that</w:t>
      </w:r>
      <w:r w:rsidR="007E19B5">
        <w:t xml:space="preserve"> </w:t>
      </w:r>
      <w:r w:rsidRPr="000A3DE2">
        <w:t>exempt</w:t>
      </w:r>
      <w:r w:rsidR="00841393">
        <w:t xml:space="preserve"> from historic preservation review</w:t>
      </w:r>
      <w:r w:rsidRPr="000A3DE2">
        <w:t xml:space="preserve"> actions that are unlikely to affect historic properties.  </w:t>
      </w:r>
      <w:r w:rsidRPr="000A3DE2">
        <w:rPr>
          <w:i/>
        </w:rPr>
        <w:t xml:space="preserve">See </w:t>
      </w:r>
      <w:r w:rsidR="00335907">
        <w:t>54 U.S.C. § 304108</w:t>
      </w:r>
      <w:r w:rsidR="0025713B">
        <w:rPr>
          <w:i/>
        </w:rPr>
        <w:t xml:space="preserve"> et seq.</w:t>
      </w:r>
      <w:r w:rsidRPr="000A3DE2">
        <w:t>; 36 C.F.R. § 800.14(b),</w:t>
      </w:r>
      <w:r w:rsidR="007D4E61">
        <w:t xml:space="preserve"> </w:t>
      </w:r>
      <w:r w:rsidRPr="000A3DE2">
        <w:t>(c).</w:t>
      </w:r>
    </w:p>
  </w:footnote>
  <w:footnote w:id="9">
    <w:p w14:paraId="279EF7D9" w14:textId="0AF8B27A" w:rsidR="004D3571" w:rsidRPr="000A3DE2" w:rsidRDefault="004D3571" w:rsidP="00870CA6">
      <w:pPr>
        <w:pStyle w:val="FootnoteText"/>
        <w:spacing w:after="120"/>
      </w:pPr>
      <w:r w:rsidRPr="000A3DE2">
        <w:rPr>
          <w:rStyle w:val="FootnoteReference"/>
        </w:rPr>
        <w:footnoteRef/>
      </w:r>
      <w:r w:rsidRPr="000A3DE2">
        <w:t xml:space="preserve"> </w:t>
      </w:r>
      <w:r w:rsidRPr="00FA1213">
        <w:t>54 U.S.C. § 300101</w:t>
      </w:r>
      <w:r>
        <w:rPr>
          <w:i/>
        </w:rPr>
        <w:t xml:space="preserve"> et seq.</w:t>
      </w:r>
      <w:r w:rsidR="0025713B">
        <w:rPr>
          <w:i/>
        </w:rPr>
        <w:t xml:space="preserve">  </w:t>
      </w:r>
      <w:r w:rsidRPr="000A3DE2">
        <w:t xml:space="preserve">The NHPA requires that a federal agency consider the effects of its federal undertakings, including actions that it authorizes or approves, on historic properties prior to issuing federal licenses, permits or approvals.  </w:t>
      </w:r>
      <w:r w:rsidRPr="000A3DE2">
        <w:rPr>
          <w:i/>
        </w:rPr>
        <w:t xml:space="preserve">See </w:t>
      </w:r>
      <w:r w:rsidR="004A4CF5">
        <w:t>54</w:t>
      </w:r>
      <w:r w:rsidRPr="000A3DE2">
        <w:t xml:space="preserve"> U.S.C. §§ </w:t>
      </w:r>
      <w:r w:rsidR="00335907">
        <w:t>306108,</w:t>
      </w:r>
      <w:r w:rsidR="00394C8A">
        <w:t xml:space="preserve"> </w:t>
      </w:r>
      <w:r w:rsidR="00335907">
        <w:t>300320</w:t>
      </w:r>
      <w:r w:rsidRPr="000A3DE2">
        <w:t>.</w:t>
      </w:r>
      <w:r>
        <w:t xml:space="preserve">  This review is commonly referred to as “Section 106 Review” because the provision requiring the review was originally enacted as Section 106 of the NHPA.</w:t>
      </w:r>
      <w:r w:rsidRPr="000A3DE2">
        <w:t xml:space="preserve">  In considering such effects, the NHPA further requires the federal agency to consider the views of expert agencies.  Specifically, the </w:t>
      </w:r>
      <w:smartTag w:uri="urn:schemas-microsoft-com:office:smarttags" w:element="stockticker">
        <w:r w:rsidRPr="000A3DE2">
          <w:t>NHP</w:t>
        </w:r>
      </w:smartTag>
      <w:r w:rsidRPr="000A3DE2">
        <w:t>A requires the federal agency to consider the views of the Advisory Council,</w:t>
      </w:r>
      <w:r>
        <w:t xml:space="preserve"> which is</w:t>
      </w:r>
      <w:r w:rsidRPr="000A3DE2">
        <w:t xml:space="preserve"> the</w:t>
      </w:r>
      <w:r>
        <w:t xml:space="preserve"> federal</w:t>
      </w:r>
      <w:r w:rsidRPr="000A3DE2">
        <w:t xml:space="preserve"> agency responsib</w:t>
      </w:r>
      <w:r>
        <w:t>le</w:t>
      </w:r>
      <w:r w:rsidRPr="000A3DE2">
        <w:t xml:space="preserve"> for implementing the NHPA</w:t>
      </w:r>
      <w:r>
        <w:t>;</w:t>
      </w:r>
      <w:r w:rsidRPr="000A3DE2">
        <w:t xml:space="preserve"> the appropriate State Historic Preservation Officer</w:t>
      </w:r>
      <w:r>
        <w:t>;</w:t>
      </w:r>
      <w:r w:rsidRPr="000A3DE2">
        <w:t xml:space="preserve"> and, if historic properties of religious or cultural significance to</w:t>
      </w:r>
      <w:r>
        <w:t xml:space="preserve"> federally recognized Tribal Nations</w:t>
      </w:r>
      <w:r w:rsidR="00592EDD">
        <w:t xml:space="preserve"> or Native Hawaiian O</w:t>
      </w:r>
      <w:r w:rsidRPr="000A3DE2">
        <w:t>rganizations</w:t>
      </w:r>
      <w:r>
        <w:t xml:space="preserve"> may be affected</w:t>
      </w:r>
      <w:r w:rsidRPr="000A3DE2">
        <w:t xml:space="preserve">, their representatives.  </w:t>
      </w:r>
      <w:r w:rsidRPr="000A3DE2">
        <w:rPr>
          <w:i/>
        </w:rPr>
        <w:t xml:space="preserve">See </w:t>
      </w:r>
      <w:r w:rsidR="004A4CF5">
        <w:t>54</w:t>
      </w:r>
      <w:r w:rsidRPr="000A3DE2">
        <w:t xml:space="preserve"> U.S.C. §§ </w:t>
      </w:r>
      <w:r w:rsidR="00335907">
        <w:t>302104,</w:t>
      </w:r>
      <w:r w:rsidR="00394C8A">
        <w:t xml:space="preserve"> </w:t>
      </w:r>
      <w:r w:rsidR="00335907">
        <w:t>302706,</w:t>
      </w:r>
      <w:r w:rsidR="00394C8A">
        <w:t xml:space="preserve"> </w:t>
      </w:r>
      <w:r w:rsidR="00335907">
        <w:t>306108, 304101</w:t>
      </w:r>
      <w:r w:rsidRPr="000A3DE2">
        <w:t xml:space="preserve">.  </w:t>
      </w:r>
      <w:r w:rsidR="007E19B5">
        <w:t xml:space="preserve">As authorized by </w:t>
      </w:r>
      <w:r w:rsidRPr="000A3DE2">
        <w:t>the Advisory Council, the Commission’s environmental rules delegate</w:t>
      </w:r>
      <w:r>
        <w:t xml:space="preserve"> to its licensees, permittees, and applicants initial responsibility for</w:t>
      </w:r>
      <w:r w:rsidRPr="000A3DE2">
        <w:t xml:space="preserve"> identif</w:t>
      </w:r>
      <w:r>
        <w:t>ying historic properties</w:t>
      </w:r>
      <w:r w:rsidRPr="000A3DE2">
        <w:t xml:space="preserve"> and </w:t>
      </w:r>
      <w:r>
        <w:t>evaluating</w:t>
      </w:r>
      <w:r w:rsidRPr="000A3DE2">
        <w:t xml:space="preserve"> the effects that</w:t>
      </w:r>
      <w:r>
        <w:t xml:space="preserve"> their</w:t>
      </w:r>
      <w:r w:rsidRPr="000A3DE2">
        <w:t xml:space="preserve"> proposed facilities may have on </w:t>
      </w:r>
      <w:r>
        <w:t>such</w:t>
      </w:r>
      <w:r w:rsidRPr="000A3DE2">
        <w:t xml:space="preserve"> properties, but the Commission remains ultimately responsible for </w:t>
      </w:r>
      <w:r>
        <w:t xml:space="preserve">ensuring that the Section 106 process occurs in accordance with </w:t>
      </w:r>
      <w:r w:rsidR="00DD751D">
        <w:t>applicable statutory and regulatory provisions</w:t>
      </w:r>
      <w:r>
        <w:t>, as well as for government-to-government consultation with federally recognized Tribal Nations</w:t>
      </w:r>
      <w:r w:rsidRPr="000A3DE2">
        <w:t xml:space="preserve">.  </w:t>
      </w:r>
      <w:r w:rsidRPr="000A3DE2">
        <w:rPr>
          <w:i/>
        </w:rPr>
        <w:t xml:space="preserve">See </w:t>
      </w:r>
      <w:r w:rsidRPr="000A3DE2">
        <w:t xml:space="preserve">47 C.F.R. § 1.1307(a)(4); </w:t>
      </w:r>
      <w:r w:rsidRPr="000A3DE2">
        <w:rPr>
          <w:i/>
        </w:rPr>
        <w:t xml:space="preserve">see also </w:t>
      </w:r>
      <w:r w:rsidRPr="000A3DE2">
        <w:t xml:space="preserve">36 C.F.R. § 800.2(a)(3); </w:t>
      </w:r>
      <w:r w:rsidR="004A4CF5">
        <w:rPr>
          <w:i/>
        </w:rPr>
        <w:t>NPA Report and Order</w:t>
      </w:r>
      <w:r w:rsidRPr="000A3DE2">
        <w:rPr>
          <w:i/>
        </w:rPr>
        <w:t xml:space="preserve">, </w:t>
      </w:r>
      <w:r w:rsidRPr="000A3DE2">
        <w:t xml:space="preserve">20 FCC Rcd at 1076-77 ¶ 5.  </w:t>
      </w:r>
    </w:p>
  </w:footnote>
  <w:footnote w:id="10">
    <w:p w14:paraId="76711A14" w14:textId="3AC857E4" w:rsidR="000D047F" w:rsidRPr="000D047F" w:rsidRDefault="000D047F" w:rsidP="00870CA6">
      <w:pPr>
        <w:pStyle w:val="FootnoteText"/>
        <w:spacing w:after="120"/>
      </w:pPr>
      <w:r>
        <w:rPr>
          <w:rStyle w:val="FootnoteReference"/>
        </w:rPr>
        <w:footnoteRef/>
      </w:r>
      <w:r>
        <w:t xml:space="preserve"> </w:t>
      </w:r>
      <w:r>
        <w:rPr>
          <w:i/>
        </w:rPr>
        <w:t>See</w:t>
      </w:r>
      <w:r>
        <w:t xml:space="preserve"> 47 C.F.R. §§ 1.1301 </w:t>
      </w:r>
      <w:r>
        <w:rPr>
          <w:i/>
        </w:rPr>
        <w:t>et seq.</w:t>
      </w:r>
      <w:r>
        <w:t>, 24.2.</w:t>
      </w:r>
    </w:p>
  </w:footnote>
  <w:footnote w:id="11">
    <w:p w14:paraId="19993D98" w14:textId="515EC319" w:rsidR="0082126F" w:rsidRDefault="0082126F" w:rsidP="00870CA6">
      <w:pPr>
        <w:pStyle w:val="FootnoteText"/>
        <w:spacing w:after="120"/>
      </w:pPr>
      <w:r>
        <w:rPr>
          <w:rStyle w:val="FootnoteReference"/>
        </w:rPr>
        <w:footnoteRef/>
      </w:r>
      <w:r>
        <w:t xml:space="preserve"> </w:t>
      </w:r>
      <w:r w:rsidRPr="00591E41">
        <w:rPr>
          <w:i/>
        </w:rPr>
        <w:t>See</w:t>
      </w:r>
      <w:r>
        <w:t xml:space="preserve"> 47 C.F.R §§1.1307(a)(4), 1.1312</w:t>
      </w:r>
      <w:r w:rsidR="000D047F">
        <w:t>(a); 47 C.F.R. Pt. 1, App. C</w:t>
      </w:r>
      <w:r>
        <w:t>.</w:t>
      </w:r>
    </w:p>
  </w:footnote>
  <w:footnote w:id="12">
    <w:p w14:paraId="6EEF0605" w14:textId="4A73CD5F" w:rsidR="00360400" w:rsidRPr="000D047F" w:rsidRDefault="00360400" w:rsidP="00870CA6">
      <w:pPr>
        <w:pStyle w:val="FootnoteText"/>
        <w:spacing w:after="120"/>
      </w:pPr>
      <w:r w:rsidRPr="000D047F">
        <w:rPr>
          <w:rStyle w:val="FootnoteReference"/>
        </w:rPr>
        <w:footnoteRef/>
      </w:r>
      <w:r w:rsidRPr="000D047F">
        <w:t xml:space="preserve"> While the SHPO had previously found no adverse effects at another site a mile away, this finding </w:t>
      </w:r>
      <w:r w:rsidR="000D047F">
        <w:t>is</w:t>
      </w:r>
      <w:r w:rsidRPr="000D047F">
        <w:t xml:space="preserve"> </w:t>
      </w:r>
      <w:r w:rsidR="000D047F">
        <w:t>in</w:t>
      </w:r>
      <w:r w:rsidRPr="000D047F">
        <w:t>applicab</w:t>
      </w:r>
      <w:r w:rsidR="000D047F">
        <w:t>le</w:t>
      </w:r>
      <w:r w:rsidRPr="000D047F">
        <w:t xml:space="preserve"> to the location at which USCC actually constructed.  We note that subsequent to construction, the SHPO found that the tower USCC constructed had no adverse effects on historic properties, even though an adjacent property is eligible for listing on the National Register.  </w:t>
      </w:r>
      <w:r w:rsidRPr="000D047F">
        <w:rPr>
          <w:i/>
        </w:rPr>
        <w:t>See</w:t>
      </w:r>
      <w:r w:rsidRPr="000D047F">
        <w:t xml:space="preserve"> letter dated March 27, 2009, from Kirk Mohney, Deputy State Historic Preservation Officer, Maine State Historic Preservation Office</w:t>
      </w:r>
      <w:r w:rsidR="000D047F">
        <w:t>,</w:t>
      </w:r>
      <w:r w:rsidRPr="000D047F">
        <w:t xml:space="preserve"> to Suzanne B. Derrick, EBI Consulting.</w:t>
      </w:r>
    </w:p>
  </w:footnote>
  <w:footnote w:id="13">
    <w:p w14:paraId="118985E0" w14:textId="5AF651F5" w:rsidR="00360400" w:rsidRPr="000D047F" w:rsidRDefault="00360400" w:rsidP="00870CA6">
      <w:pPr>
        <w:pStyle w:val="FootnoteText"/>
        <w:spacing w:after="120"/>
      </w:pPr>
      <w:r w:rsidRPr="000D047F">
        <w:rPr>
          <w:rStyle w:val="FootnoteReference"/>
        </w:rPr>
        <w:footnoteRef/>
      </w:r>
      <w:r w:rsidRPr="000D047F">
        <w:t xml:space="preserve"> See 47 C.F.R. § 24.2</w:t>
      </w:r>
      <w:r w:rsidR="000D047F">
        <w:t>(b)</w:t>
      </w:r>
      <w:r w:rsidRPr="000D047F">
        <w:t>. While we have no evidence that USCC commenced operations before the review was completed, the rule</w:t>
      </w:r>
      <w:r w:rsidR="00186FA1" w:rsidRPr="000D047F">
        <w:t>s</w:t>
      </w:r>
      <w:r w:rsidRPr="000D047F">
        <w:t xml:space="preserve"> require review prior to construction</w:t>
      </w:r>
      <w:r w:rsidR="00186FA1" w:rsidRPr="000D047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E85F4" w14:textId="77777777" w:rsidR="00925D5B" w:rsidRDefault="00925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56EDC" w14:textId="5F49B26A" w:rsidR="00C01BA0" w:rsidRDefault="0025713B" w:rsidP="00C01BA0">
    <w:pPr>
      <w:rPr>
        <w:szCs w:val="24"/>
      </w:rPr>
    </w:pPr>
    <w:r>
      <w:rPr>
        <w:szCs w:val="24"/>
      </w:rPr>
      <w:t xml:space="preserve">Mr. </w:t>
    </w:r>
    <w:r w:rsidR="00BB4BF9">
      <w:rPr>
        <w:szCs w:val="24"/>
      </w:rPr>
      <w:t>Kenneth R.</w:t>
    </w:r>
    <w:r w:rsidR="00870CA6">
      <w:rPr>
        <w:szCs w:val="24"/>
      </w:rPr>
      <w:t xml:space="preserve"> </w:t>
    </w:r>
    <w:r w:rsidR="00BB4BF9">
      <w:rPr>
        <w:szCs w:val="24"/>
      </w:rPr>
      <w:t>Meyers</w:t>
    </w:r>
  </w:p>
  <w:p w14:paraId="3F52F9BF" w14:textId="35CAD282" w:rsidR="00C63DF6" w:rsidRPr="00503F37" w:rsidRDefault="00870CA6">
    <w:pPr>
      <w:rPr>
        <w:color w:val="000000"/>
      </w:rPr>
    </w:pPr>
    <w:r>
      <w:rPr>
        <w:color w:val="000000"/>
      </w:rPr>
      <w:t>June 1</w:t>
    </w:r>
    <w:r w:rsidR="00592EDD">
      <w:rPr>
        <w:color w:val="000000"/>
      </w:rPr>
      <w:t>6</w:t>
    </w:r>
    <w:r w:rsidR="005A0FF8">
      <w:rPr>
        <w:color w:val="000000"/>
      </w:rPr>
      <w:t>, 201</w:t>
    </w:r>
    <w:r w:rsidR="0025713B">
      <w:rPr>
        <w:color w:val="000000"/>
      </w:rPr>
      <w:t>6</w:t>
    </w:r>
  </w:p>
  <w:p w14:paraId="6D43DF63" w14:textId="77777777" w:rsidR="00C63DF6" w:rsidRDefault="005A0FF8">
    <w:pPr>
      <w:rPr>
        <w:rStyle w:val="PageNumber"/>
      </w:rPr>
    </w:pPr>
    <w:r w:rsidRPr="00503F37">
      <w:rPr>
        <w:color w:val="000000"/>
      </w:rPr>
      <w:t xml:space="preserve">Page </w:t>
    </w:r>
    <w:r w:rsidRPr="00503F37">
      <w:rPr>
        <w:rStyle w:val="PageNumber"/>
      </w:rPr>
      <w:fldChar w:fldCharType="begin"/>
    </w:r>
    <w:r w:rsidRPr="00503F37">
      <w:rPr>
        <w:rStyle w:val="PageNumber"/>
      </w:rPr>
      <w:instrText xml:space="preserve"> PAGE </w:instrText>
    </w:r>
    <w:r w:rsidRPr="00503F37">
      <w:rPr>
        <w:rStyle w:val="PageNumber"/>
      </w:rPr>
      <w:fldChar w:fldCharType="separate"/>
    </w:r>
    <w:r w:rsidR="00AC10F4">
      <w:rPr>
        <w:rStyle w:val="PageNumber"/>
        <w:noProof/>
      </w:rPr>
      <w:t>2</w:t>
    </w:r>
    <w:r w:rsidRPr="00503F37">
      <w:rPr>
        <w:rStyle w:val="PageNumber"/>
      </w:rPr>
      <w:fldChar w:fldCharType="end"/>
    </w:r>
    <w:r w:rsidRPr="00503F37">
      <w:rPr>
        <w:rStyle w:val="PageNumber"/>
      </w:rPr>
      <w:t xml:space="preserve"> of </w:t>
    </w:r>
    <w:r w:rsidRPr="00503F37">
      <w:rPr>
        <w:rStyle w:val="PageNumber"/>
      </w:rPr>
      <w:fldChar w:fldCharType="begin"/>
    </w:r>
    <w:r w:rsidRPr="00503F37">
      <w:rPr>
        <w:rStyle w:val="PageNumber"/>
      </w:rPr>
      <w:instrText xml:space="preserve"> NUMPAGES </w:instrText>
    </w:r>
    <w:r w:rsidRPr="00503F37">
      <w:rPr>
        <w:rStyle w:val="PageNumber"/>
      </w:rPr>
      <w:fldChar w:fldCharType="separate"/>
    </w:r>
    <w:r w:rsidR="00AC10F4">
      <w:rPr>
        <w:rStyle w:val="PageNumber"/>
        <w:noProof/>
      </w:rPr>
      <w:t>2</w:t>
    </w:r>
    <w:r w:rsidRPr="00503F37">
      <w:rPr>
        <w:rStyle w:val="PageNumber"/>
      </w:rPr>
      <w:fldChar w:fldCharType="end"/>
    </w:r>
  </w:p>
  <w:p w14:paraId="5FDDD259" w14:textId="77777777" w:rsidR="00C63DF6" w:rsidRDefault="00C63D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3A940" w14:textId="7523D2C4" w:rsidR="00592EDD" w:rsidRPr="00592EDD" w:rsidRDefault="00592EDD" w:rsidP="00592EDD">
    <w:pPr>
      <w:pStyle w:val="Header"/>
      <w:jc w:val="right"/>
      <w:rPr>
        <w:b/>
        <w:lang w:val="en-US"/>
      </w:rPr>
    </w:pPr>
    <w:r>
      <w:rPr>
        <w:b/>
        <w:lang w:val="en-US"/>
      </w:rPr>
      <w:t>DA 16-684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71"/>
    <w:rsid w:val="000377B2"/>
    <w:rsid w:val="00055132"/>
    <w:rsid w:val="00071BEB"/>
    <w:rsid w:val="00073C04"/>
    <w:rsid w:val="000774E3"/>
    <w:rsid w:val="000809D9"/>
    <w:rsid w:val="000D047F"/>
    <w:rsid w:val="000D6730"/>
    <w:rsid w:val="000E1625"/>
    <w:rsid w:val="000F626F"/>
    <w:rsid w:val="001006A3"/>
    <w:rsid w:val="0010106D"/>
    <w:rsid w:val="00122032"/>
    <w:rsid w:val="00130AF4"/>
    <w:rsid w:val="00134331"/>
    <w:rsid w:val="00156C0C"/>
    <w:rsid w:val="00166C97"/>
    <w:rsid w:val="00186FA1"/>
    <w:rsid w:val="001A09B2"/>
    <w:rsid w:val="001E4DC1"/>
    <w:rsid w:val="00224F20"/>
    <w:rsid w:val="0025713B"/>
    <w:rsid w:val="002737F6"/>
    <w:rsid w:val="002739B1"/>
    <w:rsid w:val="00282244"/>
    <w:rsid w:val="0029558D"/>
    <w:rsid w:val="002A7429"/>
    <w:rsid w:val="002C5C29"/>
    <w:rsid w:val="00335907"/>
    <w:rsid w:val="0034362F"/>
    <w:rsid w:val="00360400"/>
    <w:rsid w:val="0037445D"/>
    <w:rsid w:val="00394A0C"/>
    <w:rsid w:val="00394C8A"/>
    <w:rsid w:val="003C422B"/>
    <w:rsid w:val="003C44BF"/>
    <w:rsid w:val="004128EA"/>
    <w:rsid w:val="00451AF0"/>
    <w:rsid w:val="00467C11"/>
    <w:rsid w:val="004A4CF5"/>
    <w:rsid w:val="004B6148"/>
    <w:rsid w:val="004C5580"/>
    <w:rsid w:val="004D3571"/>
    <w:rsid w:val="004E520A"/>
    <w:rsid w:val="00530DB2"/>
    <w:rsid w:val="00591E41"/>
    <w:rsid w:val="00592EDD"/>
    <w:rsid w:val="00597C8D"/>
    <w:rsid w:val="005A0FF8"/>
    <w:rsid w:val="005B0D67"/>
    <w:rsid w:val="005D09AA"/>
    <w:rsid w:val="005E67EB"/>
    <w:rsid w:val="005F5729"/>
    <w:rsid w:val="00612844"/>
    <w:rsid w:val="00623A2E"/>
    <w:rsid w:val="00637F55"/>
    <w:rsid w:val="00656530"/>
    <w:rsid w:val="00690DA1"/>
    <w:rsid w:val="00697A3C"/>
    <w:rsid w:val="006F6CB1"/>
    <w:rsid w:val="007052D6"/>
    <w:rsid w:val="00722E74"/>
    <w:rsid w:val="00724B48"/>
    <w:rsid w:val="00747F37"/>
    <w:rsid w:val="00754853"/>
    <w:rsid w:val="00754BDB"/>
    <w:rsid w:val="00775820"/>
    <w:rsid w:val="0078791E"/>
    <w:rsid w:val="007C0DC4"/>
    <w:rsid w:val="007D4E61"/>
    <w:rsid w:val="007D603B"/>
    <w:rsid w:val="007E19B5"/>
    <w:rsid w:val="007E4D5A"/>
    <w:rsid w:val="00802058"/>
    <w:rsid w:val="00816DBC"/>
    <w:rsid w:val="0082126F"/>
    <w:rsid w:val="00841393"/>
    <w:rsid w:val="00846749"/>
    <w:rsid w:val="008511DC"/>
    <w:rsid w:val="00870CA6"/>
    <w:rsid w:val="008951FE"/>
    <w:rsid w:val="008A5C7E"/>
    <w:rsid w:val="008B4F6F"/>
    <w:rsid w:val="008D1962"/>
    <w:rsid w:val="00905570"/>
    <w:rsid w:val="00906151"/>
    <w:rsid w:val="009071A4"/>
    <w:rsid w:val="00911849"/>
    <w:rsid w:val="00925D5B"/>
    <w:rsid w:val="00927E34"/>
    <w:rsid w:val="00955BC3"/>
    <w:rsid w:val="00961891"/>
    <w:rsid w:val="0097598B"/>
    <w:rsid w:val="00993AF5"/>
    <w:rsid w:val="009C03CC"/>
    <w:rsid w:val="009C2F8E"/>
    <w:rsid w:val="009F1CCB"/>
    <w:rsid w:val="009F5095"/>
    <w:rsid w:val="00A136CF"/>
    <w:rsid w:val="00A34287"/>
    <w:rsid w:val="00A45B3C"/>
    <w:rsid w:val="00A6315A"/>
    <w:rsid w:val="00A83AF1"/>
    <w:rsid w:val="00A84F73"/>
    <w:rsid w:val="00A94B8D"/>
    <w:rsid w:val="00AC10F4"/>
    <w:rsid w:val="00B03919"/>
    <w:rsid w:val="00BB4BF9"/>
    <w:rsid w:val="00BB5183"/>
    <w:rsid w:val="00BC42BC"/>
    <w:rsid w:val="00BC61E3"/>
    <w:rsid w:val="00BF223C"/>
    <w:rsid w:val="00C01BA0"/>
    <w:rsid w:val="00C022F2"/>
    <w:rsid w:val="00C409EB"/>
    <w:rsid w:val="00C55F6A"/>
    <w:rsid w:val="00C63DF6"/>
    <w:rsid w:val="00C65B8F"/>
    <w:rsid w:val="00C7081D"/>
    <w:rsid w:val="00C9026A"/>
    <w:rsid w:val="00CB3E36"/>
    <w:rsid w:val="00CD1180"/>
    <w:rsid w:val="00D143E9"/>
    <w:rsid w:val="00D40175"/>
    <w:rsid w:val="00D575C3"/>
    <w:rsid w:val="00DD751D"/>
    <w:rsid w:val="00DE7844"/>
    <w:rsid w:val="00E13A79"/>
    <w:rsid w:val="00E3570C"/>
    <w:rsid w:val="00EA7B0B"/>
    <w:rsid w:val="00EB5C10"/>
    <w:rsid w:val="00EC7E14"/>
    <w:rsid w:val="00ED050F"/>
    <w:rsid w:val="00FB4071"/>
    <w:rsid w:val="00FE0697"/>
    <w:rsid w:val="00FE5CB4"/>
    <w:rsid w:val="00FF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AC7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71"/>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4D3571"/>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3571"/>
    <w:rPr>
      <w:rFonts w:ascii="Times New Roman" w:eastAsia="Times New Roman" w:hAnsi="Times New Roman" w:cs="Times New Roman"/>
      <w:b/>
      <w:sz w:val="24"/>
      <w:szCs w:val="20"/>
      <w:u w:val="single"/>
    </w:rPr>
  </w:style>
  <w:style w:type="paragraph" w:styleId="FootnoteText">
    <w:name w:val="footnote text"/>
    <w:aliases w:val="Footnote Text Char2 Char1,Footnote Text Char1 Char Char2,Footnote Text Char Char Char Char2,Footnote Text Char2 Char Char1 Char Char1,Footnote Text Char1 Char Char Char Char Char,Footnote Text Char2,rrfootnote,Footnote Text Char1 Char,f"/>
    <w:basedOn w:val="Normal"/>
    <w:link w:val="FootnoteTextChar"/>
    <w:rsid w:val="004D3571"/>
    <w:rPr>
      <w:sz w:val="20"/>
    </w:rPr>
  </w:style>
  <w:style w:type="character" w:customStyle="1" w:styleId="FootnoteTextChar">
    <w:name w:val="Footnote Text Char"/>
    <w:aliases w:val="Footnote Text Char2 Char1 Char,Footnote Text Char1 Char Char2 Char,Footnote Text Char Char Char Char2 Char,Footnote Text Char2 Char Char1 Char Char1 Char,Footnote Text Char1 Char Char Char Char Char Char,Footnote Text Char2 Char"/>
    <w:basedOn w:val="DefaultParagraphFont"/>
    <w:link w:val="FootnoteText"/>
    <w:rsid w:val="004D3571"/>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
    <w:rsid w:val="004D3571"/>
    <w:rPr>
      <w:vertAlign w:val="superscript"/>
    </w:rPr>
  </w:style>
  <w:style w:type="paragraph" w:styleId="Title">
    <w:name w:val="Title"/>
    <w:basedOn w:val="Normal"/>
    <w:link w:val="TitleChar"/>
    <w:qFormat/>
    <w:rsid w:val="004D3571"/>
    <w:pPr>
      <w:jc w:val="center"/>
    </w:pPr>
    <w:rPr>
      <w:b/>
    </w:rPr>
  </w:style>
  <w:style w:type="character" w:customStyle="1" w:styleId="TitleChar">
    <w:name w:val="Title Char"/>
    <w:basedOn w:val="DefaultParagraphFont"/>
    <w:link w:val="Title"/>
    <w:rsid w:val="004D3571"/>
    <w:rPr>
      <w:rFonts w:ascii="Times New Roman" w:eastAsia="Times New Roman" w:hAnsi="Times New Roman" w:cs="Times New Roman"/>
      <w:b/>
      <w:sz w:val="24"/>
      <w:szCs w:val="20"/>
    </w:rPr>
  </w:style>
  <w:style w:type="paragraph" w:styleId="Header">
    <w:name w:val="header"/>
    <w:basedOn w:val="Normal"/>
    <w:link w:val="HeaderChar"/>
    <w:rsid w:val="004D3571"/>
    <w:pPr>
      <w:tabs>
        <w:tab w:val="center" w:pos="4320"/>
        <w:tab w:val="right" w:pos="8640"/>
      </w:tabs>
    </w:pPr>
    <w:rPr>
      <w:lang w:val="x-none" w:eastAsia="x-none"/>
    </w:rPr>
  </w:style>
  <w:style w:type="character" w:customStyle="1" w:styleId="HeaderChar">
    <w:name w:val="Header Char"/>
    <w:basedOn w:val="DefaultParagraphFont"/>
    <w:link w:val="Header"/>
    <w:rsid w:val="004D3571"/>
    <w:rPr>
      <w:rFonts w:ascii="Times New Roman" w:eastAsia="Times New Roman" w:hAnsi="Times New Roman" w:cs="Times New Roman"/>
      <w:sz w:val="24"/>
      <w:szCs w:val="20"/>
      <w:lang w:val="x-none" w:eastAsia="x-none"/>
    </w:rPr>
  </w:style>
  <w:style w:type="paragraph" w:styleId="Footer">
    <w:name w:val="footer"/>
    <w:basedOn w:val="Normal"/>
    <w:link w:val="FooterChar"/>
    <w:rsid w:val="004D3571"/>
    <w:pPr>
      <w:tabs>
        <w:tab w:val="center" w:pos="4320"/>
        <w:tab w:val="right" w:pos="8640"/>
      </w:tabs>
    </w:pPr>
  </w:style>
  <w:style w:type="character" w:customStyle="1" w:styleId="FooterChar">
    <w:name w:val="Footer Char"/>
    <w:basedOn w:val="DefaultParagraphFont"/>
    <w:link w:val="Footer"/>
    <w:rsid w:val="004D3571"/>
    <w:rPr>
      <w:rFonts w:ascii="Times New Roman" w:eastAsia="Times New Roman" w:hAnsi="Times New Roman" w:cs="Times New Roman"/>
      <w:sz w:val="24"/>
      <w:szCs w:val="20"/>
    </w:rPr>
  </w:style>
  <w:style w:type="character" w:styleId="PageNumber">
    <w:name w:val="page number"/>
    <w:basedOn w:val="DefaultParagraphFont"/>
    <w:rsid w:val="004D3571"/>
  </w:style>
  <w:style w:type="character" w:styleId="Hyperlink">
    <w:name w:val="Hyperlink"/>
    <w:basedOn w:val="DefaultParagraphFont"/>
    <w:uiPriority w:val="99"/>
    <w:unhideWhenUsed/>
    <w:rsid w:val="004D3571"/>
    <w:rPr>
      <w:color w:val="0000FF" w:themeColor="hyperlink"/>
      <w:u w:val="single"/>
    </w:rPr>
  </w:style>
  <w:style w:type="paragraph" w:styleId="PlainText">
    <w:name w:val="Plain Text"/>
    <w:basedOn w:val="Normal"/>
    <w:link w:val="PlainTextChar"/>
    <w:uiPriority w:val="99"/>
    <w:unhideWhenUsed/>
    <w:rsid w:val="004D3571"/>
    <w:rPr>
      <w:rFonts w:ascii="Arial Narrow" w:eastAsiaTheme="minorHAnsi" w:hAnsi="Arial Narrow" w:cstheme="minorBidi"/>
      <w:sz w:val="22"/>
      <w:szCs w:val="21"/>
    </w:rPr>
  </w:style>
  <w:style w:type="character" w:customStyle="1" w:styleId="PlainTextChar">
    <w:name w:val="Plain Text Char"/>
    <w:basedOn w:val="DefaultParagraphFont"/>
    <w:link w:val="PlainText"/>
    <w:uiPriority w:val="99"/>
    <w:rsid w:val="004D3571"/>
    <w:rPr>
      <w:rFonts w:ascii="Arial Narrow" w:hAnsi="Arial Narrow"/>
      <w:szCs w:val="21"/>
    </w:rPr>
  </w:style>
  <w:style w:type="character" w:styleId="CommentReference">
    <w:name w:val="annotation reference"/>
    <w:basedOn w:val="DefaultParagraphFont"/>
    <w:uiPriority w:val="99"/>
    <w:semiHidden/>
    <w:unhideWhenUsed/>
    <w:rsid w:val="004A4CF5"/>
    <w:rPr>
      <w:sz w:val="16"/>
      <w:szCs w:val="16"/>
    </w:rPr>
  </w:style>
  <w:style w:type="paragraph" w:styleId="CommentText">
    <w:name w:val="annotation text"/>
    <w:basedOn w:val="Normal"/>
    <w:link w:val="CommentTextChar"/>
    <w:uiPriority w:val="99"/>
    <w:semiHidden/>
    <w:unhideWhenUsed/>
    <w:rsid w:val="004A4CF5"/>
    <w:rPr>
      <w:sz w:val="20"/>
    </w:rPr>
  </w:style>
  <w:style w:type="character" w:customStyle="1" w:styleId="CommentTextChar">
    <w:name w:val="Comment Text Char"/>
    <w:basedOn w:val="DefaultParagraphFont"/>
    <w:link w:val="CommentText"/>
    <w:uiPriority w:val="99"/>
    <w:semiHidden/>
    <w:rsid w:val="004A4C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4CF5"/>
    <w:rPr>
      <w:b/>
      <w:bCs/>
    </w:rPr>
  </w:style>
  <w:style w:type="character" w:customStyle="1" w:styleId="CommentSubjectChar">
    <w:name w:val="Comment Subject Char"/>
    <w:basedOn w:val="CommentTextChar"/>
    <w:link w:val="CommentSubject"/>
    <w:uiPriority w:val="99"/>
    <w:semiHidden/>
    <w:rsid w:val="004A4CF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4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CF5"/>
    <w:rPr>
      <w:rFonts w:ascii="Segoe UI" w:eastAsia="Times New Roman" w:hAnsi="Segoe UI" w:cs="Segoe UI"/>
      <w:sz w:val="18"/>
      <w:szCs w:val="18"/>
    </w:rPr>
  </w:style>
  <w:style w:type="character" w:customStyle="1" w:styleId="st">
    <w:name w:val="st"/>
    <w:basedOn w:val="DefaultParagraphFont"/>
    <w:rsid w:val="00BC61E3"/>
  </w:style>
  <w:style w:type="character" w:customStyle="1" w:styleId="ptext-1">
    <w:name w:val="ptext-1"/>
    <w:basedOn w:val="DefaultParagraphFont"/>
    <w:rsid w:val="005D0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71"/>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4D3571"/>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3571"/>
    <w:rPr>
      <w:rFonts w:ascii="Times New Roman" w:eastAsia="Times New Roman" w:hAnsi="Times New Roman" w:cs="Times New Roman"/>
      <w:b/>
      <w:sz w:val="24"/>
      <w:szCs w:val="20"/>
      <w:u w:val="single"/>
    </w:rPr>
  </w:style>
  <w:style w:type="paragraph" w:styleId="FootnoteText">
    <w:name w:val="footnote text"/>
    <w:aliases w:val="Footnote Text Char2 Char1,Footnote Text Char1 Char Char2,Footnote Text Char Char Char Char2,Footnote Text Char2 Char Char1 Char Char1,Footnote Text Char1 Char Char Char Char Char,Footnote Text Char2,rrfootnote,Footnote Text Char1 Char,f"/>
    <w:basedOn w:val="Normal"/>
    <w:link w:val="FootnoteTextChar"/>
    <w:rsid w:val="004D3571"/>
    <w:rPr>
      <w:sz w:val="20"/>
    </w:rPr>
  </w:style>
  <w:style w:type="character" w:customStyle="1" w:styleId="FootnoteTextChar">
    <w:name w:val="Footnote Text Char"/>
    <w:aliases w:val="Footnote Text Char2 Char1 Char,Footnote Text Char1 Char Char2 Char,Footnote Text Char Char Char Char2 Char,Footnote Text Char2 Char Char1 Char Char1 Char,Footnote Text Char1 Char Char Char Char Char Char,Footnote Text Char2 Char"/>
    <w:basedOn w:val="DefaultParagraphFont"/>
    <w:link w:val="FootnoteText"/>
    <w:rsid w:val="004D3571"/>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
    <w:rsid w:val="004D3571"/>
    <w:rPr>
      <w:vertAlign w:val="superscript"/>
    </w:rPr>
  </w:style>
  <w:style w:type="paragraph" w:styleId="Title">
    <w:name w:val="Title"/>
    <w:basedOn w:val="Normal"/>
    <w:link w:val="TitleChar"/>
    <w:qFormat/>
    <w:rsid w:val="004D3571"/>
    <w:pPr>
      <w:jc w:val="center"/>
    </w:pPr>
    <w:rPr>
      <w:b/>
    </w:rPr>
  </w:style>
  <w:style w:type="character" w:customStyle="1" w:styleId="TitleChar">
    <w:name w:val="Title Char"/>
    <w:basedOn w:val="DefaultParagraphFont"/>
    <w:link w:val="Title"/>
    <w:rsid w:val="004D3571"/>
    <w:rPr>
      <w:rFonts w:ascii="Times New Roman" w:eastAsia="Times New Roman" w:hAnsi="Times New Roman" w:cs="Times New Roman"/>
      <w:b/>
      <w:sz w:val="24"/>
      <w:szCs w:val="20"/>
    </w:rPr>
  </w:style>
  <w:style w:type="paragraph" w:styleId="Header">
    <w:name w:val="header"/>
    <w:basedOn w:val="Normal"/>
    <w:link w:val="HeaderChar"/>
    <w:rsid w:val="004D3571"/>
    <w:pPr>
      <w:tabs>
        <w:tab w:val="center" w:pos="4320"/>
        <w:tab w:val="right" w:pos="8640"/>
      </w:tabs>
    </w:pPr>
    <w:rPr>
      <w:lang w:val="x-none" w:eastAsia="x-none"/>
    </w:rPr>
  </w:style>
  <w:style w:type="character" w:customStyle="1" w:styleId="HeaderChar">
    <w:name w:val="Header Char"/>
    <w:basedOn w:val="DefaultParagraphFont"/>
    <w:link w:val="Header"/>
    <w:rsid w:val="004D3571"/>
    <w:rPr>
      <w:rFonts w:ascii="Times New Roman" w:eastAsia="Times New Roman" w:hAnsi="Times New Roman" w:cs="Times New Roman"/>
      <w:sz w:val="24"/>
      <w:szCs w:val="20"/>
      <w:lang w:val="x-none" w:eastAsia="x-none"/>
    </w:rPr>
  </w:style>
  <w:style w:type="paragraph" w:styleId="Footer">
    <w:name w:val="footer"/>
    <w:basedOn w:val="Normal"/>
    <w:link w:val="FooterChar"/>
    <w:rsid w:val="004D3571"/>
    <w:pPr>
      <w:tabs>
        <w:tab w:val="center" w:pos="4320"/>
        <w:tab w:val="right" w:pos="8640"/>
      </w:tabs>
    </w:pPr>
  </w:style>
  <w:style w:type="character" w:customStyle="1" w:styleId="FooterChar">
    <w:name w:val="Footer Char"/>
    <w:basedOn w:val="DefaultParagraphFont"/>
    <w:link w:val="Footer"/>
    <w:rsid w:val="004D3571"/>
    <w:rPr>
      <w:rFonts w:ascii="Times New Roman" w:eastAsia="Times New Roman" w:hAnsi="Times New Roman" w:cs="Times New Roman"/>
      <w:sz w:val="24"/>
      <w:szCs w:val="20"/>
    </w:rPr>
  </w:style>
  <w:style w:type="character" w:styleId="PageNumber">
    <w:name w:val="page number"/>
    <w:basedOn w:val="DefaultParagraphFont"/>
    <w:rsid w:val="004D3571"/>
  </w:style>
  <w:style w:type="character" w:styleId="Hyperlink">
    <w:name w:val="Hyperlink"/>
    <w:basedOn w:val="DefaultParagraphFont"/>
    <w:uiPriority w:val="99"/>
    <w:unhideWhenUsed/>
    <w:rsid w:val="004D3571"/>
    <w:rPr>
      <w:color w:val="0000FF" w:themeColor="hyperlink"/>
      <w:u w:val="single"/>
    </w:rPr>
  </w:style>
  <w:style w:type="paragraph" w:styleId="PlainText">
    <w:name w:val="Plain Text"/>
    <w:basedOn w:val="Normal"/>
    <w:link w:val="PlainTextChar"/>
    <w:uiPriority w:val="99"/>
    <w:unhideWhenUsed/>
    <w:rsid w:val="004D3571"/>
    <w:rPr>
      <w:rFonts w:ascii="Arial Narrow" w:eastAsiaTheme="minorHAnsi" w:hAnsi="Arial Narrow" w:cstheme="minorBidi"/>
      <w:sz w:val="22"/>
      <w:szCs w:val="21"/>
    </w:rPr>
  </w:style>
  <w:style w:type="character" w:customStyle="1" w:styleId="PlainTextChar">
    <w:name w:val="Plain Text Char"/>
    <w:basedOn w:val="DefaultParagraphFont"/>
    <w:link w:val="PlainText"/>
    <w:uiPriority w:val="99"/>
    <w:rsid w:val="004D3571"/>
    <w:rPr>
      <w:rFonts w:ascii="Arial Narrow" w:hAnsi="Arial Narrow"/>
      <w:szCs w:val="21"/>
    </w:rPr>
  </w:style>
  <w:style w:type="character" w:styleId="CommentReference">
    <w:name w:val="annotation reference"/>
    <w:basedOn w:val="DefaultParagraphFont"/>
    <w:uiPriority w:val="99"/>
    <w:semiHidden/>
    <w:unhideWhenUsed/>
    <w:rsid w:val="004A4CF5"/>
    <w:rPr>
      <w:sz w:val="16"/>
      <w:szCs w:val="16"/>
    </w:rPr>
  </w:style>
  <w:style w:type="paragraph" w:styleId="CommentText">
    <w:name w:val="annotation text"/>
    <w:basedOn w:val="Normal"/>
    <w:link w:val="CommentTextChar"/>
    <w:uiPriority w:val="99"/>
    <w:semiHidden/>
    <w:unhideWhenUsed/>
    <w:rsid w:val="004A4CF5"/>
    <w:rPr>
      <w:sz w:val="20"/>
    </w:rPr>
  </w:style>
  <w:style w:type="character" w:customStyle="1" w:styleId="CommentTextChar">
    <w:name w:val="Comment Text Char"/>
    <w:basedOn w:val="DefaultParagraphFont"/>
    <w:link w:val="CommentText"/>
    <w:uiPriority w:val="99"/>
    <w:semiHidden/>
    <w:rsid w:val="004A4C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4CF5"/>
    <w:rPr>
      <w:b/>
      <w:bCs/>
    </w:rPr>
  </w:style>
  <w:style w:type="character" w:customStyle="1" w:styleId="CommentSubjectChar">
    <w:name w:val="Comment Subject Char"/>
    <w:basedOn w:val="CommentTextChar"/>
    <w:link w:val="CommentSubject"/>
    <w:uiPriority w:val="99"/>
    <w:semiHidden/>
    <w:rsid w:val="004A4CF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4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CF5"/>
    <w:rPr>
      <w:rFonts w:ascii="Segoe UI" w:eastAsia="Times New Roman" w:hAnsi="Segoe UI" w:cs="Segoe UI"/>
      <w:sz w:val="18"/>
      <w:szCs w:val="18"/>
    </w:rPr>
  </w:style>
  <w:style w:type="character" w:customStyle="1" w:styleId="st">
    <w:name w:val="st"/>
    <w:basedOn w:val="DefaultParagraphFont"/>
    <w:rsid w:val="00BC61E3"/>
  </w:style>
  <w:style w:type="character" w:customStyle="1" w:styleId="ptext-1">
    <w:name w:val="ptext-1"/>
    <w:basedOn w:val="DefaultParagraphFont"/>
    <w:rsid w:val="005D0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8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a.rosenberg@fcc.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3306</Characters>
  <Application>Microsoft Office Word</Application>
  <DocSecurity>0</DocSecurity>
  <Lines>85</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2016-06-16T13:58:00Z</cp:lastPrinted>
  <dcterms:created xsi:type="dcterms:W3CDTF">2016-06-16T17:12:00Z</dcterms:created>
  <dcterms:modified xsi:type="dcterms:W3CDTF">2016-06-16T17:12:00Z</dcterms:modified>
  <cp:category> </cp:category>
  <cp:contentStatus> </cp:contentStatus>
</cp:coreProperties>
</file>