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848B9" w14:textId="29DE448B" w:rsidR="008206A0" w:rsidRPr="00F04042" w:rsidRDefault="00A37338" w:rsidP="008206A0">
      <w:pPr>
        <w:pStyle w:val="Title"/>
        <w:rPr>
          <w:smallCaps/>
          <w:szCs w:val="24"/>
        </w:rPr>
      </w:pPr>
      <w:bookmarkStart w:id="0" w:name="_GoBack"/>
      <w:bookmarkEnd w:id="0"/>
      <w:r w:rsidRPr="00A37338">
        <w:rPr>
          <w:noProof/>
        </w:rPr>
        <w:drawing>
          <wp:anchor distT="0" distB="0" distL="114300" distR="114300" simplePos="0" relativeHeight="251659264" behindDoc="0" locked="0" layoutInCell="1" allowOverlap="1" wp14:anchorId="72756164" wp14:editId="07776253">
            <wp:simplePos x="0" y="0"/>
            <wp:positionH relativeFrom="column">
              <wp:posOffset>-291465</wp:posOffset>
            </wp:positionH>
            <wp:positionV relativeFrom="paragraph">
              <wp:posOffset>-111760</wp:posOffset>
            </wp:positionV>
            <wp:extent cx="1027469" cy="9779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69" cy="977900"/>
                    </a:xfrm>
                    <a:prstGeom prst="rect">
                      <a:avLst/>
                    </a:prstGeom>
                  </pic:spPr>
                </pic:pic>
              </a:graphicData>
            </a:graphic>
            <wp14:sizeRelH relativeFrom="page">
              <wp14:pctWidth>0</wp14:pctWidth>
            </wp14:sizeRelH>
            <wp14:sizeRelV relativeFrom="page">
              <wp14:pctHeight>0</wp14:pctHeight>
            </wp14:sizeRelV>
          </wp:anchor>
        </w:drawing>
      </w:r>
      <w:r w:rsidR="008206A0" w:rsidRPr="00F04042">
        <w:rPr>
          <w:smallCaps/>
          <w:szCs w:val="24"/>
        </w:rPr>
        <w:t>Federal Communications Commission</w:t>
      </w:r>
    </w:p>
    <w:p w14:paraId="229ABB76" w14:textId="77777777" w:rsidR="008206A0" w:rsidRDefault="008206A0" w:rsidP="008206A0">
      <w:pPr>
        <w:jc w:val="center"/>
        <w:rPr>
          <w:szCs w:val="24"/>
        </w:rPr>
      </w:pPr>
      <w:r>
        <w:rPr>
          <w:szCs w:val="24"/>
        </w:rPr>
        <w:t xml:space="preserve">Wireless Telecommunications </w:t>
      </w:r>
      <w:r w:rsidRPr="00F04042">
        <w:rPr>
          <w:szCs w:val="24"/>
        </w:rPr>
        <w:t>Bureau</w:t>
      </w:r>
    </w:p>
    <w:p w14:paraId="25165C5C" w14:textId="739EA14B" w:rsidR="008206A0" w:rsidRPr="00F04042" w:rsidRDefault="008206A0" w:rsidP="008206A0">
      <w:pPr>
        <w:jc w:val="center"/>
        <w:rPr>
          <w:smallCaps/>
          <w:szCs w:val="24"/>
        </w:rPr>
      </w:pPr>
      <w:r>
        <w:rPr>
          <w:szCs w:val="24"/>
        </w:rPr>
        <w:t>Competition</w:t>
      </w:r>
      <w:r w:rsidR="00F50B91">
        <w:rPr>
          <w:szCs w:val="24"/>
        </w:rPr>
        <w:t xml:space="preserve"> and Infrastructure</w:t>
      </w:r>
      <w:r>
        <w:rPr>
          <w:szCs w:val="24"/>
        </w:rPr>
        <w:t xml:space="preserve"> Policy </w:t>
      </w:r>
      <w:r w:rsidRPr="00F04042">
        <w:rPr>
          <w:szCs w:val="24"/>
        </w:rPr>
        <w:t>Division</w:t>
      </w:r>
    </w:p>
    <w:p w14:paraId="65E1FBA1" w14:textId="77777777" w:rsidR="008206A0" w:rsidRPr="00D5376C" w:rsidRDefault="008206A0" w:rsidP="008206A0">
      <w:pPr>
        <w:jc w:val="center"/>
        <w:rPr>
          <w:sz w:val="22"/>
          <w:szCs w:val="22"/>
        </w:rPr>
      </w:pPr>
      <w:r w:rsidRPr="00D5376C">
        <w:rPr>
          <w:sz w:val="22"/>
          <w:szCs w:val="22"/>
        </w:rPr>
        <w:t>445 12</w:t>
      </w:r>
      <w:r w:rsidRPr="00D5376C">
        <w:rPr>
          <w:sz w:val="22"/>
          <w:szCs w:val="22"/>
          <w:vertAlign w:val="superscript"/>
        </w:rPr>
        <w:t>th</w:t>
      </w:r>
      <w:r w:rsidRPr="00D5376C">
        <w:rPr>
          <w:sz w:val="22"/>
          <w:szCs w:val="22"/>
        </w:rPr>
        <w:t xml:space="preserve"> Street, SW</w:t>
      </w:r>
    </w:p>
    <w:p w14:paraId="297F30E6" w14:textId="77777777" w:rsidR="008206A0" w:rsidRPr="00D5376C" w:rsidRDefault="008206A0" w:rsidP="008206A0">
      <w:pPr>
        <w:jc w:val="center"/>
        <w:rPr>
          <w:sz w:val="22"/>
          <w:szCs w:val="22"/>
        </w:rPr>
      </w:pPr>
      <w:r w:rsidRPr="00D5376C">
        <w:rPr>
          <w:sz w:val="22"/>
          <w:szCs w:val="22"/>
        </w:rPr>
        <w:t>Washington, DC  20554</w:t>
      </w:r>
    </w:p>
    <w:p w14:paraId="0F83A021" w14:textId="77777777" w:rsidR="008206A0" w:rsidRPr="00F04042" w:rsidRDefault="008206A0" w:rsidP="008206A0">
      <w:pPr>
        <w:jc w:val="center"/>
        <w:rPr>
          <w:szCs w:val="24"/>
        </w:rPr>
      </w:pPr>
    </w:p>
    <w:p w14:paraId="47A2CAC9" w14:textId="77777777" w:rsidR="008206A0" w:rsidRPr="00F04042" w:rsidRDefault="008206A0" w:rsidP="008206A0">
      <w:pPr>
        <w:tabs>
          <w:tab w:val="left" w:pos="1941"/>
        </w:tabs>
        <w:rPr>
          <w:szCs w:val="24"/>
        </w:rPr>
      </w:pPr>
      <w:r w:rsidRPr="00F04042">
        <w:rPr>
          <w:szCs w:val="24"/>
        </w:rPr>
        <w:tab/>
      </w:r>
    </w:p>
    <w:p w14:paraId="4B4A4EB8" w14:textId="1D8A207E" w:rsidR="008206A0" w:rsidRPr="00F04042" w:rsidRDefault="00C626B8" w:rsidP="00125FFE">
      <w:pPr>
        <w:jc w:val="center"/>
        <w:rPr>
          <w:szCs w:val="24"/>
        </w:rPr>
      </w:pPr>
      <w:r>
        <w:rPr>
          <w:szCs w:val="24"/>
        </w:rPr>
        <w:t xml:space="preserve">June </w:t>
      </w:r>
      <w:r w:rsidR="00E80BA9">
        <w:rPr>
          <w:szCs w:val="24"/>
        </w:rPr>
        <w:t>1</w:t>
      </w:r>
      <w:r w:rsidR="0098670B">
        <w:rPr>
          <w:szCs w:val="24"/>
        </w:rPr>
        <w:t>6</w:t>
      </w:r>
      <w:r w:rsidR="00D43991">
        <w:rPr>
          <w:szCs w:val="24"/>
        </w:rPr>
        <w:t>, 2016</w:t>
      </w:r>
    </w:p>
    <w:p w14:paraId="7E6881B3" w14:textId="77777777" w:rsidR="00DC4D4F" w:rsidRDefault="00DC4D4F" w:rsidP="008206A0">
      <w:pPr>
        <w:jc w:val="center"/>
        <w:rPr>
          <w:szCs w:val="24"/>
        </w:rPr>
      </w:pPr>
    </w:p>
    <w:p w14:paraId="0A44AF7C" w14:textId="77777777" w:rsidR="00DC4D4F" w:rsidRPr="00F04042" w:rsidRDefault="00DC4D4F" w:rsidP="008206A0">
      <w:pPr>
        <w:jc w:val="center"/>
        <w:rPr>
          <w:szCs w:val="24"/>
        </w:rPr>
      </w:pPr>
    </w:p>
    <w:p w14:paraId="02A62121" w14:textId="23E92602" w:rsidR="008206A0" w:rsidRPr="00DC4D4F" w:rsidRDefault="008206A0" w:rsidP="00DC4D4F">
      <w:pPr>
        <w:pStyle w:val="Heading2"/>
        <w:rPr>
          <w:szCs w:val="24"/>
        </w:rPr>
      </w:pPr>
      <w:r w:rsidRPr="00F04042">
        <w:rPr>
          <w:szCs w:val="24"/>
        </w:rPr>
        <w:t xml:space="preserve">VIA </w:t>
      </w:r>
      <w:r w:rsidR="0098670B">
        <w:rPr>
          <w:szCs w:val="24"/>
        </w:rPr>
        <w:t xml:space="preserve">FIRST CLASS MAIL AND </w:t>
      </w:r>
      <w:r w:rsidR="005A663B">
        <w:rPr>
          <w:szCs w:val="24"/>
        </w:rPr>
        <w:t>EMAIL</w:t>
      </w:r>
    </w:p>
    <w:p w14:paraId="3A519667" w14:textId="77777777" w:rsidR="008206A0" w:rsidRPr="00F04042" w:rsidRDefault="008206A0" w:rsidP="008206A0">
      <w:pPr>
        <w:rPr>
          <w:szCs w:val="24"/>
        </w:rPr>
      </w:pPr>
    </w:p>
    <w:p w14:paraId="793BAB81" w14:textId="63A0F380" w:rsidR="00B52E02" w:rsidRDefault="00CD778B" w:rsidP="008206A0">
      <w:pPr>
        <w:rPr>
          <w:szCs w:val="24"/>
        </w:rPr>
      </w:pPr>
      <w:r>
        <w:rPr>
          <w:szCs w:val="24"/>
        </w:rPr>
        <w:t>Kenneth R. Meyer</w:t>
      </w:r>
      <w:r w:rsidR="00B52E02">
        <w:rPr>
          <w:szCs w:val="24"/>
        </w:rPr>
        <w:t>s</w:t>
      </w:r>
    </w:p>
    <w:p w14:paraId="009B9580" w14:textId="15B53438" w:rsidR="001337F2" w:rsidRDefault="00272BDD" w:rsidP="008206A0">
      <w:pPr>
        <w:rPr>
          <w:szCs w:val="24"/>
        </w:rPr>
      </w:pPr>
      <w:r>
        <w:rPr>
          <w:szCs w:val="24"/>
        </w:rPr>
        <w:t xml:space="preserve">President and </w:t>
      </w:r>
      <w:r w:rsidR="00AE3D00">
        <w:rPr>
          <w:szCs w:val="24"/>
        </w:rPr>
        <w:t>Chief Executive Officer</w:t>
      </w:r>
    </w:p>
    <w:p w14:paraId="6BB47E23" w14:textId="77777777" w:rsidR="00CD778B" w:rsidRDefault="00CD778B" w:rsidP="008206A0">
      <w:pPr>
        <w:rPr>
          <w:rStyle w:val="st"/>
        </w:rPr>
      </w:pPr>
      <w:r>
        <w:rPr>
          <w:szCs w:val="24"/>
        </w:rPr>
        <w:t>United States Cellular Corporation</w:t>
      </w:r>
      <w:r>
        <w:rPr>
          <w:rStyle w:val="st"/>
        </w:rPr>
        <w:t xml:space="preserve"> </w:t>
      </w:r>
    </w:p>
    <w:p w14:paraId="539C1DF7" w14:textId="6835CC3B" w:rsidR="00CD778B" w:rsidRDefault="00CD778B" w:rsidP="008206A0">
      <w:pPr>
        <w:rPr>
          <w:rStyle w:val="st"/>
        </w:rPr>
      </w:pPr>
      <w:r>
        <w:rPr>
          <w:rStyle w:val="st"/>
        </w:rPr>
        <w:t xml:space="preserve">8410 West Bryn Mawr Avenue, Suite 700 </w:t>
      </w:r>
    </w:p>
    <w:p w14:paraId="329B2EB1" w14:textId="77777777" w:rsidR="00CD778B" w:rsidRDefault="00CD778B" w:rsidP="008206A0">
      <w:pPr>
        <w:rPr>
          <w:rStyle w:val="st"/>
        </w:rPr>
      </w:pPr>
      <w:r>
        <w:rPr>
          <w:rStyle w:val="st"/>
        </w:rPr>
        <w:t xml:space="preserve">Chicago, IL 60631-3486 </w:t>
      </w:r>
    </w:p>
    <w:p w14:paraId="6B6DE2CA" w14:textId="77777777" w:rsidR="00CD778B" w:rsidRDefault="00CD778B" w:rsidP="008206A0">
      <w:pPr>
        <w:rPr>
          <w:rStyle w:val="st"/>
        </w:rPr>
      </w:pPr>
    </w:p>
    <w:p w14:paraId="6A64D75F" w14:textId="15654172" w:rsidR="008206A0" w:rsidRPr="00F04042" w:rsidRDefault="008206A0" w:rsidP="00EF0E2D">
      <w:pPr>
        <w:ind w:firstLine="720"/>
        <w:rPr>
          <w:szCs w:val="24"/>
          <w:lang w:val="de-DE"/>
        </w:rPr>
      </w:pPr>
      <w:r>
        <w:rPr>
          <w:b/>
          <w:szCs w:val="24"/>
        </w:rPr>
        <w:t xml:space="preserve">Re: </w:t>
      </w:r>
      <w:r>
        <w:rPr>
          <w:b/>
          <w:szCs w:val="24"/>
        </w:rPr>
        <w:tab/>
      </w:r>
      <w:r w:rsidRPr="00F04042">
        <w:rPr>
          <w:b/>
          <w:szCs w:val="24"/>
        </w:rPr>
        <w:t xml:space="preserve">VIOLATION </w:t>
      </w:r>
      <w:r>
        <w:rPr>
          <w:b/>
          <w:szCs w:val="24"/>
        </w:rPr>
        <w:t xml:space="preserve">OF </w:t>
      </w:r>
      <w:r w:rsidR="00EF0E2D">
        <w:rPr>
          <w:b/>
          <w:szCs w:val="24"/>
        </w:rPr>
        <w:t>FCC</w:t>
      </w:r>
      <w:r w:rsidR="00EA71A6">
        <w:rPr>
          <w:b/>
          <w:szCs w:val="24"/>
        </w:rPr>
        <w:t xml:space="preserve"> </w:t>
      </w:r>
      <w:r w:rsidR="0069270B">
        <w:rPr>
          <w:b/>
          <w:szCs w:val="24"/>
        </w:rPr>
        <w:t xml:space="preserve">ENVIRONMENTAL </w:t>
      </w:r>
      <w:r>
        <w:rPr>
          <w:b/>
          <w:szCs w:val="24"/>
        </w:rPr>
        <w:t>RULES</w:t>
      </w:r>
      <w:r w:rsidRPr="00F04042">
        <w:rPr>
          <w:b/>
          <w:szCs w:val="24"/>
        </w:rPr>
        <w:t xml:space="preserve"> </w:t>
      </w:r>
      <w:r>
        <w:rPr>
          <w:b/>
          <w:szCs w:val="24"/>
        </w:rPr>
        <w:br/>
      </w:r>
    </w:p>
    <w:p w14:paraId="39A7505F" w14:textId="11F3FA82" w:rsidR="008206A0" w:rsidRPr="00814EBA" w:rsidRDefault="00534DB2" w:rsidP="008206A0">
      <w:pPr>
        <w:rPr>
          <w:szCs w:val="24"/>
        </w:rPr>
      </w:pPr>
      <w:r>
        <w:rPr>
          <w:szCs w:val="24"/>
        </w:rPr>
        <w:t xml:space="preserve">Dear Mr. </w:t>
      </w:r>
      <w:r w:rsidR="00CD778B">
        <w:rPr>
          <w:szCs w:val="24"/>
        </w:rPr>
        <w:t>Meyers</w:t>
      </w:r>
      <w:r w:rsidR="008206A0" w:rsidRPr="00814EBA">
        <w:rPr>
          <w:szCs w:val="24"/>
        </w:rPr>
        <w:t>:</w:t>
      </w:r>
    </w:p>
    <w:p w14:paraId="62C325D3" w14:textId="77777777" w:rsidR="008206A0" w:rsidRPr="00814EBA" w:rsidRDefault="008206A0" w:rsidP="008206A0">
      <w:pPr>
        <w:rPr>
          <w:szCs w:val="24"/>
        </w:rPr>
      </w:pPr>
    </w:p>
    <w:p w14:paraId="738EFD45" w14:textId="7E42ED2D" w:rsidR="008206A0" w:rsidRPr="00814EBA" w:rsidRDefault="008206A0" w:rsidP="003464E1">
      <w:pPr>
        <w:ind w:firstLine="720"/>
        <w:rPr>
          <w:szCs w:val="24"/>
        </w:rPr>
      </w:pPr>
      <w:r w:rsidRPr="00814EBA">
        <w:rPr>
          <w:szCs w:val="24"/>
        </w:rPr>
        <w:t>This</w:t>
      </w:r>
      <w:r w:rsidR="00EA71A6">
        <w:rPr>
          <w:szCs w:val="24"/>
        </w:rPr>
        <w:t xml:space="preserve"> letter pertains to </w:t>
      </w:r>
      <w:r w:rsidR="00811C03" w:rsidRPr="00811C03">
        <w:rPr>
          <w:szCs w:val="24"/>
        </w:rPr>
        <w:t>s</w:t>
      </w:r>
      <w:r w:rsidRPr="00811C03">
        <w:rPr>
          <w:szCs w:val="24"/>
        </w:rPr>
        <w:t>elf-reported admissions</w:t>
      </w:r>
      <w:r w:rsidR="00811C03">
        <w:rPr>
          <w:szCs w:val="24"/>
        </w:rPr>
        <w:t xml:space="preserve"> that United States Cellular </w:t>
      </w:r>
      <w:r w:rsidR="00EA71A6">
        <w:rPr>
          <w:szCs w:val="24"/>
        </w:rPr>
        <w:t xml:space="preserve">Corporation </w:t>
      </w:r>
      <w:r w:rsidR="00811C03">
        <w:rPr>
          <w:szCs w:val="24"/>
        </w:rPr>
        <w:t>(USCC)</w:t>
      </w:r>
      <w:r w:rsidRPr="00814EBA">
        <w:rPr>
          <w:szCs w:val="24"/>
        </w:rPr>
        <w:t xml:space="preserve"> failed to comply with the Commission’s </w:t>
      </w:r>
      <w:r w:rsidR="00EF4322">
        <w:rPr>
          <w:szCs w:val="24"/>
        </w:rPr>
        <w:t xml:space="preserve">regulations </w:t>
      </w:r>
      <w:r w:rsidRPr="00814EBA">
        <w:rPr>
          <w:szCs w:val="24"/>
        </w:rPr>
        <w:t>implementing the National Environmental Policy Act of 1969 (NEPA)</w:t>
      </w:r>
      <w:r w:rsidR="00F50B91">
        <w:rPr>
          <w:szCs w:val="24"/>
        </w:rPr>
        <w:t xml:space="preserve"> and other federal environmental statutes</w:t>
      </w:r>
      <w:r w:rsidR="001337F2">
        <w:rPr>
          <w:szCs w:val="24"/>
        </w:rPr>
        <w:t>,</w:t>
      </w:r>
      <w:r w:rsidRPr="00814EBA">
        <w:rPr>
          <w:rStyle w:val="FootnoteReference"/>
          <w:szCs w:val="24"/>
        </w:rPr>
        <w:footnoteReference w:id="1"/>
      </w:r>
      <w:r w:rsidR="001337F2">
        <w:rPr>
          <w:szCs w:val="24"/>
        </w:rPr>
        <w:t xml:space="preserve"> related licensing and antenna structure registration (ASR) regulations,</w:t>
      </w:r>
      <w:r w:rsidR="001337F2" w:rsidRPr="00814EBA">
        <w:rPr>
          <w:rStyle w:val="FootnoteReference"/>
          <w:szCs w:val="24"/>
        </w:rPr>
        <w:footnoteReference w:id="2"/>
      </w:r>
      <w:r w:rsidR="001337F2">
        <w:rPr>
          <w:szCs w:val="24"/>
        </w:rPr>
        <w:t xml:space="preserve"> and its regulation requiring truthful and accurate statements.</w:t>
      </w:r>
      <w:r w:rsidR="001337F2">
        <w:rPr>
          <w:rStyle w:val="FootnoteReference"/>
          <w:szCs w:val="24"/>
        </w:rPr>
        <w:footnoteReference w:id="3"/>
      </w:r>
      <w:r w:rsidRPr="00814EBA">
        <w:rPr>
          <w:szCs w:val="24"/>
        </w:rPr>
        <w:t xml:space="preserve"> </w:t>
      </w:r>
      <w:r w:rsidR="00F50B91">
        <w:rPr>
          <w:szCs w:val="24"/>
        </w:rPr>
        <w:t xml:space="preserve"> </w:t>
      </w:r>
      <w:r w:rsidRPr="00814EBA">
        <w:rPr>
          <w:szCs w:val="24"/>
        </w:rPr>
        <w:t xml:space="preserve">The Wireless Telecommunications Bureau </w:t>
      </w:r>
      <w:r w:rsidR="00811C03">
        <w:rPr>
          <w:szCs w:val="24"/>
        </w:rPr>
        <w:t xml:space="preserve">has determined that USCC </w:t>
      </w:r>
      <w:r w:rsidRPr="00814EBA">
        <w:rPr>
          <w:szCs w:val="24"/>
        </w:rPr>
        <w:t>violated Section</w:t>
      </w:r>
      <w:r w:rsidR="00F50B91">
        <w:rPr>
          <w:szCs w:val="24"/>
        </w:rPr>
        <w:t>s</w:t>
      </w:r>
      <w:r w:rsidRPr="00814EBA">
        <w:rPr>
          <w:szCs w:val="24"/>
        </w:rPr>
        <w:t xml:space="preserve"> </w:t>
      </w:r>
      <w:r w:rsidR="00125FFE">
        <w:rPr>
          <w:szCs w:val="24"/>
        </w:rPr>
        <w:t>1.1</w:t>
      </w:r>
      <w:r w:rsidR="00DA016A">
        <w:rPr>
          <w:szCs w:val="24"/>
        </w:rPr>
        <w:t xml:space="preserve">7, </w:t>
      </w:r>
      <w:r w:rsidR="00E34A69">
        <w:rPr>
          <w:szCs w:val="24"/>
        </w:rPr>
        <w:t>1.923, 1.929, 1.947,</w:t>
      </w:r>
      <w:r w:rsidRPr="00814EBA">
        <w:rPr>
          <w:szCs w:val="24"/>
        </w:rPr>
        <w:t xml:space="preserve"> </w:t>
      </w:r>
      <w:r w:rsidR="00407E48">
        <w:rPr>
          <w:szCs w:val="24"/>
        </w:rPr>
        <w:t>1.1307</w:t>
      </w:r>
      <w:r w:rsidR="00B8535D">
        <w:rPr>
          <w:szCs w:val="24"/>
        </w:rPr>
        <w:t>, 1.1311,</w:t>
      </w:r>
      <w:r w:rsidR="00D43991">
        <w:rPr>
          <w:szCs w:val="24"/>
        </w:rPr>
        <w:t xml:space="preserve"> </w:t>
      </w:r>
      <w:r w:rsidR="00B8535D">
        <w:rPr>
          <w:szCs w:val="24"/>
        </w:rPr>
        <w:t>1.1312</w:t>
      </w:r>
      <w:r w:rsidR="008832A9">
        <w:rPr>
          <w:szCs w:val="24"/>
        </w:rPr>
        <w:t>,</w:t>
      </w:r>
      <w:r w:rsidR="00D43991">
        <w:rPr>
          <w:szCs w:val="24"/>
        </w:rPr>
        <w:t xml:space="preserve"> </w:t>
      </w:r>
      <w:r w:rsidR="008832A9">
        <w:rPr>
          <w:szCs w:val="24"/>
        </w:rPr>
        <w:t>17.4, and 24.</w:t>
      </w:r>
      <w:r w:rsidR="00A2085B">
        <w:rPr>
          <w:szCs w:val="24"/>
        </w:rPr>
        <w:t>2</w:t>
      </w:r>
      <w:r w:rsidR="00407E48">
        <w:rPr>
          <w:szCs w:val="24"/>
        </w:rPr>
        <w:t xml:space="preserve"> </w:t>
      </w:r>
      <w:r w:rsidRPr="00814EBA">
        <w:rPr>
          <w:szCs w:val="24"/>
        </w:rPr>
        <w:t>of the Commission’s rules</w:t>
      </w:r>
      <w:r w:rsidR="00E34A69">
        <w:rPr>
          <w:rStyle w:val="FootnoteReference"/>
          <w:szCs w:val="24"/>
        </w:rPr>
        <w:footnoteReference w:id="4"/>
      </w:r>
      <w:r w:rsidRPr="00814EBA">
        <w:rPr>
          <w:szCs w:val="24"/>
        </w:rPr>
        <w:t xml:space="preserve"> </w:t>
      </w:r>
      <w:r w:rsidR="00811C03">
        <w:rPr>
          <w:szCs w:val="24"/>
        </w:rPr>
        <w:t xml:space="preserve">by </w:t>
      </w:r>
      <w:r w:rsidR="00A2085B">
        <w:rPr>
          <w:szCs w:val="24"/>
        </w:rPr>
        <w:t xml:space="preserve">(1) </w:t>
      </w:r>
      <w:r w:rsidR="00811C03">
        <w:rPr>
          <w:szCs w:val="24"/>
        </w:rPr>
        <w:t xml:space="preserve">constructing </w:t>
      </w:r>
      <w:r w:rsidR="00EF0E2D">
        <w:rPr>
          <w:szCs w:val="24"/>
        </w:rPr>
        <w:t xml:space="preserve">two towers for </w:t>
      </w:r>
      <w:r w:rsidR="00A2085B">
        <w:rPr>
          <w:szCs w:val="24"/>
        </w:rPr>
        <w:t>Personal Communications S</w:t>
      </w:r>
      <w:r w:rsidR="00E34A69">
        <w:rPr>
          <w:szCs w:val="24"/>
        </w:rPr>
        <w:t>ervice</w:t>
      </w:r>
      <w:r w:rsidR="00A2085B">
        <w:rPr>
          <w:szCs w:val="24"/>
        </w:rPr>
        <w:t xml:space="preserve"> (PCS)</w:t>
      </w:r>
      <w:r w:rsidR="00E34A69">
        <w:rPr>
          <w:szCs w:val="24"/>
        </w:rPr>
        <w:t xml:space="preserve"> </w:t>
      </w:r>
      <w:r w:rsidR="00EF0E2D">
        <w:rPr>
          <w:szCs w:val="24"/>
        </w:rPr>
        <w:t xml:space="preserve">operations, and then engaging in licensed PCS operations from them, </w:t>
      </w:r>
      <w:r w:rsidR="00811C03">
        <w:rPr>
          <w:szCs w:val="24"/>
        </w:rPr>
        <w:t xml:space="preserve">without </w:t>
      </w:r>
      <w:r w:rsidR="00EF0E2D">
        <w:rPr>
          <w:szCs w:val="24"/>
        </w:rPr>
        <w:t xml:space="preserve">first </w:t>
      </w:r>
      <w:r w:rsidR="00811C03">
        <w:rPr>
          <w:szCs w:val="24"/>
        </w:rPr>
        <w:t xml:space="preserve">filing </w:t>
      </w:r>
      <w:r w:rsidR="00EA71A6">
        <w:rPr>
          <w:szCs w:val="24"/>
        </w:rPr>
        <w:t>requisite e</w:t>
      </w:r>
      <w:r w:rsidR="00811C03">
        <w:rPr>
          <w:szCs w:val="24"/>
        </w:rPr>
        <w:t xml:space="preserve">nvironmental assessments </w:t>
      </w:r>
      <w:r w:rsidR="00EA71A6">
        <w:rPr>
          <w:szCs w:val="24"/>
        </w:rPr>
        <w:t xml:space="preserve">(EAs) </w:t>
      </w:r>
      <w:r w:rsidR="00811C03">
        <w:rPr>
          <w:szCs w:val="24"/>
        </w:rPr>
        <w:t xml:space="preserve">and </w:t>
      </w:r>
      <w:r w:rsidR="00A36045">
        <w:rPr>
          <w:szCs w:val="24"/>
        </w:rPr>
        <w:t>license applications</w:t>
      </w:r>
      <w:r w:rsidR="00DE4501">
        <w:rPr>
          <w:szCs w:val="24"/>
        </w:rPr>
        <w:t xml:space="preserve"> and </w:t>
      </w:r>
      <w:r w:rsidR="00EF0E2D">
        <w:rPr>
          <w:szCs w:val="24"/>
        </w:rPr>
        <w:t xml:space="preserve">awaiting </w:t>
      </w:r>
      <w:r w:rsidR="00A36045">
        <w:rPr>
          <w:szCs w:val="24"/>
        </w:rPr>
        <w:t>the</w:t>
      </w:r>
      <w:r w:rsidR="00E34A69">
        <w:rPr>
          <w:szCs w:val="24"/>
        </w:rPr>
        <w:t xml:space="preserve"> Commission’s</w:t>
      </w:r>
      <w:r w:rsidR="00811C03">
        <w:rPr>
          <w:szCs w:val="24"/>
        </w:rPr>
        <w:t xml:space="preserve"> </w:t>
      </w:r>
      <w:r w:rsidR="00A36045">
        <w:rPr>
          <w:szCs w:val="24"/>
        </w:rPr>
        <w:t>ruling on such submission</w:t>
      </w:r>
      <w:r w:rsidR="00B15001">
        <w:rPr>
          <w:szCs w:val="24"/>
        </w:rPr>
        <w:t>s</w:t>
      </w:r>
      <w:r w:rsidR="00E8162D">
        <w:rPr>
          <w:szCs w:val="24"/>
        </w:rPr>
        <w:t>; (2)</w:t>
      </w:r>
      <w:r w:rsidR="00CE17D2">
        <w:rPr>
          <w:szCs w:val="24"/>
        </w:rPr>
        <w:t xml:space="preserve"> </w:t>
      </w:r>
      <w:r w:rsidR="00B15001">
        <w:rPr>
          <w:szCs w:val="24"/>
        </w:rPr>
        <w:t xml:space="preserve">improperly certifying </w:t>
      </w:r>
      <w:r w:rsidR="00561EFD">
        <w:rPr>
          <w:szCs w:val="24"/>
        </w:rPr>
        <w:t>on its</w:t>
      </w:r>
      <w:r w:rsidR="00946E23">
        <w:rPr>
          <w:szCs w:val="24"/>
        </w:rPr>
        <w:t xml:space="preserve"> </w:t>
      </w:r>
      <w:r w:rsidR="00561EFD">
        <w:rPr>
          <w:szCs w:val="24"/>
        </w:rPr>
        <w:t>application</w:t>
      </w:r>
      <w:r w:rsidR="00E8162D">
        <w:rPr>
          <w:szCs w:val="24"/>
        </w:rPr>
        <w:t>s</w:t>
      </w:r>
      <w:r w:rsidR="00561EFD">
        <w:rPr>
          <w:szCs w:val="24"/>
        </w:rPr>
        <w:t xml:space="preserve"> for </w:t>
      </w:r>
      <w:r w:rsidR="00946E23">
        <w:rPr>
          <w:szCs w:val="24"/>
        </w:rPr>
        <w:t xml:space="preserve">registration </w:t>
      </w:r>
      <w:r w:rsidR="00B15001">
        <w:rPr>
          <w:szCs w:val="24"/>
        </w:rPr>
        <w:t xml:space="preserve">that </w:t>
      </w:r>
      <w:r w:rsidR="00D43991">
        <w:rPr>
          <w:szCs w:val="24"/>
        </w:rPr>
        <w:t>these</w:t>
      </w:r>
      <w:r w:rsidR="00B15001">
        <w:rPr>
          <w:szCs w:val="24"/>
        </w:rPr>
        <w:t xml:space="preserve"> facilit</w:t>
      </w:r>
      <w:r w:rsidR="00E8162D">
        <w:rPr>
          <w:szCs w:val="24"/>
        </w:rPr>
        <w:t>ies</w:t>
      </w:r>
      <w:r w:rsidR="00B15001">
        <w:rPr>
          <w:szCs w:val="24"/>
        </w:rPr>
        <w:t xml:space="preserve"> would have no significant </w:t>
      </w:r>
      <w:r w:rsidR="00B15001">
        <w:rPr>
          <w:szCs w:val="24"/>
        </w:rPr>
        <w:lastRenderedPageBreak/>
        <w:t xml:space="preserve">effect on the </w:t>
      </w:r>
      <w:r w:rsidR="005D489F">
        <w:rPr>
          <w:szCs w:val="24"/>
        </w:rPr>
        <w:t>environment</w:t>
      </w:r>
      <w:r w:rsidR="00E8162D">
        <w:rPr>
          <w:szCs w:val="24"/>
        </w:rPr>
        <w:t>,</w:t>
      </w:r>
      <w:r w:rsidR="005D489F">
        <w:rPr>
          <w:szCs w:val="24"/>
        </w:rPr>
        <w:t xml:space="preserve"> when one</w:t>
      </w:r>
      <w:r w:rsidR="00B15001">
        <w:rPr>
          <w:szCs w:val="24"/>
        </w:rPr>
        <w:t xml:space="preserve"> was to be sited in a wetland</w:t>
      </w:r>
      <w:r w:rsidR="005D489F">
        <w:rPr>
          <w:szCs w:val="24"/>
        </w:rPr>
        <w:t xml:space="preserve"> and one was to be sited in a floodplain</w:t>
      </w:r>
      <w:r w:rsidR="00E8162D">
        <w:rPr>
          <w:szCs w:val="24"/>
        </w:rPr>
        <w:t>;</w:t>
      </w:r>
      <w:r w:rsidR="005D489F">
        <w:rPr>
          <w:szCs w:val="24"/>
        </w:rPr>
        <w:t xml:space="preserve"> and</w:t>
      </w:r>
      <w:r w:rsidR="00E8162D">
        <w:rPr>
          <w:szCs w:val="24"/>
        </w:rPr>
        <w:t xml:space="preserve"> (3)</w:t>
      </w:r>
      <w:r w:rsidR="005D489F">
        <w:rPr>
          <w:szCs w:val="24"/>
        </w:rPr>
        <w:t xml:space="preserve"> failing to submit </w:t>
      </w:r>
      <w:r w:rsidR="00946E23">
        <w:rPr>
          <w:szCs w:val="24"/>
        </w:rPr>
        <w:t>EA</w:t>
      </w:r>
      <w:r w:rsidR="00E8162D">
        <w:rPr>
          <w:szCs w:val="24"/>
        </w:rPr>
        <w:t>s for the Commission to process</w:t>
      </w:r>
      <w:r w:rsidR="00946E23">
        <w:rPr>
          <w:szCs w:val="24"/>
        </w:rPr>
        <w:t xml:space="preserve"> before registering the tower</w:t>
      </w:r>
      <w:r w:rsidR="00E8162D">
        <w:rPr>
          <w:szCs w:val="24"/>
        </w:rPr>
        <w:t>s</w:t>
      </w:r>
      <w:r w:rsidR="00946E23">
        <w:rPr>
          <w:szCs w:val="24"/>
        </w:rPr>
        <w:t xml:space="preserve">. </w:t>
      </w:r>
      <w:r w:rsidR="0069270B">
        <w:rPr>
          <w:szCs w:val="24"/>
        </w:rPr>
        <w:t xml:space="preserve">By this letter, we </w:t>
      </w:r>
      <w:r w:rsidR="0063074E">
        <w:rPr>
          <w:szCs w:val="24"/>
        </w:rPr>
        <w:t xml:space="preserve">apprise </w:t>
      </w:r>
      <w:r w:rsidR="00F02363">
        <w:rPr>
          <w:szCs w:val="24"/>
        </w:rPr>
        <w:t>USCC</w:t>
      </w:r>
      <w:r w:rsidR="00AF598A">
        <w:rPr>
          <w:szCs w:val="24"/>
        </w:rPr>
        <w:t xml:space="preserve"> </w:t>
      </w:r>
      <w:r w:rsidR="0063074E">
        <w:rPr>
          <w:szCs w:val="24"/>
        </w:rPr>
        <w:t xml:space="preserve">of </w:t>
      </w:r>
      <w:r>
        <w:rPr>
          <w:szCs w:val="24"/>
        </w:rPr>
        <w:t>the implications of failing to comply with Commission regulations</w:t>
      </w:r>
      <w:r w:rsidR="0063074E">
        <w:rPr>
          <w:szCs w:val="24"/>
        </w:rPr>
        <w:t xml:space="preserve"> in the future</w:t>
      </w:r>
      <w:r>
        <w:rPr>
          <w:szCs w:val="24"/>
        </w:rPr>
        <w:t>.</w:t>
      </w:r>
    </w:p>
    <w:p w14:paraId="4F97364D" w14:textId="77777777" w:rsidR="008206A0" w:rsidRPr="00814EBA" w:rsidRDefault="008206A0" w:rsidP="008206A0">
      <w:pPr>
        <w:ind w:firstLine="720"/>
        <w:rPr>
          <w:szCs w:val="24"/>
        </w:rPr>
      </w:pPr>
    </w:p>
    <w:p w14:paraId="066E8F6A" w14:textId="126CC231" w:rsidR="00EF0E2D" w:rsidRPr="00EF0E2D" w:rsidRDefault="00EF0E2D" w:rsidP="00EF0E2D">
      <w:pPr>
        <w:rPr>
          <w:b/>
          <w:szCs w:val="24"/>
        </w:rPr>
      </w:pPr>
      <w:r>
        <w:rPr>
          <w:b/>
          <w:szCs w:val="24"/>
        </w:rPr>
        <w:t>Regulatory Requirements</w:t>
      </w:r>
    </w:p>
    <w:p w14:paraId="5A8098A4" w14:textId="77777777" w:rsidR="00EF0E2D" w:rsidRDefault="00EF0E2D" w:rsidP="00830E8D">
      <w:pPr>
        <w:ind w:firstLine="720"/>
        <w:rPr>
          <w:szCs w:val="24"/>
        </w:rPr>
      </w:pPr>
    </w:p>
    <w:p w14:paraId="36DEFAF5" w14:textId="5BAAD5E1" w:rsidR="00ED05C0" w:rsidRPr="00ED05C0" w:rsidRDefault="008206A0" w:rsidP="003464E1">
      <w:pPr>
        <w:ind w:firstLine="720"/>
        <w:rPr>
          <w:sz w:val="22"/>
        </w:rPr>
      </w:pPr>
      <w:r w:rsidRPr="00814EBA">
        <w:rPr>
          <w:szCs w:val="24"/>
        </w:rPr>
        <w:t>Under the Commission’s rules,</w:t>
      </w:r>
      <w:r w:rsidR="009260C9">
        <w:rPr>
          <w:szCs w:val="24"/>
        </w:rPr>
        <w:t xml:space="preserve"> </w:t>
      </w:r>
      <w:r w:rsidR="00B8535D">
        <w:rPr>
          <w:szCs w:val="24"/>
        </w:rPr>
        <w:t xml:space="preserve">an applicant must consider, prior to initiating construction or deployment, whether the facility it proposes to build or use </w:t>
      </w:r>
      <w:r w:rsidR="003D1CFD">
        <w:rPr>
          <w:szCs w:val="24"/>
        </w:rPr>
        <w:t xml:space="preserve">may have a significant effect on the environment. </w:t>
      </w:r>
      <w:r w:rsidR="00B8535D">
        <w:rPr>
          <w:szCs w:val="24"/>
        </w:rPr>
        <w:t xml:space="preserve"> </w:t>
      </w:r>
      <w:r w:rsidR="009260C9">
        <w:rPr>
          <w:szCs w:val="24"/>
        </w:rPr>
        <w:t xml:space="preserve">If </w:t>
      </w:r>
      <w:r w:rsidR="00B8535D">
        <w:rPr>
          <w:szCs w:val="24"/>
        </w:rPr>
        <w:t>so</w:t>
      </w:r>
      <w:r w:rsidRPr="00814EBA">
        <w:rPr>
          <w:szCs w:val="24"/>
        </w:rPr>
        <w:t>, the applicant must prepare an EA in accordance with the Commission’s rules.</w:t>
      </w:r>
      <w:r w:rsidRPr="00814EBA">
        <w:rPr>
          <w:rStyle w:val="FootnoteReference"/>
          <w:szCs w:val="24"/>
        </w:rPr>
        <w:footnoteReference w:id="5"/>
      </w:r>
      <w:r w:rsidR="00A36045">
        <w:rPr>
          <w:szCs w:val="24"/>
        </w:rPr>
        <w:t xml:space="preserve">  </w:t>
      </w:r>
      <w:r w:rsidR="00265B45">
        <w:rPr>
          <w:szCs w:val="24"/>
        </w:rPr>
        <w:t>Specifically</w:t>
      </w:r>
      <w:r w:rsidR="00A36045">
        <w:rPr>
          <w:szCs w:val="24"/>
        </w:rPr>
        <w:t>, an applicant must prepare an EA if the proposed facility meets any of several criteria specified in the Commission’s rules</w:t>
      </w:r>
      <w:r w:rsidR="0098670B">
        <w:rPr>
          <w:szCs w:val="24"/>
        </w:rPr>
        <w:t xml:space="preserve"> – </w:t>
      </w:r>
      <w:r w:rsidR="00A00CC3">
        <w:rPr>
          <w:szCs w:val="24"/>
        </w:rPr>
        <w:t xml:space="preserve">including construction in a floodplain or </w:t>
      </w:r>
      <w:r w:rsidR="00ED05C0">
        <w:rPr>
          <w:szCs w:val="24"/>
        </w:rPr>
        <w:t>wetland</w:t>
      </w:r>
      <w:r w:rsidR="00A36045">
        <w:rPr>
          <w:rStyle w:val="FootnoteReference"/>
          <w:szCs w:val="24"/>
        </w:rPr>
        <w:footnoteReference w:id="6"/>
      </w:r>
      <w:r w:rsidR="0098670B">
        <w:rPr>
          <w:szCs w:val="24"/>
        </w:rPr>
        <w:t xml:space="preserve"> – </w:t>
      </w:r>
      <w:r w:rsidR="00830E8D">
        <w:rPr>
          <w:szCs w:val="24"/>
        </w:rPr>
        <w:t>and it may not begin construction until the Commission’s environmental processing is completed.</w:t>
      </w:r>
      <w:r w:rsidR="00830E8D">
        <w:rPr>
          <w:rStyle w:val="FootnoteReference"/>
          <w:szCs w:val="24"/>
        </w:rPr>
        <w:footnoteReference w:id="7"/>
      </w:r>
      <w:r w:rsidRPr="00814EBA">
        <w:rPr>
          <w:szCs w:val="24"/>
        </w:rPr>
        <w:t xml:space="preserve">  </w:t>
      </w:r>
      <w:r w:rsidR="00C064A8">
        <w:rPr>
          <w:szCs w:val="24"/>
        </w:rPr>
        <w:t xml:space="preserve">Furthermore, if a facility that may have a significant environmental impact is </w:t>
      </w:r>
      <w:r w:rsidR="00830E8D">
        <w:rPr>
          <w:szCs w:val="24"/>
        </w:rPr>
        <w:t>to be constructed</w:t>
      </w:r>
      <w:r w:rsidR="00C064A8">
        <w:rPr>
          <w:szCs w:val="24"/>
        </w:rPr>
        <w:t xml:space="preserve"> to provide service pursuant to a license in the wireless radio services, its construction is considered a major modification of the </w:t>
      </w:r>
      <w:r w:rsidR="00C064A8" w:rsidRPr="00ED05C0">
        <w:rPr>
          <w:szCs w:val="24"/>
        </w:rPr>
        <w:t>license, which must be approved by the Commission prior to construction and operation.</w:t>
      </w:r>
      <w:r w:rsidR="00C064A8" w:rsidRPr="00ED05C0">
        <w:rPr>
          <w:rStyle w:val="FootnoteReference"/>
          <w:szCs w:val="24"/>
        </w:rPr>
        <w:footnoteReference w:id="8"/>
      </w:r>
      <w:r w:rsidR="00C064A8" w:rsidRPr="00ED05C0">
        <w:rPr>
          <w:szCs w:val="24"/>
        </w:rPr>
        <w:t xml:space="preserve">  </w:t>
      </w:r>
      <w:r w:rsidR="00ED05C0" w:rsidRPr="00ED05C0">
        <w:t>The Commission’s ASR rules also place a separate obligation to submit an EA with an ASR application if an EA is required under the Commission’s environmental rules.</w:t>
      </w:r>
      <w:r w:rsidR="00ED05C0" w:rsidRPr="00ED05C0">
        <w:rPr>
          <w:rStyle w:val="FootnoteReference"/>
        </w:rPr>
        <w:footnoteReference w:id="9"/>
      </w:r>
    </w:p>
    <w:p w14:paraId="69379264" w14:textId="1328BA62" w:rsidR="00ED05C0" w:rsidRPr="003464E1" w:rsidRDefault="00ED05C0" w:rsidP="008206A0">
      <w:pPr>
        <w:rPr>
          <w:szCs w:val="24"/>
        </w:rPr>
      </w:pPr>
      <w:r w:rsidRPr="00ED05C0" w:rsidDel="00265B45">
        <w:rPr>
          <w:szCs w:val="24"/>
        </w:rPr>
        <w:t xml:space="preserve"> </w:t>
      </w:r>
    </w:p>
    <w:p w14:paraId="486E6B11" w14:textId="77777777" w:rsidR="003464E1" w:rsidRDefault="00ED05C0" w:rsidP="00ED05C0">
      <w:pPr>
        <w:rPr>
          <w:szCs w:val="24"/>
        </w:rPr>
      </w:pPr>
      <w:r>
        <w:rPr>
          <w:b/>
          <w:szCs w:val="24"/>
        </w:rPr>
        <w:t>USCC’s Conduct</w:t>
      </w:r>
      <w:r w:rsidR="003464E1" w:rsidRPr="003464E1">
        <w:rPr>
          <w:szCs w:val="24"/>
        </w:rPr>
        <w:t xml:space="preserve"> </w:t>
      </w:r>
    </w:p>
    <w:p w14:paraId="6EDF9A20" w14:textId="77777777" w:rsidR="003464E1" w:rsidRDefault="003464E1" w:rsidP="00ED05C0">
      <w:pPr>
        <w:rPr>
          <w:szCs w:val="24"/>
        </w:rPr>
      </w:pPr>
    </w:p>
    <w:p w14:paraId="098CC4D3" w14:textId="27DCD8D7" w:rsidR="003464E1" w:rsidRDefault="003464E1" w:rsidP="00125FFE">
      <w:pPr>
        <w:ind w:firstLine="720"/>
        <w:rPr>
          <w:szCs w:val="24"/>
        </w:rPr>
      </w:pPr>
      <w:r>
        <w:rPr>
          <w:szCs w:val="24"/>
        </w:rPr>
        <w:t xml:space="preserve">USCC </w:t>
      </w:r>
      <w:r w:rsidRPr="00814EBA">
        <w:rPr>
          <w:szCs w:val="24"/>
        </w:rPr>
        <w:t>has failed to comply with the Commission’s environmental</w:t>
      </w:r>
      <w:r w:rsidR="00125FFE">
        <w:rPr>
          <w:szCs w:val="24"/>
        </w:rPr>
        <w:t>, licensing, and</w:t>
      </w:r>
    </w:p>
    <w:p w14:paraId="0570C83D" w14:textId="7C399E8A" w:rsidR="00EF0E2D" w:rsidRPr="00ED05C0" w:rsidRDefault="00125FFE" w:rsidP="003464E1">
      <w:pPr>
        <w:rPr>
          <w:b/>
          <w:szCs w:val="24"/>
        </w:rPr>
      </w:pPr>
      <w:r>
        <w:rPr>
          <w:szCs w:val="24"/>
        </w:rPr>
        <w:lastRenderedPageBreak/>
        <w:t xml:space="preserve">ASR </w:t>
      </w:r>
      <w:r w:rsidR="003464E1" w:rsidRPr="00814EBA">
        <w:rPr>
          <w:szCs w:val="24"/>
        </w:rPr>
        <w:t>regulations.</w:t>
      </w:r>
      <w:r w:rsidR="003464E1" w:rsidRPr="00814EBA">
        <w:rPr>
          <w:rStyle w:val="FootnoteReference"/>
          <w:szCs w:val="24"/>
        </w:rPr>
        <w:footnoteReference w:id="10"/>
      </w:r>
      <w:r w:rsidR="003464E1" w:rsidRPr="00814EBA">
        <w:rPr>
          <w:szCs w:val="24"/>
        </w:rPr>
        <w:t xml:space="preserve">  Specifically,</w:t>
      </w:r>
      <w:r w:rsidR="003464E1">
        <w:rPr>
          <w:szCs w:val="24"/>
        </w:rPr>
        <w:t xml:space="preserve"> by its own admission,</w:t>
      </w:r>
      <w:r w:rsidR="003464E1" w:rsidRPr="00814EBA">
        <w:rPr>
          <w:szCs w:val="24"/>
        </w:rPr>
        <w:t xml:space="preserve"> </w:t>
      </w:r>
      <w:r w:rsidR="003464E1">
        <w:rPr>
          <w:szCs w:val="24"/>
        </w:rPr>
        <w:t>USCC constructed towers in Harvey,</w:t>
      </w:r>
      <w:r w:rsidR="0098670B">
        <w:rPr>
          <w:szCs w:val="24"/>
        </w:rPr>
        <w:t xml:space="preserve"> </w:t>
      </w:r>
      <w:r w:rsidR="00E570EF">
        <w:rPr>
          <w:szCs w:val="24"/>
        </w:rPr>
        <w:t>Illinois,</w:t>
      </w:r>
      <w:r w:rsidR="00264C7A">
        <w:rPr>
          <w:szCs w:val="24"/>
        </w:rPr>
        <w:t xml:space="preserve"> and New Buff</w:t>
      </w:r>
      <w:r w:rsidR="00B25FF9">
        <w:rPr>
          <w:szCs w:val="24"/>
        </w:rPr>
        <w:t xml:space="preserve">alo, </w:t>
      </w:r>
      <w:r w:rsidR="00E570EF">
        <w:rPr>
          <w:szCs w:val="24"/>
        </w:rPr>
        <w:t>Michigan,</w:t>
      </w:r>
      <w:r w:rsidR="00B25FF9">
        <w:rPr>
          <w:szCs w:val="24"/>
        </w:rPr>
        <w:t xml:space="preserve"> </w:t>
      </w:r>
      <w:r w:rsidR="00EF0E2D">
        <w:rPr>
          <w:szCs w:val="24"/>
        </w:rPr>
        <w:t xml:space="preserve">in </w:t>
      </w:r>
      <w:r w:rsidR="00E570EF">
        <w:rPr>
          <w:szCs w:val="24"/>
        </w:rPr>
        <w:t>2007 and 20</w:t>
      </w:r>
      <w:r w:rsidR="005D489F">
        <w:rPr>
          <w:szCs w:val="24"/>
        </w:rPr>
        <w:t>08</w:t>
      </w:r>
      <w:r w:rsidR="003D1CFD">
        <w:rPr>
          <w:szCs w:val="24"/>
        </w:rPr>
        <w:t xml:space="preserve"> </w:t>
      </w:r>
      <w:r w:rsidR="00B25FF9">
        <w:rPr>
          <w:szCs w:val="24"/>
        </w:rPr>
        <w:t xml:space="preserve">without filing </w:t>
      </w:r>
      <w:r w:rsidR="00E570EF">
        <w:rPr>
          <w:szCs w:val="24"/>
        </w:rPr>
        <w:t>EAs for Commission processing, even though</w:t>
      </w:r>
      <w:r w:rsidR="00B25FF9">
        <w:rPr>
          <w:szCs w:val="24"/>
        </w:rPr>
        <w:t xml:space="preserve"> both towers </w:t>
      </w:r>
      <w:r w:rsidR="006663F1">
        <w:rPr>
          <w:szCs w:val="24"/>
        </w:rPr>
        <w:t xml:space="preserve">had </w:t>
      </w:r>
      <w:r w:rsidR="00E570EF">
        <w:rPr>
          <w:szCs w:val="24"/>
        </w:rPr>
        <w:t>potentially</w:t>
      </w:r>
      <w:r w:rsidR="006663F1">
        <w:rPr>
          <w:szCs w:val="24"/>
        </w:rPr>
        <w:t xml:space="preserve"> significant effect</w:t>
      </w:r>
      <w:r w:rsidR="00E570EF">
        <w:rPr>
          <w:szCs w:val="24"/>
        </w:rPr>
        <w:t>s</w:t>
      </w:r>
      <w:r w:rsidR="006663F1">
        <w:rPr>
          <w:szCs w:val="24"/>
        </w:rPr>
        <w:t xml:space="preserve"> on the environment</w:t>
      </w:r>
      <w:r w:rsidR="008206A0">
        <w:rPr>
          <w:szCs w:val="24"/>
        </w:rPr>
        <w:t>.</w:t>
      </w:r>
      <w:r w:rsidR="00F242C0">
        <w:rPr>
          <w:szCs w:val="24"/>
        </w:rPr>
        <w:t xml:space="preserve"> </w:t>
      </w:r>
      <w:r w:rsidR="00B92369">
        <w:rPr>
          <w:szCs w:val="24"/>
        </w:rPr>
        <w:t xml:space="preserve"> EA</w:t>
      </w:r>
      <w:r w:rsidR="00B25FF9">
        <w:rPr>
          <w:szCs w:val="24"/>
        </w:rPr>
        <w:t xml:space="preserve">s </w:t>
      </w:r>
      <w:r w:rsidR="00E570EF">
        <w:rPr>
          <w:szCs w:val="24"/>
        </w:rPr>
        <w:t>were required because</w:t>
      </w:r>
      <w:r w:rsidR="00B25FF9">
        <w:rPr>
          <w:szCs w:val="24"/>
        </w:rPr>
        <w:t xml:space="preserve"> the tower in Harvey, I</w:t>
      </w:r>
      <w:r w:rsidR="00E570EF">
        <w:rPr>
          <w:szCs w:val="24"/>
        </w:rPr>
        <w:t>llinois,</w:t>
      </w:r>
      <w:r w:rsidR="00B4275C">
        <w:rPr>
          <w:rStyle w:val="FootnoteReference"/>
          <w:szCs w:val="24"/>
        </w:rPr>
        <w:footnoteReference w:id="11"/>
      </w:r>
      <w:r w:rsidR="00B25FF9">
        <w:rPr>
          <w:szCs w:val="24"/>
        </w:rPr>
        <w:t xml:space="preserve"> was</w:t>
      </w:r>
      <w:r w:rsidR="00E570EF">
        <w:rPr>
          <w:szCs w:val="24"/>
        </w:rPr>
        <w:t xml:space="preserve"> to be located</w:t>
      </w:r>
      <w:r w:rsidR="00B25FF9">
        <w:rPr>
          <w:szCs w:val="24"/>
        </w:rPr>
        <w:t xml:space="preserve"> in a floodplain and the tower in New Buffalo</w:t>
      </w:r>
      <w:r w:rsidR="00E570EF">
        <w:rPr>
          <w:szCs w:val="24"/>
        </w:rPr>
        <w:t>, Michigan</w:t>
      </w:r>
      <w:r w:rsidR="00CE17D2">
        <w:rPr>
          <w:szCs w:val="24"/>
        </w:rPr>
        <w:t>,</w:t>
      </w:r>
      <w:r w:rsidR="00B4275C">
        <w:rPr>
          <w:rStyle w:val="FootnoteReference"/>
          <w:szCs w:val="24"/>
        </w:rPr>
        <w:footnoteReference w:id="12"/>
      </w:r>
      <w:r w:rsidR="00EF4322">
        <w:rPr>
          <w:szCs w:val="24"/>
        </w:rPr>
        <w:t xml:space="preserve"> was</w:t>
      </w:r>
      <w:r w:rsidR="00E570EF">
        <w:rPr>
          <w:szCs w:val="24"/>
        </w:rPr>
        <w:t xml:space="preserve"> to be located</w:t>
      </w:r>
      <w:r w:rsidR="00EF4322">
        <w:rPr>
          <w:szCs w:val="24"/>
        </w:rPr>
        <w:t xml:space="preserve"> in a wetland</w:t>
      </w:r>
      <w:r w:rsidR="00B25FF9">
        <w:rPr>
          <w:szCs w:val="24"/>
        </w:rPr>
        <w:t>.</w:t>
      </w:r>
      <w:r w:rsidR="00F242C0">
        <w:rPr>
          <w:rStyle w:val="FootnoteReference"/>
          <w:szCs w:val="24"/>
        </w:rPr>
        <w:footnoteReference w:id="13"/>
      </w:r>
      <w:r w:rsidR="00B25FF9">
        <w:rPr>
          <w:szCs w:val="24"/>
        </w:rPr>
        <w:t xml:space="preserve">  </w:t>
      </w:r>
      <w:r w:rsidR="00E570EF">
        <w:rPr>
          <w:szCs w:val="24"/>
        </w:rPr>
        <w:t xml:space="preserve">In addition, because USCC </w:t>
      </w:r>
      <w:r w:rsidR="00F242C0">
        <w:rPr>
          <w:szCs w:val="24"/>
        </w:rPr>
        <w:t>held</w:t>
      </w:r>
      <w:r w:rsidR="00E570EF">
        <w:rPr>
          <w:szCs w:val="24"/>
        </w:rPr>
        <w:t xml:space="preserve"> a license for </w:t>
      </w:r>
      <w:r w:rsidR="00A00CC3">
        <w:rPr>
          <w:szCs w:val="24"/>
        </w:rPr>
        <w:t xml:space="preserve">PCS </w:t>
      </w:r>
      <w:r w:rsidR="00E570EF">
        <w:rPr>
          <w:szCs w:val="24"/>
        </w:rPr>
        <w:t>transmissions from these towers,</w:t>
      </w:r>
      <w:r w:rsidR="00F242C0">
        <w:rPr>
          <w:rStyle w:val="FootnoteReference"/>
          <w:szCs w:val="24"/>
        </w:rPr>
        <w:footnoteReference w:id="14"/>
      </w:r>
      <w:r w:rsidR="00E570EF">
        <w:rPr>
          <w:szCs w:val="24"/>
        </w:rPr>
        <w:t xml:space="preserve"> their construction and operation constituted a major m</w:t>
      </w:r>
      <w:r w:rsidR="00F242C0">
        <w:rPr>
          <w:szCs w:val="24"/>
        </w:rPr>
        <w:t>o</w:t>
      </w:r>
      <w:r w:rsidR="00E570EF">
        <w:rPr>
          <w:szCs w:val="24"/>
        </w:rPr>
        <w:t>di</w:t>
      </w:r>
      <w:r w:rsidR="00F242C0">
        <w:rPr>
          <w:szCs w:val="24"/>
        </w:rPr>
        <w:t>fi</w:t>
      </w:r>
      <w:r w:rsidR="00E570EF">
        <w:rPr>
          <w:szCs w:val="24"/>
        </w:rPr>
        <w:t>cation of its license.</w:t>
      </w:r>
      <w:r w:rsidR="00F242C0">
        <w:rPr>
          <w:rStyle w:val="FootnoteReference"/>
          <w:szCs w:val="24"/>
        </w:rPr>
        <w:footnoteReference w:id="15"/>
      </w:r>
      <w:r w:rsidR="00E570EF">
        <w:rPr>
          <w:szCs w:val="24"/>
        </w:rPr>
        <w:t xml:space="preserve">  Therefore, USCC’s construction of and operation from these facilities without Commission approval constituted a violation of the licensing rules.</w:t>
      </w:r>
      <w:r w:rsidR="00F242C0">
        <w:rPr>
          <w:rStyle w:val="FootnoteReference"/>
          <w:szCs w:val="24"/>
        </w:rPr>
        <w:footnoteReference w:id="16"/>
      </w:r>
      <w:r w:rsidR="0080664C">
        <w:rPr>
          <w:szCs w:val="24"/>
        </w:rPr>
        <w:t xml:space="preserve">  </w:t>
      </w:r>
    </w:p>
    <w:p w14:paraId="6EB25EB9" w14:textId="77777777" w:rsidR="00EF0E2D" w:rsidRDefault="00EF0E2D" w:rsidP="008206A0">
      <w:pPr>
        <w:ind w:firstLine="720"/>
        <w:rPr>
          <w:szCs w:val="24"/>
        </w:rPr>
      </w:pPr>
    </w:p>
    <w:p w14:paraId="202BC0B8" w14:textId="30D9B37B" w:rsidR="008206A0" w:rsidRDefault="0080664C" w:rsidP="008206A0">
      <w:pPr>
        <w:ind w:firstLine="720"/>
        <w:rPr>
          <w:szCs w:val="24"/>
        </w:rPr>
      </w:pPr>
      <w:r>
        <w:rPr>
          <w:szCs w:val="24"/>
        </w:rPr>
        <w:t>Furthermore, USCC</w:t>
      </w:r>
      <w:r w:rsidR="00195040">
        <w:rPr>
          <w:szCs w:val="24"/>
        </w:rPr>
        <w:t xml:space="preserve"> violated the ASR rules when the company registered</w:t>
      </w:r>
      <w:r>
        <w:rPr>
          <w:szCs w:val="24"/>
        </w:rPr>
        <w:t xml:space="preserve"> these towers without filing EAs</w:t>
      </w:r>
      <w:r w:rsidR="00195040">
        <w:rPr>
          <w:szCs w:val="24"/>
        </w:rPr>
        <w:t>.</w:t>
      </w:r>
      <w:r>
        <w:rPr>
          <w:rStyle w:val="FootnoteReference"/>
          <w:szCs w:val="24"/>
        </w:rPr>
        <w:footnoteReference w:id="17"/>
      </w:r>
      <w:r>
        <w:rPr>
          <w:szCs w:val="24"/>
        </w:rPr>
        <w:t xml:space="preserve">  </w:t>
      </w:r>
      <w:r w:rsidR="004349EC">
        <w:rPr>
          <w:szCs w:val="24"/>
        </w:rPr>
        <w:t>In addition, t</w:t>
      </w:r>
      <w:r w:rsidR="00195040">
        <w:rPr>
          <w:szCs w:val="24"/>
        </w:rPr>
        <w:t xml:space="preserve">he company’s </w:t>
      </w:r>
      <w:r>
        <w:rPr>
          <w:szCs w:val="24"/>
        </w:rPr>
        <w:t>certification on the ASR applications that the towers would have no significant environmental impacts</w:t>
      </w:r>
      <w:r w:rsidR="00BE2291">
        <w:rPr>
          <w:szCs w:val="24"/>
        </w:rPr>
        <w:t>, notwithstanding its knowledge that one tower was to be located in a floodplain and the other in a wetland,</w:t>
      </w:r>
      <w:r>
        <w:rPr>
          <w:szCs w:val="24"/>
        </w:rPr>
        <w:t xml:space="preserve"> constituted </w:t>
      </w:r>
      <w:r w:rsidR="00BE2291">
        <w:rPr>
          <w:szCs w:val="24"/>
        </w:rPr>
        <w:t>a material misstatement of fact without a reasonable basis for believing that the statement was correct and not misleading.</w:t>
      </w:r>
      <w:r w:rsidR="00BE2291">
        <w:rPr>
          <w:rStyle w:val="FootnoteReference"/>
          <w:szCs w:val="24"/>
        </w:rPr>
        <w:footnoteReference w:id="18"/>
      </w:r>
      <w:r w:rsidR="00E570EF">
        <w:rPr>
          <w:szCs w:val="24"/>
        </w:rPr>
        <w:t xml:space="preserve">  </w:t>
      </w:r>
      <w:r w:rsidR="00B25FF9">
        <w:rPr>
          <w:szCs w:val="24"/>
        </w:rPr>
        <w:t>Although USCC</w:t>
      </w:r>
      <w:r w:rsidR="00E570EF">
        <w:rPr>
          <w:szCs w:val="24"/>
        </w:rPr>
        <w:t xml:space="preserve"> states that it</w:t>
      </w:r>
      <w:r w:rsidR="00B25FF9">
        <w:rPr>
          <w:szCs w:val="24"/>
        </w:rPr>
        <w:t xml:space="preserve"> </w:t>
      </w:r>
      <w:r w:rsidR="00E570EF">
        <w:rPr>
          <w:szCs w:val="24"/>
        </w:rPr>
        <w:t>prepared</w:t>
      </w:r>
      <w:r w:rsidR="009260C9">
        <w:rPr>
          <w:szCs w:val="24"/>
        </w:rPr>
        <w:t xml:space="preserve"> EAs </w:t>
      </w:r>
      <w:r w:rsidR="00E570EF">
        <w:rPr>
          <w:szCs w:val="24"/>
        </w:rPr>
        <w:t>for both</w:t>
      </w:r>
      <w:r w:rsidR="00B25FF9">
        <w:rPr>
          <w:szCs w:val="24"/>
        </w:rPr>
        <w:t xml:space="preserve"> towers </w:t>
      </w:r>
      <w:r w:rsidR="00E570EF">
        <w:rPr>
          <w:szCs w:val="24"/>
        </w:rPr>
        <w:t>prior to construction and has provided documentation to that effect,</w:t>
      </w:r>
      <w:r w:rsidR="00F242C0">
        <w:rPr>
          <w:rStyle w:val="FootnoteReference"/>
          <w:szCs w:val="24"/>
        </w:rPr>
        <w:footnoteReference w:id="19"/>
      </w:r>
      <w:r w:rsidR="00E570EF">
        <w:rPr>
          <w:szCs w:val="24"/>
        </w:rPr>
        <w:t xml:space="preserve"> it did not file any EAs or license applications at that time, </w:t>
      </w:r>
      <w:r w:rsidR="00F242C0">
        <w:rPr>
          <w:szCs w:val="24"/>
        </w:rPr>
        <w:t xml:space="preserve">and it did not inform the Commission staff of the premature construction </w:t>
      </w:r>
      <w:r w:rsidR="00B25FF9">
        <w:rPr>
          <w:szCs w:val="24"/>
        </w:rPr>
        <w:t xml:space="preserve">until </w:t>
      </w:r>
      <w:r w:rsidR="00197F74">
        <w:rPr>
          <w:szCs w:val="24"/>
        </w:rPr>
        <w:t xml:space="preserve">December </w:t>
      </w:r>
      <w:r w:rsidR="00B25FF9">
        <w:rPr>
          <w:szCs w:val="24"/>
        </w:rPr>
        <w:t>2012</w:t>
      </w:r>
      <w:r w:rsidR="006663F1">
        <w:rPr>
          <w:szCs w:val="24"/>
        </w:rPr>
        <w:t>.</w:t>
      </w:r>
      <w:r w:rsidR="00F242C0">
        <w:rPr>
          <w:szCs w:val="24"/>
        </w:rPr>
        <w:t xml:space="preserve">  </w:t>
      </w:r>
    </w:p>
    <w:p w14:paraId="498D1A8D" w14:textId="77777777" w:rsidR="008206A0" w:rsidRPr="00814EBA" w:rsidRDefault="008206A0" w:rsidP="008206A0">
      <w:pPr>
        <w:ind w:firstLine="720"/>
        <w:rPr>
          <w:szCs w:val="24"/>
        </w:rPr>
      </w:pPr>
    </w:p>
    <w:p w14:paraId="52AABBBC" w14:textId="4D43ABD4" w:rsidR="0098670B" w:rsidRDefault="008206A0" w:rsidP="001D67BC">
      <w:pPr>
        <w:ind w:firstLine="720"/>
        <w:rPr>
          <w:szCs w:val="24"/>
        </w:rPr>
      </w:pPr>
      <w:r w:rsidRPr="00814EBA">
        <w:rPr>
          <w:szCs w:val="24"/>
        </w:rPr>
        <w:t xml:space="preserve">Based </w:t>
      </w:r>
      <w:r w:rsidR="006663F1">
        <w:rPr>
          <w:szCs w:val="24"/>
        </w:rPr>
        <w:t xml:space="preserve">on the information </w:t>
      </w:r>
      <w:r w:rsidR="00F242C0">
        <w:rPr>
          <w:szCs w:val="24"/>
        </w:rPr>
        <w:t>USCC</w:t>
      </w:r>
      <w:r w:rsidR="006663F1">
        <w:rPr>
          <w:szCs w:val="24"/>
        </w:rPr>
        <w:t xml:space="preserve"> provided</w:t>
      </w:r>
      <w:r w:rsidRPr="00814EBA">
        <w:rPr>
          <w:szCs w:val="24"/>
        </w:rPr>
        <w:t xml:space="preserve">, </w:t>
      </w:r>
      <w:r w:rsidR="006663F1">
        <w:rPr>
          <w:szCs w:val="24"/>
        </w:rPr>
        <w:t xml:space="preserve">we find that USCC </w:t>
      </w:r>
      <w:r w:rsidRPr="00814EBA">
        <w:rPr>
          <w:szCs w:val="24"/>
        </w:rPr>
        <w:t>violat</w:t>
      </w:r>
      <w:r>
        <w:rPr>
          <w:szCs w:val="24"/>
        </w:rPr>
        <w:t xml:space="preserve">ed </w:t>
      </w:r>
      <w:r w:rsidRPr="00814EBA">
        <w:rPr>
          <w:szCs w:val="24"/>
        </w:rPr>
        <w:t>the Commission’s environmental</w:t>
      </w:r>
      <w:r w:rsidR="00BE2291">
        <w:rPr>
          <w:szCs w:val="24"/>
        </w:rPr>
        <w:t>,</w:t>
      </w:r>
      <w:r w:rsidR="006663F1">
        <w:rPr>
          <w:szCs w:val="24"/>
        </w:rPr>
        <w:t xml:space="preserve"> licensing</w:t>
      </w:r>
      <w:r w:rsidR="00BE2291">
        <w:rPr>
          <w:szCs w:val="24"/>
        </w:rPr>
        <w:t>, and ASR</w:t>
      </w:r>
      <w:r w:rsidR="006663F1">
        <w:rPr>
          <w:szCs w:val="24"/>
        </w:rPr>
        <w:t xml:space="preserve"> </w:t>
      </w:r>
      <w:r w:rsidRPr="00814EBA">
        <w:rPr>
          <w:szCs w:val="24"/>
        </w:rPr>
        <w:t>regulations</w:t>
      </w:r>
      <w:r w:rsidR="00BE2291">
        <w:rPr>
          <w:szCs w:val="24"/>
        </w:rPr>
        <w:t>, as well as the regulation requiring truthful and accurate statements</w:t>
      </w:r>
      <w:r w:rsidRPr="00814EBA">
        <w:rPr>
          <w:szCs w:val="24"/>
        </w:rPr>
        <w:t xml:space="preserve">.  </w:t>
      </w:r>
      <w:r w:rsidR="00E30147">
        <w:rPr>
          <w:szCs w:val="24"/>
        </w:rPr>
        <w:t>F</w:t>
      </w:r>
      <w:r w:rsidR="00E30147">
        <w:t xml:space="preserve">uture violations may result in additional action, including the imposition of monetary penalties, pursuant to the Wireless </w:t>
      </w:r>
      <w:r w:rsidR="0069270B">
        <w:t xml:space="preserve">Telecommunications </w:t>
      </w:r>
      <w:r w:rsidR="00E30147">
        <w:t xml:space="preserve">Bureau’s authority under 47 C.F.R. § 0.111(a)(11) or via referral to the Commission’s Enforcement Bureau.  Furthermore, USCC’s conduct at issue in this letter may provide grounds for an upward adjustment in the amount of a penalty.  </w:t>
      </w:r>
      <w:r w:rsidR="0098670B">
        <w:rPr>
          <w:szCs w:val="24"/>
        </w:rPr>
        <w:br w:type="page"/>
      </w:r>
    </w:p>
    <w:p w14:paraId="6CED0377" w14:textId="77777777" w:rsidR="008206A0" w:rsidRPr="00814EBA" w:rsidRDefault="008206A0" w:rsidP="008206A0">
      <w:pPr>
        <w:ind w:firstLine="720"/>
        <w:rPr>
          <w:szCs w:val="24"/>
        </w:rPr>
      </w:pPr>
    </w:p>
    <w:p w14:paraId="7AF101F2" w14:textId="663B9265" w:rsidR="008206A0" w:rsidRPr="00814EBA" w:rsidRDefault="008206A0" w:rsidP="008206A0">
      <w:pPr>
        <w:ind w:firstLine="720"/>
        <w:rPr>
          <w:szCs w:val="24"/>
        </w:rPr>
      </w:pPr>
      <w:r w:rsidRPr="00814EBA">
        <w:rPr>
          <w:szCs w:val="24"/>
        </w:rPr>
        <w:t xml:space="preserve">Please direct any questions regarding this letter to </w:t>
      </w:r>
      <w:r>
        <w:rPr>
          <w:szCs w:val="24"/>
        </w:rPr>
        <w:t>Erica Rosenberg (</w:t>
      </w:r>
      <w:hyperlink r:id="rId9" w:history="1">
        <w:r w:rsidR="00592DB4" w:rsidRPr="00592DB4">
          <w:rPr>
            <w:rStyle w:val="Hyperlink"/>
            <w:szCs w:val="24"/>
          </w:rPr>
          <w:t>erica.rosenberg@fcc.gov</w:t>
        </w:r>
      </w:hyperlink>
      <w:r>
        <w:rPr>
          <w:szCs w:val="24"/>
        </w:rPr>
        <w:t>, (202) 418-1343</w:t>
      </w:r>
      <w:r w:rsidR="00800432">
        <w:rPr>
          <w:szCs w:val="24"/>
        </w:rPr>
        <w:t>).</w:t>
      </w:r>
    </w:p>
    <w:p w14:paraId="0AE49B47" w14:textId="77777777" w:rsidR="008206A0" w:rsidRPr="00814EBA" w:rsidRDefault="008206A0" w:rsidP="008206A0">
      <w:pPr>
        <w:rPr>
          <w:szCs w:val="24"/>
        </w:rPr>
      </w:pPr>
    </w:p>
    <w:p w14:paraId="7F2597BB" w14:textId="77777777" w:rsidR="008206A0" w:rsidRPr="00814EBA" w:rsidRDefault="008206A0" w:rsidP="008206A0">
      <w:pPr>
        <w:tabs>
          <w:tab w:val="left" w:pos="-720"/>
        </w:tabs>
        <w:suppressAutoHyphens/>
        <w:rPr>
          <w:szCs w:val="24"/>
        </w:rPr>
      </w:pPr>
    </w:p>
    <w:p w14:paraId="60FB4D41" w14:textId="77777777" w:rsidR="00B52E02" w:rsidRDefault="008206A0" w:rsidP="008206A0">
      <w:pPr>
        <w:tabs>
          <w:tab w:val="left" w:pos="-720"/>
        </w:tabs>
        <w:suppressAutoHyphens/>
        <w:rPr>
          <w:szCs w:val="24"/>
        </w:rPr>
      </w:pPr>
      <w:r w:rsidRPr="00814EBA">
        <w:rPr>
          <w:szCs w:val="24"/>
        </w:rPr>
        <w:tab/>
      </w:r>
      <w:r w:rsidRPr="00814EBA">
        <w:rPr>
          <w:szCs w:val="24"/>
        </w:rPr>
        <w:tab/>
      </w:r>
      <w:r w:rsidRPr="00814EBA">
        <w:rPr>
          <w:szCs w:val="24"/>
        </w:rPr>
        <w:tab/>
      </w:r>
      <w:r w:rsidRPr="00814EBA">
        <w:rPr>
          <w:szCs w:val="24"/>
        </w:rPr>
        <w:tab/>
      </w:r>
      <w:r w:rsidRPr="00814EBA">
        <w:rPr>
          <w:szCs w:val="24"/>
        </w:rPr>
        <w:tab/>
        <w:t xml:space="preserve">   </w:t>
      </w:r>
    </w:p>
    <w:p w14:paraId="603ACFD3" w14:textId="021FBE7F" w:rsidR="008206A0" w:rsidRPr="00814EBA" w:rsidRDefault="00B52E02" w:rsidP="008206A0">
      <w:pPr>
        <w:tabs>
          <w:tab w:val="left" w:pos="-720"/>
        </w:tabs>
        <w:suppressAutoHyphens/>
        <w:rPr>
          <w:szCs w:val="24"/>
        </w:rPr>
      </w:pPr>
      <w:r>
        <w:rPr>
          <w:szCs w:val="24"/>
        </w:rPr>
        <w:tab/>
      </w:r>
      <w:r>
        <w:rPr>
          <w:szCs w:val="24"/>
        </w:rPr>
        <w:tab/>
      </w:r>
      <w:r>
        <w:rPr>
          <w:szCs w:val="24"/>
        </w:rPr>
        <w:tab/>
      </w:r>
      <w:r>
        <w:rPr>
          <w:szCs w:val="24"/>
        </w:rPr>
        <w:tab/>
      </w:r>
      <w:r>
        <w:rPr>
          <w:szCs w:val="24"/>
        </w:rPr>
        <w:tab/>
      </w:r>
      <w:r w:rsidR="008206A0" w:rsidRPr="00814EBA">
        <w:rPr>
          <w:szCs w:val="24"/>
        </w:rPr>
        <w:t xml:space="preserve">  </w:t>
      </w:r>
      <w:r>
        <w:rPr>
          <w:szCs w:val="24"/>
        </w:rPr>
        <w:t xml:space="preserve">  </w:t>
      </w:r>
      <w:r w:rsidR="008206A0" w:rsidRPr="00814EBA">
        <w:rPr>
          <w:szCs w:val="24"/>
        </w:rPr>
        <w:t>Sincerely,</w:t>
      </w:r>
    </w:p>
    <w:p w14:paraId="4B43CB43" w14:textId="77777777" w:rsidR="008206A0" w:rsidRPr="00814EBA" w:rsidRDefault="008206A0" w:rsidP="008206A0">
      <w:pPr>
        <w:pStyle w:val="Header"/>
        <w:tabs>
          <w:tab w:val="clear" w:pos="4320"/>
          <w:tab w:val="clear" w:pos="8640"/>
        </w:tabs>
        <w:rPr>
          <w:szCs w:val="24"/>
        </w:rPr>
      </w:pPr>
    </w:p>
    <w:p w14:paraId="02D99B9D" w14:textId="77777777" w:rsidR="008206A0" w:rsidRPr="00814EBA" w:rsidRDefault="008206A0" w:rsidP="008206A0">
      <w:pPr>
        <w:pStyle w:val="Header"/>
        <w:tabs>
          <w:tab w:val="clear" w:pos="4320"/>
          <w:tab w:val="clear" w:pos="8640"/>
        </w:tabs>
        <w:rPr>
          <w:szCs w:val="24"/>
        </w:rPr>
      </w:pPr>
    </w:p>
    <w:p w14:paraId="71339A71" w14:textId="77777777" w:rsidR="008206A0" w:rsidRPr="00814EBA" w:rsidRDefault="008206A0" w:rsidP="008206A0">
      <w:pPr>
        <w:rPr>
          <w:szCs w:val="24"/>
        </w:rPr>
      </w:pPr>
    </w:p>
    <w:p w14:paraId="63B8DB09" w14:textId="77777777" w:rsidR="008206A0" w:rsidRPr="00814EBA" w:rsidRDefault="008206A0" w:rsidP="008206A0">
      <w:pPr>
        <w:ind w:left="2880" w:firstLine="720"/>
        <w:rPr>
          <w:b/>
          <w:szCs w:val="24"/>
        </w:rPr>
      </w:pPr>
      <w:r w:rsidRPr="00814EBA">
        <w:rPr>
          <w:b/>
          <w:szCs w:val="24"/>
        </w:rPr>
        <w:t xml:space="preserve">     </w:t>
      </w:r>
    </w:p>
    <w:p w14:paraId="45B7CE19" w14:textId="77777777" w:rsidR="008206A0" w:rsidRPr="00814EBA" w:rsidRDefault="008206A0" w:rsidP="008206A0">
      <w:pPr>
        <w:ind w:left="3600"/>
        <w:rPr>
          <w:szCs w:val="24"/>
        </w:rPr>
      </w:pPr>
      <w:r w:rsidRPr="00814EBA">
        <w:rPr>
          <w:szCs w:val="24"/>
        </w:rPr>
        <w:t xml:space="preserve">     Jeffrey S. Steinberg</w:t>
      </w:r>
    </w:p>
    <w:p w14:paraId="376A6927" w14:textId="77777777" w:rsidR="00F242C0" w:rsidRDefault="008206A0" w:rsidP="008206A0">
      <w:pPr>
        <w:ind w:left="3600"/>
        <w:rPr>
          <w:szCs w:val="24"/>
        </w:rPr>
      </w:pPr>
      <w:r w:rsidRPr="00814EBA">
        <w:rPr>
          <w:szCs w:val="24"/>
        </w:rPr>
        <w:t xml:space="preserve">     Deputy Chief</w:t>
      </w:r>
    </w:p>
    <w:p w14:paraId="1F300698" w14:textId="5A23298F" w:rsidR="008206A0" w:rsidRPr="00814EBA" w:rsidRDefault="001B3720" w:rsidP="001B3720">
      <w:pPr>
        <w:ind w:left="3600"/>
        <w:rPr>
          <w:szCs w:val="24"/>
        </w:rPr>
      </w:pPr>
      <w:r>
        <w:rPr>
          <w:szCs w:val="24"/>
        </w:rPr>
        <w:t xml:space="preserve">     </w:t>
      </w:r>
      <w:r w:rsidR="008206A0" w:rsidRPr="00814EBA">
        <w:rPr>
          <w:szCs w:val="24"/>
        </w:rPr>
        <w:t xml:space="preserve">Competition </w:t>
      </w:r>
      <w:r w:rsidR="00F242C0">
        <w:rPr>
          <w:szCs w:val="24"/>
        </w:rPr>
        <w:t xml:space="preserve">and Infrastructure </w:t>
      </w:r>
      <w:r w:rsidR="008206A0" w:rsidRPr="00814EBA">
        <w:rPr>
          <w:szCs w:val="24"/>
        </w:rPr>
        <w:t>Policy Division</w:t>
      </w:r>
    </w:p>
    <w:p w14:paraId="1079A69A" w14:textId="77777777" w:rsidR="008206A0" w:rsidRPr="00814EBA" w:rsidRDefault="008206A0" w:rsidP="008206A0">
      <w:pPr>
        <w:ind w:left="2880" w:firstLine="720"/>
        <w:rPr>
          <w:szCs w:val="24"/>
        </w:rPr>
      </w:pPr>
      <w:r w:rsidRPr="00814EBA">
        <w:rPr>
          <w:szCs w:val="24"/>
        </w:rPr>
        <w:t xml:space="preserve">     Wireless Telecommunications Bureau</w:t>
      </w:r>
    </w:p>
    <w:p w14:paraId="25F909F5" w14:textId="77777777" w:rsidR="008206A0" w:rsidRPr="00814EBA" w:rsidRDefault="008206A0" w:rsidP="008206A0">
      <w:pPr>
        <w:rPr>
          <w:szCs w:val="24"/>
        </w:rPr>
      </w:pPr>
      <w:r w:rsidRPr="00814EBA">
        <w:rPr>
          <w:szCs w:val="24"/>
        </w:rPr>
        <w:t xml:space="preserve">    </w:t>
      </w:r>
      <w:r w:rsidRPr="00814EBA">
        <w:rPr>
          <w:szCs w:val="24"/>
        </w:rPr>
        <w:tab/>
      </w:r>
      <w:r w:rsidRPr="00814EBA">
        <w:rPr>
          <w:szCs w:val="24"/>
        </w:rPr>
        <w:tab/>
      </w:r>
      <w:r w:rsidRPr="00814EBA">
        <w:rPr>
          <w:szCs w:val="24"/>
        </w:rPr>
        <w:tab/>
      </w:r>
      <w:r w:rsidRPr="00814EBA">
        <w:rPr>
          <w:szCs w:val="24"/>
        </w:rPr>
        <w:tab/>
      </w:r>
      <w:r w:rsidRPr="00814EBA">
        <w:rPr>
          <w:szCs w:val="24"/>
        </w:rPr>
        <w:tab/>
        <w:t xml:space="preserve">     </w:t>
      </w:r>
      <w:r w:rsidRPr="00814EBA">
        <w:rPr>
          <w:szCs w:val="24"/>
        </w:rPr>
        <w:tab/>
      </w:r>
    </w:p>
    <w:p w14:paraId="5DFFD5B1" w14:textId="77777777" w:rsidR="008206A0" w:rsidRPr="00814EBA" w:rsidRDefault="008206A0" w:rsidP="008206A0">
      <w:pPr>
        <w:rPr>
          <w:szCs w:val="24"/>
        </w:rPr>
      </w:pPr>
    </w:p>
    <w:p w14:paraId="0478786B" w14:textId="73D650E5" w:rsidR="00CD778B" w:rsidRDefault="00ED05C0" w:rsidP="00724CF1">
      <w:pPr>
        <w:tabs>
          <w:tab w:val="left" w:pos="5175"/>
        </w:tabs>
        <w:rPr>
          <w:szCs w:val="24"/>
        </w:rPr>
      </w:pPr>
      <w:r>
        <w:rPr>
          <w:szCs w:val="24"/>
        </w:rPr>
        <w:t>c</w:t>
      </w:r>
      <w:r w:rsidR="00CD778B">
        <w:rPr>
          <w:szCs w:val="24"/>
        </w:rPr>
        <w:t>c:</w:t>
      </w:r>
      <w:r w:rsidR="00CD778B" w:rsidRPr="00CD778B">
        <w:rPr>
          <w:szCs w:val="24"/>
        </w:rPr>
        <w:t xml:space="preserve"> </w:t>
      </w:r>
      <w:r w:rsidR="00CD778B">
        <w:rPr>
          <w:szCs w:val="24"/>
        </w:rPr>
        <w:t>Peter Connolly</w:t>
      </w:r>
      <w:r w:rsidR="00724CF1">
        <w:rPr>
          <w:szCs w:val="24"/>
        </w:rPr>
        <w:tab/>
      </w:r>
    </w:p>
    <w:p w14:paraId="35EB119F" w14:textId="37FDD06C" w:rsidR="00CD778B" w:rsidRDefault="00CD778B" w:rsidP="00134AB3">
      <w:pPr>
        <w:ind w:firstLine="360"/>
        <w:rPr>
          <w:szCs w:val="24"/>
        </w:rPr>
      </w:pPr>
      <w:r>
        <w:rPr>
          <w:szCs w:val="24"/>
        </w:rPr>
        <w:t>Holland and Knight</w:t>
      </w:r>
    </w:p>
    <w:p w14:paraId="160FDD73" w14:textId="77777777" w:rsidR="00CD778B" w:rsidRDefault="00CD778B" w:rsidP="00134AB3">
      <w:pPr>
        <w:ind w:firstLine="360"/>
        <w:rPr>
          <w:szCs w:val="24"/>
        </w:rPr>
      </w:pPr>
      <w:r>
        <w:rPr>
          <w:szCs w:val="24"/>
        </w:rPr>
        <w:t>800 17</w:t>
      </w:r>
      <w:r w:rsidRPr="00EA71A6">
        <w:rPr>
          <w:szCs w:val="24"/>
          <w:vertAlign w:val="superscript"/>
        </w:rPr>
        <w:t>th</w:t>
      </w:r>
      <w:r>
        <w:rPr>
          <w:szCs w:val="24"/>
        </w:rPr>
        <w:t xml:space="preserve"> St., NW Suite 1100</w:t>
      </w:r>
    </w:p>
    <w:p w14:paraId="79AF52B3" w14:textId="77777777" w:rsidR="00CD778B" w:rsidRPr="00F04042" w:rsidRDefault="00CD778B" w:rsidP="00134AB3">
      <w:pPr>
        <w:ind w:firstLine="360"/>
        <w:rPr>
          <w:szCs w:val="24"/>
        </w:rPr>
      </w:pPr>
      <w:r>
        <w:rPr>
          <w:szCs w:val="24"/>
        </w:rPr>
        <w:t>Washington, DC 20006</w:t>
      </w:r>
    </w:p>
    <w:p w14:paraId="3AB5D166" w14:textId="3BB8F364" w:rsidR="008206A0" w:rsidRPr="00814EBA" w:rsidRDefault="008206A0" w:rsidP="008206A0">
      <w:pPr>
        <w:rPr>
          <w:szCs w:val="24"/>
        </w:rPr>
      </w:pPr>
    </w:p>
    <w:p w14:paraId="6C2F17AF" w14:textId="77777777" w:rsidR="00834D0F" w:rsidRDefault="005272ED"/>
    <w:sectPr w:rsidR="00834D0F" w:rsidSect="00E303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F21A9" w14:textId="77777777" w:rsidR="00504203" w:rsidRDefault="00504203" w:rsidP="008206A0">
      <w:r>
        <w:separator/>
      </w:r>
    </w:p>
  </w:endnote>
  <w:endnote w:type="continuationSeparator" w:id="0">
    <w:p w14:paraId="69161DD3" w14:textId="77777777" w:rsidR="00504203" w:rsidRDefault="00504203" w:rsidP="0082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FD34" w14:textId="77777777" w:rsidR="00E505F1" w:rsidRDefault="008B7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338">
      <w:rPr>
        <w:rStyle w:val="PageNumber"/>
        <w:noProof/>
      </w:rPr>
      <w:t>1</w:t>
    </w:r>
    <w:r>
      <w:rPr>
        <w:rStyle w:val="PageNumber"/>
      </w:rPr>
      <w:fldChar w:fldCharType="end"/>
    </w:r>
  </w:p>
  <w:p w14:paraId="448E978C" w14:textId="77777777" w:rsidR="00E505F1" w:rsidRDefault="00527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8BAC" w14:textId="77777777" w:rsidR="00E505F1" w:rsidRDefault="005272ED">
    <w:pPr>
      <w:pStyle w:val="Footer"/>
      <w:framePr w:wrap="around" w:vAnchor="text" w:hAnchor="margin" w:xAlign="center" w:y="1"/>
      <w:rPr>
        <w:rStyle w:val="PageNumber"/>
      </w:rPr>
    </w:pPr>
  </w:p>
  <w:p w14:paraId="0F4F1F40" w14:textId="77777777" w:rsidR="00E505F1" w:rsidRDefault="00527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2243" w14:textId="77777777" w:rsidR="00105B92" w:rsidRDefault="00105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43108" w14:textId="77777777" w:rsidR="00504203" w:rsidRDefault="00504203" w:rsidP="008206A0">
      <w:r>
        <w:separator/>
      </w:r>
    </w:p>
  </w:footnote>
  <w:footnote w:type="continuationSeparator" w:id="0">
    <w:p w14:paraId="3037BC2D" w14:textId="77777777" w:rsidR="00504203" w:rsidRDefault="00504203" w:rsidP="008206A0">
      <w:r>
        <w:continuationSeparator/>
      </w:r>
    </w:p>
  </w:footnote>
  <w:footnote w:id="1">
    <w:p w14:paraId="4AC66F17" w14:textId="105C5457" w:rsidR="008206A0" w:rsidRDefault="008206A0" w:rsidP="00DC4D4F">
      <w:pPr>
        <w:pStyle w:val="FootnoteText"/>
        <w:spacing w:after="120"/>
      </w:pPr>
      <w:r>
        <w:rPr>
          <w:rStyle w:val="FootnoteReference"/>
        </w:rPr>
        <w:footnoteRef/>
      </w:r>
      <w:r>
        <w:t xml:space="preserve"> </w:t>
      </w:r>
      <w:r>
        <w:rPr>
          <w:i/>
        </w:rPr>
        <w:t xml:space="preserve">See </w:t>
      </w:r>
      <w:r w:rsidR="00E34A69">
        <w:t xml:space="preserve">47 C.F.R. §§ 1.1301 </w:t>
      </w:r>
      <w:r w:rsidR="00E34A69">
        <w:rPr>
          <w:i/>
        </w:rPr>
        <w:t xml:space="preserve">et seq.; see also </w:t>
      </w:r>
      <w:r w:rsidRPr="000A3DE2">
        <w:t xml:space="preserve">42 U.S.C. </w:t>
      </w:r>
      <w:r w:rsidR="008B7D71" w:rsidRPr="000A3DE2">
        <w:t>§</w:t>
      </w:r>
      <w:r w:rsidRPr="000A3DE2">
        <w:t>§</w:t>
      </w:r>
      <w:r w:rsidR="008B7D71">
        <w:t xml:space="preserve"> </w:t>
      </w:r>
      <w:r w:rsidRPr="000A3DE2">
        <w:t xml:space="preserve">4321-4335.  NEPA requires that federal agencies consider the environmental effects of their </w:t>
      </w:r>
      <w:r w:rsidR="00E34A69">
        <w:t>major federal actions</w:t>
      </w:r>
      <w:r w:rsidRPr="000A3DE2">
        <w:t xml:space="preserve"> before taking action, including issuing permits, licenses, or approvals.</w:t>
      </w:r>
    </w:p>
  </w:footnote>
  <w:footnote w:id="2">
    <w:p w14:paraId="7E1799AC" w14:textId="2D0E64DD" w:rsidR="001337F2" w:rsidRPr="00B52E02" w:rsidRDefault="001337F2" w:rsidP="00DC4D4F">
      <w:pPr>
        <w:pStyle w:val="FootnoteText"/>
        <w:spacing w:after="120"/>
      </w:pPr>
      <w:r>
        <w:rPr>
          <w:rStyle w:val="FootnoteReference"/>
        </w:rPr>
        <w:footnoteRef/>
      </w:r>
      <w:r>
        <w:t xml:space="preserve"> </w:t>
      </w:r>
      <w:r>
        <w:rPr>
          <w:i/>
        </w:rPr>
        <w:t>S</w:t>
      </w:r>
      <w:r w:rsidRPr="008B7D71">
        <w:rPr>
          <w:i/>
        </w:rPr>
        <w:t>ee</w:t>
      </w:r>
      <w:r>
        <w:t xml:space="preserve"> 47 C.F.R. </w:t>
      </w:r>
      <w:r w:rsidRPr="000A3DE2">
        <w:t>§§</w:t>
      </w:r>
      <w:r>
        <w:t xml:space="preserve"> 1.901 </w:t>
      </w:r>
      <w:r w:rsidRPr="008B7D71">
        <w:rPr>
          <w:i/>
        </w:rPr>
        <w:t>et seq</w:t>
      </w:r>
      <w:r>
        <w:rPr>
          <w:i/>
        </w:rPr>
        <w:t>.</w:t>
      </w:r>
      <w:r>
        <w:t xml:space="preserve">, 17.1 </w:t>
      </w:r>
      <w:r>
        <w:rPr>
          <w:i/>
        </w:rPr>
        <w:t>et seq.</w:t>
      </w:r>
      <w:r w:rsidR="00A2085B">
        <w:rPr>
          <w:i/>
        </w:rPr>
        <w:t xml:space="preserve">  See also </w:t>
      </w:r>
      <w:r w:rsidR="00A2085B">
        <w:t>47 C.F</w:t>
      </w:r>
      <w:r w:rsidR="00592DB4">
        <w:t>.</w:t>
      </w:r>
      <w:r w:rsidR="00A2085B">
        <w:t>R. § 24.2(b) (requiring licensees in the Personal Communications Services to comply with the environmental requirements in Part 1 prior to construction).</w:t>
      </w:r>
    </w:p>
  </w:footnote>
  <w:footnote w:id="3">
    <w:p w14:paraId="4A7296B2" w14:textId="6E3C75E3" w:rsidR="00BE2291" w:rsidRDefault="001337F2" w:rsidP="00DC4D4F">
      <w:pPr>
        <w:pStyle w:val="FootnoteText"/>
        <w:spacing w:after="120"/>
      </w:pPr>
      <w:r>
        <w:rPr>
          <w:rStyle w:val="FootnoteReference"/>
        </w:rPr>
        <w:footnoteRef/>
      </w:r>
      <w:r>
        <w:t xml:space="preserve"> </w:t>
      </w:r>
      <w:r w:rsidR="00A2085B">
        <w:t>47 C.F.R. § 1.17.</w:t>
      </w:r>
    </w:p>
  </w:footnote>
  <w:footnote w:id="4">
    <w:p w14:paraId="630AC732" w14:textId="1D4D57AB" w:rsidR="00E34A69" w:rsidRDefault="00E34A69" w:rsidP="00DC4D4F">
      <w:pPr>
        <w:pStyle w:val="FootnoteText"/>
        <w:spacing w:after="120"/>
      </w:pPr>
      <w:r>
        <w:rPr>
          <w:rStyle w:val="FootnoteReference"/>
        </w:rPr>
        <w:footnoteRef/>
      </w:r>
      <w:r>
        <w:t xml:space="preserve"> </w:t>
      </w:r>
      <w:r w:rsidRPr="00DE4501">
        <w:rPr>
          <w:i/>
        </w:rPr>
        <w:t>See</w:t>
      </w:r>
      <w:r>
        <w:t xml:space="preserve"> 47 C.F.R. </w:t>
      </w:r>
      <w:r w:rsidRPr="000A3DE2">
        <w:t>§§</w:t>
      </w:r>
      <w:r>
        <w:t xml:space="preserve"> </w:t>
      </w:r>
      <w:r w:rsidR="00800432">
        <w:t>1.</w:t>
      </w:r>
      <w:r w:rsidR="008832A9">
        <w:t xml:space="preserve">17, </w:t>
      </w:r>
      <w:r>
        <w:t>1.923, 1.929, 1.947. 1.1307</w:t>
      </w:r>
      <w:r w:rsidR="00A36045">
        <w:t>, 1.1311, 1.1312</w:t>
      </w:r>
      <w:r w:rsidR="008832A9">
        <w:t>, 17.4, 24.</w:t>
      </w:r>
      <w:r w:rsidR="00A2085B">
        <w:t>2</w:t>
      </w:r>
      <w:r>
        <w:t>.</w:t>
      </w:r>
    </w:p>
  </w:footnote>
  <w:footnote w:id="5">
    <w:p w14:paraId="29B999D4" w14:textId="3B58D654" w:rsidR="008206A0" w:rsidRPr="000A3DE2" w:rsidRDefault="008206A0" w:rsidP="00DC4D4F">
      <w:pPr>
        <w:pStyle w:val="FootnoteText"/>
        <w:spacing w:after="120"/>
      </w:pPr>
      <w:r w:rsidRPr="000A3DE2">
        <w:rPr>
          <w:rStyle w:val="FootnoteReference"/>
        </w:rPr>
        <w:footnoteRef/>
      </w:r>
      <w:r w:rsidRPr="000A3DE2">
        <w:t xml:space="preserve"> 47 C</w:t>
      </w:r>
      <w:r>
        <w:t>.</w:t>
      </w:r>
      <w:r w:rsidRPr="000A3DE2">
        <w:t>F</w:t>
      </w:r>
      <w:r>
        <w:t>.</w:t>
      </w:r>
      <w:r w:rsidRPr="000A3DE2">
        <w:t>R</w:t>
      </w:r>
      <w:r>
        <w:t>.</w:t>
      </w:r>
      <w:r w:rsidRPr="000A3DE2">
        <w:t xml:space="preserve"> §</w:t>
      </w:r>
      <w:r w:rsidR="00830E8D">
        <w:t xml:space="preserve">§ 1.1307, </w:t>
      </w:r>
      <w:r w:rsidRPr="000A3DE2">
        <w:t>1.</w:t>
      </w:r>
      <w:r w:rsidR="00534DB2">
        <w:t>1311</w:t>
      </w:r>
      <w:r w:rsidR="00830E8D">
        <w:t>(a)</w:t>
      </w:r>
      <w:r w:rsidR="006E2759">
        <w:t>.</w:t>
      </w:r>
    </w:p>
  </w:footnote>
  <w:footnote w:id="6">
    <w:p w14:paraId="05E793E1" w14:textId="6BEEB971" w:rsidR="00C064A8" w:rsidRDefault="00A36045" w:rsidP="00DC4D4F">
      <w:pPr>
        <w:pStyle w:val="FootnoteText"/>
        <w:spacing w:after="120"/>
      </w:pPr>
      <w:r>
        <w:rPr>
          <w:rStyle w:val="FootnoteReference"/>
        </w:rPr>
        <w:footnoteRef/>
      </w:r>
      <w:r>
        <w:t xml:space="preserve"> </w:t>
      </w:r>
      <w:r w:rsidR="00C064A8">
        <w:rPr>
          <w:i/>
        </w:rPr>
        <w:t xml:space="preserve">See </w:t>
      </w:r>
      <w:r w:rsidR="00C064A8">
        <w:t>47 C.F.R. § 1.1307(a) (specifying eight criteria that require preparation of an EA), 1.1307(b) (EA required if human exposure to radio frequency emissions will exceed certain limits), 1.1307(d) Note (processing bureau shall require an EA for new and certain modified antenna structures over 450 feet in height).  In addition, the processing bureau shall require an EA if it determines, in response to an interested person’s allegation or on its own motion, that an otherwise categorically excluded facility may have a significant environmental impact.  47 C.F.R. § 1.1307(c), (d).</w:t>
      </w:r>
    </w:p>
  </w:footnote>
  <w:footnote w:id="7">
    <w:p w14:paraId="23C07597" w14:textId="2083660D" w:rsidR="00830E8D" w:rsidRPr="00830E8D" w:rsidRDefault="00830E8D" w:rsidP="00DC4D4F">
      <w:pPr>
        <w:pStyle w:val="FootnoteText"/>
        <w:spacing w:after="120"/>
      </w:pPr>
      <w:r>
        <w:rPr>
          <w:rStyle w:val="FootnoteReference"/>
        </w:rPr>
        <w:footnoteRef/>
      </w:r>
      <w:r>
        <w:t xml:space="preserve"> 47 C.F.R. § 1.1312(b).  The contents of an EA are described in 47 C.F.R. § 1.1311.  </w:t>
      </w:r>
      <w:r>
        <w:rPr>
          <w:i/>
        </w:rPr>
        <w:t xml:space="preserve">See also </w:t>
      </w:r>
      <w:r>
        <w:t>47 C.F.R. §</w:t>
      </w:r>
      <w:r w:rsidR="008D361D">
        <w:t>§</w:t>
      </w:r>
      <w:r>
        <w:t xml:space="preserve"> 1.1308 (discussing the Commission’s process for reviewing EAs)</w:t>
      </w:r>
      <w:r w:rsidR="00D43991">
        <w:t>, 17.4(c) (provid</w:t>
      </w:r>
      <w:r w:rsidR="008D361D">
        <w:t xml:space="preserve">ing that the Commission will address environmental concerns raised in an EA before completing antenna structure registration).  Subsequent to the registration of these towers, Section 17.4(c) was amended to add an environmental notification process.  </w:t>
      </w:r>
      <w:r w:rsidR="008D361D">
        <w:rPr>
          <w:i/>
        </w:rPr>
        <w:t>See</w:t>
      </w:r>
      <w:r w:rsidR="008D361D">
        <w:t xml:space="preserve"> National Environmental Policy Act Compliance for Proposed Tower Registrations, WT Docket No. 08-61, </w:t>
      </w:r>
      <w:r w:rsidR="008D361D">
        <w:rPr>
          <w:i/>
        </w:rPr>
        <w:t>Order on Remand</w:t>
      </w:r>
      <w:r w:rsidR="008D361D">
        <w:t>, 26 FCC Rcd. 16700 (2011)</w:t>
      </w:r>
      <w:r>
        <w:t>.</w:t>
      </w:r>
    </w:p>
  </w:footnote>
  <w:footnote w:id="8">
    <w:p w14:paraId="29FDA2E1" w14:textId="12B79C0B" w:rsidR="00DE392F" w:rsidRPr="00DE392F" w:rsidRDefault="00C064A8" w:rsidP="00DC4D4F">
      <w:pPr>
        <w:pStyle w:val="FootnoteText"/>
        <w:spacing w:after="120"/>
      </w:pPr>
      <w:r>
        <w:rPr>
          <w:rStyle w:val="FootnoteReference"/>
        </w:rPr>
        <w:footnoteRef/>
      </w:r>
      <w:r>
        <w:t xml:space="preserve"> </w:t>
      </w:r>
      <w:r w:rsidR="00830E8D">
        <w:rPr>
          <w:i/>
        </w:rPr>
        <w:t>See</w:t>
      </w:r>
      <w:r w:rsidR="00830E8D">
        <w:t xml:space="preserve"> 47 C.F.R. §§ </w:t>
      </w:r>
      <w:r w:rsidR="00DE392F">
        <w:t>1.929(a)(4) (classifying applications and amendments re</w:t>
      </w:r>
      <w:r w:rsidR="00D43991">
        <w:t>questing authorization for</w:t>
      </w:r>
      <w:r w:rsidR="00DE392F">
        <w:t xml:space="preserve"> facilit</w:t>
      </w:r>
      <w:r w:rsidR="00D43991">
        <w:t>ies</w:t>
      </w:r>
      <w:r w:rsidR="00DE392F">
        <w:t xml:space="preserve"> that may have a significant effect on the environment as major), 1.947(a) (requiring Commission approval for major modifications).  </w:t>
      </w:r>
      <w:r w:rsidR="00DE392F">
        <w:rPr>
          <w:i/>
        </w:rPr>
        <w:t>See also</w:t>
      </w:r>
      <w:r w:rsidR="00DE392F">
        <w:t xml:space="preserve"> 47 C.F.R. </w:t>
      </w:r>
      <w:r w:rsidR="008D361D">
        <w:t>§</w:t>
      </w:r>
      <w:r w:rsidR="00DE392F">
        <w:t>§ 1.923(e) (requiring completion of environmental review prior to construction for any application in the wireless radio services proposing facilities that may have a significant environmental effect)</w:t>
      </w:r>
      <w:r w:rsidR="008D361D">
        <w:t>, 24.2(b)</w:t>
      </w:r>
      <w:r w:rsidR="008D361D" w:rsidRPr="008D361D">
        <w:t xml:space="preserve"> </w:t>
      </w:r>
      <w:r w:rsidR="008D361D">
        <w:t>(requiring licensees in the Personal Communications Services to comply with the environmental requirements in Pa</w:t>
      </w:r>
      <w:r w:rsidR="00DC4D4F">
        <w:t>rt 1 prior to construction).</w:t>
      </w:r>
    </w:p>
  </w:footnote>
  <w:footnote w:id="9">
    <w:p w14:paraId="4371CCBE" w14:textId="5A85E235" w:rsidR="00ED05C0" w:rsidRPr="00DC4D4F" w:rsidRDefault="00ED05C0" w:rsidP="00DC4D4F">
      <w:pPr>
        <w:spacing w:after="120"/>
        <w:jc w:val="both"/>
        <w:rPr>
          <w:sz w:val="20"/>
        </w:rPr>
      </w:pPr>
      <w:r w:rsidRPr="00ED05C0">
        <w:rPr>
          <w:rStyle w:val="FootnoteReference"/>
          <w:sz w:val="20"/>
        </w:rPr>
        <w:footnoteRef/>
      </w:r>
      <w:r w:rsidRPr="00ED05C0">
        <w:rPr>
          <w:sz w:val="20"/>
        </w:rPr>
        <w:t xml:space="preserve"> </w:t>
      </w:r>
      <w:r w:rsidRPr="00ED05C0">
        <w:rPr>
          <w:i/>
          <w:iCs/>
          <w:sz w:val="20"/>
        </w:rPr>
        <w:t>See</w:t>
      </w:r>
      <w:r w:rsidRPr="00ED05C0">
        <w:rPr>
          <w:sz w:val="20"/>
        </w:rPr>
        <w:t xml:space="preserve"> </w:t>
      </w:r>
      <w:r>
        <w:rPr>
          <w:sz w:val="20"/>
        </w:rPr>
        <w:t xml:space="preserve">47 C.F.R. </w:t>
      </w:r>
      <w:r w:rsidRPr="00ED05C0">
        <w:rPr>
          <w:sz w:val="20"/>
        </w:rPr>
        <w:t>§</w:t>
      </w:r>
      <w:r>
        <w:rPr>
          <w:sz w:val="20"/>
        </w:rPr>
        <w:t xml:space="preserve"> </w:t>
      </w:r>
      <w:r w:rsidRPr="00ED05C0">
        <w:rPr>
          <w:sz w:val="20"/>
        </w:rPr>
        <w:t xml:space="preserve">17.4(c) (2007) (“If an Environmental Assessment is required under § 1.1307 of this chapter, the Bureau will address the environmental concerns prior to processing the registration.”). While this rule has changed substantially since 2007, this requirement still exists.  </w:t>
      </w:r>
      <w:r w:rsidRPr="00ED05C0">
        <w:rPr>
          <w:i/>
          <w:iCs/>
          <w:sz w:val="20"/>
        </w:rPr>
        <w:t>See</w:t>
      </w:r>
      <w:r w:rsidR="00DC4D4F">
        <w:rPr>
          <w:sz w:val="20"/>
        </w:rPr>
        <w:t xml:space="preserve"> § 17.4(c)(7).</w:t>
      </w:r>
      <w:r w:rsidR="00DC4D4F" w:rsidRPr="00ED05C0">
        <w:t xml:space="preserve"> </w:t>
      </w:r>
    </w:p>
  </w:footnote>
  <w:footnote w:id="10">
    <w:p w14:paraId="202AA875" w14:textId="77777777" w:rsidR="003464E1" w:rsidRPr="00B52E02" w:rsidRDefault="003464E1" w:rsidP="00DC4D4F">
      <w:pPr>
        <w:pStyle w:val="FootnoteText"/>
        <w:spacing w:after="120"/>
        <w:rPr>
          <w:i/>
        </w:rPr>
      </w:pPr>
      <w:r w:rsidRPr="00503F37">
        <w:rPr>
          <w:rStyle w:val="FootnoteReference"/>
        </w:rPr>
        <w:footnoteRef/>
      </w:r>
      <w:r>
        <w:t xml:space="preserve"> </w:t>
      </w:r>
      <w:r w:rsidRPr="008F4FCD">
        <w:rPr>
          <w:i/>
        </w:rPr>
        <w:t xml:space="preserve">See </w:t>
      </w:r>
      <w:r w:rsidRPr="000A3DE2">
        <w:t>47 C</w:t>
      </w:r>
      <w:r>
        <w:t>.</w:t>
      </w:r>
      <w:r w:rsidRPr="000A3DE2">
        <w:t>F</w:t>
      </w:r>
      <w:r>
        <w:t>.</w:t>
      </w:r>
      <w:r w:rsidRPr="000A3DE2">
        <w:t>R</w:t>
      </w:r>
      <w:r>
        <w:t>.</w:t>
      </w:r>
      <w:r w:rsidRPr="000A3DE2">
        <w:t xml:space="preserve"> </w:t>
      </w:r>
      <w:r>
        <w:t>§</w:t>
      </w:r>
      <w:r w:rsidRPr="000A3DE2">
        <w:t xml:space="preserve">§ 1.1301 </w:t>
      </w:r>
      <w:r w:rsidRPr="000A3DE2">
        <w:rPr>
          <w:i/>
        </w:rPr>
        <w:t>et seq</w:t>
      </w:r>
      <w:r w:rsidRPr="00503F37">
        <w:t>.</w:t>
      </w:r>
      <w:r>
        <w:t xml:space="preserve">, 1.901 </w:t>
      </w:r>
      <w:r>
        <w:rPr>
          <w:i/>
        </w:rPr>
        <w:t xml:space="preserve">et </w:t>
      </w:r>
      <w:r w:rsidRPr="00264C7A">
        <w:rPr>
          <w:i/>
        </w:rPr>
        <w:t>seq</w:t>
      </w:r>
      <w:r>
        <w:t xml:space="preserve">., 17.1 </w:t>
      </w:r>
      <w:r>
        <w:rPr>
          <w:i/>
        </w:rPr>
        <w:t>et seq.</w:t>
      </w:r>
    </w:p>
  </w:footnote>
  <w:footnote w:id="11">
    <w:p w14:paraId="1A4B5024" w14:textId="3B5CAB9F" w:rsidR="00B4275C" w:rsidRDefault="00B4275C" w:rsidP="00DC4D4F">
      <w:pPr>
        <w:pStyle w:val="FootnoteText"/>
        <w:spacing w:after="120"/>
      </w:pPr>
      <w:r>
        <w:rPr>
          <w:rStyle w:val="FootnoteReference"/>
        </w:rPr>
        <w:footnoteRef/>
      </w:r>
      <w:r>
        <w:t xml:space="preserve"> Registration No. 1260148</w:t>
      </w:r>
      <w:r w:rsidR="002F160B">
        <w:t>, granted October 19, 2007</w:t>
      </w:r>
      <w:r w:rsidR="00D43991">
        <w:t>.  O</w:t>
      </w:r>
      <w:r w:rsidR="002F160B">
        <w:t xml:space="preserve">n </w:t>
      </w:r>
      <w:r>
        <w:t>February 2, 2015</w:t>
      </w:r>
      <w:r w:rsidR="00D43991">
        <w:t>, the Commission was notified that ownership of the tower had been</w:t>
      </w:r>
      <w:r w:rsidR="002F160B">
        <w:t xml:space="preserve"> transfer</w:t>
      </w:r>
      <w:r w:rsidR="00D43991">
        <w:t>red</w:t>
      </w:r>
      <w:r w:rsidR="002F160B">
        <w:t xml:space="preserve"> </w:t>
      </w:r>
      <w:r w:rsidR="00D43991">
        <w:t>to Vertical Bridg</w:t>
      </w:r>
      <w:r w:rsidR="00265B45">
        <w:t>e</w:t>
      </w:r>
      <w:r>
        <w:t>, LLC</w:t>
      </w:r>
      <w:r w:rsidR="00D43991">
        <w:t>.</w:t>
      </w:r>
    </w:p>
  </w:footnote>
  <w:footnote w:id="12">
    <w:p w14:paraId="59E1570B" w14:textId="79DEF48F" w:rsidR="0080664C" w:rsidRDefault="00B4275C" w:rsidP="00DC4D4F">
      <w:pPr>
        <w:pStyle w:val="FootnoteText"/>
        <w:spacing w:after="120"/>
      </w:pPr>
      <w:r>
        <w:rPr>
          <w:rStyle w:val="FootnoteReference"/>
        </w:rPr>
        <w:footnoteRef/>
      </w:r>
      <w:r>
        <w:t xml:space="preserve"> Registration</w:t>
      </w:r>
      <w:r w:rsidR="005D489F">
        <w:t xml:space="preserve"> No. 1265070, granted September </w:t>
      </w:r>
      <w:r>
        <w:t>9,</w:t>
      </w:r>
      <w:r w:rsidR="005D489F">
        <w:t xml:space="preserve"> </w:t>
      </w:r>
      <w:r>
        <w:t>2008</w:t>
      </w:r>
      <w:r w:rsidR="00E85841">
        <w:t>.</w:t>
      </w:r>
      <w:r w:rsidR="008D361D">
        <w:t xml:space="preserve">  On November 13, 2015, the Commission was notified that ownership of the tower had been transferred</w:t>
      </w:r>
      <w:r w:rsidR="00125FFE">
        <w:t xml:space="preserve"> to Vertical Bridge</w:t>
      </w:r>
      <w:r w:rsidR="002F160B">
        <w:t>, LLC</w:t>
      </w:r>
      <w:r w:rsidR="00D43991">
        <w:t>,</w:t>
      </w:r>
      <w:r w:rsidR="008D361D">
        <w:t xml:space="preserve"> and the tower had been dismantled.  </w:t>
      </w:r>
      <w:r w:rsidR="0080664C">
        <w:t>We note that pursuant to Section 17.57 of the rules, the antenna structure owner must notify the Commission within five days of a change in ownership information as well as of di</w:t>
      </w:r>
      <w:r w:rsidR="00DC4D4F">
        <w:t>smantlement.  47 C.F.R. § 17.57.</w:t>
      </w:r>
    </w:p>
  </w:footnote>
  <w:footnote w:id="13">
    <w:p w14:paraId="353AE2A2" w14:textId="79591DE9" w:rsidR="00F242C0" w:rsidRPr="00F242C0" w:rsidRDefault="00F242C0" w:rsidP="00DC4D4F">
      <w:pPr>
        <w:pStyle w:val="FootnoteText"/>
        <w:spacing w:after="120"/>
      </w:pPr>
      <w:r>
        <w:rPr>
          <w:rStyle w:val="FootnoteReference"/>
        </w:rPr>
        <w:footnoteRef/>
      </w:r>
      <w:r>
        <w:t xml:space="preserve"> </w:t>
      </w:r>
      <w:r>
        <w:rPr>
          <w:i/>
        </w:rPr>
        <w:t xml:space="preserve">See </w:t>
      </w:r>
      <w:r>
        <w:t>47 C.F.R. § 1.1307(a)(6),</w:t>
      </w:r>
      <w:r w:rsidR="00A00CC3">
        <w:t xml:space="preserve"> </w:t>
      </w:r>
      <w:r>
        <w:t>(7).</w:t>
      </w:r>
    </w:p>
  </w:footnote>
  <w:footnote w:id="14">
    <w:p w14:paraId="5D7EFE34" w14:textId="6ADD7F89" w:rsidR="00F242C0" w:rsidRDefault="00F242C0" w:rsidP="00DC4D4F">
      <w:pPr>
        <w:pStyle w:val="FootnoteText"/>
        <w:spacing w:after="120"/>
      </w:pPr>
      <w:r>
        <w:rPr>
          <w:rStyle w:val="FootnoteReference"/>
        </w:rPr>
        <w:footnoteRef/>
      </w:r>
      <w:r>
        <w:t xml:space="preserve"> </w:t>
      </w:r>
      <w:r w:rsidR="00E70AD7">
        <w:t>WQRJ905-L0000011445</w:t>
      </w:r>
      <w:r w:rsidR="00433AB1">
        <w:t xml:space="preserve"> (cancelled November 1, 2014).</w:t>
      </w:r>
    </w:p>
  </w:footnote>
  <w:footnote w:id="15">
    <w:p w14:paraId="2F752B83" w14:textId="4E728967" w:rsidR="00F242C0" w:rsidRDefault="00F242C0" w:rsidP="00DC4D4F">
      <w:pPr>
        <w:pStyle w:val="FootnoteText"/>
        <w:spacing w:after="120"/>
      </w:pPr>
      <w:r>
        <w:rPr>
          <w:rStyle w:val="FootnoteReference"/>
        </w:rPr>
        <w:footnoteRef/>
      </w:r>
      <w:r>
        <w:t xml:space="preserve"> 47 C.F.R. § 1.929(a)(4).</w:t>
      </w:r>
    </w:p>
  </w:footnote>
  <w:footnote w:id="16">
    <w:p w14:paraId="1CC7EF3A" w14:textId="1B0E1E25" w:rsidR="00F242C0" w:rsidRPr="00F242C0" w:rsidRDefault="00F242C0" w:rsidP="00DC4D4F">
      <w:pPr>
        <w:pStyle w:val="FootnoteText"/>
        <w:spacing w:after="120"/>
      </w:pPr>
      <w:r>
        <w:rPr>
          <w:rStyle w:val="FootnoteReference"/>
        </w:rPr>
        <w:footnoteRef/>
      </w:r>
      <w:r>
        <w:t xml:space="preserve"> 47 C.F.R. § 1.94</w:t>
      </w:r>
      <w:r w:rsidR="00592DB4">
        <w:t>7</w:t>
      </w:r>
      <w:r>
        <w:t xml:space="preserve">(a); </w:t>
      </w:r>
      <w:r>
        <w:rPr>
          <w:i/>
        </w:rPr>
        <w:t>see also</w:t>
      </w:r>
      <w:r>
        <w:t xml:space="preserve"> 47 C.F.R. §</w:t>
      </w:r>
      <w:r w:rsidR="00E516D7">
        <w:t>§</w:t>
      </w:r>
      <w:r>
        <w:t xml:space="preserve"> 1.923(e)</w:t>
      </w:r>
      <w:r w:rsidR="00E516D7">
        <w:t>, 24.2(b)</w:t>
      </w:r>
      <w:r>
        <w:t>.</w:t>
      </w:r>
    </w:p>
  </w:footnote>
  <w:footnote w:id="17">
    <w:p w14:paraId="0BA300F7" w14:textId="07A7303C" w:rsidR="0080664C" w:rsidRDefault="0080664C" w:rsidP="00DC4D4F">
      <w:pPr>
        <w:pStyle w:val="FootnoteText"/>
        <w:spacing w:after="120"/>
      </w:pPr>
      <w:r>
        <w:rPr>
          <w:rStyle w:val="FootnoteReference"/>
        </w:rPr>
        <w:footnoteRef/>
      </w:r>
      <w:r>
        <w:t xml:space="preserve"> 47 C</w:t>
      </w:r>
      <w:r w:rsidR="00592DB4">
        <w:t>.</w:t>
      </w:r>
      <w:r>
        <w:t>F.R. § 17.4(c).</w:t>
      </w:r>
    </w:p>
  </w:footnote>
  <w:footnote w:id="18">
    <w:p w14:paraId="3A756FD2" w14:textId="33F22984" w:rsidR="00BE2291" w:rsidRPr="00BE2291" w:rsidRDefault="00BE2291" w:rsidP="00DC4D4F">
      <w:pPr>
        <w:pStyle w:val="FootnoteText"/>
        <w:spacing w:after="120"/>
      </w:pPr>
      <w:r>
        <w:rPr>
          <w:rStyle w:val="FootnoteReference"/>
        </w:rPr>
        <w:footnoteRef/>
      </w:r>
      <w:r>
        <w:t xml:space="preserve"> </w:t>
      </w:r>
      <w:r>
        <w:rPr>
          <w:i/>
        </w:rPr>
        <w:t>See</w:t>
      </w:r>
      <w:r>
        <w:t xml:space="preserve"> 47 C.F.R. § 1.17(a)(2).</w:t>
      </w:r>
    </w:p>
  </w:footnote>
  <w:footnote w:id="19">
    <w:p w14:paraId="3D314B7A" w14:textId="77777777" w:rsidR="00F242C0" w:rsidRDefault="00F242C0" w:rsidP="00DC4D4F">
      <w:pPr>
        <w:pStyle w:val="FootnoteText"/>
        <w:spacing w:after="120"/>
      </w:pPr>
      <w:r>
        <w:rPr>
          <w:rStyle w:val="FootnoteReference"/>
        </w:rPr>
        <w:footnoteRef/>
      </w:r>
      <w:r>
        <w:t xml:space="preserve"> Specifically, USCC has produced EAs for the Harvey tower dated September 26, 2007, and for the New Buffalo tower dated September 5,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E6A3" w14:textId="77777777" w:rsidR="00105B92" w:rsidRDefault="00105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7A30" w14:textId="46A22E35" w:rsidR="00E505F1" w:rsidRPr="00503F37" w:rsidRDefault="00D43991">
    <w:pPr>
      <w:rPr>
        <w:szCs w:val="24"/>
      </w:rPr>
    </w:pPr>
    <w:r>
      <w:rPr>
        <w:szCs w:val="24"/>
      </w:rPr>
      <w:t>Kenneth R. Myers</w:t>
    </w:r>
    <w:r w:rsidR="008B7D71" w:rsidRPr="00503F37">
      <w:rPr>
        <w:szCs w:val="24"/>
      </w:rPr>
      <w:t xml:space="preserve"> </w:t>
    </w:r>
  </w:p>
  <w:p w14:paraId="1E3743CE" w14:textId="1A08D367" w:rsidR="00E505F1" w:rsidRPr="00503F37" w:rsidRDefault="0098670B">
    <w:pPr>
      <w:rPr>
        <w:color w:val="000000"/>
      </w:rPr>
    </w:pPr>
    <w:r>
      <w:rPr>
        <w:color w:val="000000"/>
      </w:rPr>
      <w:t>June 16</w:t>
    </w:r>
    <w:r w:rsidR="00E80BA9">
      <w:rPr>
        <w:color w:val="000000"/>
      </w:rPr>
      <w:t>, 2016</w:t>
    </w:r>
  </w:p>
  <w:p w14:paraId="4930EA6F" w14:textId="77777777" w:rsidR="00E505F1" w:rsidRDefault="008B7D71">
    <w:pPr>
      <w:rPr>
        <w:rStyle w:val="PageNumber"/>
      </w:rPr>
    </w:pPr>
    <w:r w:rsidRPr="00503F37">
      <w:rPr>
        <w:color w:val="000000"/>
      </w:rPr>
      <w:t xml:space="preserve">Page </w:t>
    </w:r>
    <w:r w:rsidRPr="00503F37">
      <w:rPr>
        <w:rStyle w:val="PageNumber"/>
      </w:rPr>
      <w:fldChar w:fldCharType="begin"/>
    </w:r>
    <w:r w:rsidRPr="00503F37">
      <w:rPr>
        <w:rStyle w:val="PageNumber"/>
      </w:rPr>
      <w:instrText xml:space="preserve"> PAGE </w:instrText>
    </w:r>
    <w:r w:rsidRPr="00503F37">
      <w:rPr>
        <w:rStyle w:val="PageNumber"/>
      </w:rPr>
      <w:fldChar w:fldCharType="separate"/>
    </w:r>
    <w:r w:rsidR="005272ED">
      <w:rPr>
        <w:rStyle w:val="PageNumber"/>
        <w:noProof/>
      </w:rPr>
      <w:t>2</w:t>
    </w:r>
    <w:r w:rsidRPr="00503F37">
      <w:rPr>
        <w:rStyle w:val="PageNumber"/>
      </w:rPr>
      <w:fldChar w:fldCharType="end"/>
    </w:r>
    <w:r w:rsidRPr="00503F37">
      <w:rPr>
        <w:rStyle w:val="PageNumber"/>
      </w:rPr>
      <w:t xml:space="preserve"> of </w:t>
    </w:r>
    <w:r w:rsidRPr="00503F37">
      <w:rPr>
        <w:rStyle w:val="PageNumber"/>
      </w:rPr>
      <w:fldChar w:fldCharType="begin"/>
    </w:r>
    <w:r w:rsidRPr="00503F37">
      <w:rPr>
        <w:rStyle w:val="PageNumber"/>
      </w:rPr>
      <w:instrText xml:space="preserve"> NUMPAGES </w:instrText>
    </w:r>
    <w:r w:rsidRPr="00503F37">
      <w:rPr>
        <w:rStyle w:val="PageNumber"/>
      </w:rPr>
      <w:fldChar w:fldCharType="separate"/>
    </w:r>
    <w:r w:rsidR="005272ED">
      <w:rPr>
        <w:rStyle w:val="PageNumber"/>
        <w:noProof/>
      </w:rPr>
      <w:t>2</w:t>
    </w:r>
    <w:r w:rsidRPr="00503F37">
      <w:rPr>
        <w:rStyle w:val="PageNumber"/>
      </w:rPr>
      <w:fldChar w:fldCharType="end"/>
    </w:r>
  </w:p>
  <w:p w14:paraId="749E91CB" w14:textId="77777777" w:rsidR="00E505F1" w:rsidRDefault="00527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F1A7" w14:textId="6B235CDB" w:rsidR="0098670B" w:rsidRPr="0098670B" w:rsidRDefault="0098670B" w:rsidP="0098670B">
    <w:pPr>
      <w:pStyle w:val="Header"/>
      <w:jc w:val="right"/>
      <w:rPr>
        <w:b/>
        <w:lang w:val="en-US"/>
      </w:rPr>
    </w:pPr>
    <w:r>
      <w:rPr>
        <w:b/>
        <w:lang w:val="en-US"/>
      </w:rPr>
      <w:t>DA 16-685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1479"/>
    <w:multiLevelType w:val="hybridMultilevel"/>
    <w:tmpl w:val="D6F8A8AA"/>
    <w:lvl w:ilvl="0" w:tplc="FFFFFFFF">
      <w:start w:val="1"/>
      <w:numFmt w:val="decimal"/>
      <w:pStyle w:val="StyleParaNumLeft"/>
      <w:lvlText w:val="%1."/>
      <w:lvlJc w:val="left"/>
      <w:pPr>
        <w:tabs>
          <w:tab w:val="num" w:pos="1440"/>
        </w:tabs>
        <w:ind w:left="0" w:firstLine="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A0"/>
    <w:rsid w:val="000E6052"/>
    <w:rsid w:val="00105B92"/>
    <w:rsid w:val="00125FFE"/>
    <w:rsid w:val="001337F2"/>
    <w:rsid w:val="00134AB3"/>
    <w:rsid w:val="00140A62"/>
    <w:rsid w:val="00181898"/>
    <w:rsid w:val="00195040"/>
    <w:rsid w:val="00197F74"/>
    <w:rsid w:val="001B3720"/>
    <w:rsid w:val="001D67BC"/>
    <w:rsid w:val="001F5F49"/>
    <w:rsid w:val="00210281"/>
    <w:rsid w:val="002430D1"/>
    <w:rsid w:val="002457BC"/>
    <w:rsid w:val="00264C7A"/>
    <w:rsid w:val="00265B45"/>
    <w:rsid w:val="00272BDD"/>
    <w:rsid w:val="002B0D6E"/>
    <w:rsid w:val="002F160B"/>
    <w:rsid w:val="003464E1"/>
    <w:rsid w:val="00385211"/>
    <w:rsid w:val="003D1CFD"/>
    <w:rsid w:val="00407E48"/>
    <w:rsid w:val="00433AB1"/>
    <w:rsid w:val="004349EC"/>
    <w:rsid w:val="004815DF"/>
    <w:rsid w:val="00491D65"/>
    <w:rsid w:val="004F0DDF"/>
    <w:rsid w:val="00504203"/>
    <w:rsid w:val="005272ED"/>
    <w:rsid w:val="00534DB2"/>
    <w:rsid w:val="00552CB3"/>
    <w:rsid w:val="00561EFD"/>
    <w:rsid w:val="00592DB4"/>
    <w:rsid w:val="005A663B"/>
    <w:rsid w:val="005D489F"/>
    <w:rsid w:val="0063074E"/>
    <w:rsid w:val="006663F1"/>
    <w:rsid w:val="006867A2"/>
    <w:rsid w:val="0069270B"/>
    <w:rsid w:val="006C5423"/>
    <w:rsid w:val="006E03FE"/>
    <w:rsid w:val="006E2759"/>
    <w:rsid w:val="00724CF1"/>
    <w:rsid w:val="00800432"/>
    <w:rsid w:val="0080664C"/>
    <w:rsid w:val="00811C03"/>
    <w:rsid w:val="008206A0"/>
    <w:rsid w:val="00823A60"/>
    <w:rsid w:val="00830E8D"/>
    <w:rsid w:val="008832A9"/>
    <w:rsid w:val="008A5C7E"/>
    <w:rsid w:val="008B7D71"/>
    <w:rsid w:val="008D1962"/>
    <w:rsid w:val="008D361D"/>
    <w:rsid w:val="008E2E69"/>
    <w:rsid w:val="008E7BF6"/>
    <w:rsid w:val="00910E5A"/>
    <w:rsid w:val="00914D66"/>
    <w:rsid w:val="009260C9"/>
    <w:rsid w:val="00946E23"/>
    <w:rsid w:val="00970D94"/>
    <w:rsid w:val="009769AA"/>
    <w:rsid w:val="0098670B"/>
    <w:rsid w:val="00A00CC3"/>
    <w:rsid w:val="00A1566C"/>
    <w:rsid w:val="00A2085B"/>
    <w:rsid w:val="00A20A32"/>
    <w:rsid w:val="00A26339"/>
    <w:rsid w:val="00A36045"/>
    <w:rsid w:val="00A37338"/>
    <w:rsid w:val="00A529C0"/>
    <w:rsid w:val="00AB01E6"/>
    <w:rsid w:val="00AC0AF7"/>
    <w:rsid w:val="00AC575C"/>
    <w:rsid w:val="00AE3D00"/>
    <w:rsid w:val="00AE5BCA"/>
    <w:rsid w:val="00AF598A"/>
    <w:rsid w:val="00B122AF"/>
    <w:rsid w:val="00B13EFA"/>
    <w:rsid w:val="00B15001"/>
    <w:rsid w:val="00B25FF9"/>
    <w:rsid w:val="00B30C60"/>
    <w:rsid w:val="00B3644D"/>
    <w:rsid w:val="00B4275C"/>
    <w:rsid w:val="00B4783D"/>
    <w:rsid w:val="00B52E02"/>
    <w:rsid w:val="00B56FA5"/>
    <w:rsid w:val="00B8535D"/>
    <w:rsid w:val="00B92369"/>
    <w:rsid w:val="00BE2291"/>
    <w:rsid w:val="00C064A8"/>
    <w:rsid w:val="00C15F5B"/>
    <w:rsid w:val="00C4297A"/>
    <w:rsid w:val="00C626B8"/>
    <w:rsid w:val="00CC33E9"/>
    <w:rsid w:val="00CD778B"/>
    <w:rsid w:val="00CE17D2"/>
    <w:rsid w:val="00D43991"/>
    <w:rsid w:val="00D46865"/>
    <w:rsid w:val="00DA016A"/>
    <w:rsid w:val="00DC4D4F"/>
    <w:rsid w:val="00DE392F"/>
    <w:rsid w:val="00DE4501"/>
    <w:rsid w:val="00E30147"/>
    <w:rsid w:val="00E34A69"/>
    <w:rsid w:val="00E516D7"/>
    <w:rsid w:val="00E570EF"/>
    <w:rsid w:val="00E65FD9"/>
    <w:rsid w:val="00E70AD7"/>
    <w:rsid w:val="00E80BA9"/>
    <w:rsid w:val="00E8162D"/>
    <w:rsid w:val="00E85841"/>
    <w:rsid w:val="00EA71A6"/>
    <w:rsid w:val="00ED05C0"/>
    <w:rsid w:val="00EF0E2D"/>
    <w:rsid w:val="00EF4322"/>
    <w:rsid w:val="00F01A2C"/>
    <w:rsid w:val="00F02363"/>
    <w:rsid w:val="00F23554"/>
    <w:rsid w:val="00F242C0"/>
    <w:rsid w:val="00F50B91"/>
    <w:rsid w:val="00F572BE"/>
    <w:rsid w:val="00F62BC2"/>
    <w:rsid w:val="00FA68F4"/>
    <w:rsid w:val="00FB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A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206A0"/>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06A0"/>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8206A0"/>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8206A0"/>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8206A0"/>
    <w:rPr>
      <w:vertAlign w:val="superscript"/>
    </w:rPr>
  </w:style>
  <w:style w:type="paragraph" w:styleId="Title">
    <w:name w:val="Title"/>
    <w:basedOn w:val="Normal"/>
    <w:link w:val="TitleChar"/>
    <w:qFormat/>
    <w:rsid w:val="008206A0"/>
    <w:pPr>
      <w:jc w:val="center"/>
    </w:pPr>
    <w:rPr>
      <w:b/>
    </w:rPr>
  </w:style>
  <w:style w:type="character" w:customStyle="1" w:styleId="TitleChar">
    <w:name w:val="Title Char"/>
    <w:basedOn w:val="DefaultParagraphFont"/>
    <w:link w:val="Title"/>
    <w:rsid w:val="008206A0"/>
    <w:rPr>
      <w:rFonts w:ascii="Times New Roman" w:eastAsia="Times New Roman" w:hAnsi="Times New Roman" w:cs="Times New Roman"/>
      <w:b/>
      <w:sz w:val="24"/>
      <w:szCs w:val="20"/>
    </w:rPr>
  </w:style>
  <w:style w:type="paragraph" w:styleId="Header">
    <w:name w:val="header"/>
    <w:basedOn w:val="Normal"/>
    <w:link w:val="HeaderChar"/>
    <w:rsid w:val="008206A0"/>
    <w:pPr>
      <w:tabs>
        <w:tab w:val="center" w:pos="4320"/>
        <w:tab w:val="right" w:pos="8640"/>
      </w:tabs>
    </w:pPr>
    <w:rPr>
      <w:lang w:val="x-none" w:eastAsia="x-none"/>
    </w:rPr>
  </w:style>
  <w:style w:type="character" w:customStyle="1" w:styleId="HeaderChar">
    <w:name w:val="Header Char"/>
    <w:basedOn w:val="DefaultParagraphFont"/>
    <w:link w:val="Header"/>
    <w:rsid w:val="008206A0"/>
    <w:rPr>
      <w:rFonts w:ascii="Times New Roman" w:eastAsia="Times New Roman" w:hAnsi="Times New Roman" w:cs="Times New Roman"/>
      <w:sz w:val="24"/>
      <w:szCs w:val="20"/>
      <w:lang w:val="x-none" w:eastAsia="x-none"/>
    </w:rPr>
  </w:style>
  <w:style w:type="paragraph" w:styleId="Footer">
    <w:name w:val="footer"/>
    <w:basedOn w:val="Normal"/>
    <w:link w:val="FooterChar"/>
    <w:rsid w:val="008206A0"/>
    <w:pPr>
      <w:tabs>
        <w:tab w:val="center" w:pos="4320"/>
        <w:tab w:val="right" w:pos="8640"/>
      </w:tabs>
    </w:pPr>
  </w:style>
  <w:style w:type="character" w:customStyle="1" w:styleId="FooterChar">
    <w:name w:val="Footer Char"/>
    <w:basedOn w:val="DefaultParagraphFont"/>
    <w:link w:val="Footer"/>
    <w:rsid w:val="008206A0"/>
    <w:rPr>
      <w:rFonts w:ascii="Times New Roman" w:eastAsia="Times New Roman" w:hAnsi="Times New Roman" w:cs="Times New Roman"/>
      <w:sz w:val="24"/>
      <w:szCs w:val="20"/>
    </w:rPr>
  </w:style>
  <w:style w:type="character" w:styleId="PageNumber">
    <w:name w:val="page number"/>
    <w:basedOn w:val="DefaultParagraphFont"/>
    <w:rsid w:val="008206A0"/>
  </w:style>
  <w:style w:type="paragraph" w:customStyle="1" w:styleId="StyleParaNumLeft">
    <w:name w:val="Style ParaNum + Left"/>
    <w:basedOn w:val="Normal"/>
    <w:rsid w:val="008206A0"/>
    <w:pPr>
      <w:widowControl w:val="0"/>
      <w:numPr>
        <w:numId w:val="1"/>
      </w:numPr>
      <w:tabs>
        <w:tab w:val="clear" w:pos="1440"/>
        <w:tab w:val="num" w:pos="360"/>
        <w:tab w:val="left" w:pos="720"/>
      </w:tabs>
      <w:spacing w:after="220"/>
    </w:pPr>
    <w:rPr>
      <w:snapToGrid w:val="0"/>
      <w:kern w:val="28"/>
      <w:sz w:val="22"/>
      <w:szCs w:val="22"/>
    </w:rPr>
  </w:style>
  <w:style w:type="character" w:styleId="Hyperlink">
    <w:name w:val="Hyperlink"/>
    <w:basedOn w:val="DefaultParagraphFont"/>
    <w:uiPriority w:val="99"/>
    <w:unhideWhenUsed/>
    <w:rsid w:val="008206A0"/>
    <w:rPr>
      <w:color w:val="0000FF" w:themeColor="hyperlink"/>
      <w:u w:val="single"/>
    </w:rPr>
  </w:style>
  <w:style w:type="paragraph" w:styleId="BalloonText">
    <w:name w:val="Balloon Text"/>
    <w:basedOn w:val="Normal"/>
    <w:link w:val="BalloonTextChar"/>
    <w:uiPriority w:val="99"/>
    <w:semiHidden/>
    <w:unhideWhenUsed/>
    <w:rsid w:val="008B7D71"/>
    <w:rPr>
      <w:rFonts w:ascii="Tahoma" w:hAnsi="Tahoma" w:cs="Tahoma"/>
      <w:sz w:val="16"/>
      <w:szCs w:val="16"/>
    </w:rPr>
  </w:style>
  <w:style w:type="character" w:customStyle="1" w:styleId="BalloonTextChar">
    <w:name w:val="Balloon Text Char"/>
    <w:basedOn w:val="DefaultParagraphFont"/>
    <w:link w:val="BalloonText"/>
    <w:uiPriority w:val="99"/>
    <w:semiHidden/>
    <w:rsid w:val="008B7D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4A69"/>
    <w:rPr>
      <w:sz w:val="16"/>
      <w:szCs w:val="16"/>
    </w:rPr>
  </w:style>
  <w:style w:type="paragraph" w:styleId="CommentText">
    <w:name w:val="annotation text"/>
    <w:basedOn w:val="Normal"/>
    <w:link w:val="CommentTextChar"/>
    <w:uiPriority w:val="99"/>
    <w:semiHidden/>
    <w:unhideWhenUsed/>
    <w:rsid w:val="00E34A69"/>
    <w:rPr>
      <w:sz w:val="20"/>
    </w:rPr>
  </w:style>
  <w:style w:type="character" w:customStyle="1" w:styleId="CommentTextChar">
    <w:name w:val="Comment Text Char"/>
    <w:basedOn w:val="DefaultParagraphFont"/>
    <w:link w:val="CommentText"/>
    <w:uiPriority w:val="99"/>
    <w:semiHidden/>
    <w:rsid w:val="00E34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A69"/>
    <w:rPr>
      <w:b/>
      <w:bCs/>
    </w:rPr>
  </w:style>
  <w:style w:type="character" w:customStyle="1" w:styleId="CommentSubjectChar">
    <w:name w:val="Comment Subject Char"/>
    <w:basedOn w:val="CommentTextChar"/>
    <w:link w:val="CommentSubject"/>
    <w:uiPriority w:val="99"/>
    <w:semiHidden/>
    <w:rsid w:val="00E34A69"/>
    <w:rPr>
      <w:rFonts w:ascii="Times New Roman" w:eastAsia="Times New Roman" w:hAnsi="Times New Roman" w:cs="Times New Roman"/>
      <w:b/>
      <w:bCs/>
      <w:sz w:val="20"/>
      <w:szCs w:val="20"/>
    </w:rPr>
  </w:style>
  <w:style w:type="character" w:customStyle="1" w:styleId="st">
    <w:name w:val="st"/>
    <w:basedOn w:val="DefaultParagraphFont"/>
    <w:rsid w:val="00CD7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A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206A0"/>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06A0"/>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8206A0"/>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8206A0"/>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8206A0"/>
    <w:rPr>
      <w:vertAlign w:val="superscript"/>
    </w:rPr>
  </w:style>
  <w:style w:type="paragraph" w:styleId="Title">
    <w:name w:val="Title"/>
    <w:basedOn w:val="Normal"/>
    <w:link w:val="TitleChar"/>
    <w:qFormat/>
    <w:rsid w:val="008206A0"/>
    <w:pPr>
      <w:jc w:val="center"/>
    </w:pPr>
    <w:rPr>
      <w:b/>
    </w:rPr>
  </w:style>
  <w:style w:type="character" w:customStyle="1" w:styleId="TitleChar">
    <w:name w:val="Title Char"/>
    <w:basedOn w:val="DefaultParagraphFont"/>
    <w:link w:val="Title"/>
    <w:rsid w:val="008206A0"/>
    <w:rPr>
      <w:rFonts w:ascii="Times New Roman" w:eastAsia="Times New Roman" w:hAnsi="Times New Roman" w:cs="Times New Roman"/>
      <w:b/>
      <w:sz w:val="24"/>
      <w:szCs w:val="20"/>
    </w:rPr>
  </w:style>
  <w:style w:type="paragraph" w:styleId="Header">
    <w:name w:val="header"/>
    <w:basedOn w:val="Normal"/>
    <w:link w:val="HeaderChar"/>
    <w:rsid w:val="008206A0"/>
    <w:pPr>
      <w:tabs>
        <w:tab w:val="center" w:pos="4320"/>
        <w:tab w:val="right" w:pos="8640"/>
      </w:tabs>
    </w:pPr>
    <w:rPr>
      <w:lang w:val="x-none" w:eastAsia="x-none"/>
    </w:rPr>
  </w:style>
  <w:style w:type="character" w:customStyle="1" w:styleId="HeaderChar">
    <w:name w:val="Header Char"/>
    <w:basedOn w:val="DefaultParagraphFont"/>
    <w:link w:val="Header"/>
    <w:rsid w:val="008206A0"/>
    <w:rPr>
      <w:rFonts w:ascii="Times New Roman" w:eastAsia="Times New Roman" w:hAnsi="Times New Roman" w:cs="Times New Roman"/>
      <w:sz w:val="24"/>
      <w:szCs w:val="20"/>
      <w:lang w:val="x-none" w:eastAsia="x-none"/>
    </w:rPr>
  </w:style>
  <w:style w:type="paragraph" w:styleId="Footer">
    <w:name w:val="footer"/>
    <w:basedOn w:val="Normal"/>
    <w:link w:val="FooterChar"/>
    <w:rsid w:val="008206A0"/>
    <w:pPr>
      <w:tabs>
        <w:tab w:val="center" w:pos="4320"/>
        <w:tab w:val="right" w:pos="8640"/>
      </w:tabs>
    </w:pPr>
  </w:style>
  <w:style w:type="character" w:customStyle="1" w:styleId="FooterChar">
    <w:name w:val="Footer Char"/>
    <w:basedOn w:val="DefaultParagraphFont"/>
    <w:link w:val="Footer"/>
    <w:rsid w:val="008206A0"/>
    <w:rPr>
      <w:rFonts w:ascii="Times New Roman" w:eastAsia="Times New Roman" w:hAnsi="Times New Roman" w:cs="Times New Roman"/>
      <w:sz w:val="24"/>
      <w:szCs w:val="20"/>
    </w:rPr>
  </w:style>
  <w:style w:type="character" w:styleId="PageNumber">
    <w:name w:val="page number"/>
    <w:basedOn w:val="DefaultParagraphFont"/>
    <w:rsid w:val="008206A0"/>
  </w:style>
  <w:style w:type="paragraph" w:customStyle="1" w:styleId="StyleParaNumLeft">
    <w:name w:val="Style ParaNum + Left"/>
    <w:basedOn w:val="Normal"/>
    <w:rsid w:val="008206A0"/>
    <w:pPr>
      <w:widowControl w:val="0"/>
      <w:numPr>
        <w:numId w:val="1"/>
      </w:numPr>
      <w:tabs>
        <w:tab w:val="clear" w:pos="1440"/>
        <w:tab w:val="num" w:pos="360"/>
        <w:tab w:val="left" w:pos="720"/>
      </w:tabs>
      <w:spacing w:after="220"/>
    </w:pPr>
    <w:rPr>
      <w:snapToGrid w:val="0"/>
      <w:kern w:val="28"/>
      <w:sz w:val="22"/>
      <w:szCs w:val="22"/>
    </w:rPr>
  </w:style>
  <w:style w:type="character" w:styleId="Hyperlink">
    <w:name w:val="Hyperlink"/>
    <w:basedOn w:val="DefaultParagraphFont"/>
    <w:uiPriority w:val="99"/>
    <w:unhideWhenUsed/>
    <w:rsid w:val="008206A0"/>
    <w:rPr>
      <w:color w:val="0000FF" w:themeColor="hyperlink"/>
      <w:u w:val="single"/>
    </w:rPr>
  </w:style>
  <w:style w:type="paragraph" w:styleId="BalloonText">
    <w:name w:val="Balloon Text"/>
    <w:basedOn w:val="Normal"/>
    <w:link w:val="BalloonTextChar"/>
    <w:uiPriority w:val="99"/>
    <w:semiHidden/>
    <w:unhideWhenUsed/>
    <w:rsid w:val="008B7D71"/>
    <w:rPr>
      <w:rFonts w:ascii="Tahoma" w:hAnsi="Tahoma" w:cs="Tahoma"/>
      <w:sz w:val="16"/>
      <w:szCs w:val="16"/>
    </w:rPr>
  </w:style>
  <w:style w:type="character" w:customStyle="1" w:styleId="BalloonTextChar">
    <w:name w:val="Balloon Text Char"/>
    <w:basedOn w:val="DefaultParagraphFont"/>
    <w:link w:val="BalloonText"/>
    <w:uiPriority w:val="99"/>
    <w:semiHidden/>
    <w:rsid w:val="008B7D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34A69"/>
    <w:rPr>
      <w:sz w:val="16"/>
      <w:szCs w:val="16"/>
    </w:rPr>
  </w:style>
  <w:style w:type="paragraph" w:styleId="CommentText">
    <w:name w:val="annotation text"/>
    <w:basedOn w:val="Normal"/>
    <w:link w:val="CommentTextChar"/>
    <w:uiPriority w:val="99"/>
    <w:semiHidden/>
    <w:unhideWhenUsed/>
    <w:rsid w:val="00E34A69"/>
    <w:rPr>
      <w:sz w:val="20"/>
    </w:rPr>
  </w:style>
  <w:style w:type="character" w:customStyle="1" w:styleId="CommentTextChar">
    <w:name w:val="Comment Text Char"/>
    <w:basedOn w:val="DefaultParagraphFont"/>
    <w:link w:val="CommentText"/>
    <w:uiPriority w:val="99"/>
    <w:semiHidden/>
    <w:rsid w:val="00E34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A69"/>
    <w:rPr>
      <w:b/>
      <w:bCs/>
    </w:rPr>
  </w:style>
  <w:style w:type="character" w:customStyle="1" w:styleId="CommentSubjectChar">
    <w:name w:val="Comment Subject Char"/>
    <w:basedOn w:val="CommentTextChar"/>
    <w:link w:val="CommentSubject"/>
    <w:uiPriority w:val="99"/>
    <w:semiHidden/>
    <w:rsid w:val="00E34A69"/>
    <w:rPr>
      <w:rFonts w:ascii="Times New Roman" w:eastAsia="Times New Roman" w:hAnsi="Times New Roman" w:cs="Times New Roman"/>
      <w:b/>
      <w:bCs/>
      <w:sz w:val="20"/>
      <w:szCs w:val="20"/>
    </w:rPr>
  </w:style>
  <w:style w:type="character" w:customStyle="1" w:styleId="st">
    <w:name w:val="st"/>
    <w:basedOn w:val="DefaultParagraphFont"/>
    <w:rsid w:val="00CD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7108">
      <w:bodyDiv w:val="1"/>
      <w:marLeft w:val="0"/>
      <w:marRight w:val="0"/>
      <w:marTop w:val="0"/>
      <w:marBottom w:val="0"/>
      <w:divBdr>
        <w:top w:val="none" w:sz="0" w:space="0" w:color="auto"/>
        <w:left w:val="none" w:sz="0" w:space="0" w:color="auto"/>
        <w:bottom w:val="none" w:sz="0" w:space="0" w:color="auto"/>
        <w:right w:val="none" w:sz="0" w:space="0" w:color="auto"/>
      </w:divBdr>
    </w:div>
    <w:div w:id="452600730">
      <w:bodyDiv w:val="1"/>
      <w:marLeft w:val="0"/>
      <w:marRight w:val="0"/>
      <w:marTop w:val="0"/>
      <w:marBottom w:val="0"/>
      <w:divBdr>
        <w:top w:val="none" w:sz="0" w:space="0" w:color="auto"/>
        <w:left w:val="none" w:sz="0" w:space="0" w:color="auto"/>
        <w:bottom w:val="none" w:sz="0" w:space="0" w:color="auto"/>
        <w:right w:val="none" w:sz="0" w:space="0" w:color="auto"/>
      </w:divBdr>
    </w:div>
    <w:div w:id="14318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a.rosenberg@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4506</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2016-06-16T13:58:00Z</cp:lastPrinted>
  <dcterms:created xsi:type="dcterms:W3CDTF">2016-08-04T17:03:00Z</dcterms:created>
  <dcterms:modified xsi:type="dcterms:W3CDTF">2016-08-04T17:03:00Z</dcterms:modified>
  <cp:category> </cp:category>
  <cp:contentStatus> </cp:contentStatus>
</cp:coreProperties>
</file>