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1BD" w:rsidRDefault="004B7631">
      <w:pPr>
        <w:jc w:val="center"/>
        <w:rPr>
          <w:b/>
          <w:szCs w:val="22"/>
        </w:rPr>
      </w:pPr>
      <w:bookmarkStart w:id="0" w:name="_GoBack"/>
      <w:bookmarkEnd w:id="0"/>
      <w:r>
        <w:rPr>
          <w:b/>
          <w:szCs w:val="22"/>
        </w:rPr>
        <w:t>Before the</w:t>
      </w:r>
    </w:p>
    <w:p w:rsidR="00B911BD" w:rsidRDefault="004B7631">
      <w:pPr>
        <w:jc w:val="center"/>
        <w:rPr>
          <w:b/>
          <w:szCs w:val="22"/>
        </w:rPr>
      </w:pPr>
      <w:r>
        <w:rPr>
          <w:b/>
          <w:szCs w:val="22"/>
        </w:rPr>
        <w:t>Federal Communications Commission</w:t>
      </w:r>
    </w:p>
    <w:p w:rsidR="00B911BD" w:rsidRDefault="004B7631">
      <w:pPr>
        <w:jc w:val="center"/>
        <w:rPr>
          <w:b/>
          <w:szCs w:val="22"/>
        </w:rPr>
      </w:pPr>
      <w:r>
        <w:rPr>
          <w:b/>
          <w:szCs w:val="22"/>
        </w:rPr>
        <w:t>Washington, D.C. 20554</w:t>
      </w:r>
    </w:p>
    <w:p w:rsidR="00B911BD" w:rsidRDefault="00B911BD">
      <w:pPr>
        <w:rPr>
          <w:szCs w:val="22"/>
        </w:rPr>
      </w:pPr>
    </w:p>
    <w:tbl>
      <w:tblPr>
        <w:tblW w:w="9558" w:type="dxa"/>
        <w:tblLayout w:type="fixed"/>
        <w:tblLook w:val="0000" w:firstRow="0" w:lastRow="0" w:firstColumn="0" w:lastColumn="0" w:noHBand="0" w:noVBand="0"/>
      </w:tblPr>
      <w:tblGrid>
        <w:gridCol w:w="4698"/>
        <w:gridCol w:w="540"/>
        <w:gridCol w:w="4320"/>
      </w:tblGrid>
      <w:tr w:rsidR="00B911BD">
        <w:tc>
          <w:tcPr>
            <w:tcW w:w="4698" w:type="dxa"/>
          </w:tcPr>
          <w:p w:rsidR="00B911BD" w:rsidRDefault="004B7631">
            <w:pPr>
              <w:ind w:right="-18"/>
              <w:rPr>
                <w:szCs w:val="22"/>
              </w:rPr>
            </w:pPr>
            <w:r>
              <w:rPr>
                <w:szCs w:val="22"/>
              </w:rPr>
              <w:t>In the Matter of</w:t>
            </w:r>
          </w:p>
          <w:p w:rsidR="00B911BD" w:rsidRDefault="00B911BD">
            <w:pPr>
              <w:ind w:right="-18"/>
              <w:rPr>
                <w:szCs w:val="22"/>
              </w:rPr>
            </w:pPr>
          </w:p>
          <w:p w:rsidR="00B911BD" w:rsidRDefault="00304528">
            <w:pPr>
              <w:ind w:right="-108"/>
              <w:rPr>
                <w:szCs w:val="22"/>
              </w:rPr>
            </w:pPr>
            <w:r>
              <w:rPr>
                <w:szCs w:val="22"/>
              </w:rPr>
              <w:t>MARK F. KROTZ</w:t>
            </w:r>
          </w:p>
          <w:p w:rsidR="00B911BD" w:rsidRDefault="00B911BD">
            <w:pPr>
              <w:ind w:right="-18"/>
              <w:rPr>
                <w:szCs w:val="22"/>
              </w:rPr>
            </w:pPr>
          </w:p>
          <w:p w:rsidR="00304528" w:rsidRDefault="007312FA" w:rsidP="00304528">
            <w:pPr>
              <w:ind w:right="-18"/>
              <w:rPr>
                <w:szCs w:val="22"/>
              </w:rPr>
            </w:pPr>
            <w:r w:rsidRPr="007312FA">
              <w:rPr>
                <w:szCs w:val="22"/>
              </w:rPr>
              <w:t xml:space="preserve">Petition for </w:t>
            </w:r>
            <w:r w:rsidR="00F62657">
              <w:rPr>
                <w:szCs w:val="22"/>
              </w:rPr>
              <w:t>proposed changes in 47 CFR Part § 97.25 License term for Amateur Radio</w:t>
            </w:r>
            <w:r w:rsidR="00304528">
              <w:rPr>
                <w:szCs w:val="22"/>
              </w:rPr>
              <w:t xml:space="preserve"> </w:t>
            </w:r>
          </w:p>
          <w:p w:rsidR="006010F3" w:rsidRDefault="006010F3" w:rsidP="007312FA">
            <w:pPr>
              <w:ind w:right="-18"/>
              <w:rPr>
                <w:szCs w:val="22"/>
              </w:rPr>
            </w:pPr>
          </w:p>
        </w:tc>
        <w:tc>
          <w:tcPr>
            <w:tcW w:w="540" w:type="dxa"/>
          </w:tcPr>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B911BD" w:rsidRPr="00420156" w:rsidRDefault="004B7631">
            <w:pPr>
              <w:rPr>
                <w:b/>
                <w:szCs w:val="22"/>
              </w:rPr>
            </w:pPr>
            <w:r w:rsidRPr="00420156">
              <w:rPr>
                <w:b/>
                <w:szCs w:val="22"/>
              </w:rPr>
              <w:t>)</w:t>
            </w:r>
          </w:p>
          <w:p w:rsidR="008E7B9F" w:rsidRPr="00420156" w:rsidRDefault="008E7B9F" w:rsidP="00F62657">
            <w:pPr>
              <w:rPr>
                <w:b/>
                <w:szCs w:val="22"/>
              </w:rPr>
            </w:pPr>
            <w:r>
              <w:rPr>
                <w:b/>
                <w:szCs w:val="22"/>
              </w:rPr>
              <w:t>)</w:t>
            </w:r>
          </w:p>
        </w:tc>
        <w:tc>
          <w:tcPr>
            <w:tcW w:w="4320" w:type="dxa"/>
          </w:tcPr>
          <w:p w:rsidR="00E9369D" w:rsidRDefault="00E9369D">
            <w:pPr>
              <w:ind w:left="-108" w:right="-18"/>
              <w:rPr>
                <w:szCs w:val="22"/>
              </w:rPr>
            </w:pPr>
          </w:p>
          <w:p w:rsidR="00E9369D" w:rsidRDefault="00E9369D">
            <w:pPr>
              <w:ind w:left="-108" w:right="-18"/>
              <w:rPr>
                <w:szCs w:val="22"/>
              </w:rPr>
            </w:pPr>
          </w:p>
          <w:p w:rsidR="00304528" w:rsidRDefault="00304528" w:rsidP="00304528">
            <w:pPr>
              <w:ind w:left="-108" w:right="-18"/>
              <w:rPr>
                <w:szCs w:val="22"/>
              </w:rPr>
            </w:pPr>
            <w:r>
              <w:rPr>
                <w:szCs w:val="22"/>
              </w:rPr>
              <w:t>RM-11760</w:t>
            </w:r>
          </w:p>
          <w:p w:rsidR="006010F3" w:rsidRDefault="006010F3" w:rsidP="008E7B9F">
            <w:pPr>
              <w:ind w:left="-108" w:right="-18"/>
              <w:rPr>
                <w:szCs w:val="22"/>
              </w:rPr>
            </w:pPr>
          </w:p>
        </w:tc>
      </w:tr>
    </w:tbl>
    <w:p w:rsidR="00B911BD" w:rsidRDefault="00F928D5">
      <w:pPr>
        <w:spacing w:before="120"/>
        <w:jc w:val="center"/>
        <w:rPr>
          <w:b/>
          <w:szCs w:val="22"/>
        </w:rPr>
      </w:pPr>
      <w:r>
        <w:rPr>
          <w:b/>
          <w:spacing w:val="-2"/>
          <w:szCs w:val="22"/>
        </w:rPr>
        <w:t>O</w:t>
      </w:r>
      <w:r w:rsidR="004B7631">
        <w:rPr>
          <w:b/>
          <w:spacing w:val="-2"/>
          <w:szCs w:val="22"/>
        </w:rPr>
        <w:t>RDER</w:t>
      </w:r>
    </w:p>
    <w:p w:rsidR="00B911BD" w:rsidRDefault="00B911BD">
      <w:pPr>
        <w:rPr>
          <w:szCs w:val="22"/>
        </w:rPr>
      </w:pPr>
    </w:p>
    <w:p w:rsidR="00B911BD" w:rsidRDefault="004B7631">
      <w:pPr>
        <w:tabs>
          <w:tab w:val="left" w:pos="5760"/>
        </w:tabs>
        <w:rPr>
          <w:b/>
          <w:szCs w:val="22"/>
        </w:rPr>
      </w:pPr>
      <w:r>
        <w:rPr>
          <w:b/>
          <w:szCs w:val="22"/>
        </w:rPr>
        <w:t xml:space="preserve">   Adopted:  </w:t>
      </w:r>
      <w:r w:rsidR="003B16DD">
        <w:rPr>
          <w:b/>
          <w:szCs w:val="22"/>
        </w:rPr>
        <w:t>June</w:t>
      </w:r>
      <w:r w:rsidR="00894032">
        <w:rPr>
          <w:b/>
          <w:szCs w:val="22"/>
        </w:rPr>
        <w:t xml:space="preserve"> 21</w:t>
      </w:r>
      <w:r w:rsidR="00D14E22">
        <w:rPr>
          <w:b/>
          <w:szCs w:val="22"/>
        </w:rPr>
        <w:t>, 2016</w:t>
      </w:r>
      <w:r>
        <w:rPr>
          <w:b/>
          <w:szCs w:val="22"/>
        </w:rPr>
        <w:tab/>
        <w:t xml:space="preserve">Released:  </w:t>
      </w:r>
      <w:r w:rsidR="003B16DD">
        <w:rPr>
          <w:b/>
          <w:szCs w:val="22"/>
        </w:rPr>
        <w:t>June</w:t>
      </w:r>
      <w:r w:rsidR="00894032">
        <w:rPr>
          <w:b/>
          <w:szCs w:val="22"/>
        </w:rPr>
        <w:t xml:space="preserve"> 22</w:t>
      </w:r>
      <w:r w:rsidR="00D14E22">
        <w:rPr>
          <w:b/>
          <w:szCs w:val="22"/>
        </w:rPr>
        <w:t>, 2016</w:t>
      </w:r>
    </w:p>
    <w:p w:rsidR="00B911BD" w:rsidRDefault="00B911BD">
      <w:pPr>
        <w:tabs>
          <w:tab w:val="left" w:pos="5760"/>
        </w:tabs>
        <w:rPr>
          <w:b/>
          <w:szCs w:val="22"/>
        </w:rPr>
      </w:pPr>
    </w:p>
    <w:p w:rsidR="00304528" w:rsidRPr="0017349E" w:rsidRDefault="004B7631" w:rsidP="00304528">
      <w:r>
        <w:rPr>
          <w:szCs w:val="22"/>
        </w:rPr>
        <w:t>By the</w:t>
      </w:r>
      <w:r>
        <w:rPr>
          <w:spacing w:val="-2"/>
          <w:szCs w:val="22"/>
        </w:rPr>
        <w:t xml:space="preserve"> Deputy Chief, Mobility Division, Wireless Telecommunications Bureau:</w:t>
      </w:r>
      <w:r w:rsidR="00304528" w:rsidRPr="00304528">
        <w:t xml:space="preserve"> </w:t>
      </w:r>
    </w:p>
    <w:p w:rsidR="00304528" w:rsidRPr="0017349E" w:rsidRDefault="00304528" w:rsidP="00304528"/>
    <w:p w:rsidR="00304528" w:rsidRPr="00DD79C0" w:rsidRDefault="00DD79C0" w:rsidP="00DD79C0">
      <w:pPr>
        <w:pStyle w:val="ListParagraph"/>
        <w:numPr>
          <w:ilvl w:val="0"/>
          <w:numId w:val="30"/>
        </w:numPr>
        <w:spacing w:after="0" w:line="240" w:lineRule="auto"/>
        <w:ind w:left="0" w:firstLine="720"/>
        <w:rPr>
          <w:rFonts w:ascii="Times New Roman" w:hAnsi="Times New Roman" w:cs="Times New Roman"/>
        </w:rPr>
      </w:pPr>
      <w:r>
        <w:rPr>
          <w:rFonts w:ascii="Times New Roman" w:hAnsi="Times New Roman" w:cs="Times New Roman"/>
          <w:i/>
        </w:rPr>
        <w:t xml:space="preserve">Introduction.  </w:t>
      </w:r>
      <w:r w:rsidR="00304528" w:rsidRPr="0017349E">
        <w:rPr>
          <w:rFonts w:ascii="Times New Roman" w:hAnsi="Times New Roman" w:cs="Times New Roman"/>
        </w:rPr>
        <w:t>We have before us a petition filed by Mark F. Krotz</w:t>
      </w:r>
      <w:r w:rsidR="00304528" w:rsidRPr="0017349E">
        <w:rPr>
          <w:rStyle w:val="FootnoteReference"/>
          <w:rFonts w:ascii="Times New Roman" w:hAnsi="Times New Roman" w:cs="Times New Roman"/>
        </w:rPr>
        <w:footnoteReference w:id="2"/>
      </w:r>
      <w:r w:rsidR="00304528" w:rsidRPr="0017349E">
        <w:rPr>
          <w:rFonts w:ascii="Times New Roman" w:hAnsi="Times New Roman" w:cs="Times New Roman"/>
        </w:rPr>
        <w:t xml:space="preserve"> requesting a change to Section 97.25 of the Commission’s Rules, which governs the term of an amateur radio license.</w:t>
      </w:r>
      <w:r w:rsidR="00304528" w:rsidRPr="0017349E">
        <w:rPr>
          <w:rStyle w:val="FootnoteReference"/>
          <w:rFonts w:ascii="Times New Roman" w:hAnsi="Times New Roman" w:cs="Times New Roman"/>
        </w:rPr>
        <w:footnoteReference w:id="3"/>
      </w:r>
      <w:r w:rsidR="00304528" w:rsidRPr="0017349E">
        <w:rPr>
          <w:rFonts w:ascii="Times New Roman" w:hAnsi="Times New Roman" w:cs="Times New Roman"/>
        </w:rPr>
        <w:t xml:space="preserve"> </w:t>
      </w:r>
      <w:r w:rsidR="00F62657">
        <w:rPr>
          <w:rFonts w:ascii="Times New Roman" w:hAnsi="Times New Roman" w:cs="Times New Roman"/>
        </w:rPr>
        <w:t xml:space="preserve"> </w:t>
      </w:r>
      <w:r w:rsidR="00304528" w:rsidRPr="0017349E">
        <w:rPr>
          <w:rFonts w:ascii="Times New Roman" w:hAnsi="Times New Roman" w:cs="Times New Roman"/>
        </w:rPr>
        <w:t xml:space="preserve">The petition requests that </w:t>
      </w:r>
      <w:r w:rsidR="001E2C95">
        <w:rPr>
          <w:rFonts w:ascii="Times New Roman" w:hAnsi="Times New Roman" w:cs="Times New Roman"/>
        </w:rPr>
        <w:t xml:space="preserve">the rules be amended to grant </w:t>
      </w:r>
      <w:r w:rsidR="00F62657">
        <w:rPr>
          <w:rFonts w:ascii="Times New Roman" w:hAnsi="Times New Roman" w:cs="Times New Roman"/>
        </w:rPr>
        <w:t xml:space="preserve">amateur licenses </w:t>
      </w:r>
      <w:r w:rsidR="001E2C95">
        <w:rPr>
          <w:rFonts w:ascii="Times New Roman" w:hAnsi="Times New Roman" w:cs="Times New Roman"/>
        </w:rPr>
        <w:t>for</w:t>
      </w:r>
      <w:r w:rsidR="00F62657">
        <w:rPr>
          <w:rFonts w:ascii="Times New Roman" w:hAnsi="Times New Roman" w:cs="Times New Roman"/>
        </w:rPr>
        <w:t xml:space="preserve"> </w:t>
      </w:r>
      <w:r w:rsidR="00304528" w:rsidRPr="0017349E">
        <w:rPr>
          <w:rFonts w:ascii="Times New Roman" w:hAnsi="Times New Roman" w:cs="Times New Roman"/>
        </w:rPr>
        <w:t xml:space="preserve">the lifetime of the </w:t>
      </w:r>
      <w:r w:rsidR="00F62657">
        <w:rPr>
          <w:rFonts w:ascii="Times New Roman" w:hAnsi="Times New Roman" w:cs="Times New Roman"/>
        </w:rPr>
        <w:t>holder</w:t>
      </w:r>
      <w:r w:rsidR="00304528" w:rsidRPr="0017349E">
        <w:rPr>
          <w:rFonts w:ascii="Times New Roman" w:hAnsi="Times New Roman" w:cs="Times New Roman"/>
        </w:rPr>
        <w:t xml:space="preserve">. </w:t>
      </w:r>
      <w:r w:rsidR="00F62657">
        <w:rPr>
          <w:rFonts w:ascii="Times New Roman" w:hAnsi="Times New Roman" w:cs="Times New Roman"/>
        </w:rPr>
        <w:t xml:space="preserve"> </w:t>
      </w:r>
      <w:r w:rsidR="00304528" w:rsidRPr="0017349E">
        <w:rPr>
          <w:rFonts w:ascii="Times New Roman" w:hAnsi="Times New Roman" w:cs="Times New Roman"/>
        </w:rPr>
        <w:t>For the reasons below, we dismiss the petition.</w:t>
      </w:r>
    </w:p>
    <w:p w:rsidR="00304528" w:rsidRPr="00F62657" w:rsidRDefault="00304528" w:rsidP="00304528">
      <w:pPr>
        <w:pStyle w:val="ListParagraph"/>
        <w:spacing w:after="0" w:line="240" w:lineRule="auto"/>
        <w:rPr>
          <w:rFonts w:ascii="Times New Roman" w:hAnsi="Times New Roman" w:cs="Times New Roman"/>
          <w:b/>
        </w:rPr>
      </w:pPr>
    </w:p>
    <w:p w:rsidR="00304528" w:rsidRPr="00F62657" w:rsidRDefault="00DD79C0" w:rsidP="00304528">
      <w:pPr>
        <w:pStyle w:val="ListParagraph"/>
        <w:numPr>
          <w:ilvl w:val="0"/>
          <w:numId w:val="30"/>
        </w:numPr>
        <w:spacing w:after="0" w:line="240" w:lineRule="auto"/>
        <w:ind w:left="0" w:firstLine="720"/>
        <w:rPr>
          <w:rFonts w:ascii="Times New Roman" w:hAnsi="Times New Roman" w:cs="Times New Roman"/>
        </w:rPr>
      </w:pPr>
      <w:r w:rsidRPr="00DD79C0">
        <w:rPr>
          <w:rFonts w:ascii="Times New Roman" w:hAnsi="Times New Roman" w:cs="Times New Roman"/>
          <w:i/>
        </w:rPr>
        <w:t>Background</w:t>
      </w:r>
      <w:r>
        <w:rPr>
          <w:rFonts w:ascii="Times New Roman" w:hAnsi="Times New Roman" w:cs="Times New Roman"/>
        </w:rPr>
        <w:t xml:space="preserve">.  </w:t>
      </w:r>
      <w:r w:rsidR="00304528" w:rsidRPr="00F62657">
        <w:rPr>
          <w:rFonts w:ascii="Times New Roman" w:hAnsi="Times New Roman" w:cs="Times New Roman"/>
        </w:rPr>
        <w:t>Section 97.25 of the Commission’s Rules states that an amateur radio license “is normally granted for a 10-year term.”</w:t>
      </w:r>
      <w:r w:rsidR="00304528" w:rsidRPr="00F62657">
        <w:rPr>
          <w:rStyle w:val="FootnoteReference"/>
          <w:rFonts w:ascii="Times New Roman" w:hAnsi="Times New Roman" w:cs="Times New Roman"/>
        </w:rPr>
        <w:footnoteReference w:id="4"/>
      </w:r>
      <w:r>
        <w:rPr>
          <w:rFonts w:ascii="Times New Roman" w:hAnsi="Times New Roman" w:cs="Times New Roman"/>
        </w:rPr>
        <w:t xml:space="preserve">  Krotz argues that extending the term of amateur licenses to the lifetime of the holder will </w:t>
      </w:r>
      <w:r w:rsidR="00A15F76">
        <w:rPr>
          <w:rFonts w:ascii="Times New Roman" w:hAnsi="Times New Roman" w:cs="Times New Roman"/>
        </w:rPr>
        <w:t>relieve</w:t>
      </w:r>
      <w:r>
        <w:rPr>
          <w:rFonts w:ascii="Times New Roman" w:hAnsi="Times New Roman" w:cs="Times New Roman"/>
        </w:rPr>
        <w:t xml:space="preserve"> administrative burdens on licensees and Commission staff, and align the term of amateur radio licenses with that of most commercial radio operator licenses.</w:t>
      </w:r>
      <w:r w:rsidR="001E2C95" w:rsidRPr="0017349E">
        <w:rPr>
          <w:rStyle w:val="FootnoteReference"/>
          <w:rFonts w:ascii="Times New Roman" w:hAnsi="Times New Roman" w:cs="Times New Roman"/>
        </w:rPr>
        <w:footnoteReference w:id="5"/>
      </w:r>
      <w:r w:rsidR="001E2C95">
        <w:rPr>
          <w:rFonts w:ascii="Times New Roman" w:hAnsi="Times New Roman" w:cs="Times New Roman"/>
        </w:rPr>
        <w:t xml:space="preserve">  Commenters</w:t>
      </w:r>
      <w:r w:rsidR="00011CF7">
        <w:rPr>
          <w:rFonts w:ascii="Times New Roman" w:hAnsi="Times New Roman" w:cs="Times New Roman"/>
        </w:rPr>
        <w:t>—</w:t>
      </w:r>
      <w:r w:rsidR="006A151F">
        <w:rPr>
          <w:rFonts w:ascii="Times New Roman" w:hAnsi="Times New Roman" w:cs="Times New Roman"/>
        </w:rPr>
        <w:t>consisting of</w:t>
      </w:r>
      <w:r w:rsidR="00011CF7">
        <w:rPr>
          <w:rFonts w:ascii="Times New Roman" w:hAnsi="Times New Roman" w:cs="Times New Roman"/>
        </w:rPr>
        <w:t xml:space="preserve"> individual amateur licensees—were </w:t>
      </w:r>
      <w:r w:rsidR="001E2C95">
        <w:rPr>
          <w:rFonts w:ascii="Times New Roman" w:hAnsi="Times New Roman" w:cs="Times New Roman"/>
        </w:rPr>
        <w:t xml:space="preserve">evenly </w:t>
      </w:r>
      <w:r w:rsidR="002C76B1">
        <w:rPr>
          <w:rFonts w:ascii="Times New Roman" w:hAnsi="Times New Roman" w:cs="Times New Roman"/>
        </w:rPr>
        <w:t>divided</w:t>
      </w:r>
      <w:r w:rsidR="001E2C95">
        <w:rPr>
          <w:rFonts w:ascii="Times New Roman" w:hAnsi="Times New Roman" w:cs="Times New Roman"/>
        </w:rPr>
        <w:t xml:space="preserve"> between those supporting the proposal and those opposing it.</w:t>
      </w:r>
      <w:r w:rsidR="001E2C95">
        <w:rPr>
          <w:rStyle w:val="FootnoteReference"/>
          <w:rFonts w:ascii="Times New Roman" w:hAnsi="Times New Roman" w:cs="Times New Roman"/>
        </w:rPr>
        <w:footnoteReference w:id="6"/>
      </w:r>
    </w:p>
    <w:p w:rsidR="00304528" w:rsidRPr="0017349E" w:rsidRDefault="00304528" w:rsidP="00304528">
      <w:pPr>
        <w:pStyle w:val="ListParagraph"/>
        <w:spacing w:after="0" w:line="240" w:lineRule="auto"/>
        <w:rPr>
          <w:rFonts w:ascii="Times New Roman" w:hAnsi="Times New Roman" w:cs="Times New Roman"/>
        </w:rPr>
      </w:pPr>
    </w:p>
    <w:p w:rsidR="00A15F76" w:rsidRDefault="00304528" w:rsidP="00011CF7">
      <w:pPr>
        <w:pStyle w:val="ListParagraph"/>
        <w:numPr>
          <w:ilvl w:val="0"/>
          <w:numId w:val="30"/>
        </w:numPr>
        <w:spacing w:after="0" w:line="240" w:lineRule="auto"/>
        <w:ind w:left="0" w:firstLine="720"/>
        <w:rPr>
          <w:rFonts w:ascii="Times New Roman" w:hAnsi="Times New Roman" w:cs="Times New Roman"/>
        </w:rPr>
      </w:pPr>
      <w:r w:rsidRPr="0017349E">
        <w:rPr>
          <w:rFonts w:ascii="Times New Roman" w:hAnsi="Times New Roman" w:cs="Times New Roman"/>
        </w:rPr>
        <w:t xml:space="preserve"> </w:t>
      </w:r>
      <w:r w:rsidR="001E2C95">
        <w:rPr>
          <w:rFonts w:ascii="Times New Roman" w:hAnsi="Times New Roman" w:cs="Times New Roman"/>
          <w:i/>
        </w:rPr>
        <w:t xml:space="preserve">Discussion.  </w:t>
      </w:r>
      <w:r w:rsidR="00011CF7" w:rsidRPr="00453746">
        <w:rPr>
          <w:rFonts w:ascii="Times New Roman" w:hAnsi="Times New Roman" w:cs="Times New Roman"/>
        </w:rPr>
        <w:t xml:space="preserve">Based on our review of the record, we are not persuaded that the petition discloses sufficient </w:t>
      </w:r>
      <w:r w:rsidR="00011CF7">
        <w:rPr>
          <w:rFonts w:ascii="Times New Roman" w:hAnsi="Times New Roman" w:cs="Times New Roman"/>
        </w:rPr>
        <w:t xml:space="preserve">grounds </w:t>
      </w:r>
      <w:r w:rsidR="00011CF7" w:rsidRPr="00453746">
        <w:rPr>
          <w:rFonts w:ascii="Times New Roman" w:hAnsi="Times New Roman" w:cs="Times New Roman"/>
        </w:rPr>
        <w:t xml:space="preserve">for the </w:t>
      </w:r>
      <w:r w:rsidR="00011CF7">
        <w:rPr>
          <w:rFonts w:ascii="Times New Roman" w:hAnsi="Times New Roman" w:cs="Times New Roman"/>
        </w:rPr>
        <w:t>requested rule change</w:t>
      </w:r>
      <w:r w:rsidR="00011CF7" w:rsidRPr="00453746">
        <w:rPr>
          <w:rFonts w:ascii="Times New Roman" w:hAnsi="Times New Roman" w:cs="Times New Roman"/>
        </w:rPr>
        <w:t xml:space="preserve">. </w:t>
      </w:r>
      <w:r w:rsidR="00011CF7">
        <w:rPr>
          <w:rFonts w:ascii="Times New Roman" w:hAnsi="Times New Roman" w:cs="Times New Roman"/>
        </w:rPr>
        <w:t xml:space="preserve"> </w:t>
      </w:r>
      <w:r w:rsidR="00A15F76" w:rsidRPr="0017349E">
        <w:rPr>
          <w:rFonts w:ascii="Times New Roman" w:hAnsi="Times New Roman" w:cs="Times New Roman"/>
        </w:rPr>
        <w:t>Krotz</w:t>
      </w:r>
      <w:r w:rsidR="000F4A44">
        <w:rPr>
          <w:rFonts w:ascii="Times New Roman" w:hAnsi="Times New Roman" w:cs="Times New Roman"/>
        </w:rPr>
        <w:t>’s primary argument is</w:t>
      </w:r>
      <w:r w:rsidR="00A15F76">
        <w:rPr>
          <w:rFonts w:ascii="Times New Roman" w:hAnsi="Times New Roman" w:cs="Times New Roman"/>
        </w:rPr>
        <w:t xml:space="preserve"> that extending the term of amateur licenses to the lifetime of the holder would reduce the Commission’s administrative and personnel costs</w:t>
      </w:r>
      <w:r w:rsidR="006C5139">
        <w:rPr>
          <w:rFonts w:ascii="Times New Roman" w:hAnsi="Times New Roman" w:cs="Times New Roman"/>
        </w:rPr>
        <w:t xml:space="preserve">, </w:t>
      </w:r>
      <w:r w:rsidR="00F4308C">
        <w:rPr>
          <w:rFonts w:ascii="Times New Roman" w:hAnsi="Times New Roman" w:cs="Times New Roman"/>
        </w:rPr>
        <w:t xml:space="preserve">but </w:t>
      </w:r>
      <w:r w:rsidR="000E0F96">
        <w:rPr>
          <w:rFonts w:ascii="Times New Roman" w:hAnsi="Times New Roman" w:cs="Times New Roman"/>
        </w:rPr>
        <w:t>it is not clear to us</w:t>
      </w:r>
      <w:r w:rsidR="00A15F76">
        <w:rPr>
          <w:rFonts w:ascii="Times New Roman" w:hAnsi="Times New Roman" w:cs="Times New Roman"/>
        </w:rPr>
        <w:t xml:space="preserve"> that the propo</w:t>
      </w:r>
      <w:r w:rsidR="00CC7DF1">
        <w:rPr>
          <w:rFonts w:ascii="Times New Roman" w:hAnsi="Times New Roman" w:cs="Times New Roman"/>
        </w:rPr>
        <w:t xml:space="preserve">sal </w:t>
      </w:r>
      <w:r w:rsidR="000F4A44">
        <w:rPr>
          <w:rFonts w:ascii="Times New Roman" w:hAnsi="Times New Roman" w:cs="Times New Roman"/>
        </w:rPr>
        <w:t xml:space="preserve">actually </w:t>
      </w:r>
      <w:r w:rsidR="00CC7DF1">
        <w:rPr>
          <w:rFonts w:ascii="Times New Roman" w:hAnsi="Times New Roman" w:cs="Times New Roman"/>
        </w:rPr>
        <w:t xml:space="preserve">would </w:t>
      </w:r>
      <w:r w:rsidR="000E0F96">
        <w:rPr>
          <w:rFonts w:ascii="Times New Roman" w:hAnsi="Times New Roman" w:cs="Times New Roman"/>
        </w:rPr>
        <w:t>enhance</w:t>
      </w:r>
      <w:r w:rsidR="00CC7DF1">
        <w:rPr>
          <w:rFonts w:ascii="Times New Roman" w:hAnsi="Times New Roman" w:cs="Times New Roman"/>
        </w:rPr>
        <w:t xml:space="preserve"> administrative efficiency.  The vast majority (approximately 97%, according to a recent review) of amateur license renewal applications are submitted </w:t>
      </w:r>
      <w:r w:rsidR="006C5139">
        <w:rPr>
          <w:rFonts w:ascii="Times New Roman" w:hAnsi="Times New Roman" w:cs="Times New Roman"/>
        </w:rPr>
        <w:t>via the Commission’s Universal Licensing System (ULS)</w:t>
      </w:r>
      <w:r w:rsidR="00CC7DF1">
        <w:rPr>
          <w:rFonts w:ascii="Times New Roman" w:hAnsi="Times New Roman" w:cs="Times New Roman"/>
        </w:rPr>
        <w:t xml:space="preserve">, either by the licensee </w:t>
      </w:r>
      <w:r w:rsidR="006C5139">
        <w:rPr>
          <w:rFonts w:ascii="Times New Roman" w:hAnsi="Times New Roman" w:cs="Times New Roman"/>
        </w:rPr>
        <w:t xml:space="preserve">online </w:t>
      </w:r>
      <w:r w:rsidR="00CC7DF1">
        <w:rPr>
          <w:rFonts w:ascii="Times New Roman" w:hAnsi="Times New Roman" w:cs="Times New Roman"/>
        </w:rPr>
        <w:t>or in batch format by the Volunteer Examiner Coordinators.  Renewal applications that are filed timely or within the two-year renewal grace period are processed automatically by ULS with</w:t>
      </w:r>
      <w:r w:rsidR="006C5139">
        <w:rPr>
          <w:rFonts w:ascii="Times New Roman" w:hAnsi="Times New Roman" w:cs="Times New Roman"/>
        </w:rPr>
        <w:t xml:space="preserve"> minimal</w:t>
      </w:r>
      <w:r w:rsidR="00CC7DF1">
        <w:rPr>
          <w:rFonts w:ascii="Times New Roman" w:hAnsi="Times New Roman" w:cs="Times New Roman"/>
        </w:rPr>
        <w:t xml:space="preserve"> staff involvement.  </w:t>
      </w:r>
      <w:r w:rsidR="006C5139">
        <w:rPr>
          <w:rFonts w:ascii="Times New Roman" w:hAnsi="Times New Roman" w:cs="Times New Roman"/>
        </w:rPr>
        <w:t xml:space="preserve">In addition, the Commission has further reduced </w:t>
      </w:r>
      <w:r w:rsidR="000E0F96">
        <w:rPr>
          <w:rFonts w:ascii="Times New Roman" w:hAnsi="Times New Roman" w:cs="Times New Roman"/>
        </w:rPr>
        <w:t>its</w:t>
      </w:r>
      <w:r w:rsidR="006C5139">
        <w:rPr>
          <w:rFonts w:ascii="Times New Roman" w:hAnsi="Times New Roman" w:cs="Times New Roman"/>
        </w:rPr>
        <w:t xml:space="preserve"> costs </w:t>
      </w:r>
      <w:r w:rsidR="000F4A44">
        <w:rPr>
          <w:rFonts w:ascii="Times New Roman" w:hAnsi="Times New Roman" w:cs="Times New Roman"/>
        </w:rPr>
        <w:t xml:space="preserve">associated with </w:t>
      </w:r>
      <w:r w:rsidR="000F4A44">
        <w:rPr>
          <w:rFonts w:ascii="Times New Roman" w:hAnsi="Times New Roman" w:cs="Times New Roman"/>
        </w:rPr>
        <w:lastRenderedPageBreak/>
        <w:t xml:space="preserve">license renewal </w:t>
      </w:r>
      <w:r w:rsidR="006C5139">
        <w:rPr>
          <w:rFonts w:ascii="Times New Roman" w:hAnsi="Times New Roman" w:cs="Times New Roman"/>
        </w:rPr>
        <w:t>by no longer routinely mailing out new license documents.</w:t>
      </w:r>
      <w:r w:rsidR="006C5139">
        <w:rPr>
          <w:rStyle w:val="FootnoteReference"/>
          <w:rFonts w:ascii="Times New Roman" w:hAnsi="Times New Roman" w:cs="Times New Roman"/>
        </w:rPr>
        <w:footnoteReference w:id="7"/>
      </w:r>
      <w:r w:rsidR="006C5139">
        <w:rPr>
          <w:rFonts w:ascii="Times New Roman" w:hAnsi="Times New Roman" w:cs="Times New Roman"/>
        </w:rPr>
        <w:t xml:space="preserve">  </w:t>
      </w:r>
      <w:r w:rsidR="000F4A44">
        <w:rPr>
          <w:rFonts w:ascii="Times New Roman" w:hAnsi="Times New Roman" w:cs="Times New Roman"/>
        </w:rPr>
        <w:t>Conversely, i</w:t>
      </w:r>
      <w:r w:rsidR="006C5139">
        <w:rPr>
          <w:rFonts w:ascii="Times New Roman" w:hAnsi="Times New Roman" w:cs="Times New Roman"/>
        </w:rPr>
        <w:t>f license</w:t>
      </w:r>
      <w:r w:rsidR="000F4A44">
        <w:rPr>
          <w:rFonts w:ascii="Times New Roman" w:hAnsi="Times New Roman" w:cs="Times New Roman"/>
        </w:rPr>
        <w:t xml:space="preserve"> term</w:t>
      </w:r>
      <w:r w:rsidR="006C5139">
        <w:rPr>
          <w:rFonts w:ascii="Times New Roman" w:hAnsi="Times New Roman" w:cs="Times New Roman"/>
        </w:rPr>
        <w:t xml:space="preserve">s were </w:t>
      </w:r>
      <w:r w:rsidR="000F4A44">
        <w:rPr>
          <w:rFonts w:ascii="Times New Roman" w:hAnsi="Times New Roman" w:cs="Times New Roman"/>
        </w:rPr>
        <w:t>extended to</w:t>
      </w:r>
      <w:r w:rsidR="006C5139">
        <w:rPr>
          <w:rFonts w:ascii="Times New Roman" w:hAnsi="Times New Roman" w:cs="Times New Roman"/>
        </w:rPr>
        <w:t xml:space="preserve"> the </w:t>
      </w:r>
      <w:r w:rsidR="000F4A44">
        <w:rPr>
          <w:rFonts w:ascii="Times New Roman" w:hAnsi="Times New Roman" w:cs="Times New Roman"/>
        </w:rPr>
        <w:t xml:space="preserve">holder’s </w:t>
      </w:r>
      <w:r w:rsidR="006C5139">
        <w:rPr>
          <w:rFonts w:ascii="Times New Roman" w:hAnsi="Times New Roman" w:cs="Times New Roman"/>
        </w:rPr>
        <w:t>lifetime</w:t>
      </w:r>
      <w:r w:rsidR="000F4A44">
        <w:rPr>
          <w:rFonts w:ascii="Times New Roman" w:hAnsi="Times New Roman" w:cs="Times New Roman"/>
        </w:rPr>
        <w:t>, we</w:t>
      </w:r>
      <w:r w:rsidR="00A15F76" w:rsidRPr="0017349E">
        <w:rPr>
          <w:rFonts w:ascii="Times New Roman" w:hAnsi="Times New Roman" w:cs="Times New Roman"/>
        </w:rPr>
        <w:t xml:space="preserve"> </w:t>
      </w:r>
      <w:r w:rsidR="000E0F96">
        <w:rPr>
          <w:rFonts w:ascii="Times New Roman" w:hAnsi="Times New Roman" w:cs="Times New Roman"/>
        </w:rPr>
        <w:t xml:space="preserve">likely </w:t>
      </w:r>
      <w:r w:rsidR="000F4A44">
        <w:rPr>
          <w:rFonts w:ascii="Times New Roman" w:hAnsi="Times New Roman" w:cs="Times New Roman"/>
        </w:rPr>
        <w:t xml:space="preserve">would receive more </w:t>
      </w:r>
      <w:r w:rsidR="00A15F76" w:rsidRPr="0017349E">
        <w:rPr>
          <w:rFonts w:ascii="Times New Roman" w:hAnsi="Times New Roman" w:cs="Times New Roman"/>
        </w:rPr>
        <w:t>cancellations</w:t>
      </w:r>
      <w:r w:rsidR="000F4A44">
        <w:rPr>
          <w:rFonts w:ascii="Times New Roman" w:hAnsi="Times New Roman" w:cs="Times New Roman"/>
        </w:rPr>
        <w:t xml:space="preserve"> on account of the licensee’s death</w:t>
      </w:r>
      <w:r w:rsidR="00A15F76" w:rsidRPr="0017349E">
        <w:rPr>
          <w:rFonts w:ascii="Times New Roman" w:hAnsi="Times New Roman" w:cs="Times New Roman"/>
        </w:rPr>
        <w:t>,</w:t>
      </w:r>
      <w:r w:rsidR="006956C7" w:rsidRPr="0017349E">
        <w:rPr>
          <w:rStyle w:val="FootnoteReference"/>
          <w:rFonts w:ascii="Times New Roman" w:hAnsi="Times New Roman" w:cs="Times New Roman"/>
        </w:rPr>
        <w:footnoteReference w:id="8"/>
      </w:r>
      <w:r w:rsidR="00A15F76" w:rsidRPr="0017349E">
        <w:rPr>
          <w:rFonts w:ascii="Times New Roman" w:hAnsi="Times New Roman" w:cs="Times New Roman"/>
        </w:rPr>
        <w:t xml:space="preserve"> </w:t>
      </w:r>
      <w:r w:rsidR="000F4A44">
        <w:rPr>
          <w:rFonts w:ascii="Times New Roman" w:hAnsi="Times New Roman" w:cs="Times New Roman"/>
        </w:rPr>
        <w:t xml:space="preserve">which </w:t>
      </w:r>
      <w:r w:rsidR="00A15F76" w:rsidRPr="0017349E">
        <w:rPr>
          <w:rFonts w:ascii="Times New Roman" w:hAnsi="Times New Roman" w:cs="Times New Roman"/>
        </w:rPr>
        <w:t xml:space="preserve">are labor-intensive because </w:t>
      </w:r>
      <w:r w:rsidR="006956C7">
        <w:rPr>
          <w:rFonts w:ascii="Times New Roman" w:hAnsi="Times New Roman" w:cs="Times New Roman"/>
        </w:rPr>
        <w:t>staff must carefully v</w:t>
      </w:r>
      <w:r w:rsidR="00A15F76" w:rsidRPr="0017349E">
        <w:rPr>
          <w:rFonts w:ascii="Times New Roman" w:hAnsi="Times New Roman" w:cs="Times New Roman"/>
        </w:rPr>
        <w:t>erif</w:t>
      </w:r>
      <w:r w:rsidR="006956C7">
        <w:rPr>
          <w:rFonts w:ascii="Times New Roman" w:hAnsi="Times New Roman" w:cs="Times New Roman"/>
        </w:rPr>
        <w:t xml:space="preserve">y </w:t>
      </w:r>
      <w:r w:rsidR="00A15F76" w:rsidRPr="0017349E">
        <w:rPr>
          <w:rFonts w:ascii="Times New Roman" w:hAnsi="Times New Roman" w:cs="Times New Roman"/>
        </w:rPr>
        <w:t>the deceased’s identity and licenses</w:t>
      </w:r>
      <w:r w:rsidR="006956C7">
        <w:rPr>
          <w:rFonts w:ascii="Times New Roman" w:hAnsi="Times New Roman" w:cs="Times New Roman"/>
        </w:rPr>
        <w:t xml:space="preserve"> in order to guard against erroneous cancellations</w:t>
      </w:r>
      <w:r w:rsidR="00A15F76" w:rsidRPr="0017349E">
        <w:rPr>
          <w:rFonts w:ascii="Times New Roman" w:hAnsi="Times New Roman" w:cs="Times New Roman"/>
        </w:rPr>
        <w:t>.</w:t>
      </w:r>
      <w:r w:rsidR="006956C7">
        <w:rPr>
          <w:rStyle w:val="FootnoteReference"/>
          <w:rFonts w:ascii="Times New Roman" w:hAnsi="Times New Roman" w:cs="Times New Roman"/>
        </w:rPr>
        <w:footnoteReference w:id="9"/>
      </w:r>
    </w:p>
    <w:p w:rsidR="00A15F76" w:rsidRPr="00A15F76" w:rsidRDefault="00A15F76" w:rsidP="00A15F76">
      <w:pPr>
        <w:pStyle w:val="ListParagraph"/>
        <w:rPr>
          <w:rFonts w:ascii="Times New Roman" w:hAnsi="Times New Roman" w:cs="Times New Roman"/>
        </w:rPr>
      </w:pPr>
    </w:p>
    <w:p w:rsidR="00304528" w:rsidRDefault="00A15F76" w:rsidP="00011CF7">
      <w:pPr>
        <w:pStyle w:val="ListParagraph"/>
        <w:numPr>
          <w:ilvl w:val="0"/>
          <w:numId w:val="30"/>
        </w:numPr>
        <w:spacing w:after="0" w:line="240" w:lineRule="auto"/>
        <w:ind w:left="0" w:firstLine="720"/>
        <w:rPr>
          <w:rFonts w:ascii="Times New Roman" w:hAnsi="Times New Roman" w:cs="Times New Roman"/>
        </w:rPr>
      </w:pPr>
      <w:r>
        <w:rPr>
          <w:rFonts w:ascii="Times New Roman" w:hAnsi="Times New Roman" w:cs="Times New Roman"/>
        </w:rPr>
        <w:t xml:space="preserve">Krotz also asserts that lifetime licensing would ease licensee’s regulatory requirements.  </w:t>
      </w:r>
      <w:r w:rsidR="00011CF7">
        <w:rPr>
          <w:rFonts w:ascii="Times New Roman" w:hAnsi="Times New Roman" w:cs="Times New Roman"/>
        </w:rPr>
        <w:t>We note, h</w:t>
      </w:r>
      <w:r w:rsidR="00304528">
        <w:rPr>
          <w:rFonts w:ascii="Times New Roman" w:hAnsi="Times New Roman" w:cs="Times New Roman"/>
        </w:rPr>
        <w:t xml:space="preserve">owever, </w:t>
      </w:r>
      <w:r w:rsidR="00011CF7">
        <w:rPr>
          <w:rFonts w:ascii="Times New Roman" w:hAnsi="Times New Roman" w:cs="Times New Roman"/>
        </w:rPr>
        <w:t xml:space="preserve">that </w:t>
      </w:r>
      <w:r w:rsidR="00304528">
        <w:rPr>
          <w:rFonts w:ascii="Times New Roman" w:hAnsi="Times New Roman" w:cs="Times New Roman"/>
        </w:rPr>
        <w:t>t</w:t>
      </w:r>
      <w:r w:rsidR="00304528" w:rsidRPr="00453746">
        <w:rPr>
          <w:rFonts w:ascii="Times New Roman" w:hAnsi="Times New Roman" w:cs="Times New Roman"/>
        </w:rPr>
        <w:t>he Commission recently reaffirmed</w:t>
      </w:r>
      <w:r w:rsidR="0004482E">
        <w:rPr>
          <w:rStyle w:val="FootnoteReference"/>
          <w:rFonts w:ascii="Times New Roman" w:hAnsi="Times New Roman" w:cs="Times New Roman"/>
        </w:rPr>
        <w:footnoteReference w:id="10"/>
      </w:r>
      <w:r w:rsidR="00304528" w:rsidRPr="00453746">
        <w:rPr>
          <w:rFonts w:ascii="Times New Roman" w:hAnsi="Times New Roman" w:cs="Times New Roman"/>
        </w:rPr>
        <w:t xml:space="preserve"> its </w:t>
      </w:r>
      <w:r w:rsidR="0004482E">
        <w:rPr>
          <w:rFonts w:ascii="Times New Roman" w:hAnsi="Times New Roman" w:cs="Times New Roman"/>
        </w:rPr>
        <w:t>earlier</w:t>
      </w:r>
      <w:r w:rsidR="00304528" w:rsidRPr="00453746">
        <w:rPr>
          <w:rFonts w:ascii="Times New Roman" w:hAnsi="Times New Roman" w:cs="Times New Roman"/>
        </w:rPr>
        <w:t xml:space="preserve"> conclusion</w:t>
      </w:r>
      <w:r w:rsidR="0004482E" w:rsidRPr="0017349E">
        <w:rPr>
          <w:rStyle w:val="FootnoteReference"/>
          <w:rFonts w:ascii="Times New Roman" w:hAnsi="Times New Roman" w:cs="Times New Roman"/>
        </w:rPr>
        <w:footnoteReference w:id="11"/>
      </w:r>
      <w:r w:rsidR="00304528" w:rsidRPr="00453746">
        <w:rPr>
          <w:rFonts w:ascii="Times New Roman" w:hAnsi="Times New Roman" w:cs="Times New Roman"/>
        </w:rPr>
        <w:t xml:space="preserve"> that requiring </w:t>
      </w:r>
      <w:r w:rsidR="0004482E">
        <w:rPr>
          <w:rFonts w:ascii="Times New Roman" w:hAnsi="Times New Roman" w:cs="Times New Roman"/>
        </w:rPr>
        <w:t xml:space="preserve">amateur </w:t>
      </w:r>
      <w:r w:rsidR="00304528" w:rsidRPr="00453746">
        <w:rPr>
          <w:rFonts w:ascii="Times New Roman" w:hAnsi="Times New Roman" w:cs="Times New Roman"/>
        </w:rPr>
        <w:t xml:space="preserve">licensees to renew does not impose an unreasonable burden. </w:t>
      </w:r>
      <w:r w:rsidR="004B614D">
        <w:rPr>
          <w:rFonts w:ascii="Times New Roman" w:hAnsi="Times New Roman" w:cs="Times New Roman"/>
        </w:rPr>
        <w:t xml:space="preserve"> </w:t>
      </w:r>
      <w:r w:rsidR="00304528" w:rsidRPr="005D0F54">
        <w:rPr>
          <w:rFonts w:ascii="Times New Roman" w:hAnsi="Times New Roman" w:cs="Times New Roman"/>
        </w:rPr>
        <w:t xml:space="preserve">In </w:t>
      </w:r>
      <w:r w:rsidR="002C76B1">
        <w:rPr>
          <w:rFonts w:ascii="Times New Roman" w:hAnsi="Times New Roman" w:cs="Times New Roman"/>
        </w:rPr>
        <w:t>th</w:t>
      </w:r>
      <w:r w:rsidR="006A151F">
        <w:rPr>
          <w:rFonts w:ascii="Times New Roman" w:hAnsi="Times New Roman" w:cs="Times New Roman"/>
        </w:rPr>
        <w:t>a</w:t>
      </w:r>
      <w:r w:rsidR="0004482E">
        <w:rPr>
          <w:rFonts w:ascii="Times New Roman" w:hAnsi="Times New Roman" w:cs="Times New Roman"/>
        </w:rPr>
        <w:t>t</w:t>
      </w:r>
      <w:r w:rsidR="002C76B1">
        <w:rPr>
          <w:rFonts w:ascii="Times New Roman" w:hAnsi="Times New Roman" w:cs="Times New Roman"/>
        </w:rPr>
        <w:t xml:space="preserve"> proceeding, the Commission amended the amateur rules to grant partial examination credit for certain expired amateur operator licenses, but declined to extend the validity of a certificate of successful completion of examination to the holder’s lifetime.</w:t>
      </w:r>
      <w:r w:rsidR="002C76B1">
        <w:rPr>
          <w:rStyle w:val="FootnoteReference"/>
          <w:rFonts w:ascii="Times New Roman" w:hAnsi="Times New Roman" w:cs="Times New Roman"/>
        </w:rPr>
        <w:footnoteReference w:id="12"/>
      </w:r>
      <w:r w:rsidR="002C76B1">
        <w:rPr>
          <w:rFonts w:ascii="Times New Roman" w:hAnsi="Times New Roman" w:cs="Times New Roman"/>
        </w:rPr>
        <w:t xml:space="preserve">  </w:t>
      </w:r>
      <w:r w:rsidR="00F4308C">
        <w:rPr>
          <w:rFonts w:ascii="Times New Roman" w:hAnsi="Times New Roman" w:cs="Times New Roman"/>
        </w:rPr>
        <w:t xml:space="preserve">The present proposal goes beyond what the Commission rejected.  </w:t>
      </w:r>
      <w:r w:rsidRPr="00453746">
        <w:rPr>
          <w:rFonts w:ascii="Times New Roman" w:hAnsi="Times New Roman" w:cs="Times New Roman"/>
        </w:rPr>
        <w:t>Furthermore</w:t>
      </w:r>
      <w:r>
        <w:rPr>
          <w:rFonts w:ascii="Times New Roman" w:hAnsi="Times New Roman" w:cs="Times New Roman"/>
        </w:rPr>
        <w:t>,</w:t>
      </w:r>
      <w:r w:rsidRPr="00453746">
        <w:rPr>
          <w:rFonts w:ascii="Times New Roman" w:hAnsi="Times New Roman" w:cs="Times New Roman"/>
        </w:rPr>
        <w:t xml:space="preserve"> </w:t>
      </w:r>
      <w:r w:rsidR="00F4308C">
        <w:rPr>
          <w:rFonts w:ascii="Times New Roman" w:hAnsi="Times New Roman" w:cs="Times New Roman"/>
        </w:rPr>
        <w:t>given that the Commission recently eliminated the regulatory fee for vanity licenses, no payment is required to renew any amateur license,</w:t>
      </w:r>
      <w:r w:rsidR="00F4308C">
        <w:rPr>
          <w:rStyle w:val="FootnoteReference"/>
          <w:rFonts w:ascii="Times New Roman" w:hAnsi="Times New Roman" w:cs="Times New Roman"/>
        </w:rPr>
        <w:footnoteReference w:id="13"/>
      </w:r>
      <w:r w:rsidR="00F4308C">
        <w:rPr>
          <w:rFonts w:ascii="Times New Roman" w:hAnsi="Times New Roman" w:cs="Times New Roman"/>
        </w:rPr>
        <w:t xml:space="preserve"> so </w:t>
      </w:r>
      <w:r w:rsidRPr="00453746">
        <w:rPr>
          <w:rFonts w:ascii="Times New Roman" w:hAnsi="Times New Roman" w:cs="Times New Roman"/>
        </w:rPr>
        <w:t>the financial strain on licensees is minimal.</w:t>
      </w:r>
    </w:p>
    <w:p w:rsidR="00A15F76" w:rsidRPr="00A15F76" w:rsidRDefault="00A15F76" w:rsidP="00A15F76">
      <w:pPr>
        <w:pStyle w:val="ListParagraph"/>
        <w:rPr>
          <w:rFonts w:ascii="Times New Roman" w:hAnsi="Times New Roman" w:cs="Times New Roman"/>
        </w:rPr>
      </w:pPr>
    </w:p>
    <w:p w:rsidR="0004482E" w:rsidRDefault="0004482E" w:rsidP="00304528">
      <w:pPr>
        <w:pStyle w:val="ListParagraph"/>
        <w:numPr>
          <w:ilvl w:val="0"/>
          <w:numId w:val="30"/>
        </w:numPr>
        <w:spacing w:after="0" w:line="240" w:lineRule="auto"/>
        <w:ind w:left="0" w:firstLine="720"/>
        <w:rPr>
          <w:rFonts w:ascii="Times New Roman" w:hAnsi="Times New Roman" w:cs="Times New Roman"/>
        </w:rPr>
      </w:pPr>
      <w:r>
        <w:rPr>
          <w:rFonts w:ascii="Times New Roman" w:hAnsi="Times New Roman" w:cs="Times New Roman"/>
        </w:rPr>
        <w:t xml:space="preserve">One of the reasons that the Commission granted only partial examination credit for expired amateur operator licenses, and still requires former licensees to pass Element 2 in order to be relicensed, was to address the concerns of commenters in that proceeding that a licensee </w:t>
      </w:r>
      <w:r w:rsidR="00432D00">
        <w:rPr>
          <w:rFonts w:ascii="Times New Roman" w:hAnsi="Times New Roman" w:cs="Times New Roman"/>
        </w:rPr>
        <w:t>who</w:t>
      </w:r>
      <w:r>
        <w:rPr>
          <w:rFonts w:ascii="Times New Roman" w:hAnsi="Times New Roman" w:cs="Times New Roman"/>
        </w:rPr>
        <w:t xml:space="preserve"> has not maintained his or her license is less likely to have maintained and expanded his or her knowledge and skills.</w:t>
      </w:r>
      <w:r>
        <w:rPr>
          <w:rStyle w:val="FootnoteReference"/>
          <w:rFonts w:ascii="Times New Roman" w:hAnsi="Times New Roman" w:cs="Times New Roman"/>
        </w:rPr>
        <w:footnoteReference w:id="14"/>
      </w:r>
      <w:r>
        <w:rPr>
          <w:rFonts w:ascii="Times New Roman" w:hAnsi="Times New Roman" w:cs="Times New Roman"/>
        </w:rPr>
        <w:t xml:space="preserve">  Another reason was to discourage attempts by someone with the same name as a former licensee </w:t>
      </w:r>
      <w:r w:rsidR="00432D00">
        <w:rPr>
          <w:rFonts w:ascii="Times New Roman" w:hAnsi="Times New Roman" w:cs="Times New Roman"/>
        </w:rPr>
        <w:t>to operate under tha</w:t>
      </w:r>
      <w:r w:rsidR="00E63D20">
        <w:rPr>
          <w:rFonts w:ascii="Times New Roman" w:hAnsi="Times New Roman" w:cs="Times New Roman"/>
        </w:rPr>
        <w:t xml:space="preserve">t person’s </w:t>
      </w:r>
      <w:r w:rsidR="00432D00">
        <w:rPr>
          <w:rFonts w:ascii="Times New Roman" w:hAnsi="Times New Roman" w:cs="Times New Roman"/>
        </w:rPr>
        <w:t>licens</w:t>
      </w:r>
      <w:r w:rsidR="00E63D20">
        <w:rPr>
          <w:rFonts w:ascii="Times New Roman" w:hAnsi="Times New Roman" w:cs="Times New Roman"/>
        </w:rPr>
        <w:t>e.</w:t>
      </w:r>
      <w:r w:rsidR="00E63D20">
        <w:rPr>
          <w:rStyle w:val="FootnoteReference"/>
          <w:rFonts w:ascii="Times New Roman" w:hAnsi="Times New Roman" w:cs="Times New Roman"/>
        </w:rPr>
        <w:footnoteReference w:id="15"/>
      </w:r>
      <w:r w:rsidR="00E63D20">
        <w:rPr>
          <w:rFonts w:ascii="Times New Roman" w:hAnsi="Times New Roman" w:cs="Times New Roman"/>
        </w:rPr>
        <w:t xml:space="preserve">  </w:t>
      </w:r>
      <w:r>
        <w:rPr>
          <w:rFonts w:ascii="Times New Roman" w:hAnsi="Times New Roman" w:cs="Times New Roman"/>
        </w:rPr>
        <w:t>These concerns</w:t>
      </w:r>
      <w:r w:rsidR="00B603FE">
        <w:rPr>
          <w:rFonts w:ascii="Times New Roman" w:hAnsi="Times New Roman" w:cs="Times New Roman"/>
        </w:rPr>
        <w:t>, also raised by commenters in this proceeding,</w:t>
      </w:r>
      <w:r w:rsidR="00B603FE">
        <w:rPr>
          <w:rStyle w:val="FootnoteReference"/>
          <w:rFonts w:ascii="Times New Roman" w:hAnsi="Times New Roman" w:cs="Times New Roman"/>
        </w:rPr>
        <w:footnoteReference w:id="16"/>
      </w:r>
      <w:r>
        <w:rPr>
          <w:rFonts w:ascii="Times New Roman" w:hAnsi="Times New Roman" w:cs="Times New Roman"/>
        </w:rPr>
        <w:t xml:space="preserve"> also weigh against doing away with amateur license renewal.  </w:t>
      </w:r>
    </w:p>
    <w:p w:rsidR="0004482E" w:rsidRPr="0004482E" w:rsidRDefault="0004482E" w:rsidP="0004482E">
      <w:pPr>
        <w:pStyle w:val="ListParagraph"/>
        <w:rPr>
          <w:rFonts w:ascii="Times New Roman" w:hAnsi="Times New Roman" w:cs="Times New Roman"/>
        </w:rPr>
      </w:pPr>
    </w:p>
    <w:p w:rsidR="00E63D20" w:rsidRDefault="00304528" w:rsidP="00DD79C0">
      <w:pPr>
        <w:pStyle w:val="ListParagraph"/>
        <w:numPr>
          <w:ilvl w:val="0"/>
          <w:numId w:val="30"/>
        </w:numPr>
        <w:spacing w:after="0" w:line="240" w:lineRule="auto"/>
        <w:ind w:left="0" w:firstLine="720"/>
        <w:rPr>
          <w:rFonts w:ascii="Times New Roman" w:hAnsi="Times New Roman" w:cs="Times New Roman"/>
        </w:rPr>
      </w:pPr>
      <w:r w:rsidRPr="0017349E">
        <w:rPr>
          <w:rFonts w:ascii="Times New Roman" w:hAnsi="Times New Roman" w:cs="Times New Roman"/>
        </w:rPr>
        <w:t xml:space="preserve">Lastly, </w:t>
      </w:r>
      <w:r w:rsidR="00E63D20">
        <w:rPr>
          <w:rFonts w:ascii="Times New Roman" w:hAnsi="Times New Roman" w:cs="Times New Roman"/>
        </w:rPr>
        <w:t xml:space="preserve">Krotz </w:t>
      </w:r>
      <w:r w:rsidR="00432D00">
        <w:rPr>
          <w:rFonts w:ascii="Times New Roman" w:hAnsi="Times New Roman" w:cs="Times New Roman"/>
        </w:rPr>
        <w:t>notes</w:t>
      </w:r>
      <w:r w:rsidR="00E63D20">
        <w:rPr>
          <w:rFonts w:ascii="Times New Roman" w:hAnsi="Times New Roman" w:cs="Times New Roman"/>
        </w:rPr>
        <w:t xml:space="preserve"> that the Commission already issues commercial operator licenses</w:t>
      </w:r>
      <w:r w:rsidRPr="0017349E">
        <w:rPr>
          <w:rFonts w:ascii="Times New Roman" w:hAnsi="Times New Roman" w:cs="Times New Roman"/>
        </w:rPr>
        <w:t xml:space="preserve"> </w:t>
      </w:r>
      <w:r w:rsidR="00E63D20">
        <w:rPr>
          <w:rFonts w:ascii="Times New Roman" w:hAnsi="Times New Roman" w:cs="Times New Roman"/>
        </w:rPr>
        <w:t xml:space="preserve">for the holder’s lifetime.  </w:t>
      </w:r>
      <w:r w:rsidR="00432D00">
        <w:rPr>
          <w:rFonts w:ascii="Times New Roman" w:hAnsi="Times New Roman" w:cs="Times New Roman"/>
        </w:rPr>
        <w:t xml:space="preserve">We agree, however, with the </w:t>
      </w:r>
      <w:r w:rsidR="00E63D20" w:rsidRPr="0017349E">
        <w:rPr>
          <w:rFonts w:ascii="Times New Roman" w:hAnsi="Times New Roman" w:cs="Times New Roman"/>
        </w:rPr>
        <w:t>numerous commenters</w:t>
      </w:r>
      <w:r w:rsidR="00432D00">
        <w:rPr>
          <w:rStyle w:val="FootnoteReference"/>
          <w:rFonts w:ascii="Times New Roman" w:hAnsi="Times New Roman" w:cs="Times New Roman"/>
        </w:rPr>
        <w:footnoteReference w:id="17"/>
      </w:r>
      <w:r w:rsidR="00E63D20" w:rsidRPr="0017349E">
        <w:rPr>
          <w:rFonts w:ascii="Times New Roman" w:hAnsi="Times New Roman" w:cs="Times New Roman"/>
        </w:rPr>
        <w:t xml:space="preserve"> </w:t>
      </w:r>
      <w:r w:rsidR="00432D00">
        <w:rPr>
          <w:rFonts w:ascii="Times New Roman" w:hAnsi="Times New Roman" w:cs="Times New Roman"/>
        </w:rPr>
        <w:t xml:space="preserve">who </w:t>
      </w:r>
      <w:r w:rsidR="00E63D20" w:rsidRPr="0017349E">
        <w:rPr>
          <w:rFonts w:ascii="Times New Roman" w:hAnsi="Times New Roman" w:cs="Times New Roman"/>
        </w:rPr>
        <w:t>note</w:t>
      </w:r>
      <w:r w:rsidR="00432D00">
        <w:rPr>
          <w:rFonts w:ascii="Times New Roman" w:hAnsi="Times New Roman" w:cs="Times New Roman"/>
        </w:rPr>
        <w:t xml:space="preserve"> that</w:t>
      </w:r>
      <w:r w:rsidR="00E63D20" w:rsidRPr="0017349E">
        <w:rPr>
          <w:rFonts w:ascii="Times New Roman" w:hAnsi="Times New Roman" w:cs="Times New Roman"/>
        </w:rPr>
        <w:t xml:space="preserve"> the amateur </w:t>
      </w:r>
      <w:r w:rsidR="00E63D20" w:rsidRPr="0017349E">
        <w:rPr>
          <w:rFonts w:ascii="Times New Roman" w:hAnsi="Times New Roman" w:cs="Times New Roman"/>
        </w:rPr>
        <w:lastRenderedPageBreak/>
        <w:t xml:space="preserve">radio license is not comparable </w:t>
      </w:r>
      <w:r w:rsidR="00E63D20">
        <w:rPr>
          <w:rFonts w:ascii="Times New Roman" w:hAnsi="Times New Roman" w:cs="Times New Roman"/>
        </w:rPr>
        <w:t>because it</w:t>
      </w:r>
      <w:r w:rsidR="00E63D20" w:rsidRPr="0017349E">
        <w:rPr>
          <w:rFonts w:ascii="Times New Roman" w:hAnsi="Times New Roman" w:cs="Times New Roman"/>
        </w:rPr>
        <w:t xml:space="preserve"> includes not only an operator license but also a </w:t>
      </w:r>
      <w:r w:rsidR="00E63D20">
        <w:rPr>
          <w:rFonts w:ascii="Times New Roman" w:hAnsi="Times New Roman" w:cs="Times New Roman"/>
        </w:rPr>
        <w:t>station license,</w:t>
      </w:r>
      <w:r w:rsidR="00E63D20">
        <w:rPr>
          <w:rStyle w:val="FootnoteReference"/>
          <w:rFonts w:ascii="Times New Roman" w:hAnsi="Times New Roman" w:cs="Times New Roman"/>
        </w:rPr>
        <w:footnoteReference w:id="18"/>
      </w:r>
      <w:r w:rsidR="00E63D20">
        <w:rPr>
          <w:rFonts w:ascii="Times New Roman" w:hAnsi="Times New Roman" w:cs="Times New Roman"/>
        </w:rPr>
        <w:t xml:space="preserve"> and t</w:t>
      </w:r>
      <w:r w:rsidR="00E63D20" w:rsidRPr="0017349E">
        <w:rPr>
          <w:rFonts w:ascii="Times New Roman" w:hAnsi="Times New Roman" w:cs="Times New Roman"/>
        </w:rPr>
        <w:t>here is no Commission precedent issuing a lifetime station license.</w:t>
      </w:r>
      <w:r w:rsidR="00382277">
        <w:rPr>
          <w:rFonts w:ascii="Times New Roman" w:hAnsi="Times New Roman" w:cs="Times New Roman"/>
        </w:rPr>
        <w:t xml:space="preserve">  Moreover, when the Commission </w:t>
      </w:r>
      <w:r w:rsidR="00432D00">
        <w:rPr>
          <w:rFonts w:ascii="Times New Roman" w:hAnsi="Times New Roman" w:cs="Times New Roman"/>
        </w:rPr>
        <w:t>bega</w:t>
      </w:r>
      <w:r w:rsidR="00382277">
        <w:rPr>
          <w:rFonts w:ascii="Times New Roman" w:hAnsi="Times New Roman" w:cs="Times New Roman"/>
        </w:rPr>
        <w:t>n issuing commercial operator licenses for the lifetime of the holder, it did so primarily to alleviate “the substantial costs of the present procedures in terms of staff resources required in processing renewal applications,”</w:t>
      </w:r>
      <w:r w:rsidR="00DC785D">
        <w:rPr>
          <w:rStyle w:val="FootnoteReference"/>
          <w:rFonts w:ascii="Times New Roman" w:hAnsi="Times New Roman" w:cs="Times New Roman"/>
        </w:rPr>
        <w:footnoteReference w:id="19"/>
      </w:r>
      <w:r w:rsidR="00382277">
        <w:rPr>
          <w:rFonts w:ascii="Times New Roman" w:hAnsi="Times New Roman" w:cs="Times New Roman"/>
        </w:rPr>
        <w:t xml:space="preserve"> which, as noted above, is no longer the case.</w:t>
      </w:r>
      <w:r w:rsidR="00DC785D">
        <w:rPr>
          <w:rStyle w:val="FootnoteReference"/>
          <w:rFonts w:ascii="Times New Roman" w:hAnsi="Times New Roman" w:cs="Times New Roman"/>
        </w:rPr>
        <w:footnoteReference w:id="20"/>
      </w:r>
      <w:r w:rsidR="00382277">
        <w:rPr>
          <w:rFonts w:ascii="Times New Roman" w:hAnsi="Times New Roman" w:cs="Times New Roman"/>
        </w:rPr>
        <w:t xml:space="preserve">  Consequently, </w:t>
      </w:r>
      <w:r w:rsidR="00DC785D">
        <w:rPr>
          <w:rFonts w:ascii="Times New Roman" w:hAnsi="Times New Roman" w:cs="Times New Roman"/>
        </w:rPr>
        <w:t xml:space="preserve">it does not follow from </w:t>
      </w:r>
      <w:r w:rsidR="00382277">
        <w:rPr>
          <w:rFonts w:ascii="Times New Roman" w:hAnsi="Times New Roman" w:cs="Times New Roman"/>
        </w:rPr>
        <w:t>life</w:t>
      </w:r>
      <w:r w:rsidR="00DC785D">
        <w:rPr>
          <w:rFonts w:ascii="Times New Roman" w:hAnsi="Times New Roman" w:cs="Times New Roman"/>
        </w:rPr>
        <w:t xml:space="preserve">time licensing of </w:t>
      </w:r>
      <w:r w:rsidR="00382277">
        <w:rPr>
          <w:rFonts w:ascii="Times New Roman" w:hAnsi="Times New Roman" w:cs="Times New Roman"/>
        </w:rPr>
        <w:t xml:space="preserve">commercial operators </w:t>
      </w:r>
      <w:r w:rsidR="00DC785D">
        <w:rPr>
          <w:rFonts w:ascii="Times New Roman" w:hAnsi="Times New Roman" w:cs="Times New Roman"/>
        </w:rPr>
        <w:t xml:space="preserve">that </w:t>
      </w:r>
      <w:r w:rsidR="00382277">
        <w:rPr>
          <w:rFonts w:ascii="Times New Roman" w:hAnsi="Times New Roman" w:cs="Times New Roman"/>
        </w:rPr>
        <w:t xml:space="preserve">lifetime licensing </w:t>
      </w:r>
      <w:r w:rsidR="00DC785D">
        <w:rPr>
          <w:rFonts w:ascii="Times New Roman" w:hAnsi="Times New Roman" w:cs="Times New Roman"/>
        </w:rPr>
        <w:t xml:space="preserve">is appropriate </w:t>
      </w:r>
      <w:r w:rsidR="00382277">
        <w:rPr>
          <w:rFonts w:ascii="Times New Roman" w:hAnsi="Times New Roman" w:cs="Times New Roman"/>
        </w:rPr>
        <w:t>for amateur radio stations.</w:t>
      </w:r>
    </w:p>
    <w:p w:rsidR="00304528" w:rsidRPr="00E63D20" w:rsidRDefault="00304528" w:rsidP="00E63D20">
      <w:pPr>
        <w:rPr>
          <w:b/>
        </w:rPr>
      </w:pPr>
    </w:p>
    <w:p w:rsidR="00304528" w:rsidRDefault="00F62657" w:rsidP="00304528">
      <w:pPr>
        <w:pStyle w:val="ListParagraph"/>
        <w:numPr>
          <w:ilvl w:val="0"/>
          <w:numId w:val="30"/>
        </w:numPr>
        <w:spacing w:after="0" w:line="240" w:lineRule="auto"/>
        <w:ind w:left="0" w:firstLine="720"/>
        <w:rPr>
          <w:rFonts w:ascii="Times New Roman" w:hAnsi="Times New Roman" w:cs="Times New Roman"/>
        </w:rPr>
      </w:pPr>
      <w:r>
        <w:rPr>
          <w:rFonts w:ascii="Times New Roman" w:hAnsi="Times New Roman" w:cs="Times New Roman"/>
        </w:rPr>
        <w:t>We</w:t>
      </w:r>
      <w:r w:rsidR="00304528" w:rsidRPr="0017349E">
        <w:rPr>
          <w:rFonts w:ascii="Times New Roman" w:hAnsi="Times New Roman" w:cs="Times New Roman"/>
        </w:rPr>
        <w:t xml:space="preserve"> conclude that the request in the above-captioned petition for rulemaking does not warrant further consideration at this time. </w:t>
      </w:r>
    </w:p>
    <w:p w:rsidR="00304528" w:rsidRDefault="00304528" w:rsidP="00304528">
      <w:pPr>
        <w:pStyle w:val="ListParagraph"/>
        <w:spacing w:after="0" w:line="240" w:lineRule="auto"/>
        <w:rPr>
          <w:rFonts w:ascii="Times New Roman" w:hAnsi="Times New Roman" w:cs="Times New Roman"/>
        </w:rPr>
      </w:pPr>
    </w:p>
    <w:p w:rsidR="00304528" w:rsidRDefault="00304528" w:rsidP="00304528">
      <w:pPr>
        <w:pStyle w:val="ListParagraph"/>
        <w:numPr>
          <w:ilvl w:val="0"/>
          <w:numId w:val="30"/>
        </w:numPr>
        <w:spacing w:after="0" w:line="240" w:lineRule="auto"/>
        <w:ind w:left="0" w:firstLine="720"/>
        <w:rPr>
          <w:rFonts w:ascii="Times New Roman" w:hAnsi="Times New Roman" w:cs="Times New Roman"/>
        </w:rPr>
      </w:pPr>
      <w:r w:rsidRPr="00304528">
        <w:rPr>
          <w:rFonts w:ascii="Times New Roman" w:hAnsi="Times New Roman" w:cs="Times New Roman"/>
        </w:rPr>
        <w:t xml:space="preserve">Accordingly, IT IS ORDERED, pursuant to </w:t>
      </w:r>
      <w:r w:rsidR="00F62657">
        <w:rPr>
          <w:rFonts w:ascii="Times New Roman" w:hAnsi="Times New Roman" w:cs="Times New Roman"/>
        </w:rPr>
        <w:t>s</w:t>
      </w:r>
      <w:r w:rsidRPr="00304528">
        <w:rPr>
          <w:rFonts w:ascii="Times New Roman" w:hAnsi="Times New Roman" w:cs="Times New Roman"/>
        </w:rPr>
        <w:t>ections 4(i) and (j) and 303(r) of the Communications Act of 1934, as amended, 47 U.S.</w:t>
      </w:r>
      <w:r w:rsidR="00F62657">
        <w:rPr>
          <w:rFonts w:ascii="Times New Roman" w:hAnsi="Times New Roman" w:cs="Times New Roman"/>
        </w:rPr>
        <w:t>C. §§ 154(i), (j), 303(r), and s</w:t>
      </w:r>
      <w:r w:rsidRPr="00304528">
        <w:rPr>
          <w:rFonts w:ascii="Times New Roman" w:hAnsi="Times New Roman" w:cs="Times New Roman"/>
        </w:rPr>
        <w:t xml:space="preserve">ection 1.401(e) of the Commission's Rules, 47 CFR § 1.401(e), that the petition for rulemaking filed by Mark F. Krotz, RM-11760, on November 9, 2015, IS DISMISSED. </w:t>
      </w:r>
    </w:p>
    <w:p w:rsidR="00304528" w:rsidRPr="00304528" w:rsidRDefault="00304528" w:rsidP="00304528">
      <w:pPr>
        <w:pStyle w:val="ListParagraph"/>
        <w:rPr>
          <w:rFonts w:ascii="Times New Roman" w:hAnsi="Times New Roman" w:cs="Times New Roman"/>
        </w:rPr>
      </w:pPr>
    </w:p>
    <w:p w:rsidR="00B911BD" w:rsidRDefault="004B7631" w:rsidP="00304528">
      <w:pPr>
        <w:pStyle w:val="ListParagraph"/>
        <w:numPr>
          <w:ilvl w:val="0"/>
          <w:numId w:val="30"/>
        </w:numPr>
        <w:spacing w:after="0" w:line="240" w:lineRule="auto"/>
        <w:ind w:left="0" w:firstLine="720"/>
        <w:rPr>
          <w:rFonts w:ascii="Times New Roman" w:hAnsi="Times New Roman" w:cs="Times New Roman"/>
        </w:rPr>
      </w:pPr>
      <w:r w:rsidRPr="00304528">
        <w:rPr>
          <w:rFonts w:ascii="Times New Roman" w:hAnsi="Times New Roman" w:cs="Times New Roman"/>
        </w:rPr>
        <w:t>This action is taken under d</w:t>
      </w:r>
      <w:r w:rsidR="004B614D">
        <w:rPr>
          <w:rFonts w:ascii="Times New Roman" w:hAnsi="Times New Roman" w:cs="Times New Roman"/>
        </w:rPr>
        <w:t>elegated authority pursuant to s</w:t>
      </w:r>
      <w:r w:rsidRPr="00304528">
        <w:rPr>
          <w:rFonts w:ascii="Times New Roman" w:hAnsi="Times New Roman" w:cs="Times New Roman"/>
        </w:rPr>
        <w:t xml:space="preserve">ections 0.131 and 0.331 of the Commission’s </w:t>
      </w:r>
      <w:r w:rsidR="004B614D">
        <w:rPr>
          <w:rFonts w:ascii="Times New Roman" w:hAnsi="Times New Roman" w:cs="Times New Roman"/>
        </w:rPr>
        <w:t>r</w:t>
      </w:r>
      <w:r w:rsidRPr="00304528">
        <w:rPr>
          <w:rFonts w:ascii="Times New Roman" w:hAnsi="Times New Roman" w:cs="Times New Roman"/>
        </w:rPr>
        <w:t>ules, 47 CFR §§ 0.131, 0.331.</w:t>
      </w:r>
    </w:p>
    <w:p w:rsidR="00F62657" w:rsidRPr="00F62657" w:rsidRDefault="00F62657" w:rsidP="00F62657"/>
    <w:p w:rsidR="00B911BD" w:rsidRDefault="004B7631">
      <w:pPr>
        <w:pStyle w:val="ParaNum"/>
        <w:widowControl/>
        <w:numPr>
          <w:ilvl w:val="0"/>
          <w:numId w:val="0"/>
        </w:numPr>
        <w:spacing w:after="0"/>
        <w:rPr>
          <w:szCs w:val="22"/>
        </w:rPr>
      </w:pPr>
      <w:r>
        <w:rPr>
          <w:szCs w:val="22"/>
        </w:rPr>
        <w:tab/>
      </w:r>
      <w:r>
        <w:rPr>
          <w:szCs w:val="22"/>
        </w:rPr>
        <w:tab/>
      </w:r>
      <w:r>
        <w:rPr>
          <w:szCs w:val="22"/>
        </w:rPr>
        <w:tab/>
      </w:r>
      <w:r>
        <w:rPr>
          <w:szCs w:val="22"/>
        </w:rPr>
        <w:tab/>
      </w:r>
      <w:r>
        <w:rPr>
          <w:szCs w:val="22"/>
        </w:rPr>
        <w:tab/>
        <w:t>FEDERAL COMMUNICATIONS COMMISSION</w:t>
      </w:r>
    </w:p>
    <w:p w:rsidR="00B911BD" w:rsidRDefault="00B911BD">
      <w:pPr>
        <w:pStyle w:val="ParaNum"/>
        <w:widowControl/>
        <w:numPr>
          <w:ilvl w:val="0"/>
          <w:numId w:val="0"/>
        </w:numPr>
        <w:spacing w:after="0"/>
        <w:rPr>
          <w:szCs w:val="22"/>
        </w:rPr>
      </w:pPr>
    </w:p>
    <w:p w:rsidR="00B911BD" w:rsidRDefault="00B911BD">
      <w:pPr>
        <w:pStyle w:val="ParaNum"/>
        <w:widowControl/>
        <w:numPr>
          <w:ilvl w:val="0"/>
          <w:numId w:val="0"/>
        </w:numPr>
        <w:spacing w:after="0"/>
        <w:rPr>
          <w:szCs w:val="22"/>
        </w:rPr>
      </w:pPr>
    </w:p>
    <w:p w:rsidR="00B911BD" w:rsidRDefault="00B911BD">
      <w:pPr>
        <w:pStyle w:val="ParaNum"/>
        <w:widowControl/>
        <w:numPr>
          <w:ilvl w:val="0"/>
          <w:numId w:val="0"/>
        </w:numPr>
        <w:spacing w:after="0"/>
        <w:rPr>
          <w:szCs w:val="22"/>
        </w:rPr>
      </w:pPr>
    </w:p>
    <w:p w:rsidR="00B911BD" w:rsidRDefault="004B7631">
      <w:pPr>
        <w:rPr>
          <w:szCs w:val="22"/>
        </w:rPr>
      </w:pPr>
      <w:r>
        <w:rPr>
          <w:szCs w:val="22"/>
        </w:rPr>
        <w:tab/>
      </w:r>
      <w:r>
        <w:rPr>
          <w:szCs w:val="22"/>
        </w:rPr>
        <w:tab/>
      </w:r>
      <w:r>
        <w:rPr>
          <w:szCs w:val="22"/>
        </w:rPr>
        <w:tab/>
      </w:r>
      <w:r>
        <w:rPr>
          <w:szCs w:val="22"/>
        </w:rPr>
        <w:tab/>
      </w:r>
      <w:r>
        <w:rPr>
          <w:szCs w:val="22"/>
        </w:rPr>
        <w:tab/>
      </w:r>
      <w:r>
        <w:rPr>
          <w:szCs w:val="22"/>
        </w:rPr>
        <w:tab/>
        <w:t>Scot Stone</w:t>
      </w:r>
    </w:p>
    <w:p w:rsidR="00B911BD" w:rsidRDefault="004B7631">
      <w:pPr>
        <w:rPr>
          <w:szCs w:val="22"/>
        </w:rPr>
      </w:pPr>
      <w:r>
        <w:rPr>
          <w:szCs w:val="22"/>
        </w:rPr>
        <w:tab/>
      </w:r>
      <w:r>
        <w:rPr>
          <w:szCs w:val="22"/>
        </w:rPr>
        <w:tab/>
      </w:r>
      <w:r>
        <w:rPr>
          <w:szCs w:val="22"/>
        </w:rPr>
        <w:tab/>
      </w:r>
      <w:r>
        <w:rPr>
          <w:szCs w:val="22"/>
        </w:rPr>
        <w:tab/>
      </w:r>
      <w:r>
        <w:rPr>
          <w:szCs w:val="22"/>
        </w:rPr>
        <w:tab/>
      </w:r>
      <w:r>
        <w:rPr>
          <w:szCs w:val="22"/>
        </w:rPr>
        <w:tab/>
        <w:t>Deputy Chief, Mobility Division</w:t>
      </w:r>
    </w:p>
    <w:p w:rsidR="00E72CEB" w:rsidRDefault="004B7631">
      <w:pPr>
        <w:rPr>
          <w:szCs w:val="22"/>
        </w:rPr>
      </w:pPr>
      <w:r>
        <w:rPr>
          <w:szCs w:val="22"/>
        </w:rPr>
        <w:tab/>
      </w:r>
      <w:r>
        <w:rPr>
          <w:szCs w:val="22"/>
        </w:rPr>
        <w:tab/>
      </w:r>
      <w:r>
        <w:rPr>
          <w:szCs w:val="22"/>
        </w:rPr>
        <w:tab/>
      </w:r>
      <w:r>
        <w:rPr>
          <w:szCs w:val="22"/>
        </w:rPr>
        <w:tab/>
      </w:r>
      <w:r>
        <w:rPr>
          <w:szCs w:val="22"/>
        </w:rPr>
        <w:tab/>
      </w:r>
      <w:r>
        <w:rPr>
          <w:szCs w:val="22"/>
        </w:rPr>
        <w:tab/>
        <w:t>Wireless Telecommunications Bureau</w:t>
      </w:r>
    </w:p>
    <w:sectPr w:rsidR="00E72C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B3" w:rsidRDefault="009709B3">
      <w:r>
        <w:separator/>
      </w:r>
    </w:p>
  </w:endnote>
  <w:endnote w:type="continuationSeparator" w:id="0">
    <w:p w:rsidR="009709B3" w:rsidRDefault="0097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43" w:rsidRDefault="00022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BD" w:rsidRDefault="004B7631">
    <w:pPr>
      <w:pStyle w:val="Footer"/>
      <w:jc w:val="center"/>
    </w:pPr>
    <w:r>
      <w:rPr>
        <w:rStyle w:val="PageNumber"/>
      </w:rPr>
      <w:fldChar w:fldCharType="begin"/>
    </w:r>
    <w:r>
      <w:rPr>
        <w:rStyle w:val="PageNumber"/>
      </w:rPr>
      <w:instrText xml:space="preserve"> PAGE </w:instrText>
    </w:r>
    <w:r>
      <w:rPr>
        <w:rStyle w:val="PageNumber"/>
      </w:rPr>
      <w:fldChar w:fldCharType="separate"/>
    </w:r>
    <w:r w:rsidR="00A93B2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43" w:rsidRDefault="00022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B3" w:rsidRDefault="009709B3">
      <w:pPr>
        <w:rPr>
          <w:sz w:val="20"/>
        </w:rPr>
      </w:pPr>
      <w:r>
        <w:rPr>
          <w:sz w:val="20"/>
        </w:rPr>
        <w:separator/>
      </w:r>
    </w:p>
  </w:footnote>
  <w:footnote w:type="continuationSeparator" w:id="0">
    <w:p w:rsidR="009709B3" w:rsidRDefault="009709B3">
      <w:pPr>
        <w:rPr>
          <w:sz w:val="20"/>
        </w:rPr>
      </w:pPr>
      <w:r>
        <w:rPr>
          <w:sz w:val="20"/>
        </w:rPr>
        <w:separator/>
      </w:r>
    </w:p>
    <w:p w:rsidR="009709B3" w:rsidRDefault="009709B3">
      <w:pPr>
        <w:rPr>
          <w:sz w:val="20"/>
        </w:rPr>
      </w:pPr>
      <w:r>
        <w:rPr>
          <w:sz w:val="20"/>
        </w:rPr>
        <w:t>(...continued from previous page)</w:t>
      </w:r>
    </w:p>
  </w:footnote>
  <w:footnote w:type="continuationNotice" w:id="1">
    <w:p w:rsidR="009709B3" w:rsidRDefault="009709B3">
      <w:pPr>
        <w:jc w:val="right"/>
        <w:rPr>
          <w:sz w:val="20"/>
        </w:rPr>
      </w:pPr>
      <w:r>
        <w:rPr>
          <w:sz w:val="20"/>
        </w:rPr>
        <w:t>(continued....)</w:t>
      </w:r>
    </w:p>
  </w:footnote>
  <w:footnote w:id="2">
    <w:p w:rsidR="00304528" w:rsidRPr="00952959" w:rsidRDefault="00304528" w:rsidP="002C76B1">
      <w:pPr>
        <w:pStyle w:val="FootnoteText"/>
        <w:spacing w:after="240"/>
        <w:jc w:val="left"/>
      </w:pPr>
      <w:r w:rsidRPr="00952959">
        <w:rPr>
          <w:rStyle w:val="FootnoteReference"/>
        </w:rPr>
        <w:footnoteRef/>
      </w:r>
      <w:r w:rsidRPr="00952959">
        <w:t xml:space="preserve"> </w:t>
      </w:r>
      <w:r w:rsidRPr="00952959">
        <w:rPr>
          <w:i/>
        </w:rPr>
        <w:t xml:space="preserve">See </w:t>
      </w:r>
      <w:r w:rsidR="006B2140">
        <w:t>Letter from Mark F. Krotz to Federal Communications Commission</w:t>
      </w:r>
      <w:r w:rsidRPr="00952959">
        <w:t xml:space="preserve"> (Nov. </w:t>
      </w:r>
      <w:r w:rsidR="006B2140">
        <w:t>7</w:t>
      </w:r>
      <w:r w:rsidRPr="00952959">
        <w:t>, 2015) (Petition)</w:t>
      </w:r>
      <w:r w:rsidR="006B2140">
        <w:t xml:space="preserve"> (on file in RM-11760)</w:t>
      </w:r>
      <w:r w:rsidRPr="00952959">
        <w:t>.</w:t>
      </w:r>
    </w:p>
  </w:footnote>
  <w:footnote w:id="3">
    <w:p w:rsidR="00304528" w:rsidRPr="00952959" w:rsidRDefault="00304528" w:rsidP="002C76B1">
      <w:pPr>
        <w:pStyle w:val="FootnoteText"/>
        <w:spacing w:after="240"/>
        <w:jc w:val="left"/>
      </w:pPr>
      <w:r w:rsidRPr="00952959">
        <w:rPr>
          <w:rStyle w:val="FootnoteReference"/>
        </w:rPr>
        <w:footnoteRef/>
      </w:r>
      <w:r w:rsidRPr="00952959">
        <w:t xml:space="preserve"> 47 CFR § 97.25.</w:t>
      </w:r>
    </w:p>
  </w:footnote>
  <w:footnote w:id="4">
    <w:p w:rsidR="00304528" w:rsidRPr="00952959" w:rsidRDefault="00304528" w:rsidP="002C76B1">
      <w:pPr>
        <w:pStyle w:val="FootnoteText"/>
        <w:spacing w:after="240"/>
        <w:jc w:val="left"/>
      </w:pPr>
      <w:r w:rsidRPr="00952959">
        <w:rPr>
          <w:rStyle w:val="FootnoteReference"/>
        </w:rPr>
        <w:footnoteRef/>
      </w:r>
      <w:r w:rsidRPr="00952959">
        <w:t xml:space="preserve"> </w:t>
      </w:r>
      <w:r w:rsidR="001E2C95" w:rsidRPr="00952959">
        <w:rPr>
          <w:i/>
        </w:rPr>
        <w:t>Id</w:t>
      </w:r>
      <w:r w:rsidRPr="00952959">
        <w:t xml:space="preserve">. </w:t>
      </w:r>
    </w:p>
  </w:footnote>
  <w:footnote w:id="5">
    <w:p w:rsidR="001E2C95" w:rsidRPr="006B2140" w:rsidRDefault="001E2C95" w:rsidP="002C76B1">
      <w:pPr>
        <w:pStyle w:val="FootnoteText"/>
        <w:spacing w:after="240"/>
        <w:jc w:val="left"/>
      </w:pPr>
      <w:r w:rsidRPr="00952959">
        <w:rPr>
          <w:rStyle w:val="FootnoteReference"/>
        </w:rPr>
        <w:footnoteRef/>
      </w:r>
      <w:r w:rsidRPr="00952959">
        <w:t xml:space="preserve"> </w:t>
      </w:r>
      <w:r w:rsidRPr="00952959">
        <w:rPr>
          <w:i/>
        </w:rPr>
        <w:t>See</w:t>
      </w:r>
      <w:r w:rsidRPr="00952959">
        <w:t xml:space="preserve"> Petition at 1.</w:t>
      </w:r>
      <w:r w:rsidR="006B2140">
        <w:t xml:space="preserve">  All new commercial o</w:t>
      </w:r>
      <w:r w:rsidR="006A151F">
        <w:t>perator licenses are grant</w:t>
      </w:r>
      <w:r w:rsidR="006B2140">
        <w:t xml:space="preserve">ed for the lifetime of the holder, but certain classes of existing licenses were issued for five-year terms.  </w:t>
      </w:r>
      <w:r w:rsidR="006B2140">
        <w:rPr>
          <w:i/>
        </w:rPr>
        <w:t xml:space="preserve">See </w:t>
      </w:r>
      <w:r w:rsidR="006B2140">
        <w:t xml:space="preserve">47 CFR </w:t>
      </w:r>
      <w:r w:rsidR="006B2140" w:rsidRPr="00952959">
        <w:t>§</w:t>
      </w:r>
      <w:r w:rsidR="006B2140">
        <w:t xml:space="preserve"> 13.15.</w:t>
      </w:r>
    </w:p>
  </w:footnote>
  <w:footnote w:id="6">
    <w:p w:rsidR="001E2C95" w:rsidRPr="001E2C95" w:rsidRDefault="001E2C95" w:rsidP="002C76B1">
      <w:pPr>
        <w:pStyle w:val="FootnoteText"/>
        <w:jc w:val="left"/>
      </w:pPr>
      <w:r>
        <w:rPr>
          <w:rStyle w:val="FootnoteReference"/>
        </w:rPr>
        <w:footnoteRef/>
      </w:r>
      <w:r>
        <w:t xml:space="preserve"> </w:t>
      </w:r>
      <w:r>
        <w:rPr>
          <w:i/>
        </w:rPr>
        <w:t>See Consumer &amp; Governmental Affairs Bureau Reference Information Center Petition for Rulemaking Filed</w:t>
      </w:r>
      <w:r>
        <w:t>, Public Notice, Report No. 3040, 22 WL 699352 (CGB rel. Feb. 22, 2016).</w:t>
      </w:r>
    </w:p>
  </w:footnote>
  <w:footnote w:id="7">
    <w:p w:rsidR="006C5139" w:rsidRPr="006C5139" w:rsidRDefault="006C5139" w:rsidP="006A151F">
      <w:pPr>
        <w:pStyle w:val="FootnoteText"/>
        <w:jc w:val="left"/>
      </w:pPr>
      <w:r>
        <w:rPr>
          <w:rStyle w:val="FootnoteReference"/>
        </w:rPr>
        <w:footnoteRef/>
      </w:r>
      <w:r>
        <w:t xml:space="preserve"> </w:t>
      </w:r>
      <w:r>
        <w:rPr>
          <w:i/>
        </w:rPr>
        <w:t>See Wireless Telecommunications Bureau Implements Enhancements to the Commission’s Universal Licensing System and Antenna Structure Registration System and Adopts Final Procedures for Providing Access to Official Electronic Authorizations</w:t>
      </w:r>
      <w:r>
        <w:t xml:space="preserve">, Public Notice, 29 FCC Rcd 15252, </w:t>
      </w:r>
      <w:r w:rsidR="000F4A44">
        <w:t xml:space="preserve">15261 </w:t>
      </w:r>
      <w:r>
        <w:t>(WTB 2015).</w:t>
      </w:r>
    </w:p>
  </w:footnote>
  <w:footnote w:id="8">
    <w:p w:rsidR="006956C7" w:rsidRPr="00952959" w:rsidRDefault="006956C7" w:rsidP="006956C7">
      <w:pPr>
        <w:pStyle w:val="FootnoteText"/>
        <w:spacing w:after="240"/>
        <w:jc w:val="left"/>
      </w:pPr>
      <w:r w:rsidRPr="00952959">
        <w:rPr>
          <w:rStyle w:val="FootnoteReference"/>
        </w:rPr>
        <w:footnoteRef/>
      </w:r>
      <w:r w:rsidRPr="00952959">
        <w:t xml:space="preserve"> 47 CFR § 97.31.</w:t>
      </w:r>
      <w:r>
        <w:t xml:space="preserve"> </w:t>
      </w:r>
    </w:p>
  </w:footnote>
  <w:footnote w:id="9">
    <w:p w:rsidR="006956C7" w:rsidRDefault="006956C7" w:rsidP="006956C7">
      <w:pPr>
        <w:pStyle w:val="FootnoteText"/>
        <w:jc w:val="left"/>
      </w:pPr>
      <w:r>
        <w:rPr>
          <w:rStyle w:val="FootnoteReference"/>
        </w:rPr>
        <w:footnoteRef/>
      </w:r>
      <w:r>
        <w:t xml:space="preserve"> </w:t>
      </w:r>
      <w:r>
        <w:rPr>
          <w:i/>
        </w:rPr>
        <w:t>See Amendment of the Amateur Service Rules Governing Vanity and Club Station Call Signs</w:t>
      </w:r>
      <w:r>
        <w:t>, Report and Order, 25 FCC Rcd 16351, 16353, para. 8 (2010).</w:t>
      </w:r>
    </w:p>
  </w:footnote>
  <w:footnote w:id="10">
    <w:p w:rsidR="0004482E" w:rsidRDefault="0004482E" w:rsidP="0004482E">
      <w:pPr>
        <w:pStyle w:val="FootnoteText"/>
        <w:jc w:val="left"/>
      </w:pPr>
      <w:r>
        <w:rPr>
          <w:rStyle w:val="FootnoteReference"/>
        </w:rPr>
        <w:footnoteRef/>
      </w:r>
      <w:r>
        <w:t xml:space="preserve"> </w:t>
      </w:r>
      <w:r>
        <w:rPr>
          <w:i/>
        </w:rPr>
        <w:t xml:space="preserve">See </w:t>
      </w:r>
      <w:r w:rsidRPr="00952959">
        <w:rPr>
          <w:i/>
        </w:rPr>
        <w:t>Amendment of the Amateur Service Rules Governing Qualifying Examination Systems and Other Matters, et al.</w:t>
      </w:r>
      <w:r w:rsidRPr="00952959">
        <w:t>, Report and Order</w:t>
      </w:r>
      <w:r>
        <w:t>, 29 FCC Rcd 6311, 6314, para. 8</w:t>
      </w:r>
      <w:r w:rsidRPr="00952959">
        <w:t xml:space="preserve"> (2014)</w:t>
      </w:r>
      <w:r>
        <w:t xml:space="preserve"> (</w:t>
      </w:r>
      <w:r w:rsidR="00E63D20">
        <w:rPr>
          <w:i/>
        </w:rPr>
        <w:t xml:space="preserve">2014 </w:t>
      </w:r>
      <w:r>
        <w:rPr>
          <w:i/>
        </w:rPr>
        <w:t>Element Credit Report and Order</w:t>
      </w:r>
      <w:r>
        <w:t xml:space="preserve">) (citing </w:t>
      </w:r>
      <w:r w:rsidRPr="00952959">
        <w:rPr>
          <w:i/>
        </w:rPr>
        <w:t>Amendment of the Amateur Service Rules Governing Qualifying Examination Systems and Other Matters, et al.</w:t>
      </w:r>
      <w:r w:rsidRPr="00952959">
        <w:t>,</w:t>
      </w:r>
      <w:r w:rsidR="006A151F">
        <w:t xml:space="preserve"> </w:t>
      </w:r>
      <w:r>
        <w:t>Notice of Proposed Rulemaking and Order, 27 FCC Rcd 12582, 12584, para. 6 (2012)).</w:t>
      </w:r>
    </w:p>
  </w:footnote>
  <w:footnote w:id="11">
    <w:p w:rsidR="0004482E" w:rsidRPr="00952959" w:rsidRDefault="0004482E" w:rsidP="0004482E">
      <w:pPr>
        <w:pStyle w:val="FootnoteText"/>
        <w:spacing w:after="240"/>
        <w:jc w:val="left"/>
      </w:pPr>
      <w:r w:rsidRPr="00952959">
        <w:rPr>
          <w:rStyle w:val="FootnoteReference"/>
        </w:rPr>
        <w:footnoteRef/>
      </w:r>
      <w:r>
        <w:t xml:space="preserve"> </w:t>
      </w:r>
      <w:r>
        <w:rPr>
          <w:i/>
        </w:rPr>
        <w:t>See Amendments to the Amateur Service Rules Including Amendments for Examination Credit, Eligibility for a Club Station License, Recognition of the Volunteer Examiner Session Manager, a Special Event Call Sign System, and Self-Assigned Indicator in the Station Identification</w:t>
      </w:r>
      <w:r>
        <w:t>, Report and Order, 12 FCC Rcd 3804, 3812, para. 20 (1997)</w:t>
      </w:r>
      <w:r w:rsidRPr="002C76B1">
        <w:t xml:space="preserve"> </w:t>
      </w:r>
      <w:r w:rsidR="00E63D20">
        <w:t>(</w:t>
      </w:r>
      <w:r w:rsidR="00E63D20">
        <w:rPr>
          <w:i/>
        </w:rPr>
        <w:t>1997 Element Credit Report and Order</w:t>
      </w:r>
      <w:r w:rsidR="00E63D20">
        <w:t>)</w:t>
      </w:r>
      <w:r w:rsidRPr="00952959">
        <w:t xml:space="preserve">. </w:t>
      </w:r>
    </w:p>
  </w:footnote>
  <w:footnote w:id="12">
    <w:p w:rsidR="002C76B1" w:rsidRPr="002C76B1" w:rsidRDefault="002C76B1">
      <w:pPr>
        <w:pStyle w:val="FootnoteText"/>
      </w:pPr>
      <w:r>
        <w:rPr>
          <w:rStyle w:val="FootnoteReference"/>
        </w:rPr>
        <w:footnoteRef/>
      </w:r>
      <w:r>
        <w:t xml:space="preserve"> </w:t>
      </w:r>
      <w:r>
        <w:rPr>
          <w:i/>
        </w:rPr>
        <w:t xml:space="preserve">See </w:t>
      </w:r>
      <w:r w:rsidR="00E63D20">
        <w:rPr>
          <w:i/>
        </w:rPr>
        <w:t xml:space="preserve">2014 </w:t>
      </w:r>
      <w:r>
        <w:rPr>
          <w:i/>
        </w:rPr>
        <w:t>Element Credit Report and Order</w:t>
      </w:r>
      <w:r>
        <w:t>, 29 FCC Rcd at 6316, para. 17.</w:t>
      </w:r>
    </w:p>
  </w:footnote>
  <w:footnote w:id="13">
    <w:p w:rsidR="00F4308C" w:rsidRPr="00F4308C" w:rsidRDefault="00F4308C">
      <w:pPr>
        <w:pStyle w:val="FootnoteText"/>
      </w:pPr>
      <w:r>
        <w:rPr>
          <w:rStyle w:val="FootnoteReference"/>
        </w:rPr>
        <w:footnoteRef/>
      </w:r>
      <w:r>
        <w:t xml:space="preserve"> </w:t>
      </w:r>
      <w:r>
        <w:rPr>
          <w:i/>
        </w:rPr>
        <w:t>See Assessment and Collection of Regulatory Fees for Fiscal Year 2015</w:t>
      </w:r>
      <w:r>
        <w:t>, Report and Order and Further Notice of Proposed Rulemaking, 30 FCC Rcd 10268, 10279, para. 26 (2015).</w:t>
      </w:r>
    </w:p>
  </w:footnote>
  <w:footnote w:id="14">
    <w:p w:rsidR="0004482E" w:rsidRDefault="0004482E">
      <w:pPr>
        <w:pStyle w:val="FootnoteText"/>
      </w:pPr>
      <w:r>
        <w:rPr>
          <w:rStyle w:val="FootnoteReference"/>
        </w:rPr>
        <w:footnoteRef/>
      </w:r>
      <w:r>
        <w:t xml:space="preserve"> </w:t>
      </w:r>
      <w:r>
        <w:rPr>
          <w:i/>
        </w:rPr>
        <w:t xml:space="preserve">See </w:t>
      </w:r>
      <w:r w:rsidR="00E63D20">
        <w:rPr>
          <w:i/>
        </w:rPr>
        <w:t xml:space="preserve">2014 </w:t>
      </w:r>
      <w:r>
        <w:rPr>
          <w:i/>
        </w:rPr>
        <w:t>Element Credit Report and Order</w:t>
      </w:r>
      <w:r>
        <w:t>, 29 FCC Rcd at 6315-16, para. 15.</w:t>
      </w:r>
    </w:p>
  </w:footnote>
  <w:footnote w:id="15">
    <w:p w:rsidR="00E63D20" w:rsidRPr="00E63D20" w:rsidRDefault="00E63D20">
      <w:pPr>
        <w:pStyle w:val="FootnoteText"/>
      </w:pPr>
      <w:r>
        <w:rPr>
          <w:rStyle w:val="FootnoteReference"/>
        </w:rPr>
        <w:footnoteRef/>
      </w:r>
      <w:r>
        <w:t xml:space="preserve"> </w:t>
      </w:r>
      <w:r>
        <w:rPr>
          <w:i/>
        </w:rPr>
        <w:t>See id.</w:t>
      </w:r>
      <w:r>
        <w:t xml:space="preserve"> at 6316, para. 15.</w:t>
      </w:r>
    </w:p>
  </w:footnote>
  <w:footnote w:id="16">
    <w:p w:rsidR="00B603FE" w:rsidRPr="00B603FE" w:rsidRDefault="00B603FE">
      <w:pPr>
        <w:pStyle w:val="FootnoteText"/>
      </w:pPr>
      <w:r>
        <w:rPr>
          <w:rStyle w:val="FootnoteReference"/>
        </w:rPr>
        <w:footnoteRef/>
      </w:r>
      <w:r>
        <w:t xml:space="preserve"> </w:t>
      </w:r>
      <w:r>
        <w:rPr>
          <w:i/>
        </w:rPr>
        <w:t>See</w:t>
      </w:r>
      <w:r>
        <w:t xml:space="preserve">, </w:t>
      </w:r>
      <w:r>
        <w:rPr>
          <w:i/>
        </w:rPr>
        <w:t>e.g.</w:t>
      </w:r>
      <w:r>
        <w:t>, David A. Malin, Sr. Comments at 1.</w:t>
      </w:r>
    </w:p>
  </w:footnote>
  <w:footnote w:id="17">
    <w:p w:rsidR="00432D00" w:rsidRPr="00C234E9" w:rsidRDefault="00432D00" w:rsidP="00432D00">
      <w:pPr>
        <w:pStyle w:val="FootnoteText"/>
      </w:pPr>
      <w:r>
        <w:rPr>
          <w:rStyle w:val="FootnoteReference"/>
        </w:rPr>
        <w:footnoteRef/>
      </w:r>
      <w:r>
        <w:t xml:space="preserve"> </w:t>
      </w:r>
      <w:r>
        <w:rPr>
          <w:i/>
        </w:rPr>
        <w:t>See</w:t>
      </w:r>
      <w:r>
        <w:t xml:space="preserve">, </w:t>
      </w:r>
      <w:r>
        <w:rPr>
          <w:i/>
        </w:rPr>
        <w:t>e.g.</w:t>
      </w:r>
      <w:r>
        <w:t>, Mike Williams Comments at 1.</w:t>
      </w:r>
    </w:p>
  </w:footnote>
  <w:footnote w:id="18">
    <w:p w:rsidR="00E63D20" w:rsidRPr="00E63D20" w:rsidRDefault="00E63D20">
      <w:pPr>
        <w:pStyle w:val="FootnoteText"/>
      </w:pPr>
      <w:r>
        <w:rPr>
          <w:rStyle w:val="FootnoteReference"/>
        </w:rPr>
        <w:footnoteRef/>
      </w:r>
      <w:r>
        <w:t xml:space="preserve"> </w:t>
      </w:r>
      <w:r>
        <w:rPr>
          <w:i/>
        </w:rPr>
        <w:t>See 1974 Element Credit Report and Order</w:t>
      </w:r>
      <w:r>
        <w:t>, 12 FCC Rcd at 3812, para. 20.</w:t>
      </w:r>
    </w:p>
  </w:footnote>
  <w:footnote w:id="19">
    <w:p w:rsidR="00DC785D" w:rsidRPr="00DC785D" w:rsidRDefault="00DC785D" w:rsidP="00DC785D">
      <w:pPr>
        <w:pStyle w:val="FootnoteText"/>
        <w:jc w:val="left"/>
      </w:pPr>
      <w:r>
        <w:rPr>
          <w:rStyle w:val="FootnoteReference"/>
        </w:rPr>
        <w:footnoteRef/>
      </w:r>
      <w:r>
        <w:t xml:space="preserve"> </w:t>
      </w:r>
      <w:r>
        <w:rPr>
          <w:i/>
        </w:rPr>
        <w:t>See Requirements for Licensed Operators in Various Radio Services</w:t>
      </w:r>
      <w:r>
        <w:t>, Report and Order, 96 F.C.C. 2d 1123, 1139, para. 30 (1984).</w:t>
      </w:r>
    </w:p>
  </w:footnote>
  <w:footnote w:id="20">
    <w:p w:rsidR="00DC785D" w:rsidRPr="00DC785D" w:rsidRDefault="00DC785D" w:rsidP="00DC785D">
      <w:pPr>
        <w:pStyle w:val="FootnoteText"/>
        <w:jc w:val="left"/>
      </w:pPr>
      <w:r>
        <w:rPr>
          <w:rStyle w:val="FootnoteReference"/>
        </w:rPr>
        <w:footnoteRef/>
      </w:r>
      <w:r>
        <w:t xml:space="preserve"> Another reason noted by the Commission was to eliminate the need for licensees to pay a renewal fee.  </w:t>
      </w:r>
      <w:r>
        <w:rPr>
          <w:i/>
        </w:rPr>
        <w:t>See id.</w:t>
      </w:r>
      <w:r>
        <w:t xml:space="preserve">  As noted above, this also is not a consideration with respect to amateur licensing.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A43" w:rsidRDefault="00022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BD" w:rsidRDefault="004B7631">
    <w:pPr>
      <w:pStyle w:val="Header"/>
      <w:tabs>
        <w:tab w:val="clear" w:pos="4320"/>
        <w:tab w:val="clear" w:pos="8640"/>
        <w:tab w:val="center" w:pos="4680"/>
        <w:tab w:val="right" w:pos="9360"/>
      </w:tabs>
      <w:rPr>
        <w:b/>
      </w:rPr>
    </w:pPr>
    <w:r>
      <w:rPr>
        <w:b/>
      </w:rPr>
      <w:tab/>
      <w:t>Federal Communications Commission</w:t>
    </w:r>
    <w:r>
      <w:rPr>
        <w:b/>
      </w:rPr>
      <w:tab/>
      <w:t xml:space="preserve">DA </w:t>
    </w:r>
    <w:r w:rsidR="0044426A">
      <w:rPr>
        <w:b/>
      </w:rPr>
      <w:t>1</w:t>
    </w:r>
    <w:r w:rsidR="007312FA">
      <w:rPr>
        <w:b/>
      </w:rPr>
      <w:t>6</w:t>
    </w:r>
    <w:r w:rsidR="00622679">
      <w:rPr>
        <w:b/>
      </w:rPr>
      <w:t>-707</w:t>
    </w:r>
  </w:p>
  <w:p w:rsidR="00B911BD" w:rsidRDefault="0097298E">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45AC620B" wp14:editId="013A144B">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B491E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911BD" w:rsidRDefault="00B91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1BD" w:rsidRDefault="004B7631">
    <w:pPr>
      <w:pStyle w:val="Header"/>
      <w:tabs>
        <w:tab w:val="clear" w:pos="4320"/>
        <w:tab w:val="clear" w:pos="8640"/>
        <w:tab w:val="center" w:pos="4680"/>
        <w:tab w:val="right" w:pos="9360"/>
      </w:tabs>
      <w:rPr>
        <w:b/>
      </w:rPr>
    </w:pPr>
    <w:r>
      <w:rPr>
        <w:b/>
      </w:rPr>
      <w:tab/>
      <w:t xml:space="preserve">Federal </w:t>
    </w:r>
    <w:r w:rsidR="00C84372">
      <w:rPr>
        <w:b/>
      </w:rPr>
      <w:t>Communications Commission</w:t>
    </w:r>
    <w:r w:rsidR="00C84372">
      <w:rPr>
        <w:b/>
      </w:rPr>
      <w:tab/>
      <w:t>DA 1</w:t>
    </w:r>
    <w:r w:rsidR="007312FA">
      <w:rPr>
        <w:b/>
      </w:rPr>
      <w:t>6</w:t>
    </w:r>
    <w:r w:rsidR="00C84372">
      <w:rPr>
        <w:b/>
      </w:rPr>
      <w:t>-</w:t>
    </w:r>
    <w:r w:rsidR="00622679">
      <w:rPr>
        <w:b/>
      </w:rPr>
      <w:t>707</w:t>
    </w:r>
  </w:p>
  <w:p w:rsidR="00B911BD" w:rsidRDefault="0097298E">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3BCA2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0D9E2114"/>
    <w:multiLevelType w:val="hybridMultilevel"/>
    <w:tmpl w:val="A28AF3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AF2AC5"/>
    <w:multiLevelType w:val="hybridMultilevel"/>
    <w:tmpl w:val="4E628624"/>
    <w:lvl w:ilvl="0" w:tplc="25DCD9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E6C0FBD"/>
    <w:multiLevelType w:val="hybridMultilevel"/>
    <w:tmpl w:val="FBA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C804BF0"/>
    <w:multiLevelType w:val="hybridMultilevel"/>
    <w:tmpl w:val="7742C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24A276E"/>
    <w:multiLevelType w:val="hybridMultilevel"/>
    <w:tmpl w:val="BDF4A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0">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3">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6B9F7DC1"/>
    <w:multiLevelType w:val="hybridMultilevel"/>
    <w:tmpl w:val="9DC62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7">
    <w:nsid w:val="7FF65C49"/>
    <w:multiLevelType w:val="hybridMultilevel"/>
    <w:tmpl w:val="0724615A"/>
    <w:lvl w:ilvl="0" w:tplc="70F871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6"/>
  </w:num>
  <w:num w:numId="3">
    <w:abstractNumId w:val="5"/>
  </w:num>
  <w:num w:numId="4">
    <w:abstractNumId w:val="20"/>
  </w:num>
  <w:num w:numId="5">
    <w:abstractNumId w:val="6"/>
  </w:num>
  <w:num w:numId="6">
    <w:abstractNumId w:val="23"/>
  </w:num>
  <w:num w:numId="7">
    <w:abstractNumId w:val="16"/>
  </w:num>
  <w:num w:numId="8">
    <w:abstractNumId w:val="7"/>
  </w:num>
  <w:num w:numId="9">
    <w:abstractNumId w:val="22"/>
  </w:num>
  <w:num w:numId="10">
    <w:abstractNumId w:val="13"/>
  </w:num>
  <w:num w:numId="11">
    <w:abstractNumId w:val="12"/>
  </w:num>
  <w:num w:numId="12">
    <w:abstractNumId w:val="8"/>
  </w:num>
  <w:num w:numId="13">
    <w:abstractNumId w:val="15"/>
  </w:num>
  <w:num w:numId="14">
    <w:abstractNumId w:val="21"/>
  </w:num>
  <w:num w:numId="15">
    <w:abstractNumId w:val="3"/>
  </w:num>
  <w:num w:numId="16">
    <w:abstractNumId w:val="4"/>
  </w:num>
  <w:num w:numId="17">
    <w:abstractNumId w:val="10"/>
  </w:num>
  <w:num w:numId="18">
    <w:abstractNumId w:val="0"/>
  </w:num>
  <w:num w:numId="19">
    <w:abstractNumId w:val="11"/>
  </w:num>
  <w:num w:numId="20">
    <w:abstractNumId w:val="17"/>
  </w:num>
  <w:num w:numId="21">
    <w:abstractNumId w:val="19"/>
  </w:num>
  <w:num w:numId="22">
    <w:abstractNumId w:val="9"/>
  </w:num>
  <w:num w:numId="23">
    <w:abstractNumId w:val="1"/>
  </w:num>
  <w:num w:numId="24">
    <w:abstractNumId w:val="25"/>
  </w:num>
  <w:num w:numId="25">
    <w:abstractNumId w:val="15"/>
    <w:lvlOverride w:ilvl="0">
      <w:startOverride w:val="1"/>
    </w:lvlOverride>
  </w:num>
  <w:num w:numId="26">
    <w:abstractNumId w:val="15"/>
    <w:lvlOverride w:ilvl="0">
      <w:startOverride w:val="1"/>
    </w:lvlOverride>
  </w:num>
  <w:num w:numId="27">
    <w:abstractNumId w:val="14"/>
  </w:num>
  <w:num w:numId="28">
    <w:abstractNumId w:val="18"/>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8E"/>
    <w:rsid w:val="00011CF7"/>
    <w:rsid w:val="00022A43"/>
    <w:rsid w:val="000314F7"/>
    <w:rsid w:val="0003257C"/>
    <w:rsid w:val="00036172"/>
    <w:rsid w:val="0004482E"/>
    <w:rsid w:val="000472A9"/>
    <w:rsid w:val="00075C36"/>
    <w:rsid w:val="00097448"/>
    <w:rsid w:val="0009768B"/>
    <w:rsid w:val="000A2BE1"/>
    <w:rsid w:val="000A6C7D"/>
    <w:rsid w:val="000D1C3A"/>
    <w:rsid w:val="000D2825"/>
    <w:rsid w:val="000E0F96"/>
    <w:rsid w:val="000E7B4D"/>
    <w:rsid w:val="000F4A44"/>
    <w:rsid w:val="00103CBD"/>
    <w:rsid w:val="00122022"/>
    <w:rsid w:val="00143226"/>
    <w:rsid w:val="00144BBC"/>
    <w:rsid w:val="0015670B"/>
    <w:rsid w:val="00183AE0"/>
    <w:rsid w:val="00186B28"/>
    <w:rsid w:val="00187623"/>
    <w:rsid w:val="001918EC"/>
    <w:rsid w:val="001A00B9"/>
    <w:rsid w:val="001A03E7"/>
    <w:rsid w:val="001A0DB9"/>
    <w:rsid w:val="001A25D8"/>
    <w:rsid w:val="001A5B63"/>
    <w:rsid w:val="001B494A"/>
    <w:rsid w:val="001B521C"/>
    <w:rsid w:val="001C73BC"/>
    <w:rsid w:val="001D6A45"/>
    <w:rsid w:val="001D795E"/>
    <w:rsid w:val="001E2C95"/>
    <w:rsid w:val="00204824"/>
    <w:rsid w:val="00204D06"/>
    <w:rsid w:val="00216D04"/>
    <w:rsid w:val="00225149"/>
    <w:rsid w:val="0023663D"/>
    <w:rsid w:val="002373F0"/>
    <w:rsid w:val="00240BDB"/>
    <w:rsid w:val="00257EF9"/>
    <w:rsid w:val="00275A87"/>
    <w:rsid w:val="00276619"/>
    <w:rsid w:val="0027743A"/>
    <w:rsid w:val="00284490"/>
    <w:rsid w:val="002861E0"/>
    <w:rsid w:val="0029377F"/>
    <w:rsid w:val="002B0885"/>
    <w:rsid w:val="002C081C"/>
    <w:rsid w:val="002C46AC"/>
    <w:rsid w:val="002C76B1"/>
    <w:rsid w:val="002D3838"/>
    <w:rsid w:val="002E41F7"/>
    <w:rsid w:val="002E6C5A"/>
    <w:rsid w:val="0030001E"/>
    <w:rsid w:val="00303A9B"/>
    <w:rsid w:val="00304528"/>
    <w:rsid w:val="0030741C"/>
    <w:rsid w:val="00313663"/>
    <w:rsid w:val="00314D12"/>
    <w:rsid w:val="003152F7"/>
    <w:rsid w:val="00326331"/>
    <w:rsid w:val="00380D32"/>
    <w:rsid w:val="00382277"/>
    <w:rsid w:val="0039670A"/>
    <w:rsid w:val="003A467A"/>
    <w:rsid w:val="003A7733"/>
    <w:rsid w:val="003A796A"/>
    <w:rsid w:val="003B16DD"/>
    <w:rsid w:val="003B3F77"/>
    <w:rsid w:val="003B44C9"/>
    <w:rsid w:val="003C385B"/>
    <w:rsid w:val="003D265C"/>
    <w:rsid w:val="003D498D"/>
    <w:rsid w:val="003D71CF"/>
    <w:rsid w:val="003F03DC"/>
    <w:rsid w:val="003F3D72"/>
    <w:rsid w:val="0041117A"/>
    <w:rsid w:val="0041235C"/>
    <w:rsid w:val="00415BCA"/>
    <w:rsid w:val="00420156"/>
    <w:rsid w:val="00421D3A"/>
    <w:rsid w:val="00424386"/>
    <w:rsid w:val="00425170"/>
    <w:rsid w:val="00432D00"/>
    <w:rsid w:val="004407E3"/>
    <w:rsid w:val="0044426A"/>
    <w:rsid w:val="00451971"/>
    <w:rsid w:val="00462CBF"/>
    <w:rsid w:val="00465071"/>
    <w:rsid w:val="0048147D"/>
    <w:rsid w:val="00484463"/>
    <w:rsid w:val="004B2A0C"/>
    <w:rsid w:val="004B5B67"/>
    <w:rsid w:val="004B614D"/>
    <w:rsid w:val="004B7631"/>
    <w:rsid w:val="004C3C88"/>
    <w:rsid w:val="004C532A"/>
    <w:rsid w:val="004D13A4"/>
    <w:rsid w:val="004F6BCA"/>
    <w:rsid w:val="00504C6C"/>
    <w:rsid w:val="00506680"/>
    <w:rsid w:val="00522796"/>
    <w:rsid w:val="00527C9C"/>
    <w:rsid w:val="005403E1"/>
    <w:rsid w:val="0057090D"/>
    <w:rsid w:val="0059002F"/>
    <w:rsid w:val="00592577"/>
    <w:rsid w:val="005A025A"/>
    <w:rsid w:val="005C4D2D"/>
    <w:rsid w:val="005C6D01"/>
    <w:rsid w:val="005E41ED"/>
    <w:rsid w:val="005E67F8"/>
    <w:rsid w:val="005F7323"/>
    <w:rsid w:val="006010F3"/>
    <w:rsid w:val="006172A2"/>
    <w:rsid w:val="00621AC6"/>
    <w:rsid w:val="00622679"/>
    <w:rsid w:val="00623D9C"/>
    <w:rsid w:val="00625C43"/>
    <w:rsid w:val="00633B45"/>
    <w:rsid w:val="00646B8C"/>
    <w:rsid w:val="006477AA"/>
    <w:rsid w:val="00647B77"/>
    <w:rsid w:val="0065595F"/>
    <w:rsid w:val="00656B9A"/>
    <w:rsid w:val="00661A92"/>
    <w:rsid w:val="00662E32"/>
    <w:rsid w:val="0067224F"/>
    <w:rsid w:val="0068022E"/>
    <w:rsid w:val="0068218D"/>
    <w:rsid w:val="006956C7"/>
    <w:rsid w:val="006A151F"/>
    <w:rsid w:val="006A1686"/>
    <w:rsid w:val="006A1B83"/>
    <w:rsid w:val="006B2140"/>
    <w:rsid w:val="006C0C54"/>
    <w:rsid w:val="006C5139"/>
    <w:rsid w:val="006C55F6"/>
    <w:rsid w:val="00705B06"/>
    <w:rsid w:val="0072291B"/>
    <w:rsid w:val="00723EBA"/>
    <w:rsid w:val="007312FA"/>
    <w:rsid w:val="00742779"/>
    <w:rsid w:val="007535B4"/>
    <w:rsid w:val="0075711F"/>
    <w:rsid w:val="00767D6D"/>
    <w:rsid w:val="00774498"/>
    <w:rsid w:val="00784A28"/>
    <w:rsid w:val="007A13B8"/>
    <w:rsid w:val="007B1B73"/>
    <w:rsid w:val="007B338B"/>
    <w:rsid w:val="007C79B8"/>
    <w:rsid w:val="007E6736"/>
    <w:rsid w:val="008044FE"/>
    <w:rsid w:val="008104E3"/>
    <w:rsid w:val="0081774F"/>
    <w:rsid w:val="008254A7"/>
    <w:rsid w:val="00840880"/>
    <w:rsid w:val="0084290D"/>
    <w:rsid w:val="00844B9D"/>
    <w:rsid w:val="00845F63"/>
    <w:rsid w:val="008462EA"/>
    <w:rsid w:val="00854170"/>
    <w:rsid w:val="00854FAD"/>
    <w:rsid w:val="0088043B"/>
    <w:rsid w:val="0088786C"/>
    <w:rsid w:val="00894032"/>
    <w:rsid w:val="008A2E7B"/>
    <w:rsid w:val="008B1A2D"/>
    <w:rsid w:val="008C425D"/>
    <w:rsid w:val="008C739A"/>
    <w:rsid w:val="008E7B9F"/>
    <w:rsid w:val="00911561"/>
    <w:rsid w:val="00920F85"/>
    <w:rsid w:val="00936D7A"/>
    <w:rsid w:val="00940AA9"/>
    <w:rsid w:val="00955B77"/>
    <w:rsid w:val="00962570"/>
    <w:rsid w:val="0096367E"/>
    <w:rsid w:val="00965D43"/>
    <w:rsid w:val="009709B3"/>
    <w:rsid w:val="0097298E"/>
    <w:rsid w:val="0099089E"/>
    <w:rsid w:val="009C50D6"/>
    <w:rsid w:val="009E19E8"/>
    <w:rsid w:val="00A07FEF"/>
    <w:rsid w:val="00A10A9A"/>
    <w:rsid w:val="00A11AA7"/>
    <w:rsid w:val="00A145E0"/>
    <w:rsid w:val="00A15F76"/>
    <w:rsid w:val="00A4111D"/>
    <w:rsid w:val="00A52685"/>
    <w:rsid w:val="00A540F7"/>
    <w:rsid w:val="00A550A8"/>
    <w:rsid w:val="00A61C96"/>
    <w:rsid w:val="00A63505"/>
    <w:rsid w:val="00A662C2"/>
    <w:rsid w:val="00A709F1"/>
    <w:rsid w:val="00A72AE4"/>
    <w:rsid w:val="00A77DB3"/>
    <w:rsid w:val="00A93B25"/>
    <w:rsid w:val="00AA2480"/>
    <w:rsid w:val="00AA647C"/>
    <w:rsid w:val="00AC1C9B"/>
    <w:rsid w:val="00AC376E"/>
    <w:rsid w:val="00AC5CC4"/>
    <w:rsid w:val="00AD4C27"/>
    <w:rsid w:val="00AD5B3C"/>
    <w:rsid w:val="00AE4138"/>
    <w:rsid w:val="00AE5266"/>
    <w:rsid w:val="00AE5757"/>
    <w:rsid w:val="00AF0B58"/>
    <w:rsid w:val="00AF0BFC"/>
    <w:rsid w:val="00AF5258"/>
    <w:rsid w:val="00B03FB9"/>
    <w:rsid w:val="00B04DA4"/>
    <w:rsid w:val="00B05E4F"/>
    <w:rsid w:val="00B105E1"/>
    <w:rsid w:val="00B140D4"/>
    <w:rsid w:val="00B22BED"/>
    <w:rsid w:val="00B3632B"/>
    <w:rsid w:val="00B36E26"/>
    <w:rsid w:val="00B541A5"/>
    <w:rsid w:val="00B603FE"/>
    <w:rsid w:val="00B776C1"/>
    <w:rsid w:val="00B911BD"/>
    <w:rsid w:val="00B92A02"/>
    <w:rsid w:val="00B972D0"/>
    <w:rsid w:val="00BB6E9C"/>
    <w:rsid w:val="00BC144F"/>
    <w:rsid w:val="00BC16E1"/>
    <w:rsid w:val="00BD249C"/>
    <w:rsid w:val="00BF58F6"/>
    <w:rsid w:val="00C006EE"/>
    <w:rsid w:val="00C166EE"/>
    <w:rsid w:val="00C171A6"/>
    <w:rsid w:val="00C2089F"/>
    <w:rsid w:val="00C234E9"/>
    <w:rsid w:val="00C2739A"/>
    <w:rsid w:val="00C506A8"/>
    <w:rsid w:val="00C51504"/>
    <w:rsid w:val="00C55B05"/>
    <w:rsid w:val="00C561B0"/>
    <w:rsid w:val="00C717F5"/>
    <w:rsid w:val="00C84372"/>
    <w:rsid w:val="00CA05CF"/>
    <w:rsid w:val="00CA1B67"/>
    <w:rsid w:val="00CA2023"/>
    <w:rsid w:val="00CA52AC"/>
    <w:rsid w:val="00CC0AC7"/>
    <w:rsid w:val="00CC7DF1"/>
    <w:rsid w:val="00CD3BB3"/>
    <w:rsid w:val="00CE7EAB"/>
    <w:rsid w:val="00D02505"/>
    <w:rsid w:val="00D1076F"/>
    <w:rsid w:val="00D11C80"/>
    <w:rsid w:val="00D13D1C"/>
    <w:rsid w:val="00D14E22"/>
    <w:rsid w:val="00D21A1A"/>
    <w:rsid w:val="00D27FFD"/>
    <w:rsid w:val="00D32B2B"/>
    <w:rsid w:val="00D3697B"/>
    <w:rsid w:val="00D47CF9"/>
    <w:rsid w:val="00D54370"/>
    <w:rsid w:val="00D7411D"/>
    <w:rsid w:val="00D7791F"/>
    <w:rsid w:val="00D817C6"/>
    <w:rsid w:val="00D81F6B"/>
    <w:rsid w:val="00D8410B"/>
    <w:rsid w:val="00D85A34"/>
    <w:rsid w:val="00D86E26"/>
    <w:rsid w:val="00D87506"/>
    <w:rsid w:val="00DA535A"/>
    <w:rsid w:val="00DB0189"/>
    <w:rsid w:val="00DB2EE0"/>
    <w:rsid w:val="00DC45A1"/>
    <w:rsid w:val="00DC785D"/>
    <w:rsid w:val="00DD46BE"/>
    <w:rsid w:val="00DD5EE9"/>
    <w:rsid w:val="00DD6988"/>
    <w:rsid w:val="00DD79C0"/>
    <w:rsid w:val="00DE364C"/>
    <w:rsid w:val="00DF1845"/>
    <w:rsid w:val="00E12084"/>
    <w:rsid w:val="00E13866"/>
    <w:rsid w:val="00E14E55"/>
    <w:rsid w:val="00E229B6"/>
    <w:rsid w:val="00E24503"/>
    <w:rsid w:val="00E25639"/>
    <w:rsid w:val="00E35E51"/>
    <w:rsid w:val="00E50A90"/>
    <w:rsid w:val="00E62294"/>
    <w:rsid w:val="00E63D20"/>
    <w:rsid w:val="00E71953"/>
    <w:rsid w:val="00E72CEB"/>
    <w:rsid w:val="00E75841"/>
    <w:rsid w:val="00E9369D"/>
    <w:rsid w:val="00EB1BD2"/>
    <w:rsid w:val="00EB412A"/>
    <w:rsid w:val="00EC0EBD"/>
    <w:rsid w:val="00EC1236"/>
    <w:rsid w:val="00EE2A4A"/>
    <w:rsid w:val="00EE3D0A"/>
    <w:rsid w:val="00EF4A1F"/>
    <w:rsid w:val="00F01ABB"/>
    <w:rsid w:val="00F0392C"/>
    <w:rsid w:val="00F06C56"/>
    <w:rsid w:val="00F079EC"/>
    <w:rsid w:val="00F31117"/>
    <w:rsid w:val="00F4308C"/>
    <w:rsid w:val="00F55D47"/>
    <w:rsid w:val="00F62657"/>
    <w:rsid w:val="00F67FD8"/>
    <w:rsid w:val="00F928D5"/>
    <w:rsid w:val="00FA5759"/>
    <w:rsid w:val="00FD0E16"/>
    <w:rsid w:val="00FD617F"/>
    <w:rsid w:val="00FE1627"/>
    <w:rsid w:val="00FE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
    <w:basedOn w:val="Normal"/>
    <w:link w:val="FootnoteTextChar1"/>
    <w:uiPriority w:val="99"/>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documentbody1">
    <w:name w:val="documentbody1"/>
    <w:rPr>
      <w:rFonts w:ascii="Verdana" w:hAnsi="Verdana" w:hint="default"/>
      <w:sz w:val="19"/>
      <w:szCs w:val="19"/>
    </w:rPr>
  </w:style>
  <w:style w:type="character" w:customStyle="1" w:styleId="text-blue1">
    <w:name w:val="text-blue1"/>
    <w:rPr>
      <w:rFonts w:ascii="Verdana" w:hAnsi="Verdana" w:hint="default"/>
      <w:color w:val="000099"/>
      <w:sz w:val="16"/>
      <w:szCs w:val="16"/>
    </w:rPr>
  </w:style>
  <w:style w:type="character" w:customStyle="1" w:styleId="h21">
    <w:name w:val="h21"/>
    <w:rPr>
      <w:rFonts w:ascii="Verdana" w:hAnsi="Verdana" w:hint="default"/>
      <w:b/>
      <w:bCs/>
      <w:color w:val="000099"/>
      <w:sz w:val="24"/>
      <w:szCs w:val="24"/>
    </w:rPr>
  </w:style>
  <w:style w:type="character" w:styleId="Hyperlink">
    <w:name w:val="Hyperlink"/>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Pr>
      <w:lang w:val="en-US" w:eastAsia="en-US" w:bidi="ar-SA"/>
    </w:rPr>
  </w:style>
  <w:style w:type="character" w:customStyle="1" w:styleId="documentbody5">
    <w:name w:val="documentbody5"/>
    <w:rPr>
      <w:rFonts w:ascii="Verdana" w:hAnsi="Verdana" w:hint="default"/>
      <w:sz w:val="19"/>
      <w:szCs w:val="19"/>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TextChar1CharCharChar">
    <w:name w:val="Footnote Text Char1 Char Char Char"/>
    <w:aliases w:val="Footnote Text Char Char Char Char Char,Footnote Text Char1 Char2 Char Char Char Char,Footnote Text Char1 Char Char Char Char Char Char Char,Footnote Text Char1 Char"/>
    <w:semiHidden/>
    <w:locked/>
    <w:rPr>
      <w:rFonts w:cs="Times New Roman"/>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Paragraph">
    <w:name w:val="List Paragraph"/>
    <w:basedOn w:val="Normal"/>
    <w:uiPriority w:val="34"/>
    <w:qFormat/>
    <w:rsid w:val="008B1A2D"/>
    <w:pPr>
      <w:spacing w:after="200" w:line="276" w:lineRule="auto"/>
      <w:ind w:left="720"/>
      <w:contextualSpacing/>
    </w:pPr>
    <w:rPr>
      <w:rFonts w:asciiTheme="minorHAnsi" w:eastAsiaTheme="minorHAnsi"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2,Footnote Text Char Char,Footnote Text Char2 Char Char,Footnote Text Char3 Char Char Char1,Footnote Text Char2 Char Char Char Char1,Footnote Text Char Char Char1 Char Char Char Char1,Footnote Text Char,fn Char,fn"/>
    <w:basedOn w:val="Normal"/>
    <w:link w:val="FootnoteTextChar1"/>
    <w:uiPriority w:val="99"/>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24,Style 13,o,fr,Style 3,FR"/>
    <w:uiPriority w:val="99"/>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documentbody1">
    <w:name w:val="documentbody1"/>
    <w:rPr>
      <w:rFonts w:ascii="Verdana" w:hAnsi="Verdana" w:hint="default"/>
      <w:sz w:val="19"/>
      <w:szCs w:val="19"/>
    </w:rPr>
  </w:style>
  <w:style w:type="character" w:customStyle="1" w:styleId="text-blue1">
    <w:name w:val="text-blue1"/>
    <w:rPr>
      <w:rFonts w:ascii="Verdana" w:hAnsi="Verdana" w:hint="default"/>
      <w:color w:val="000099"/>
      <w:sz w:val="16"/>
      <w:szCs w:val="16"/>
    </w:rPr>
  </w:style>
  <w:style w:type="character" w:customStyle="1" w:styleId="h21">
    <w:name w:val="h21"/>
    <w:rPr>
      <w:rFonts w:ascii="Verdana" w:hAnsi="Verdana" w:hint="default"/>
      <w:b/>
      <w:bCs/>
      <w:color w:val="000099"/>
      <w:sz w:val="24"/>
      <w:szCs w:val="24"/>
    </w:rPr>
  </w:style>
  <w:style w:type="character" w:styleId="Hyperlink">
    <w:name w:val="Hyperlink"/>
    <w:rPr>
      <w:color w:val="0000FF"/>
      <w:u w:val="single"/>
    </w:rPr>
  </w:style>
  <w:style w:type="character" w:customStyle="1" w:styleId="FootnoteTextChar1">
    <w:name w:val="Footnote Text Char1"/>
    <w:aliases w:val="Footnote Text Char2 Char,Footnote Text Char Char Char,Footnote Text Char2 Char Char Char,Footnote Text Char3 Char Char Char1 Char,Footnote Text Char2 Char Char Char Char1 Char,Footnote Text Char Char Char1 Char Char Char Char1 Char"/>
    <w:link w:val="FootnoteText"/>
    <w:semiHidden/>
    <w:rPr>
      <w:lang w:val="en-US" w:eastAsia="en-US" w:bidi="ar-SA"/>
    </w:rPr>
  </w:style>
  <w:style w:type="character" w:customStyle="1" w:styleId="documentbody5">
    <w:name w:val="documentbody5"/>
    <w:rPr>
      <w:rFonts w:ascii="Verdana" w:hAnsi="Verdana" w:hint="default"/>
      <w:sz w:val="19"/>
      <w:szCs w:val="19"/>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TextChar1CharCharChar">
    <w:name w:val="Footnote Text Char1 Char Char Char"/>
    <w:aliases w:val="Footnote Text Char Char Char Char Char,Footnote Text Char1 Char2 Char Char Char Char,Footnote Text Char1 Char Char Char Char Char Char Char,Footnote Text Char1 Char"/>
    <w:semiHidden/>
    <w:locked/>
    <w:rPr>
      <w:rFonts w:cs="Times New Roman"/>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ListParagraph">
    <w:name w:val="List Paragraph"/>
    <w:basedOn w:val="Normal"/>
    <w:uiPriority w:val="34"/>
    <w:qFormat/>
    <w:rsid w:val="008B1A2D"/>
    <w:pPr>
      <w:spacing w:after="200" w:line="276" w:lineRule="auto"/>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10179">
      <w:bodyDiv w:val="1"/>
      <w:marLeft w:val="25"/>
      <w:marRight w:val="25"/>
      <w:marTop w:val="25"/>
      <w:marBottom w:val="25"/>
      <w:divBdr>
        <w:top w:val="none" w:sz="0" w:space="0" w:color="auto"/>
        <w:left w:val="none" w:sz="0" w:space="0" w:color="auto"/>
        <w:bottom w:val="none" w:sz="0" w:space="0" w:color="auto"/>
        <w:right w:val="none" w:sz="0" w:space="0" w:color="auto"/>
      </w:divBdr>
      <w:divsChild>
        <w:div w:id="366103925">
          <w:marLeft w:val="0"/>
          <w:marRight w:val="0"/>
          <w:marTop w:val="0"/>
          <w:marBottom w:val="0"/>
          <w:divBdr>
            <w:top w:val="none" w:sz="0" w:space="0" w:color="auto"/>
            <w:left w:val="none" w:sz="0" w:space="0" w:color="auto"/>
            <w:bottom w:val="none" w:sz="0" w:space="0" w:color="auto"/>
            <w:right w:val="none" w:sz="0" w:space="0" w:color="auto"/>
          </w:divBdr>
          <w:divsChild>
            <w:div w:id="1539735518">
              <w:marLeft w:val="38"/>
              <w:marRight w:val="38"/>
              <w:marTop w:val="38"/>
              <w:marBottom w:val="38"/>
              <w:divBdr>
                <w:top w:val="none" w:sz="0" w:space="0" w:color="auto"/>
                <w:left w:val="none" w:sz="0" w:space="0" w:color="auto"/>
                <w:bottom w:val="none" w:sz="0" w:space="0" w:color="auto"/>
                <w:right w:val="none" w:sz="0" w:space="0" w:color="auto"/>
              </w:divBdr>
              <w:divsChild>
                <w:div w:id="324817521">
                  <w:marLeft w:val="0"/>
                  <w:marRight w:val="0"/>
                  <w:marTop w:val="0"/>
                  <w:marBottom w:val="0"/>
                  <w:divBdr>
                    <w:top w:val="none" w:sz="0" w:space="0" w:color="auto"/>
                    <w:left w:val="none" w:sz="0" w:space="0" w:color="auto"/>
                    <w:bottom w:val="none" w:sz="0" w:space="0" w:color="auto"/>
                    <w:right w:val="none" w:sz="0" w:space="0" w:color="auto"/>
                  </w:divBdr>
                  <w:divsChild>
                    <w:div w:id="439035137">
                      <w:marLeft w:val="301"/>
                      <w:marRight w:val="0"/>
                      <w:marTop w:val="0"/>
                      <w:marBottom w:val="0"/>
                      <w:divBdr>
                        <w:top w:val="none" w:sz="0" w:space="0" w:color="auto"/>
                        <w:left w:val="none" w:sz="0" w:space="0" w:color="auto"/>
                        <w:bottom w:val="none" w:sz="0" w:space="0" w:color="auto"/>
                        <w:right w:val="none" w:sz="0" w:space="0" w:color="auto"/>
                      </w:divBdr>
                    </w:div>
                    <w:div w:id="853766352">
                      <w:marLeft w:val="301"/>
                      <w:marRight w:val="0"/>
                      <w:marTop w:val="0"/>
                      <w:marBottom w:val="0"/>
                      <w:divBdr>
                        <w:top w:val="none" w:sz="0" w:space="0" w:color="auto"/>
                        <w:left w:val="none" w:sz="0" w:space="0" w:color="auto"/>
                        <w:bottom w:val="none" w:sz="0" w:space="0" w:color="auto"/>
                        <w:right w:val="none" w:sz="0" w:space="0" w:color="auto"/>
                      </w:divBdr>
                    </w:div>
                    <w:div w:id="1517764620">
                      <w:marLeft w:val="3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25654">
      <w:bodyDiv w:val="1"/>
      <w:marLeft w:val="0"/>
      <w:marRight w:val="0"/>
      <w:marTop w:val="0"/>
      <w:marBottom w:val="0"/>
      <w:divBdr>
        <w:top w:val="none" w:sz="0" w:space="0" w:color="auto"/>
        <w:left w:val="none" w:sz="0" w:space="0" w:color="auto"/>
        <w:bottom w:val="none" w:sz="0" w:space="0" w:color="auto"/>
        <w:right w:val="none" w:sz="0" w:space="0" w:color="auto"/>
      </w:divBdr>
    </w:div>
    <w:div w:id="1598102723">
      <w:bodyDiv w:val="1"/>
      <w:marLeft w:val="30"/>
      <w:marRight w:val="30"/>
      <w:marTop w:val="30"/>
      <w:marBottom w:val="30"/>
      <w:divBdr>
        <w:top w:val="none" w:sz="0" w:space="0" w:color="auto"/>
        <w:left w:val="none" w:sz="0" w:space="0" w:color="auto"/>
        <w:bottom w:val="none" w:sz="0" w:space="0" w:color="auto"/>
        <w:right w:val="none" w:sz="0" w:space="0" w:color="auto"/>
      </w:divBdr>
      <w:divsChild>
        <w:div w:id="972710771">
          <w:marLeft w:val="0"/>
          <w:marRight w:val="0"/>
          <w:marTop w:val="0"/>
          <w:marBottom w:val="0"/>
          <w:divBdr>
            <w:top w:val="none" w:sz="0" w:space="0" w:color="auto"/>
            <w:left w:val="none" w:sz="0" w:space="0" w:color="auto"/>
            <w:bottom w:val="none" w:sz="0" w:space="0" w:color="auto"/>
            <w:right w:val="none" w:sz="0" w:space="0" w:color="auto"/>
          </w:divBdr>
          <w:divsChild>
            <w:div w:id="1214345295">
              <w:marLeft w:val="45"/>
              <w:marRight w:val="45"/>
              <w:marTop w:val="45"/>
              <w:marBottom w:val="45"/>
              <w:divBdr>
                <w:top w:val="none" w:sz="0" w:space="0" w:color="auto"/>
                <w:left w:val="none" w:sz="0" w:space="0" w:color="auto"/>
                <w:bottom w:val="none" w:sz="0" w:space="0" w:color="auto"/>
                <w:right w:val="none" w:sz="0" w:space="0" w:color="auto"/>
              </w:divBdr>
              <w:divsChild>
                <w:div w:id="918758908">
                  <w:marLeft w:val="0"/>
                  <w:marRight w:val="0"/>
                  <w:marTop w:val="0"/>
                  <w:marBottom w:val="0"/>
                  <w:divBdr>
                    <w:top w:val="none" w:sz="0" w:space="0" w:color="auto"/>
                    <w:left w:val="none" w:sz="0" w:space="0" w:color="auto"/>
                    <w:bottom w:val="none" w:sz="0" w:space="0" w:color="auto"/>
                    <w:right w:val="none" w:sz="0" w:space="0" w:color="auto"/>
                  </w:divBdr>
                  <w:divsChild>
                    <w:div w:id="479076456">
                      <w:marLeft w:val="0"/>
                      <w:marRight w:val="0"/>
                      <w:marTop w:val="0"/>
                      <w:marBottom w:val="0"/>
                      <w:divBdr>
                        <w:top w:val="none" w:sz="0" w:space="0" w:color="auto"/>
                        <w:left w:val="none" w:sz="0" w:space="0" w:color="auto"/>
                        <w:bottom w:val="none" w:sz="0" w:space="0" w:color="auto"/>
                        <w:right w:val="none" w:sz="0" w:space="0" w:color="auto"/>
                      </w:divBdr>
                    </w:div>
                    <w:div w:id="6739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833</Words>
  <Characters>4635</Characters>
  <Application>Microsoft Office Word</Application>
  <DocSecurity>0</DocSecurity>
  <Lines>97</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5493</CharactersWithSpaces>
  <SharedDoc>false</SharedDoc>
  <HyperlinkBase> </HyperlinkBase>
  <HLinks>
    <vt:vector size="12" baseType="variant">
      <vt:variant>
        <vt:i4>2949135</vt:i4>
      </vt:variant>
      <vt:variant>
        <vt:i4>3</vt:i4>
      </vt:variant>
      <vt:variant>
        <vt:i4>0</vt:i4>
      </vt:variant>
      <vt:variant>
        <vt:i4>5</vt:i4>
      </vt:variant>
      <vt:variant>
        <vt:lpwstr>http://web2.westlaw.com/find/default.wl?mt=Westlaw&amp;db=1000547&amp;docname=47CFRS2.202&amp;rp=%2ffind%2fdefault.wl&amp;findtype=L&amp;ordoc=2031194048&amp;tc=-1&amp;vr=2.0&amp;fn=_top&amp;sv=Split&amp;tf=-1&amp;referencepositiontype=T&amp;pbc=68C64694&amp;referenceposition=SP%3ba83b000018c76&amp;rs=WLW13.10</vt:lpwstr>
      </vt:variant>
      <vt:variant>
        <vt:lpwstr/>
      </vt:variant>
      <vt:variant>
        <vt:i4>458846</vt:i4>
      </vt:variant>
      <vt:variant>
        <vt:i4>0</vt:i4>
      </vt:variant>
      <vt:variant>
        <vt:i4>0</vt:i4>
      </vt:variant>
      <vt:variant>
        <vt:i4>5</vt:i4>
      </vt:variant>
      <vt:variant>
        <vt:lpwstr>http://wireless.fcc.gov/services/index.htm?job=licensing_3&amp;id=industrial_business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2014-01-16T14:57:00Z</cp:lastPrinted>
  <dcterms:created xsi:type="dcterms:W3CDTF">2016-06-22T14:31:00Z</dcterms:created>
  <dcterms:modified xsi:type="dcterms:W3CDTF">2016-06-22T14:31:00Z</dcterms:modified>
  <cp:category> </cp:category>
  <cp:contentStatus> </cp:contentStatus>
</cp:coreProperties>
</file>