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54F5" w14:textId="77777777" w:rsidR="006C1806" w:rsidRDefault="00302F7F">
      <w:pPr>
        <w:jc w:val="center"/>
        <w:rPr>
          <w:b/>
          <w:szCs w:val="22"/>
        </w:rPr>
      </w:pPr>
      <w:bookmarkStart w:id="0" w:name="_GoBack"/>
      <w:bookmarkEnd w:id="0"/>
      <w:r>
        <w:rPr>
          <w:b/>
          <w:szCs w:val="22"/>
        </w:rPr>
        <w:t>B</w:t>
      </w:r>
      <w:r w:rsidR="00CF236D">
        <w:rPr>
          <w:b/>
          <w:szCs w:val="22"/>
        </w:rPr>
        <w:t>efore the</w:t>
      </w:r>
    </w:p>
    <w:p w14:paraId="4A0B05C8" w14:textId="77777777" w:rsidR="006C1806" w:rsidRDefault="00CF236D">
      <w:pPr>
        <w:jc w:val="center"/>
        <w:rPr>
          <w:b/>
          <w:szCs w:val="22"/>
        </w:rPr>
      </w:pPr>
      <w:r>
        <w:rPr>
          <w:b/>
          <w:szCs w:val="22"/>
        </w:rPr>
        <w:t>Federal Communications Commission</w:t>
      </w:r>
    </w:p>
    <w:p w14:paraId="23E9AE23" w14:textId="77777777" w:rsidR="006C1806" w:rsidRDefault="00CF236D">
      <w:pPr>
        <w:jc w:val="center"/>
        <w:rPr>
          <w:b/>
          <w:szCs w:val="22"/>
        </w:rPr>
      </w:pPr>
      <w:r>
        <w:rPr>
          <w:b/>
          <w:szCs w:val="22"/>
        </w:rPr>
        <w:t>Washington, D.C. 20554</w:t>
      </w:r>
    </w:p>
    <w:p w14:paraId="56CA3E71" w14:textId="77777777"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14:paraId="5CD5E89B" w14:textId="77777777">
        <w:tc>
          <w:tcPr>
            <w:tcW w:w="4698" w:type="dxa"/>
          </w:tcPr>
          <w:p w14:paraId="27CA6B11" w14:textId="77777777" w:rsidR="006C1806" w:rsidRDefault="00CF236D">
            <w:pPr>
              <w:ind w:right="-18"/>
              <w:rPr>
                <w:szCs w:val="22"/>
              </w:rPr>
            </w:pPr>
            <w:r>
              <w:rPr>
                <w:szCs w:val="22"/>
              </w:rPr>
              <w:t xml:space="preserve">In re Application of  </w:t>
            </w:r>
          </w:p>
          <w:p w14:paraId="1B7A21E0" w14:textId="77777777" w:rsidR="006C1806" w:rsidRDefault="006C1806">
            <w:pPr>
              <w:ind w:right="-18"/>
              <w:rPr>
                <w:szCs w:val="22"/>
              </w:rPr>
            </w:pPr>
          </w:p>
          <w:p w14:paraId="377258C8" w14:textId="77777777" w:rsidR="006C1806" w:rsidRPr="00CF7851" w:rsidRDefault="006015C5" w:rsidP="006015C5">
            <w:pPr>
              <w:tabs>
                <w:tab w:val="left" w:pos="0"/>
              </w:tabs>
              <w:suppressAutoHyphens/>
              <w:rPr>
                <w:b/>
                <w:szCs w:val="22"/>
              </w:rPr>
            </w:pPr>
            <w:r>
              <w:rPr>
                <w:b/>
                <w:szCs w:val="22"/>
              </w:rPr>
              <w:t>PECONIC PUBLIC BROADCASTING</w:t>
            </w:r>
          </w:p>
          <w:p w14:paraId="38C4B24B" w14:textId="77777777" w:rsidR="006C1806" w:rsidRDefault="006C1806">
            <w:pPr>
              <w:tabs>
                <w:tab w:val="left" w:pos="0"/>
              </w:tabs>
              <w:suppressAutoHyphens/>
              <w:ind w:left="5040" w:hanging="5040"/>
              <w:rPr>
                <w:b/>
                <w:szCs w:val="22"/>
              </w:rPr>
            </w:pPr>
          </w:p>
          <w:p w14:paraId="6CF8C594" w14:textId="77777777" w:rsidR="006C1806" w:rsidRDefault="00CF236D">
            <w:pPr>
              <w:ind w:right="-18"/>
              <w:rPr>
                <w:szCs w:val="22"/>
              </w:rPr>
            </w:pPr>
            <w:r>
              <w:rPr>
                <w:szCs w:val="22"/>
              </w:rPr>
              <w:t>For Renewal of License for</w:t>
            </w:r>
          </w:p>
          <w:p w14:paraId="1EC0B2E8" w14:textId="77777777" w:rsidR="006C1806" w:rsidRDefault="00CF236D">
            <w:pPr>
              <w:ind w:right="-18"/>
              <w:rPr>
                <w:b/>
                <w:szCs w:val="22"/>
              </w:rPr>
            </w:pPr>
            <w:r>
              <w:rPr>
                <w:szCs w:val="22"/>
              </w:rPr>
              <w:t>Station</w:t>
            </w:r>
            <w:r w:rsidR="006015C5">
              <w:rPr>
                <w:szCs w:val="22"/>
              </w:rPr>
              <w:t xml:space="preserve"> WPPB(FM)</w:t>
            </w:r>
            <w:r>
              <w:rPr>
                <w:b/>
                <w:szCs w:val="22"/>
              </w:rPr>
              <w:t xml:space="preserve"> </w:t>
            </w:r>
          </w:p>
          <w:p w14:paraId="619C36BC" w14:textId="77777777" w:rsidR="006C1806" w:rsidRDefault="00110108" w:rsidP="00CF7851">
            <w:pPr>
              <w:ind w:right="-18"/>
              <w:rPr>
                <w:szCs w:val="22"/>
              </w:rPr>
            </w:pPr>
            <w:r>
              <w:rPr>
                <w:szCs w:val="22"/>
              </w:rPr>
              <w:t>South</w:t>
            </w:r>
            <w:r w:rsidR="006015C5">
              <w:rPr>
                <w:szCs w:val="22"/>
              </w:rPr>
              <w:t>ampton, New York</w:t>
            </w:r>
            <w:r w:rsidR="00CF236D">
              <w:rPr>
                <w:szCs w:val="22"/>
              </w:rPr>
              <w:t xml:space="preserve"> </w:t>
            </w:r>
          </w:p>
        </w:tc>
        <w:tc>
          <w:tcPr>
            <w:tcW w:w="720" w:type="dxa"/>
          </w:tcPr>
          <w:p w14:paraId="40ECBCF0" w14:textId="77777777" w:rsidR="006C1806" w:rsidRDefault="00CF236D">
            <w:pPr>
              <w:rPr>
                <w:b/>
                <w:szCs w:val="22"/>
              </w:rPr>
            </w:pPr>
            <w:r>
              <w:rPr>
                <w:b/>
                <w:szCs w:val="22"/>
              </w:rPr>
              <w:t>)</w:t>
            </w:r>
          </w:p>
          <w:p w14:paraId="55191994" w14:textId="77777777" w:rsidR="006C1806" w:rsidRDefault="00CF236D">
            <w:pPr>
              <w:rPr>
                <w:b/>
                <w:szCs w:val="22"/>
              </w:rPr>
            </w:pPr>
            <w:r>
              <w:rPr>
                <w:b/>
                <w:szCs w:val="22"/>
              </w:rPr>
              <w:t>)</w:t>
            </w:r>
          </w:p>
          <w:p w14:paraId="3EF72D2A" w14:textId="77777777" w:rsidR="006C1806" w:rsidRDefault="00CF236D">
            <w:pPr>
              <w:rPr>
                <w:b/>
                <w:szCs w:val="22"/>
              </w:rPr>
            </w:pPr>
            <w:r>
              <w:rPr>
                <w:b/>
                <w:szCs w:val="22"/>
              </w:rPr>
              <w:t>)</w:t>
            </w:r>
          </w:p>
          <w:p w14:paraId="2B8C7B67" w14:textId="77777777" w:rsidR="006C1806" w:rsidRDefault="00CF236D">
            <w:pPr>
              <w:rPr>
                <w:b/>
                <w:szCs w:val="22"/>
              </w:rPr>
            </w:pPr>
            <w:r>
              <w:rPr>
                <w:b/>
                <w:szCs w:val="22"/>
              </w:rPr>
              <w:t>)</w:t>
            </w:r>
          </w:p>
          <w:p w14:paraId="4766DB69" w14:textId="77777777" w:rsidR="006C1806" w:rsidRDefault="00CF236D">
            <w:pPr>
              <w:rPr>
                <w:b/>
                <w:szCs w:val="22"/>
              </w:rPr>
            </w:pPr>
            <w:r>
              <w:rPr>
                <w:b/>
                <w:szCs w:val="22"/>
              </w:rPr>
              <w:t>)</w:t>
            </w:r>
          </w:p>
          <w:p w14:paraId="4FFC1F70" w14:textId="77777777" w:rsidR="006C1806" w:rsidRDefault="00CF236D">
            <w:pPr>
              <w:rPr>
                <w:b/>
                <w:szCs w:val="22"/>
              </w:rPr>
            </w:pPr>
            <w:r>
              <w:rPr>
                <w:b/>
                <w:szCs w:val="22"/>
              </w:rPr>
              <w:t>)</w:t>
            </w:r>
          </w:p>
          <w:p w14:paraId="164EF2CB" w14:textId="77777777" w:rsidR="006C1806" w:rsidRDefault="00CF236D">
            <w:pPr>
              <w:rPr>
                <w:b/>
                <w:szCs w:val="22"/>
              </w:rPr>
            </w:pPr>
            <w:r>
              <w:rPr>
                <w:b/>
                <w:szCs w:val="22"/>
              </w:rPr>
              <w:t>)</w:t>
            </w:r>
          </w:p>
        </w:tc>
        <w:tc>
          <w:tcPr>
            <w:tcW w:w="4230" w:type="dxa"/>
          </w:tcPr>
          <w:p w14:paraId="6DC506D2" w14:textId="77777777" w:rsidR="006C1806" w:rsidRDefault="006C1806">
            <w:pPr>
              <w:rPr>
                <w:szCs w:val="22"/>
              </w:rPr>
            </w:pPr>
          </w:p>
          <w:p w14:paraId="3AA3A585" w14:textId="77777777" w:rsidR="006C1806" w:rsidRDefault="006C1806">
            <w:pPr>
              <w:rPr>
                <w:szCs w:val="22"/>
              </w:rPr>
            </w:pPr>
          </w:p>
          <w:p w14:paraId="3311A347" w14:textId="77777777" w:rsidR="006C1806" w:rsidRDefault="00CF236D">
            <w:pPr>
              <w:rPr>
                <w:szCs w:val="22"/>
              </w:rPr>
            </w:pPr>
            <w:r>
              <w:rPr>
                <w:szCs w:val="22"/>
              </w:rPr>
              <w:t xml:space="preserve">Facility ID No. </w:t>
            </w:r>
            <w:r w:rsidR="006015C5">
              <w:rPr>
                <w:szCs w:val="22"/>
              </w:rPr>
              <w:t>38340</w:t>
            </w:r>
          </w:p>
          <w:p w14:paraId="46B1AAF7" w14:textId="77777777" w:rsidR="006C1806" w:rsidRDefault="00D36061">
            <w:pPr>
              <w:rPr>
                <w:szCs w:val="22"/>
              </w:rPr>
            </w:pPr>
            <w:r>
              <w:rPr>
                <w:szCs w:val="22"/>
              </w:rPr>
              <w:t>NAL/Acct. No. MB-</w:t>
            </w:r>
            <w:r w:rsidR="00CB6096">
              <w:rPr>
                <w:szCs w:val="22"/>
              </w:rPr>
              <w:t>201541410015</w:t>
            </w:r>
          </w:p>
          <w:p w14:paraId="28F8AD35" w14:textId="77777777" w:rsidR="006C1806" w:rsidRDefault="00CF236D">
            <w:pPr>
              <w:rPr>
                <w:szCs w:val="22"/>
              </w:rPr>
            </w:pPr>
            <w:r>
              <w:rPr>
                <w:szCs w:val="22"/>
              </w:rPr>
              <w:t xml:space="preserve">FRN: </w:t>
            </w:r>
            <w:r w:rsidR="006356F9">
              <w:rPr>
                <w:szCs w:val="22"/>
              </w:rPr>
              <w:t>00</w:t>
            </w:r>
            <w:r w:rsidR="006015C5">
              <w:rPr>
                <w:szCs w:val="22"/>
              </w:rPr>
              <w:t>20296422</w:t>
            </w:r>
          </w:p>
          <w:p w14:paraId="67199E2C" w14:textId="77777777" w:rsidR="006C1806" w:rsidRDefault="00CF236D" w:rsidP="006015C5">
            <w:pPr>
              <w:rPr>
                <w:szCs w:val="22"/>
              </w:rPr>
            </w:pPr>
            <w:r>
              <w:rPr>
                <w:szCs w:val="22"/>
              </w:rPr>
              <w:t xml:space="preserve">File No. </w:t>
            </w:r>
            <w:r w:rsidR="00D36061">
              <w:rPr>
                <w:szCs w:val="22"/>
              </w:rPr>
              <w:t>BR</w:t>
            </w:r>
            <w:r w:rsidR="006015C5">
              <w:rPr>
                <w:szCs w:val="22"/>
              </w:rPr>
              <w:t>ED</w:t>
            </w:r>
            <w:r w:rsidR="00D36061">
              <w:rPr>
                <w:szCs w:val="22"/>
              </w:rPr>
              <w:t>-201</w:t>
            </w:r>
            <w:r w:rsidR="006015C5">
              <w:rPr>
                <w:szCs w:val="22"/>
              </w:rPr>
              <w:t>40203ARX</w:t>
            </w:r>
          </w:p>
        </w:tc>
      </w:tr>
    </w:tbl>
    <w:p w14:paraId="15496E5C" w14:textId="77777777" w:rsidR="006C1806" w:rsidRDefault="006C1806">
      <w:pPr>
        <w:rPr>
          <w:szCs w:val="22"/>
        </w:rPr>
      </w:pPr>
    </w:p>
    <w:p w14:paraId="3D1B700D" w14:textId="77777777" w:rsidR="006C1806" w:rsidRDefault="004268FF">
      <w:pPr>
        <w:jc w:val="center"/>
        <w:rPr>
          <w:b/>
          <w:szCs w:val="22"/>
        </w:rPr>
      </w:pPr>
      <w:r>
        <w:rPr>
          <w:b/>
          <w:spacing w:val="-2"/>
          <w:szCs w:val="22"/>
        </w:rPr>
        <w:t>MEMORANDUM OPINION AND ORDER</w:t>
      </w:r>
    </w:p>
    <w:p w14:paraId="60A67824" w14:textId="77777777" w:rsidR="004268FF" w:rsidRDefault="004268FF">
      <w:pPr>
        <w:tabs>
          <w:tab w:val="left" w:pos="5760"/>
        </w:tabs>
        <w:rPr>
          <w:szCs w:val="22"/>
        </w:rPr>
      </w:pPr>
    </w:p>
    <w:p w14:paraId="6D5BD99D" w14:textId="000D7F4C" w:rsidR="006C1806" w:rsidRDefault="00CF236D">
      <w:pPr>
        <w:tabs>
          <w:tab w:val="left" w:pos="5760"/>
        </w:tabs>
        <w:rPr>
          <w:b/>
          <w:szCs w:val="22"/>
        </w:rPr>
      </w:pPr>
      <w:r>
        <w:rPr>
          <w:b/>
          <w:szCs w:val="22"/>
        </w:rPr>
        <w:t>Adopted:</w:t>
      </w:r>
      <w:r w:rsidR="00B6404A">
        <w:rPr>
          <w:b/>
          <w:szCs w:val="22"/>
        </w:rPr>
        <w:t xml:space="preserve"> </w:t>
      </w:r>
      <w:r w:rsidR="00521047" w:rsidRPr="00521047">
        <w:rPr>
          <w:b/>
          <w:szCs w:val="22"/>
        </w:rPr>
        <w:t>June 2</w:t>
      </w:r>
      <w:r w:rsidR="00C408F0">
        <w:rPr>
          <w:b/>
          <w:szCs w:val="22"/>
        </w:rPr>
        <w:t>3</w:t>
      </w:r>
      <w:r w:rsidR="00521047" w:rsidRPr="00521047">
        <w:rPr>
          <w:b/>
          <w:szCs w:val="22"/>
        </w:rPr>
        <w:t>, 2016</w:t>
      </w:r>
      <w:r w:rsidR="00B6404A">
        <w:rPr>
          <w:b/>
          <w:szCs w:val="22"/>
        </w:rPr>
        <w:t xml:space="preserve"> </w:t>
      </w:r>
      <w:r>
        <w:rPr>
          <w:b/>
          <w:szCs w:val="22"/>
        </w:rPr>
        <w:tab/>
        <w:t>Released:</w:t>
      </w:r>
      <w:r w:rsidR="007D7E21">
        <w:rPr>
          <w:b/>
          <w:szCs w:val="22"/>
        </w:rPr>
        <w:t xml:space="preserve"> </w:t>
      </w:r>
      <w:r w:rsidR="00B6404A">
        <w:rPr>
          <w:b/>
          <w:szCs w:val="22"/>
        </w:rPr>
        <w:t xml:space="preserve"> </w:t>
      </w:r>
      <w:r w:rsidR="00C408F0">
        <w:rPr>
          <w:b/>
          <w:szCs w:val="22"/>
        </w:rPr>
        <w:t xml:space="preserve"> June 23, 2016</w:t>
      </w:r>
    </w:p>
    <w:p w14:paraId="77B84262" w14:textId="77777777" w:rsidR="006C1806" w:rsidRDefault="006C1806">
      <w:pPr>
        <w:tabs>
          <w:tab w:val="left" w:pos="5760"/>
        </w:tabs>
        <w:rPr>
          <w:b/>
          <w:szCs w:val="22"/>
        </w:rPr>
      </w:pPr>
    </w:p>
    <w:p w14:paraId="72D7AE99" w14:textId="77777777" w:rsidR="006C1806" w:rsidRDefault="00CF236D">
      <w:pPr>
        <w:tabs>
          <w:tab w:val="left" w:pos="5760"/>
        </w:tabs>
        <w:rPr>
          <w:spacing w:val="-2"/>
          <w:szCs w:val="22"/>
        </w:rPr>
      </w:pPr>
      <w:r>
        <w:rPr>
          <w:szCs w:val="22"/>
        </w:rPr>
        <w:t>By the Chief, Audio Division, Media Bureau</w:t>
      </w:r>
      <w:r>
        <w:rPr>
          <w:spacing w:val="-2"/>
          <w:szCs w:val="22"/>
        </w:rPr>
        <w:t>:</w:t>
      </w:r>
    </w:p>
    <w:p w14:paraId="57520D4E" w14:textId="77777777" w:rsidR="00E056D5" w:rsidRDefault="00E056D5" w:rsidP="00E056D5">
      <w:pPr>
        <w:tabs>
          <w:tab w:val="left" w:pos="5760"/>
        </w:tabs>
        <w:rPr>
          <w:szCs w:val="22"/>
        </w:rPr>
      </w:pPr>
    </w:p>
    <w:p w14:paraId="01D54E91" w14:textId="77777777" w:rsidR="00E056D5" w:rsidRPr="009861AA" w:rsidRDefault="009861AA" w:rsidP="009861AA">
      <w:pPr>
        <w:tabs>
          <w:tab w:val="left" w:pos="5760"/>
        </w:tabs>
        <w:rPr>
          <w:b/>
          <w:szCs w:val="22"/>
        </w:rPr>
      </w:pPr>
      <w:r>
        <w:rPr>
          <w:b/>
          <w:szCs w:val="22"/>
        </w:rPr>
        <w:t xml:space="preserve">I.           </w:t>
      </w:r>
      <w:r w:rsidRPr="009861AA">
        <w:rPr>
          <w:b/>
          <w:szCs w:val="22"/>
        </w:rPr>
        <w:t>I</w:t>
      </w:r>
      <w:r w:rsidR="00CF236D" w:rsidRPr="009861AA">
        <w:rPr>
          <w:b/>
          <w:szCs w:val="22"/>
        </w:rPr>
        <w:t>NTRODUCTION</w:t>
      </w:r>
    </w:p>
    <w:p w14:paraId="6F33D35C" w14:textId="77777777" w:rsidR="00E056D5" w:rsidRPr="00E056D5" w:rsidRDefault="00E056D5" w:rsidP="00E056D5">
      <w:pPr>
        <w:pStyle w:val="ListParagraph"/>
        <w:tabs>
          <w:tab w:val="left" w:pos="5760"/>
        </w:tabs>
        <w:ind w:left="1110"/>
        <w:jc w:val="both"/>
        <w:rPr>
          <w:b/>
          <w:szCs w:val="22"/>
        </w:rPr>
      </w:pPr>
    </w:p>
    <w:p w14:paraId="32406397" w14:textId="1331DA68" w:rsidR="001A354F" w:rsidRPr="00916681" w:rsidRDefault="00A1074B" w:rsidP="00916681">
      <w:pPr>
        <w:pStyle w:val="ParaNum"/>
        <w:jc w:val="left"/>
      </w:pPr>
      <w:r>
        <w:t xml:space="preserve">We have before us the </w:t>
      </w:r>
      <w:r w:rsidRPr="001A354F">
        <w:t>Pe</w:t>
      </w:r>
      <w:r>
        <w:t>tition for Reconsideration (</w:t>
      </w:r>
      <w:r w:rsidRPr="001A354F">
        <w:t xml:space="preserve">Petition) </w:t>
      </w:r>
      <w:r>
        <w:t xml:space="preserve">filed on April 4, 2016, by </w:t>
      </w:r>
      <w:r w:rsidR="001A354F">
        <w:t>Peconic Public Broadcasting (</w:t>
      </w:r>
      <w:r w:rsidR="00FD2834">
        <w:t>Peconic</w:t>
      </w:r>
      <w:r w:rsidR="001A354F">
        <w:t>), licensee of</w:t>
      </w:r>
      <w:r w:rsidR="0009492D">
        <w:t xml:space="preserve"> noncommercial educational (NCE)</w:t>
      </w:r>
      <w:r w:rsidR="001A354F">
        <w:t xml:space="preserve"> </w:t>
      </w:r>
      <w:r w:rsidR="001A354F">
        <w:rPr>
          <w:szCs w:val="22"/>
        </w:rPr>
        <w:t xml:space="preserve">Station WPPB(FM), Southampton, New York </w:t>
      </w:r>
      <w:r w:rsidR="001A354F">
        <w:t>(Station)</w:t>
      </w:r>
      <w:r w:rsidR="00C44114">
        <w:t xml:space="preserve">.  It seeks reconsideration </w:t>
      </w:r>
      <w:r>
        <w:t xml:space="preserve">of </w:t>
      </w:r>
      <w:r w:rsidR="001A354F" w:rsidRPr="001A354F">
        <w:t>the</w:t>
      </w:r>
      <w:r w:rsidR="00D61B7C">
        <w:t xml:space="preserve"> Media Bureau, Audio Division (Bureau)</w:t>
      </w:r>
      <w:r w:rsidR="001A354F" w:rsidRPr="001A354F">
        <w:t xml:space="preserve"> </w:t>
      </w:r>
      <w:r w:rsidR="001A354F" w:rsidRPr="00FF57E4">
        <w:rPr>
          <w:i/>
        </w:rPr>
        <w:t>Forfeiture Order</w:t>
      </w:r>
      <w:r w:rsidR="00730C9A">
        <w:rPr>
          <w:rStyle w:val="FootnoteReference"/>
        </w:rPr>
        <w:footnoteReference w:id="1"/>
      </w:r>
      <w:r w:rsidR="001A354F" w:rsidRPr="001A354F">
        <w:t xml:space="preserve"> </w:t>
      </w:r>
      <w:r w:rsidR="00D61B7C">
        <w:t xml:space="preserve">assessing a </w:t>
      </w:r>
      <w:r w:rsidR="00902881">
        <w:t>$10,000</w:t>
      </w:r>
      <w:r w:rsidR="00D61B7C">
        <w:t xml:space="preserve"> fine </w:t>
      </w:r>
      <w:r w:rsidR="001A354F" w:rsidRPr="001A354F">
        <w:t>for willfully and repe</w:t>
      </w:r>
      <w:r w:rsidR="001A354F">
        <w:t>atedly violating Section 73.3527</w:t>
      </w:r>
      <w:r w:rsidR="001A354F" w:rsidRPr="001A354F">
        <w:t xml:space="preserve"> of the </w:t>
      </w:r>
      <w:r>
        <w:t>FCC</w:t>
      </w:r>
      <w:r w:rsidRPr="001A354F">
        <w:t xml:space="preserve">’s </w:t>
      </w:r>
      <w:r>
        <w:t>r</w:t>
      </w:r>
      <w:r w:rsidR="001A354F" w:rsidRPr="001A354F">
        <w:t xml:space="preserve">ules (Rules) by failing to </w:t>
      </w:r>
      <w:r w:rsidR="001A354F">
        <w:t>properly maintain a public file for the Station</w:t>
      </w:r>
      <w:r w:rsidR="001A354F" w:rsidRPr="00916681">
        <w:t>.</w:t>
      </w:r>
      <w:r w:rsidR="00916681" w:rsidRPr="00916681">
        <w:rPr>
          <w:rStyle w:val="FootnoteReference"/>
        </w:rPr>
        <w:footnoteReference w:id="2"/>
      </w:r>
      <w:r w:rsidR="00916681">
        <w:t xml:space="preserve">  </w:t>
      </w:r>
      <w:r>
        <w:t>For the reasons discussed below</w:t>
      </w:r>
      <w:r w:rsidR="001A354F" w:rsidRPr="00916681">
        <w:t xml:space="preserve">, we </w:t>
      </w:r>
      <w:r w:rsidR="00403B75">
        <w:t>dismiss the Petition in part</w:t>
      </w:r>
      <w:r w:rsidR="00C44114">
        <w:t xml:space="preserve"> and otherwise </w:t>
      </w:r>
      <w:r w:rsidR="001A354F" w:rsidRPr="00916681">
        <w:t xml:space="preserve">deny </w:t>
      </w:r>
      <w:r w:rsidR="00403B75">
        <w:t>it</w:t>
      </w:r>
      <w:r>
        <w:rPr>
          <w:i/>
        </w:rPr>
        <w:t>.</w:t>
      </w:r>
      <w:r w:rsidRPr="00916681">
        <w:t xml:space="preserve"> </w:t>
      </w:r>
    </w:p>
    <w:p w14:paraId="6B39694D" w14:textId="77777777" w:rsidR="005007F2" w:rsidRDefault="00CF236D" w:rsidP="005007F2">
      <w:pPr>
        <w:rPr>
          <w:b/>
          <w:szCs w:val="22"/>
        </w:rPr>
      </w:pPr>
      <w:r>
        <w:rPr>
          <w:b/>
          <w:szCs w:val="22"/>
        </w:rPr>
        <w:t>II.         BACKGROUND</w:t>
      </w:r>
      <w:r w:rsidR="00C82ADB">
        <w:rPr>
          <w:b/>
          <w:szCs w:val="22"/>
        </w:rPr>
        <w:t xml:space="preserve"> </w:t>
      </w:r>
    </w:p>
    <w:p w14:paraId="148999D3" w14:textId="77777777" w:rsidR="005007F2" w:rsidRPr="005007F2" w:rsidRDefault="005007F2" w:rsidP="005007F2">
      <w:pPr>
        <w:rPr>
          <w:b/>
          <w:szCs w:val="22"/>
        </w:rPr>
      </w:pPr>
    </w:p>
    <w:p w14:paraId="7DDEE806" w14:textId="52A18BBF" w:rsidR="00D57AE7" w:rsidRPr="00D57AE7" w:rsidRDefault="009C2609" w:rsidP="00871855">
      <w:pPr>
        <w:pStyle w:val="ParaNum"/>
        <w:widowControl/>
        <w:jc w:val="left"/>
        <w:rPr>
          <w:b/>
          <w:szCs w:val="22"/>
        </w:rPr>
      </w:pPr>
      <w:r>
        <w:t xml:space="preserve">On February 3, 2014, </w:t>
      </w:r>
      <w:r w:rsidR="00C82ADB">
        <w:t>Peconic</w:t>
      </w:r>
      <w:r>
        <w:t xml:space="preserve"> </w:t>
      </w:r>
      <w:r w:rsidR="002949C4">
        <w:t xml:space="preserve">filed </w:t>
      </w:r>
      <w:r w:rsidR="005A546B">
        <w:t>the above-captioned</w:t>
      </w:r>
      <w:r w:rsidR="002949C4">
        <w:t xml:space="preserve"> license renewal application for the Station</w:t>
      </w:r>
      <w:r w:rsidR="005A546B">
        <w:t xml:space="preserve"> (Application)</w:t>
      </w:r>
      <w:r w:rsidR="002949C4">
        <w:t xml:space="preserve">, in which it </w:t>
      </w:r>
      <w:r w:rsidR="00730C9A">
        <w:t xml:space="preserve">stated </w:t>
      </w:r>
      <w:r>
        <w:t>that the Station’s public file was missing 13 quarterly issues-programs lists dating back to December of 2010.</w:t>
      </w:r>
      <w:r>
        <w:rPr>
          <w:rStyle w:val="FootnoteReference"/>
        </w:rPr>
        <w:footnoteReference w:id="3"/>
      </w:r>
      <w:r>
        <w:t xml:space="preserve">  </w:t>
      </w:r>
      <w:r w:rsidR="005007F2">
        <w:t xml:space="preserve">On March 11, 2015, the </w:t>
      </w:r>
      <w:r w:rsidR="00871855">
        <w:t xml:space="preserve">Bureau issued </w:t>
      </w:r>
      <w:r w:rsidR="00730C9A">
        <w:t xml:space="preserve">the </w:t>
      </w:r>
      <w:r w:rsidR="0017216F">
        <w:rPr>
          <w:i/>
        </w:rPr>
        <w:t>Notice of Apparent Liability</w:t>
      </w:r>
      <w:r w:rsidR="00730C9A">
        <w:t xml:space="preserve"> to Peconic for</w:t>
      </w:r>
      <w:r w:rsidR="00871855">
        <w:t xml:space="preserve"> its violations</w:t>
      </w:r>
      <w:r w:rsidR="00B40E6A">
        <w:t xml:space="preserve"> of Section 73.3527</w:t>
      </w:r>
      <w:r>
        <w:t>.</w:t>
      </w:r>
      <w:r w:rsidR="00871855">
        <w:rPr>
          <w:rStyle w:val="FootnoteReference"/>
        </w:rPr>
        <w:footnoteReference w:id="4"/>
      </w:r>
      <w:r>
        <w:t xml:space="preserve"> </w:t>
      </w:r>
      <w:r w:rsidR="005007F2">
        <w:t xml:space="preserve"> </w:t>
      </w:r>
      <w:r w:rsidR="00871855">
        <w:t xml:space="preserve">On April 10, 2015, </w:t>
      </w:r>
      <w:r w:rsidR="00C82ADB">
        <w:t>Peconic</w:t>
      </w:r>
      <w:r w:rsidR="00871855">
        <w:t xml:space="preserve"> filed a </w:t>
      </w:r>
      <w:r w:rsidR="00571B20">
        <w:t>Response to the</w:t>
      </w:r>
      <w:r w:rsidR="00EF030A">
        <w:t xml:space="preserve"> </w:t>
      </w:r>
      <w:r w:rsidR="00EF030A">
        <w:rPr>
          <w:i/>
        </w:rPr>
        <w:t>NA</w:t>
      </w:r>
      <w:r w:rsidR="00B40E6A">
        <w:rPr>
          <w:i/>
        </w:rPr>
        <w:t>L</w:t>
      </w:r>
      <w:r w:rsidR="008854B1">
        <w:rPr>
          <w:i/>
        </w:rPr>
        <w:t xml:space="preserve"> </w:t>
      </w:r>
      <w:r w:rsidR="008854B1">
        <w:t>(</w:t>
      </w:r>
      <w:r w:rsidR="00571B20">
        <w:t>Response</w:t>
      </w:r>
      <w:r w:rsidR="008854B1">
        <w:t>)</w:t>
      </w:r>
      <w:r w:rsidR="008D2D89">
        <w:t>,</w:t>
      </w:r>
      <w:r w:rsidR="00571B20">
        <w:rPr>
          <w:rStyle w:val="FootnoteReference"/>
        </w:rPr>
        <w:footnoteReference w:id="5"/>
      </w:r>
      <w:r w:rsidR="00BA6BFD">
        <w:t xml:space="preserve"> seeking </w:t>
      </w:r>
      <w:r w:rsidR="00D077DB">
        <w:t>rescission</w:t>
      </w:r>
      <w:r w:rsidR="00BA6BFD">
        <w:t xml:space="preserve"> or reduction of the fine,</w:t>
      </w:r>
      <w:r w:rsidR="00B40E6A">
        <w:t xml:space="preserve"> </w:t>
      </w:r>
      <w:r w:rsidR="00221CAA">
        <w:t>arguing that</w:t>
      </w:r>
      <w:r w:rsidR="00BA6BFD">
        <w:t>:</w:t>
      </w:r>
      <w:r w:rsidR="00094F4C">
        <w:t xml:space="preserve"> </w:t>
      </w:r>
      <w:r w:rsidR="00BA6BFD">
        <w:t xml:space="preserve">(1) </w:t>
      </w:r>
      <w:r w:rsidR="00094F4C">
        <w:t>the Commission should</w:t>
      </w:r>
      <w:r w:rsidR="00221CAA">
        <w:t xml:space="preserve"> apply the “hard look”</w:t>
      </w:r>
      <w:r w:rsidR="0009492D">
        <w:t xml:space="preserve"> </w:t>
      </w:r>
      <w:r w:rsidR="00C71E4A">
        <w:t xml:space="preserve">waiver standard </w:t>
      </w:r>
      <w:r w:rsidR="00D61B7C">
        <w:t>to the circumstances surrounding the violations;</w:t>
      </w:r>
      <w:r w:rsidR="00221CAA" w:rsidRPr="0009492D">
        <w:rPr>
          <w:rStyle w:val="FootnoteReference"/>
        </w:rPr>
        <w:footnoteReference w:id="6"/>
      </w:r>
      <w:r w:rsidR="00501D92" w:rsidRPr="0009492D">
        <w:t xml:space="preserve"> </w:t>
      </w:r>
      <w:r w:rsidR="00501D92">
        <w:t>(2)</w:t>
      </w:r>
      <w:r w:rsidR="00BA6BFD">
        <w:t xml:space="preserve"> the </w:t>
      </w:r>
      <w:r w:rsidR="00094F4C">
        <w:t>violations were “entirely inadvertent and in no way purposeful or willful</w:t>
      </w:r>
      <w:r w:rsidR="00C1394B">
        <w:t>”</w:t>
      </w:r>
      <w:r w:rsidR="00D826C9">
        <w:t>;</w:t>
      </w:r>
      <w:r w:rsidR="00144B1F">
        <w:rPr>
          <w:rStyle w:val="FootnoteReference"/>
        </w:rPr>
        <w:footnoteReference w:id="7"/>
      </w:r>
      <w:r w:rsidR="00501D92">
        <w:t xml:space="preserve"> and (3)</w:t>
      </w:r>
      <w:r w:rsidR="00094F4C">
        <w:t xml:space="preserve"> </w:t>
      </w:r>
      <w:r w:rsidR="00C82ADB">
        <w:t>Peconic</w:t>
      </w:r>
      <w:r w:rsidR="00BA6BFD">
        <w:t xml:space="preserve">’s previous clean record </w:t>
      </w:r>
      <w:r w:rsidR="00144B1F">
        <w:t xml:space="preserve">and other factors such as </w:t>
      </w:r>
      <w:r w:rsidR="00BA6BFD">
        <w:t xml:space="preserve">the “local nature of the </w:t>
      </w:r>
      <w:r w:rsidR="00144B1F">
        <w:t xml:space="preserve">broadcast service </w:t>
      </w:r>
      <w:r w:rsidR="00144B1F">
        <w:lastRenderedPageBreak/>
        <w:t>provided, and the value of the service provided to the community,” should mitigate the forfeiture amount.</w:t>
      </w:r>
      <w:r w:rsidR="00D826C9">
        <w:rPr>
          <w:rStyle w:val="FootnoteReference"/>
        </w:rPr>
        <w:footnoteReference w:id="8"/>
      </w:r>
      <w:r w:rsidR="00094F4C">
        <w:t xml:space="preserve"> </w:t>
      </w:r>
      <w:r w:rsidR="00D826C9">
        <w:t xml:space="preserve"> </w:t>
      </w:r>
    </w:p>
    <w:p w14:paraId="6B782D1B" w14:textId="299F1387" w:rsidR="00871855" w:rsidRPr="009F534F" w:rsidRDefault="00D826C9" w:rsidP="009F534F">
      <w:pPr>
        <w:pStyle w:val="ParaNum"/>
        <w:widowControl/>
        <w:jc w:val="left"/>
        <w:rPr>
          <w:b/>
          <w:szCs w:val="22"/>
        </w:rPr>
      </w:pPr>
      <w:r>
        <w:t xml:space="preserve">On March 7, 2016 the Bureau issued </w:t>
      </w:r>
      <w:r w:rsidR="008854B1">
        <w:t xml:space="preserve">the </w:t>
      </w:r>
      <w:r>
        <w:rPr>
          <w:i/>
        </w:rPr>
        <w:t xml:space="preserve">Forfeiture Order </w:t>
      </w:r>
      <w:r w:rsidR="00D57AE7">
        <w:t>rejecti</w:t>
      </w:r>
      <w:r w:rsidR="00B64A9F">
        <w:t>ng those arguments, finding that</w:t>
      </w:r>
      <w:r w:rsidR="00D57AE7">
        <w:t>:</w:t>
      </w:r>
      <w:r w:rsidR="00736CD7">
        <w:t xml:space="preserve"> </w:t>
      </w:r>
      <w:r w:rsidR="00980410">
        <w:t>(</w:t>
      </w:r>
      <w:r w:rsidR="002949C4">
        <w:t xml:space="preserve">1) </w:t>
      </w:r>
      <w:r w:rsidR="009F534F">
        <w:t>Section 503</w:t>
      </w:r>
      <w:r w:rsidR="00D61B7C">
        <w:t xml:space="preserve"> of the Communications Act of 1934, as amended (the Act) and </w:t>
      </w:r>
      <w:r w:rsidR="00C371B6">
        <w:t>Section 1.80 of the</w:t>
      </w:r>
      <w:r w:rsidR="009F534F">
        <w:t xml:space="preserve"> Commission’s</w:t>
      </w:r>
      <w:r w:rsidR="00D61B7C">
        <w:t xml:space="preserve"> Rules</w:t>
      </w:r>
      <w:r w:rsidR="009F534F">
        <w:t xml:space="preserve"> (Rules)</w:t>
      </w:r>
      <w:r w:rsidR="00D61B7C">
        <w:t xml:space="preserve">, not a </w:t>
      </w:r>
      <w:r w:rsidR="00736CD7">
        <w:t xml:space="preserve">“hard look” </w:t>
      </w:r>
      <w:r w:rsidR="00567287">
        <w:t xml:space="preserve">waiver </w:t>
      </w:r>
      <w:r w:rsidR="00736CD7">
        <w:t>standard</w:t>
      </w:r>
      <w:r w:rsidR="00D61B7C">
        <w:t>, are controlling for the purpose of assessing forfeiture reduction requests</w:t>
      </w:r>
      <w:r w:rsidR="00736CD7">
        <w:t>;</w:t>
      </w:r>
      <w:r w:rsidR="00736CD7">
        <w:rPr>
          <w:rStyle w:val="FootnoteReference"/>
        </w:rPr>
        <w:footnoteReference w:id="9"/>
      </w:r>
      <w:r w:rsidR="00736CD7">
        <w:t xml:space="preserve"> </w:t>
      </w:r>
      <w:r w:rsidR="00980410">
        <w:t>(</w:t>
      </w:r>
      <w:r w:rsidR="002949C4">
        <w:t xml:space="preserve">2) </w:t>
      </w:r>
      <w:r w:rsidR="009867C1">
        <w:t xml:space="preserve">the violations were willful, as “willful” is defined by the </w:t>
      </w:r>
      <w:r w:rsidR="008A4565">
        <w:t>Act</w:t>
      </w:r>
      <w:r w:rsidR="009867C1">
        <w:t xml:space="preserve">, because </w:t>
      </w:r>
      <w:r w:rsidR="00C82ADB">
        <w:t>Peconic</w:t>
      </w:r>
      <w:r w:rsidR="009867C1">
        <w:t>’s failure to maintain a public inspection file was a “conscious and deliberate” omission;</w:t>
      </w:r>
      <w:r w:rsidR="009867C1">
        <w:rPr>
          <w:rStyle w:val="FootnoteReference"/>
        </w:rPr>
        <w:footnoteReference w:id="10"/>
      </w:r>
      <w:r w:rsidR="009867C1">
        <w:t xml:space="preserve"> and</w:t>
      </w:r>
      <w:r w:rsidR="00226EB0">
        <w:t xml:space="preserve"> </w:t>
      </w:r>
      <w:r w:rsidR="00980410">
        <w:t>(</w:t>
      </w:r>
      <w:r w:rsidR="002E5AF6">
        <w:t>3)</w:t>
      </w:r>
      <w:r w:rsidR="009867C1">
        <w:t xml:space="preserve"> </w:t>
      </w:r>
      <w:r w:rsidR="00AD2A63">
        <w:t>a downward adjustment of the forfeiture amoun</w:t>
      </w:r>
      <w:r w:rsidR="002E5AF6">
        <w:t xml:space="preserve">t </w:t>
      </w:r>
      <w:r w:rsidR="00C71E4A">
        <w:t>based on Peconic’s history of compliance with the Rules wa</w:t>
      </w:r>
      <w:r w:rsidR="002E5AF6">
        <w:t>s not appropriate due to</w:t>
      </w:r>
      <w:r w:rsidR="00AD2A63">
        <w:t xml:space="preserve"> the extensive violations that occurred.</w:t>
      </w:r>
      <w:r w:rsidR="00AD2A63">
        <w:rPr>
          <w:rStyle w:val="FootnoteReference"/>
        </w:rPr>
        <w:footnoteReference w:id="11"/>
      </w:r>
      <w:r w:rsidR="0019169E">
        <w:t xml:space="preserve">  The</w:t>
      </w:r>
      <w:r w:rsidR="00AD2A63">
        <w:t xml:space="preserve"> Bureau also</w:t>
      </w:r>
      <w:r w:rsidR="0019169E">
        <w:t xml:space="preserve"> </w:t>
      </w:r>
      <w:r w:rsidR="00C44114">
        <w:t xml:space="preserve">rejected </w:t>
      </w:r>
      <w:r w:rsidR="00C82ADB">
        <w:t>Peconic</w:t>
      </w:r>
      <w:r w:rsidR="0019169E">
        <w:t>’s financial hardship claim</w:t>
      </w:r>
      <w:r w:rsidR="00C44114">
        <w:t xml:space="preserve"> because it failed, despite repeated staff requests</w:t>
      </w:r>
      <w:r w:rsidR="0019169E">
        <w:t xml:space="preserve">, </w:t>
      </w:r>
      <w:r w:rsidR="00C44114">
        <w:t>to provide required supporting documentation</w:t>
      </w:r>
      <w:r w:rsidR="002E5AF6">
        <w:t>.</w:t>
      </w:r>
      <w:r w:rsidR="0019169E">
        <w:rPr>
          <w:rStyle w:val="FootnoteReference"/>
        </w:rPr>
        <w:footnoteReference w:id="12"/>
      </w:r>
      <w:r w:rsidR="0019169E">
        <w:t xml:space="preserve"> </w:t>
      </w:r>
    </w:p>
    <w:p w14:paraId="7C67599E" w14:textId="4014D1BC" w:rsidR="001F2CFB" w:rsidRPr="001F2CFB" w:rsidRDefault="008854B1" w:rsidP="00856249">
      <w:pPr>
        <w:pStyle w:val="ParaNum"/>
        <w:widowControl/>
        <w:jc w:val="left"/>
        <w:rPr>
          <w:b/>
          <w:szCs w:val="22"/>
        </w:rPr>
      </w:pPr>
      <w:r>
        <w:t>In the Petition, Peconic</w:t>
      </w:r>
      <w:r w:rsidR="001F2CFB">
        <w:t xml:space="preserve"> argu</w:t>
      </w:r>
      <w:r>
        <w:t>es</w:t>
      </w:r>
      <w:r w:rsidR="002E5AF6">
        <w:t xml:space="preserve"> that </w:t>
      </w:r>
      <w:r w:rsidR="001F2CFB">
        <w:t xml:space="preserve">the </w:t>
      </w:r>
      <w:r w:rsidR="001F2CFB">
        <w:rPr>
          <w:i/>
        </w:rPr>
        <w:t>Forfeiture Order</w:t>
      </w:r>
      <w:r w:rsidR="001F2CFB">
        <w:t xml:space="preserve"> failed to sufficiently consider relevant </w:t>
      </w:r>
      <w:r w:rsidR="00351386">
        <w:t xml:space="preserve">financial </w:t>
      </w:r>
      <w:r w:rsidR="001F7942">
        <w:t>factors that would require the Commission to reduce</w:t>
      </w:r>
      <w:r w:rsidR="001F2CFB">
        <w:t xml:space="preserve"> the forfeiture amount</w:t>
      </w:r>
      <w:r w:rsidR="002E5AF6">
        <w:t>.  It argues that: (1)</w:t>
      </w:r>
      <w:r w:rsidR="00C86FD8">
        <w:t xml:space="preserve"> reliance on “gross revenues” as the best determinant of a licensee’s inability to pay fails to consider the</w:t>
      </w:r>
      <w:r w:rsidR="00F412E7">
        <w:t xml:space="preserve"> disparate impact those factors have on small public broadcaster</w:t>
      </w:r>
      <w:r w:rsidR="00C86FD8">
        <w:t>s</w:t>
      </w:r>
      <w:r w:rsidR="001F2CFB">
        <w:t>;</w:t>
      </w:r>
      <w:r w:rsidR="009F534F">
        <w:t xml:space="preserve"> </w:t>
      </w:r>
      <w:r w:rsidR="001F2CFB">
        <w:t>(2) the</w:t>
      </w:r>
      <w:r w:rsidR="00B64A9F">
        <w:t xml:space="preserve"> </w:t>
      </w:r>
      <w:r w:rsidR="00B64A9F">
        <w:rPr>
          <w:i/>
        </w:rPr>
        <w:t>William Penn University</w:t>
      </w:r>
      <w:r w:rsidR="00B2624F">
        <w:rPr>
          <w:rStyle w:val="FootnoteReference"/>
        </w:rPr>
        <w:footnoteReference w:id="13"/>
      </w:r>
      <w:r w:rsidR="001F2CFB">
        <w:t xml:space="preserve"> </w:t>
      </w:r>
      <w:r w:rsidR="00C86FD8">
        <w:t>policy applied to NCE</w:t>
      </w:r>
      <w:r>
        <w:t xml:space="preserve"> </w:t>
      </w:r>
      <w:r w:rsidR="001F2CFB">
        <w:t xml:space="preserve">stations </w:t>
      </w:r>
      <w:r w:rsidR="00351386">
        <w:t xml:space="preserve">staffed entirely by student volunteers should also apply to </w:t>
      </w:r>
      <w:r w:rsidR="00C86FD8">
        <w:t>“stand alone non-profit organizations”</w:t>
      </w:r>
      <w:r w:rsidR="00C86FD8">
        <w:rPr>
          <w:rStyle w:val="FootnoteReference"/>
        </w:rPr>
        <w:footnoteReference w:id="14"/>
      </w:r>
      <w:r w:rsidR="00C86FD8">
        <w:t xml:space="preserve"> such as</w:t>
      </w:r>
      <w:r w:rsidR="00351386">
        <w:t xml:space="preserve"> </w:t>
      </w:r>
      <w:r w:rsidR="00C82ADB">
        <w:t>Peconic</w:t>
      </w:r>
      <w:r w:rsidR="00351386">
        <w:t>; (3)</w:t>
      </w:r>
      <w:r w:rsidR="00C86FD8">
        <w:t xml:space="preserve"> Peconic cannot be faulted for failing to document its claim of financial hardship because</w:t>
      </w:r>
      <w:r w:rsidR="00351386">
        <w:t xml:space="preserve"> the Commission was required to take official administrative notice of </w:t>
      </w:r>
      <w:r w:rsidR="00C82ADB">
        <w:t>Peconic</w:t>
      </w:r>
      <w:r w:rsidR="00351386">
        <w:t>’s</w:t>
      </w:r>
      <w:r w:rsidR="003238F1" w:rsidRPr="003238F1">
        <w:t xml:space="preserve"> </w:t>
      </w:r>
      <w:r w:rsidR="003238F1">
        <w:t>publicly available</w:t>
      </w:r>
      <w:r w:rsidR="00351386">
        <w:t xml:space="preserve"> revenue information</w:t>
      </w:r>
      <w:r w:rsidR="0060037C">
        <w:rPr>
          <w:rStyle w:val="FootnoteReference"/>
        </w:rPr>
        <w:footnoteReference w:id="15"/>
      </w:r>
      <w:r w:rsidR="00351386">
        <w:t xml:space="preserve">; and (4) </w:t>
      </w:r>
      <w:r w:rsidR="00226EB0">
        <w:t>by including the language “such other matters as justice may require,” along with the enumerated factors of consideration listed in Section 1.80</w:t>
      </w:r>
      <w:r w:rsidR="00C44114">
        <w:t>(b)</w:t>
      </w:r>
      <w:r w:rsidR="00226EB0">
        <w:t>(8) of the Rules</w:t>
      </w:r>
      <w:r w:rsidR="00AC642E">
        <w:t>,</w:t>
      </w:r>
      <w:r w:rsidR="00226EB0">
        <w:rPr>
          <w:rStyle w:val="FootnoteReference"/>
        </w:rPr>
        <w:footnoteReference w:id="16"/>
      </w:r>
      <w:r w:rsidR="00AC642E">
        <w:t xml:space="preserve"> Congress intended</w:t>
      </w:r>
      <w:r w:rsidR="00351386">
        <w:t xml:space="preserve"> the Commission</w:t>
      </w:r>
      <w:r w:rsidR="00F5583E">
        <w:t xml:space="preserve"> to</w:t>
      </w:r>
      <w:r w:rsidR="00A40E00">
        <w:t xml:space="preserve"> also consider fairness, equity, and public interest policies when determining whether to reduce the amount of a forfeiture.</w:t>
      </w:r>
      <w:r w:rsidR="00351386">
        <w:t xml:space="preserve">  </w:t>
      </w:r>
      <w:r w:rsidR="00C82ADB">
        <w:t xml:space="preserve"> </w:t>
      </w:r>
      <w:r w:rsidR="001C508B">
        <w:t xml:space="preserve"> </w:t>
      </w:r>
    </w:p>
    <w:p w14:paraId="23E6097F" w14:textId="77777777" w:rsidR="00FC595C" w:rsidRPr="002F168E" w:rsidRDefault="00FC595C" w:rsidP="002F168E">
      <w:pPr>
        <w:pStyle w:val="ParaNum"/>
        <w:numPr>
          <w:ilvl w:val="0"/>
          <w:numId w:val="0"/>
        </w:numPr>
        <w:jc w:val="left"/>
        <w:rPr>
          <w:b/>
          <w:szCs w:val="22"/>
        </w:rPr>
      </w:pPr>
      <w:r w:rsidRPr="00FC595C">
        <w:rPr>
          <w:b/>
        </w:rPr>
        <w:t xml:space="preserve">III.       </w:t>
      </w:r>
      <w:r w:rsidRPr="002F168E">
        <w:rPr>
          <w:b/>
          <w:szCs w:val="22"/>
        </w:rPr>
        <w:t>DISCUSSION</w:t>
      </w:r>
    </w:p>
    <w:p w14:paraId="530C7598" w14:textId="2A7AB23F" w:rsidR="0060037C" w:rsidRDefault="00360486" w:rsidP="00856249">
      <w:pPr>
        <w:pStyle w:val="ParaNum"/>
        <w:jc w:val="left"/>
      </w:pPr>
      <w:r>
        <w:t>Reconsideration will be granted only when the petitioner shows either a material error in the original order</w:t>
      </w:r>
      <w:r w:rsidR="00A40E00">
        <w:t>,</w:t>
      </w:r>
      <w:r>
        <w:t xml:space="preserve"> or raises changed circumstances or unknown additional facts not known or existing at the time of petitioner’s last opportunity to present such matters</w:t>
      </w:r>
      <w:r w:rsidR="00F86E3B">
        <w:t>.</w:t>
      </w:r>
      <w:r w:rsidR="00F86E3B">
        <w:rPr>
          <w:rStyle w:val="FootnoteReference"/>
        </w:rPr>
        <w:footnoteReference w:id="17"/>
      </w:r>
      <w:r w:rsidR="00AC642E">
        <w:t xml:space="preserve">  </w:t>
      </w:r>
    </w:p>
    <w:p w14:paraId="31F4B943" w14:textId="331EADF3" w:rsidR="00C05C36" w:rsidRPr="00C05C36" w:rsidRDefault="00AC642E" w:rsidP="00C371B6">
      <w:pPr>
        <w:pStyle w:val="ParaNum"/>
        <w:jc w:val="left"/>
        <w:rPr>
          <w:szCs w:val="22"/>
        </w:rPr>
      </w:pPr>
      <w:r>
        <w:t xml:space="preserve">The Petition </w:t>
      </w:r>
      <w:r w:rsidR="00F412E7">
        <w:t>includes three</w:t>
      </w:r>
      <w:r>
        <w:t xml:space="preserve"> arguments</w:t>
      </w:r>
      <w:r w:rsidR="00F412E7">
        <w:t xml:space="preserve"> that were not previously presented:</w:t>
      </w:r>
      <w:r>
        <w:t xml:space="preserve"> </w:t>
      </w:r>
      <w:r w:rsidR="00980410">
        <w:t>(</w:t>
      </w:r>
      <w:r w:rsidR="003857F4">
        <w:t>1)</w:t>
      </w:r>
      <w:r w:rsidR="001C508B" w:rsidRPr="001C508B">
        <w:t xml:space="preserve"> </w:t>
      </w:r>
      <w:r w:rsidR="001C508B">
        <w:t>that financial factors disparately affecting small broadcasters must be considered in determining ability to pay</w:t>
      </w:r>
      <w:r w:rsidR="00DA6BD7">
        <w:t>,</w:t>
      </w:r>
      <w:r w:rsidR="00DA6BD7">
        <w:rPr>
          <w:rStyle w:val="FootnoteReference"/>
        </w:rPr>
        <w:footnoteReference w:id="18"/>
      </w:r>
      <w:r w:rsidR="001C508B">
        <w:t xml:space="preserve"> </w:t>
      </w:r>
      <w:r w:rsidR="00980410">
        <w:t>(</w:t>
      </w:r>
      <w:r w:rsidR="003857F4">
        <w:t>2)</w:t>
      </w:r>
      <w:r w:rsidR="001C508B" w:rsidRPr="001C508B">
        <w:t xml:space="preserve"> </w:t>
      </w:r>
      <w:r w:rsidR="001C508B">
        <w:t xml:space="preserve">that Peconic should be treated </w:t>
      </w:r>
      <w:r w:rsidR="006110BE">
        <w:t>the same as a</w:t>
      </w:r>
      <w:r w:rsidR="001C508B">
        <w:t xml:space="preserve"> student-run NCE station, and</w:t>
      </w:r>
      <w:r w:rsidR="003857F4">
        <w:t xml:space="preserve"> </w:t>
      </w:r>
      <w:r w:rsidR="00980410">
        <w:t>(</w:t>
      </w:r>
      <w:r w:rsidR="003857F4">
        <w:t xml:space="preserve">3) </w:t>
      </w:r>
      <w:r w:rsidR="00F412E7">
        <w:t xml:space="preserve">that the </w:t>
      </w:r>
      <w:r w:rsidR="00F412E7">
        <w:lastRenderedPageBreak/>
        <w:t xml:space="preserve">Commission was required to take official administrative notice of </w:t>
      </w:r>
      <w:r w:rsidR="00C82ADB">
        <w:t>Peconic</w:t>
      </w:r>
      <w:r w:rsidR="00F412E7">
        <w:t xml:space="preserve">’s revenue information.  </w:t>
      </w:r>
      <w:r w:rsidR="00C82ADB">
        <w:t>Peconic</w:t>
      </w:r>
      <w:r w:rsidR="00B94768">
        <w:t xml:space="preserve"> </w:t>
      </w:r>
      <w:r w:rsidR="00902881">
        <w:t xml:space="preserve">has </w:t>
      </w:r>
      <w:r w:rsidR="00B94768">
        <w:t>not provide</w:t>
      </w:r>
      <w:r w:rsidR="00902881">
        <w:t>d</w:t>
      </w:r>
      <w:r w:rsidR="00B94768">
        <w:t xml:space="preserve"> evidence of changed circum</w:t>
      </w:r>
      <w:r w:rsidR="00F412E7">
        <w:t xml:space="preserve">stances, or facts or arguments </w:t>
      </w:r>
      <w:r w:rsidR="00B94768">
        <w:t>that could not have previously been known by</w:t>
      </w:r>
      <w:r w:rsidR="008E5742">
        <w:t xml:space="preserve"> the exercise of</w:t>
      </w:r>
      <w:r w:rsidR="00B94768">
        <w:t xml:space="preserve"> ordinary diligence.</w:t>
      </w:r>
      <w:r w:rsidR="005718F1">
        <w:t xml:space="preserve"> </w:t>
      </w:r>
      <w:r w:rsidR="00A3257E">
        <w:t xml:space="preserve"> </w:t>
      </w:r>
      <w:r w:rsidR="00902881">
        <w:t xml:space="preserve">All of these arguments could have been raised in the </w:t>
      </w:r>
      <w:r w:rsidR="003238F1">
        <w:t>Response</w:t>
      </w:r>
      <w:r w:rsidR="00902881">
        <w:t xml:space="preserve">.  </w:t>
      </w:r>
      <w:r w:rsidR="004A1625">
        <w:t xml:space="preserve">Accordingly, </w:t>
      </w:r>
      <w:r w:rsidR="00902881">
        <w:t>we will dismiss the Petition to the extent</w:t>
      </w:r>
      <w:r w:rsidR="00391EA0">
        <w:t xml:space="preserve"> that</w:t>
      </w:r>
      <w:r w:rsidR="00902881">
        <w:t xml:space="preserve"> it relies on these arguments</w:t>
      </w:r>
      <w:r w:rsidR="004A1625">
        <w:t>.</w:t>
      </w:r>
      <w:r w:rsidR="004A1625">
        <w:rPr>
          <w:rStyle w:val="FootnoteReference"/>
        </w:rPr>
        <w:footnoteReference w:id="19"/>
      </w:r>
      <w:r w:rsidR="00762E9C">
        <w:rPr>
          <w:szCs w:val="22"/>
        </w:rPr>
        <w:t xml:space="preserve">  </w:t>
      </w:r>
    </w:p>
    <w:p w14:paraId="674C42B9" w14:textId="17662D1F" w:rsidR="00D74A8A" w:rsidRDefault="00821ABC" w:rsidP="00D74A8A">
      <w:pPr>
        <w:pStyle w:val="ParaNum"/>
        <w:widowControl/>
        <w:jc w:val="left"/>
        <w:rPr>
          <w:szCs w:val="22"/>
        </w:rPr>
      </w:pPr>
      <w:r>
        <w:rPr>
          <w:szCs w:val="22"/>
        </w:rPr>
        <w:t xml:space="preserve">Furthermore, </w:t>
      </w:r>
      <w:r w:rsidR="007013F2">
        <w:rPr>
          <w:szCs w:val="22"/>
        </w:rPr>
        <w:t xml:space="preserve">we disagree with </w:t>
      </w:r>
      <w:r w:rsidR="006C7375">
        <w:rPr>
          <w:szCs w:val="22"/>
        </w:rPr>
        <w:t>Peconic’s</w:t>
      </w:r>
      <w:r w:rsidR="00AA3993">
        <w:rPr>
          <w:szCs w:val="22"/>
        </w:rPr>
        <w:t xml:space="preserve"> </w:t>
      </w:r>
      <w:r w:rsidR="007013F2">
        <w:rPr>
          <w:szCs w:val="22"/>
        </w:rPr>
        <w:t xml:space="preserve">proposal to extend </w:t>
      </w:r>
      <w:r>
        <w:rPr>
          <w:szCs w:val="22"/>
        </w:rPr>
        <w:t>the</w:t>
      </w:r>
      <w:r w:rsidR="004E5EAF">
        <w:rPr>
          <w:szCs w:val="22"/>
        </w:rPr>
        <w:t xml:space="preserve"> </w:t>
      </w:r>
      <w:r w:rsidR="007013F2">
        <w:rPr>
          <w:i/>
          <w:szCs w:val="22"/>
        </w:rPr>
        <w:t xml:space="preserve">William Penn </w:t>
      </w:r>
      <w:r w:rsidR="004E5EAF">
        <w:rPr>
          <w:szCs w:val="22"/>
        </w:rPr>
        <w:t>mitigation</w:t>
      </w:r>
      <w:r>
        <w:rPr>
          <w:szCs w:val="22"/>
        </w:rPr>
        <w:t xml:space="preserve"> policy for first-time-offending NCE stations</w:t>
      </w:r>
      <w:r w:rsidR="004E5EAF">
        <w:rPr>
          <w:szCs w:val="22"/>
        </w:rPr>
        <w:t xml:space="preserve"> that are</w:t>
      </w:r>
      <w:r>
        <w:rPr>
          <w:szCs w:val="22"/>
        </w:rPr>
        <w:t xml:space="preserve"> staffed entirely by student volunteers</w:t>
      </w:r>
      <w:r w:rsidR="007013F2">
        <w:rPr>
          <w:szCs w:val="22"/>
        </w:rPr>
        <w:t xml:space="preserve">. </w:t>
      </w:r>
      <w:r w:rsidRPr="003F6802">
        <w:rPr>
          <w:rStyle w:val="FootnoteReference"/>
          <w:szCs w:val="22"/>
        </w:rPr>
        <w:footnoteReference w:id="20"/>
      </w:r>
      <w:r>
        <w:rPr>
          <w:i/>
          <w:szCs w:val="22"/>
        </w:rPr>
        <w:t xml:space="preserve"> </w:t>
      </w:r>
      <w:r w:rsidR="00C53D41">
        <w:rPr>
          <w:szCs w:val="22"/>
        </w:rPr>
        <w:t xml:space="preserve"> </w:t>
      </w:r>
      <w:r w:rsidR="00C53D41">
        <w:t>It</w:t>
      </w:r>
      <w:r w:rsidR="00FE376E">
        <w:rPr>
          <w:szCs w:val="22"/>
        </w:rPr>
        <w:t xml:space="preserve"> mischaracterizes the</w:t>
      </w:r>
      <w:r w:rsidR="005B7D94">
        <w:rPr>
          <w:szCs w:val="22"/>
        </w:rPr>
        <w:t xml:space="preserve"> policy by stating that it applies to “primarily” student-run stations and that</w:t>
      </w:r>
      <w:r w:rsidR="001C508B">
        <w:rPr>
          <w:szCs w:val="22"/>
        </w:rPr>
        <w:t xml:space="preserve"> the underlying rationale is</w:t>
      </w:r>
      <w:r w:rsidR="005B7D94">
        <w:rPr>
          <w:szCs w:val="22"/>
        </w:rPr>
        <w:t xml:space="preserve"> </w:t>
      </w:r>
      <w:r w:rsidR="00FE376E">
        <w:rPr>
          <w:szCs w:val="22"/>
        </w:rPr>
        <w:t xml:space="preserve">simply the </w:t>
      </w:r>
      <w:r w:rsidR="005B7D94">
        <w:rPr>
          <w:szCs w:val="22"/>
        </w:rPr>
        <w:t>small budget of those stations.</w:t>
      </w:r>
      <w:r w:rsidR="0051030B">
        <w:rPr>
          <w:rStyle w:val="FootnoteReference"/>
          <w:szCs w:val="22"/>
        </w:rPr>
        <w:footnoteReference w:id="21"/>
      </w:r>
      <w:r w:rsidR="005B7D94">
        <w:rPr>
          <w:szCs w:val="22"/>
        </w:rPr>
        <w:t xml:space="preserve">  To the contrary, the </w:t>
      </w:r>
      <w:r w:rsidR="005B7D94">
        <w:rPr>
          <w:i/>
          <w:szCs w:val="22"/>
        </w:rPr>
        <w:t>William Penn</w:t>
      </w:r>
      <w:r w:rsidR="005B7D94">
        <w:rPr>
          <w:szCs w:val="22"/>
        </w:rPr>
        <w:t xml:space="preserve"> order states that the policy is limited to NCE stations </w:t>
      </w:r>
      <w:r w:rsidR="004E5EAF">
        <w:rPr>
          <w:szCs w:val="22"/>
        </w:rPr>
        <w:t xml:space="preserve">“staffed </w:t>
      </w:r>
      <w:r w:rsidR="004E5EAF">
        <w:rPr>
          <w:i/>
          <w:szCs w:val="22"/>
        </w:rPr>
        <w:t>completely</w:t>
      </w:r>
      <w:r w:rsidR="004E5EAF">
        <w:rPr>
          <w:szCs w:val="22"/>
        </w:rPr>
        <w:t xml:space="preserve"> by student volunteers,”</w:t>
      </w:r>
      <w:r w:rsidR="00FE376E" w:rsidRPr="00FE376E">
        <w:rPr>
          <w:szCs w:val="22"/>
        </w:rPr>
        <w:t xml:space="preserve"> </w:t>
      </w:r>
      <w:r w:rsidR="00FE376E">
        <w:rPr>
          <w:szCs w:val="22"/>
        </w:rPr>
        <w:t>differentiating those stations from others “predominantly” staffed by student volunteers,</w:t>
      </w:r>
      <w:r w:rsidR="00FE376E" w:rsidRPr="00FE376E">
        <w:rPr>
          <w:szCs w:val="22"/>
        </w:rPr>
        <w:t xml:space="preserve"> </w:t>
      </w:r>
      <w:r w:rsidR="00D96930">
        <w:rPr>
          <w:szCs w:val="22"/>
        </w:rPr>
        <w:t>and expressly disqualifying</w:t>
      </w:r>
      <w:r w:rsidR="00FE376E">
        <w:rPr>
          <w:szCs w:val="22"/>
        </w:rPr>
        <w:t xml:space="preserve"> stations with </w:t>
      </w:r>
      <w:r w:rsidR="00FE376E">
        <w:rPr>
          <w:i/>
          <w:szCs w:val="22"/>
        </w:rPr>
        <w:t>any</w:t>
      </w:r>
      <w:r w:rsidR="00FE376E">
        <w:rPr>
          <w:szCs w:val="22"/>
        </w:rPr>
        <w:t xml:space="preserve"> professional staff other than a faculty advisor.</w:t>
      </w:r>
      <w:r w:rsidR="004E5EAF">
        <w:rPr>
          <w:rStyle w:val="FootnoteReference"/>
          <w:szCs w:val="22"/>
        </w:rPr>
        <w:footnoteReference w:id="22"/>
      </w:r>
      <w:r w:rsidR="004E5EAF">
        <w:rPr>
          <w:szCs w:val="22"/>
        </w:rPr>
        <w:t xml:space="preserve"> </w:t>
      </w:r>
      <w:r w:rsidR="00FE376E">
        <w:rPr>
          <w:szCs w:val="22"/>
        </w:rPr>
        <w:t xml:space="preserve"> </w:t>
      </w:r>
      <w:r w:rsidR="00D96930">
        <w:rPr>
          <w:szCs w:val="22"/>
        </w:rPr>
        <w:t>The decision explains</w:t>
      </w:r>
      <w:r w:rsidR="00F737E1">
        <w:rPr>
          <w:szCs w:val="22"/>
        </w:rPr>
        <w:t xml:space="preserve"> that those stations are valuable because they provide a unique educational opportunity for students who have express</w:t>
      </w:r>
      <w:r w:rsidR="00C61464">
        <w:rPr>
          <w:szCs w:val="22"/>
        </w:rPr>
        <w:t xml:space="preserve">ed interest in pursuing </w:t>
      </w:r>
      <w:r w:rsidR="00F737E1">
        <w:rPr>
          <w:szCs w:val="22"/>
        </w:rPr>
        <w:t>broadcasting</w:t>
      </w:r>
      <w:r w:rsidR="00C61464">
        <w:rPr>
          <w:szCs w:val="22"/>
        </w:rPr>
        <w:t xml:space="preserve"> careers</w:t>
      </w:r>
      <w:r w:rsidR="00F737E1">
        <w:rPr>
          <w:szCs w:val="22"/>
        </w:rPr>
        <w:t>, but forfeitures threaten the existence of those stations</w:t>
      </w:r>
      <w:r w:rsidR="003663BA">
        <w:rPr>
          <w:szCs w:val="22"/>
        </w:rPr>
        <w:t>.</w:t>
      </w:r>
      <w:r w:rsidR="00FE376E">
        <w:rPr>
          <w:rStyle w:val="FootnoteReference"/>
          <w:szCs w:val="22"/>
        </w:rPr>
        <w:footnoteReference w:id="23"/>
      </w:r>
      <w:r w:rsidR="00DF7827">
        <w:rPr>
          <w:szCs w:val="22"/>
        </w:rPr>
        <w:t xml:space="preserve">  </w:t>
      </w:r>
      <w:r w:rsidR="005A5B77">
        <w:rPr>
          <w:szCs w:val="22"/>
        </w:rPr>
        <w:t>Two rationales for limiting the policy to entirely student-run stations</w:t>
      </w:r>
      <w:r w:rsidR="00A40E00">
        <w:rPr>
          <w:szCs w:val="22"/>
        </w:rPr>
        <w:t xml:space="preserve">, identified in the </w:t>
      </w:r>
      <w:r w:rsidR="00A40E00">
        <w:rPr>
          <w:i/>
          <w:szCs w:val="22"/>
        </w:rPr>
        <w:t xml:space="preserve">William Penn </w:t>
      </w:r>
      <w:r w:rsidR="00A40E00">
        <w:rPr>
          <w:szCs w:val="22"/>
        </w:rPr>
        <w:t>decision,</w:t>
      </w:r>
      <w:r w:rsidR="00482630">
        <w:rPr>
          <w:szCs w:val="22"/>
        </w:rPr>
        <w:t xml:space="preserve"> are</w:t>
      </w:r>
      <w:r w:rsidR="005A5B77">
        <w:rPr>
          <w:szCs w:val="22"/>
        </w:rPr>
        <w:t xml:space="preserve"> not true of Peconic:</w:t>
      </w:r>
      <w:r w:rsidR="00482630">
        <w:rPr>
          <w:szCs w:val="22"/>
        </w:rPr>
        <w:t xml:space="preserve"> </w:t>
      </w:r>
      <w:r w:rsidR="003663BA">
        <w:rPr>
          <w:szCs w:val="22"/>
        </w:rPr>
        <w:t xml:space="preserve">(1) students who are young, busy with other curricular and extracurricular commitments, and unlikely to have had any experience in regulatory compliance matters, are more prone to </w:t>
      </w:r>
      <w:r w:rsidR="00D96930">
        <w:rPr>
          <w:szCs w:val="22"/>
        </w:rPr>
        <w:t xml:space="preserve">unintentionally </w:t>
      </w:r>
      <w:r w:rsidR="003663BA">
        <w:rPr>
          <w:szCs w:val="22"/>
        </w:rPr>
        <w:t xml:space="preserve">committing a </w:t>
      </w:r>
      <w:r w:rsidR="00D96930">
        <w:rPr>
          <w:szCs w:val="22"/>
        </w:rPr>
        <w:t xml:space="preserve">documentation </w:t>
      </w:r>
      <w:r w:rsidR="003663BA">
        <w:rPr>
          <w:szCs w:val="22"/>
        </w:rPr>
        <w:t>violation</w:t>
      </w:r>
      <w:r w:rsidR="00C61464">
        <w:rPr>
          <w:szCs w:val="22"/>
        </w:rPr>
        <w:t xml:space="preserve"> than experienced professional staff</w:t>
      </w:r>
      <w:r w:rsidR="003663BA">
        <w:rPr>
          <w:szCs w:val="22"/>
        </w:rPr>
        <w:t>;</w:t>
      </w:r>
      <w:r w:rsidR="00DF7827">
        <w:rPr>
          <w:rStyle w:val="FootnoteReference"/>
          <w:szCs w:val="22"/>
        </w:rPr>
        <w:footnoteReference w:id="24"/>
      </w:r>
      <w:r w:rsidR="0078579D">
        <w:rPr>
          <w:szCs w:val="22"/>
        </w:rPr>
        <w:t xml:space="preserve"> and,</w:t>
      </w:r>
      <w:r w:rsidR="003663BA">
        <w:rPr>
          <w:szCs w:val="22"/>
        </w:rPr>
        <w:t xml:space="preserve"> (2</w:t>
      </w:r>
      <w:r w:rsidR="0078579D">
        <w:rPr>
          <w:szCs w:val="22"/>
        </w:rPr>
        <w:t>)</w:t>
      </w:r>
      <w:r w:rsidR="003663BA">
        <w:rPr>
          <w:szCs w:val="22"/>
        </w:rPr>
        <w:t xml:space="preserve"> offering a one-time opportunity to </w:t>
      </w:r>
      <w:r w:rsidR="00374A2E">
        <w:rPr>
          <w:szCs w:val="22"/>
        </w:rPr>
        <w:t xml:space="preserve">enter into </w:t>
      </w:r>
      <w:r w:rsidR="003663BA">
        <w:rPr>
          <w:szCs w:val="22"/>
        </w:rPr>
        <w:t xml:space="preserve">a consent decree ensures education and training on regulatory compliance issues for students who may go on to </w:t>
      </w:r>
      <w:r w:rsidR="00374A2E">
        <w:rPr>
          <w:szCs w:val="22"/>
        </w:rPr>
        <w:t xml:space="preserve">broadcast </w:t>
      </w:r>
      <w:r w:rsidR="003663BA">
        <w:rPr>
          <w:szCs w:val="22"/>
        </w:rPr>
        <w:t>careers.</w:t>
      </w:r>
      <w:r w:rsidR="00DF7827">
        <w:rPr>
          <w:rStyle w:val="FootnoteReference"/>
          <w:szCs w:val="22"/>
        </w:rPr>
        <w:footnoteReference w:id="25"/>
      </w:r>
      <w:r w:rsidR="00D74A8A">
        <w:rPr>
          <w:szCs w:val="22"/>
        </w:rPr>
        <w:t xml:space="preserve">  Unlike the narrow class of stations eligible for the </w:t>
      </w:r>
      <w:r w:rsidR="00D74A8A">
        <w:rPr>
          <w:i/>
          <w:szCs w:val="22"/>
        </w:rPr>
        <w:t>William Penn</w:t>
      </w:r>
      <w:r w:rsidR="00D74A8A">
        <w:rPr>
          <w:szCs w:val="22"/>
        </w:rPr>
        <w:t xml:space="preserve"> policy,</w:t>
      </w:r>
      <w:r w:rsidR="00D74A8A">
        <w:rPr>
          <w:rStyle w:val="FootnoteReference"/>
          <w:szCs w:val="22"/>
        </w:rPr>
        <w:footnoteReference w:id="26"/>
      </w:r>
      <w:r w:rsidR="00D74A8A">
        <w:rPr>
          <w:szCs w:val="22"/>
        </w:rPr>
        <w:t xml:space="preserve"> Peconic’s employees admittedly have ample experience and knowledge to comply with regulations.</w:t>
      </w:r>
      <w:r w:rsidR="00D74A8A">
        <w:rPr>
          <w:rStyle w:val="FootnoteReference"/>
          <w:szCs w:val="22"/>
        </w:rPr>
        <w:footnoteReference w:id="27"/>
      </w:r>
      <w:r w:rsidR="00D74A8A">
        <w:rPr>
          <w:szCs w:val="22"/>
        </w:rPr>
        <w:t xml:space="preserve">  Additionally, </w:t>
      </w:r>
      <w:r w:rsidR="003663BA">
        <w:rPr>
          <w:szCs w:val="22"/>
        </w:rPr>
        <w:t>even eligible stations staffed completely by student volunteers must submit a copy of the station’s operating budget in order to qualify</w:t>
      </w:r>
      <w:r w:rsidR="00D74A8A">
        <w:rPr>
          <w:szCs w:val="22"/>
        </w:rPr>
        <w:t xml:space="preserve"> for the </w:t>
      </w:r>
      <w:r w:rsidR="00D74A8A">
        <w:rPr>
          <w:i/>
          <w:szCs w:val="22"/>
        </w:rPr>
        <w:t xml:space="preserve">William Penn </w:t>
      </w:r>
      <w:r w:rsidR="00D74A8A">
        <w:rPr>
          <w:szCs w:val="22"/>
        </w:rPr>
        <w:t>mitigation policy,</w:t>
      </w:r>
      <w:r w:rsidR="00FE376E">
        <w:rPr>
          <w:rStyle w:val="FootnoteReference"/>
          <w:szCs w:val="22"/>
        </w:rPr>
        <w:footnoteReference w:id="28"/>
      </w:r>
      <w:r w:rsidR="00E51EFA">
        <w:rPr>
          <w:szCs w:val="22"/>
        </w:rPr>
        <w:t xml:space="preserve"> </w:t>
      </w:r>
      <w:r w:rsidR="00D74A8A">
        <w:rPr>
          <w:szCs w:val="22"/>
        </w:rPr>
        <w:t xml:space="preserve">whereas here </w:t>
      </w:r>
      <w:r w:rsidR="00374A2E">
        <w:rPr>
          <w:szCs w:val="22"/>
        </w:rPr>
        <w:t xml:space="preserve">Peconic </w:t>
      </w:r>
      <w:r w:rsidR="00D74A8A">
        <w:rPr>
          <w:szCs w:val="22"/>
        </w:rPr>
        <w:t xml:space="preserve">ignored repeated staff requests for </w:t>
      </w:r>
      <w:r w:rsidR="004B1435">
        <w:rPr>
          <w:szCs w:val="22"/>
        </w:rPr>
        <w:t>such</w:t>
      </w:r>
      <w:r w:rsidR="00D74A8A">
        <w:rPr>
          <w:szCs w:val="22"/>
        </w:rPr>
        <w:t xml:space="preserve"> documentation.</w:t>
      </w:r>
      <w:r w:rsidR="00D74A8A">
        <w:rPr>
          <w:rStyle w:val="FootnoteReference"/>
          <w:szCs w:val="22"/>
        </w:rPr>
        <w:footnoteReference w:id="29"/>
      </w:r>
      <w:r w:rsidR="00D74A8A">
        <w:rPr>
          <w:szCs w:val="22"/>
        </w:rPr>
        <w:t xml:space="preserve"> </w:t>
      </w:r>
    </w:p>
    <w:p w14:paraId="5FD135A5" w14:textId="634A896E" w:rsidR="005F0707" w:rsidRPr="006D5DE2" w:rsidRDefault="004B1435" w:rsidP="006D5DE2">
      <w:pPr>
        <w:pStyle w:val="ParaNum"/>
        <w:widowControl/>
        <w:jc w:val="left"/>
        <w:rPr>
          <w:szCs w:val="22"/>
        </w:rPr>
      </w:pPr>
      <w:r>
        <w:rPr>
          <w:szCs w:val="22"/>
        </w:rPr>
        <w:t xml:space="preserve">Additionally, </w:t>
      </w:r>
      <w:r w:rsidR="00C637B9">
        <w:rPr>
          <w:szCs w:val="22"/>
        </w:rPr>
        <w:t>we r</w:t>
      </w:r>
      <w:r w:rsidR="000749AD">
        <w:rPr>
          <w:szCs w:val="22"/>
        </w:rPr>
        <w:t xml:space="preserve">eject </w:t>
      </w:r>
      <w:r w:rsidR="008F194D">
        <w:t>Peconic</w:t>
      </w:r>
      <w:r w:rsidR="000749AD">
        <w:rPr>
          <w:szCs w:val="22"/>
        </w:rPr>
        <w:t>’s argument that</w:t>
      </w:r>
      <w:r w:rsidR="001200B1">
        <w:rPr>
          <w:szCs w:val="22"/>
        </w:rPr>
        <w:t xml:space="preserve"> the</w:t>
      </w:r>
      <w:r w:rsidR="00C0597D">
        <w:rPr>
          <w:szCs w:val="22"/>
        </w:rPr>
        <w:t xml:space="preserve"> forfeiture amount </w:t>
      </w:r>
      <w:r w:rsidR="001255C8">
        <w:rPr>
          <w:szCs w:val="22"/>
        </w:rPr>
        <w:t>should</w:t>
      </w:r>
      <w:r w:rsidR="00C0597D">
        <w:rPr>
          <w:szCs w:val="22"/>
        </w:rPr>
        <w:t xml:space="preserve"> be reduced based on the</w:t>
      </w:r>
      <w:r w:rsidR="001200B1">
        <w:rPr>
          <w:szCs w:val="22"/>
        </w:rPr>
        <w:t xml:space="preserve"> language “</w:t>
      </w:r>
      <w:r w:rsidR="001255C8">
        <w:rPr>
          <w:szCs w:val="22"/>
        </w:rPr>
        <w:t xml:space="preserve">such </w:t>
      </w:r>
      <w:r w:rsidR="001200B1">
        <w:rPr>
          <w:szCs w:val="22"/>
        </w:rPr>
        <w:t>o</w:t>
      </w:r>
      <w:r w:rsidR="001255C8">
        <w:rPr>
          <w:szCs w:val="22"/>
        </w:rPr>
        <w:t>ther matters as justice may require</w:t>
      </w:r>
      <w:r w:rsidR="001200B1">
        <w:rPr>
          <w:szCs w:val="22"/>
        </w:rPr>
        <w:t>” in</w:t>
      </w:r>
      <w:r w:rsidR="000749AD">
        <w:rPr>
          <w:szCs w:val="22"/>
        </w:rPr>
        <w:t xml:space="preserve"> S</w:t>
      </w:r>
      <w:r w:rsidR="00850CEC">
        <w:rPr>
          <w:szCs w:val="22"/>
        </w:rPr>
        <w:t>ection 5</w:t>
      </w:r>
      <w:r w:rsidR="00C637B9">
        <w:rPr>
          <w:szCs w:val="22"/>
        </w:rPr>
        <w:t>0</w:t>
      </w:r>
      <w:r w:rsidR="00850CEC">
        <w:rPr>
          <w:szCs w:val="22"/>
        </w:rPr>
        <w:t>3</w:t>
      </w:r>
      <w:r w:rsidR="00C637B9">
        <w:rPr>
          <w:szCs w:val="22"/>
        </w:rPr>
        <w:t>(b) o</w:t>
      </w:r>
      <w:r w:rsidR="00C0597D">
        <w:rPr>
          <w:szCs w:val="22"/>
        </w:rPr>
        <w:t>f the Act</w:t>
      </w:r>
      <w:r w:rsidR="001255C8">
        <w:rPr>
          <w:szCs w:val="22"/>
        </w:rPr>
        <w:t>,</w:t>
      </w:r>
      <w:r w:rsidR="004D4EE9">
        <w:rPr>
          <w:rStyle w:val="FootnoteReference"/>
          <w:szCs w:val="22"/>
        </w:rPr>
        <w:footnoteReference w:id="30"/>
      </w:r>
      <w:r w:rsidR="001255C8">
        <w:rPr>
          <w:szCs w:val="22"/>
        </w:rPr>
        <w:t xml:space="preserve"> which Peconic argues to mean “fairness, equity, and public interest policies.”</w:t>
      </w:r>
      <w:r w:rsidR="001255C8">
        <w:rPr>
          <w:rStyle w:val="FootnoteReference"/>
          <w:szCs w:val="22"/>
        </w:rPr>
        <w:footnoteReference w:id="31"/>
      </w:r>
      <w:r w:rsidR="001200B1">
        <w:rPr>
          <w:szCs w:val="22"/>
        </w:rPr>
        <w:t xml:space="preserve">  </w:t>
      </w:r>
      <w:r w:rsidR="00A541B9">
        <w:rPr>
          <w:szCs w:val="22"/>
        </w:rPr>
        <w:t>Section 1.80(b)(8) of the Rules provide</w:t>
      </w:r>
      <w:r w:rsidR="004D4EE9">
        <w:rPr>
          <w:szCs w:val="22"/>
        </w:rPr>
        <w:t>s specific</w:t>
      </w:r>
      <w:r w:rsidR="00A541B9">
        <w:rPr>
          <w:szCs w:val="22"/>
        </w:rPr>
        <w:t xml:space="preserve"> standards for upward or downward adjustments of forfeitures,</w:t>
      </w:r>
      <w:r w:rsidR="004D4EE9">
        <w:rPr>
          <w:rStyle w:val="FootnoteReference"/>
          <w:szCs w:val="22"/>
        </w:rPr>
        <w:footnoteReference w:id="32"/>
      </w:r>
      <w:r w:rsidR="00A541B9">
        <w:rPr>
          <w:szCs w:val="22"/>
        </w:rPr>
        <w:t xml:space="preserve"> expressly identifying </w:t>
      </w:r>
      <w:r w:rsidR="001441D2">
        <w:rPr>
          <w:szCs w:val="22"/>
        </w:rPr>
        <w:t xml:space="preserve">both “history of overall compliance” and </w:t>
      </w:r>
      <w:r w:rsidR="00A541B9">
        <w:rPr>
          <w:szCs w:val="22"/>
        </w:rPr>
        <w:t>“</w:t>
      </w:r>
      <w:r w:rsidR="00191F4D">
        <w:rPr>
          <w:szCs w:val="22"/>
        </w:rPr>
        <w:t>in</w:t>
      </w:r>
      <w:r w:rsidR="00A541B9">
        <w:rPr>
          <w:szCs w:val="22"/>
        </w:rPr>
        <w:t xml:space="preserve">ability to pay” </w:t>
      </w:r>
      <w:r w:rsidR="003E4E3E">
        <w:rPr>
          <w:szCs w:val="22"/>
        </w:rPr>
        <w:t>as considerations</w:t>
      </w:r>
      <w:r w:rsidR="00191F4D">
        <w:rPr>
          <w:szCs w:val="22"/>
        </w:rPr>
        <w:t xml:space="preserve"> for downward adjustment</w:t>
      </w:r>
      <w:r w:rsidR="00A541B9">
        <w:rPr>
          <w:szCs w:val="22"/>
        </w:rPr>
        <w:t xml:space="preserve">.  The Commission held </w:t>
      </w:r>
      <w:r w:rsidR="005F0707">
        <w:rPr>
          <w:szCs w:val="22"/>
        </w:rPr>
        <w:t xml:space="preserve">in </w:t>
      </w:r>
      <w:r w:rsidR="00850A58">
        <w:rPr>
          <w:szCs w:val="22"/>
        </w:rPr>
        <w:t xml:space="preserve">adopting the current version of </w:t>
      </w:r>
      <w:r w:rsidR="005F0707">
        <w:rPr>
          <w:szCs w:val="22"/>
        </w:rPr>
        <w:t xml:space="preserve"> Section 1.80 </w:t>
      </w:r>
      <w:r w:rsidR="00A541B9">
        <w:rPr>
          <w:szCs w:val="22"/>
        </w:rPr>
        <w:t xml:space="preserve">that </w:t>
      </w:r>
      <w:r w:rsidR="00725B1C">
        <w:t>“</w:t>
      </w:r>
      <w:r w:rsidR="00A541B9" w:rsidRPr="008B4B51">
        <w:t xml:space="preserve">base forfeiture amounts may be increased or decreased upon evaluation of the unique facts of the case in light of the adjustment factors. </w:t>
      </w:r>
      <w:r w:rsidR="002D165F">
        <w:t xml:space="preserve"> </w:t>
      </w:r>
      <w:r w:rsidR="00A541B9" w:rsidRPr="008B4B51">
        <w:t>These factors mirror the concerns outlined in Section 503 of the Act regarding the violation as well as the violator.”</w:t>
      </w:r>
      <w:r w:rsidR="00A541B9" w:rsidRPr="008B4B51">
        <w:rPr>
          <w:rStyle w:val="FootnoteReference"/>
        </w:rPr>
        <w:footnoteReference w:id="33"/>
      </w:r>
      <w:r w:rsidR="00A541B9" w:rsidRPr="008B4B51">
        <w:t xml:space="preserve"> </w:t>
      </w:r>
      <w:r w:rsidR="00A541B9" w:rsidRPr="008B4B51">
        <w:rPr>
          <w:szCs w:val="22"/>
        </w:rPr>
        <w:t xml:space="preserve"> </w:t>
      </w:r>
      <w:r w:rsidR="00BA4626">
        <w:rPr>
          <w:szCs w:val="22"/>
        </w:rPr>
        <w:t xml:space="preserve">The Commission thus accounted for “fairness,” “equity,” and “public interest policies” when it </w:t>
      </w:r>
      <w:r w:rsidR="00C648EE">
        <w:rPr>
          <w:szCs w:val="22"/>
        </w:rPr>
        <w:t xml:space="preserve">promulgated </w:t>
      </w:r>
      <w:r w:rsidR="00374A2E">
        <w:rPr>
          <w:szCs w:val="22"/>
        </w:rPr>
        <w:t xml:space="preserve">the </w:t>
      </w:r>
      <w:r w:rsidR="00C648EE">
        <w:rPr>
          <w:szCs w:val="22"/>
        </w:rPr>
        <w:t>Section 1.80(b)(8)</w:t>
      </w:r>
      <w:r w:rsidR="00374A2E">
        <w:rPr>
          <w:szCs w:val="22"/>
        </w:rPr>
        <w:t xml:space="preserve"> adjustment criteria</w:t>
      </w:r>
      <w:r w:rsidR="00C648EE">
        <w:rPr>
          <w:szCs w:val="22"/>
        </w:rPr>
        <w:t xml:space="preserve">.  </w:t>
      </w:r>
      <w:r w:rsidR="0067795E">
        <w:rPr>
          <w:szCs w:val="22"/>
        </w:rPr>
        <w:t>In evaluating Peconic’s Respon</w:t>
      </w:r>
      <w:r w:rsidR="00D705A1">
        <w:rPr>
          <w:szCs w:val="22"/>
        </w:rPr>
        <w:t xml:space="preserve">se, the Bureau properly </w:t>
      </w:r>
      <w:r w:rsidR="00374A2E">
        <w:rPr>
          <w:szCs w:val="22"/>
        </w:rPr>
        <w:t xml:space="preserve">took into account Section 503(b) considerations.  Accordingly, Peconic’s argument is without merit.  </w:t>
      </w:r>
    </w:p>
    <w:p w14:paraId="188D5330" w14:textId="0ECF7C81" w:rsidR="00A541B9" w:rsidRPr="00F1714A" w:rsidRDefault="00C339EA" w:rsidP="00A541B9">
      <w:pPr>
        <w:pStyle w:val="ParaNum"/>
        <w:widowControl/>
        <w:jc w:val="left"/>
        <w:rPr>
          <w:szCs w:val="22"/>
        </w:rPr>
      </w:pPr>
      <w:r>
        <w:rPr>
          <w:szCs w:val="22"/>
        </w:rPr>
        <w:t>We note also that</w:t>
      </w:r>
      <w:r w:rsidR="001441D2">
        <w:rPr>
          <w:szCs w:val="22"/>
        </w:rPr>
        <w:t xml:space="preserve"> </w:t>
      </w:r>
      <w:r w:rsidR="0098262F">
        <w:rPr>
          <w:szCs w:val="22"/>
        </w:rPr>
        <w:t>the Commission contemplated inability to pay argument</w:t>
      </w:r>
      <w:r w:rsidR="007942D7">
        <w:rPr>
          <w:szCs w:val="22"/>
        </w:rPr>
        <w:t>s such as that</w:t>
      </w:r>
      <w:r w:rsidR="0098262F">
        <w:rPr>
          <w:szCs w:val="22"/>
        </w:rPr>
        <w:t xml:space="preserve"> advanced </w:t>
      </w:r>
      <w:r w:rsidR="0098262F" w:rsidRPr="00850A58">
        <w:rPr>
          <w:szCs w:val="22"/>
        </w:rPr>
        <w:t>by Peconic here</w:t>
      </w:r>
      <w:r w:rsidR="00DE41BB">
        <w:rPr>
          <w:szCs w:val="22"/>
        </w:rPr>
        <w:t>.  In amending</w:t>
      </w:r>
      <w:r w:rsidR="00850A58" w:rsidRPr="00850A58">
        <w:rPr>
          <w:szCs w:val="22"/>
        </w:rPr>
        <w:t xml:space="preserve"> Section 1.80, the Commission indicated that </w:t>
      </w:r>
      <w:r w:rsidR="006354A9">
        <w:rPr>
          <w:szCs w:val="22"/>
        </w:rPr>
        <w:t>it</w:t>
      </w:r>
      <w:r w:rsidR="00850A58" w:rsidRPr="00850A58">
        <w:rPr>
          <w:szCs w:val="22"/>
        </w:rPr>
        <w:t xml:space="preserve"> </w:t>
      </w:r>
      <w:r w:rsidR="006354A9">
        <w:rPr>
          <w:szCs w:val="22"/>
        </w:rPr>
        <w:t>“</w:t>
      </w:r>
      <w:r w:rsidR="00850A58" w:rsidRPr="00850A58">
        <w:rPr>
          <w:szCs w:val="22"/>
        </w:rPr>
        <w:t xml:space="preserve">would </w:t>
      </w:r>
      <w:r w:rsidR="00D82ED9">
        <w:rPr>
          <w:szCs w:val="22"/>
        </w:rPr>
        <w:t xml:space="preserve">consider </w:t>
      </w:r>
      <w:r w:rsidR="0098262F" w:rsidRPr="00850A58">
        <w:rPr>
          <w:szCs w:val="22"/>
        </w:rPr>
        <w:t>objective documented evidence in evaluating a violator's ability, or lack thereof, to pay a forfeiture.”</w:t>
      </w:r>
      <w:r w:rsidR="0098262F" w:rsidRPr="00850A58">
        <w:rPr>
          <w:rStyle w:val="FootnoteReference"/>
          <w:szCs w:val="22"/>
        </w:rPr>
        <w:footnoteReference w:id="34"/>
      </w:r>
      <w:r w:rsidR="00850A58">
        <w:rPr>
          <w:szCs w:val="22"/>
        </w:rPr>
        <w:t xml:space="preserve">  </w:t>
      </w:r>
      <w:r w:rsidR="0098262F" w:rsidRPr="00850A58">
        <w:rPr>
          <w:szCs w:val="22"/>
        </w:rPr>
        <w:t>I</w:t>
      </w:r>
      <w:r w:rsidR="00A541B9" w:rsidRPr="00850A58">
        <w:rPr>
          <w:szCs w:val="22"/>
        </w:rPr>
        <w:t xml:space="preserve">t is well settled that </w:t>
      </w:r>
      <w:r w:rsidR="00CC61BB">
        <w:rPr>
          <w:szCs w:val="22"/>
        </w:rPr>
        <w:t>“</w:t>
      </w:r>
      <w:r w:rsidR="00CC61BB">
        <w:rPr>
          <w:color w:val="212121"/>
          <w:szCs w:val="22"/>
        </w:rPr>
        <w:t>[t]</w:t>
      </w:r>
      <w:r w:rsidR="00850A58" w:rsidRPr="00850A58">
        <w:rPr>
          <w:color w:val="212121"/>
          <w:szCs w:val="22"/>
        </w:rPr>
        <w:t xml:space="preserve">he Commission will not consider reducing or canceling a forfeiture in response to a claim of inability to pay </w:t>
      </w:r>
      <w:r w:rsidR="00A541B9" w:rsidRPr="00850A58">
        <w:rPr>
          <w:szCs w:val="22"/>
        </w:rPr>
        <w:t>unless the petitioner submits</w:t>
      </w:r>
      <w:r w:rsidRPr="00850A58">
        <w:rPr>
          <w:szCs w:val="22"/>
        </w:rPr>
        <w:t>:</w:t>
      </w:r>
      <w:r w:rsidR="00A541B9" w:rsidRPr="00850A58">
        <w:rPr>
          <w:szCs w:val="22"/>
        </w:rPr>
        <w:t xml:space="preserve"> (1) federal tax returns for th</w:t>
      </w:r>
      <w:r w:rsidR="00CC61BB">
        <w:rPr>
          <w:szCs w:val="22"/>
        </w:rPr>
        <w:t>e most recent three-year period;</w:t>
      </w:r>
      <w:r w:rsidR="00A541B9" w:rsidRPr="00850A58">
        <w:rPr>
          <w:szCs w:val="22"/>
        </w:rPr>
        <w:t xml:space="preserve"> (2) financial statements prepared according to generally</w:t>
      </w:r>
      <w:r w:rsidR="00A541B9">
        <w:rPr>
          <w:szCs w:val="22"/>
        </w:rPr>
        <w:t xml:space="preserve"> accep</w:t>
      </w:r>
      <w:r w:rsidR="00CC61BB">
        <w:rPr>
          <w:szCs w:val="22"/>
        </w:rPr>
        <w:t>ted accounting practices (GAAP);</w:t>
      </w:r>
      <w:r w:rsidR="00A541B9">
        <w:rPr>
          <w:szCs w:val="22"/>
        </w:rPr>
        <w:t xml:space="preserve"> or (3) some other reliable and objective documentation that </w:t>
      </w:r>
      <w:r w:rsidR="00CC61BB">
        <w:rPr>
          <w:szCs w:val="22"/>
        </w:rPr>
        <w:t>accurately reflects the petitioner</w:t>
      </w:r>
      <w:r w:rsidR="00A541B9">
        <w:rPr>
          <w:szCs w:val="22"/>
        </w:rPr>
        <w:t>’s current financial status.</w:t>
      </w:r>
      <w:r w:rsidR="00CC61BB">
        <w:rPr>
          <w:szCs w:val="22"/>
        </w:rPr>
        <w:t>”</w:t>
      </w:r>
      <w:r w:rsidR="00A541B9">
        <w:rPr>
          <w:rStyle w:val="FootnoteReference"/>
          <w:szCs w:val="22"/>
        </w:rPr>
        <w:footnoteReference w:id="35"/>
      </w:r>
      <w:r w:rsidR="00A541B9">
        <w:rPr>
          <w:szCs w:val="22"/>
        </w:rPr>
        <w:t xml:space="preserve">  Despite numerous requests from Commission staff, Peconic failed to</w:t>
      </w:r>
      <w:r w:rsidR="002D165F">
        <w:rPr>
          <w:szCs w:val="22"/>
        </w:rPr>
        <w:t xml:space="preserve"> provide</w:t>
      </w:r>
      <w:r w:rsidR="00A541B9">
        <w:rPr>
          <w:szCs w:val="22"/>
        </w:rPr>
        <w:t xml:space="preserve"> </w:t>
      </w:r>
      <w:r w:rsidR="004B1435">
        <w:rPr>
          <w:szCs w:val="22"/>
        </w:rPr>
        <w:t>any</w:t>
      </w:r>
      <w:r w:rsidR="00A541B9">
        <w:rPr>
          <w:szCs w:val="22"/>
        </w:rPr>
        <w:t xml:space="preserve"> documentation to support its claim.  </w:t>
      </w:r>
    </w:p>
    <w:p w14:paraId="22D4B94D" w14:textId="77777777" w:rsidR="00D711ED" w:rsidRDefault="001441D2" w:rsidP="00A97B24">
      <w:pPr>
        <w:pStyle w:val="ParaNum"/>
        <w:tabs>
          <w:tab w:val="clear" w:pos="1440"/>
          <w:tab w:val="num" w:pos="0"/>
        </w:tabs>
        <w:ind w:firstLine="630"/>
        <w:jc w:val="left"/>
        <w:rPr>
          <w:szCs w:val="22"/>
        </w:rPr>
      </w:pPr>
      <w:r>
        <w:rPr>
          <w:szCs w:val="22"/>
        </w:rPr>
        <w:t xml:space="preserve">Finally, </w:t>
      </w:r>
      <w:r>
        <w:t>t</w:t>
      </w:r>
      <w:r w:rsidR="00567287">
        <w:t>o the extent that Peconic argues</w:t>
      </w:r>
      <w:r w:rsidR="003563EB">
        <w:rPr>
          <w:szCs w:val="22"/>
        </w:rPr>
        <w:t xml:space="preserve"> that the baseline forfeiture amount disproportionately impacts small public broadcasters</w:t>
      </w:r>
      <w:r w:rsidR="00567287">
        <w:rPr>
          <w:szCs w:val="22"/>
        </w:rPr>
        <w:t>, t</w:t>
      </w:r>
      <w:r w:rsidR="003563EB">
        <w:rPr>
          <w:szCs w:val="22"/>
        </w:rPr>
        <w:t>he Commission has previously held that its forfeiture policy complies with the Small Business Regulatory Enforcement Fairness Act (SBREFA)</w:t>
      </w:r>
      <w:r w:rsidR="00BB0AC6">
        <w:rPr>
          <w:szCs w:val="22"/>
        </w:rPr>
        <w:t>,</w:t>
      </w:r>
      <w:r w:rsidR="002D165F">
        <w:rPr>
          <w:rStyle w:val="FootnoteReference"/>
          <w:szCs w:val="22"/>
        </w:rPr>
        <w:footnoteReference w:id="36"/>
      </w:r>
      <w:r w:rsidR="00BB0AC6">
        <w:rPr>
          <w:szCs w:val="22"/>
        </w:rPr>
        <w:t xml:space="preserve"> and </w:t>
      </w:r>
      <w:r w:rsidR="003563EB">
        <w:rPr>
          <w:szCs w:val="22"/>
        </w:rPr>
        <w:t xml:space="preserve">properly considers factors that could </w:t>
      </w:r>
      <w:r w:rsidR="0075688A">
        <w:rPr>
          <w:szCs w:val="22"/>
        </w:rPr>
        <w:t>uniquely burden</w:t>
      </w:r>
      <w:r w:rsidR="003563EB">
        <w:rPr>
          <w:szCs w:val="22"/>
        </w:rPr>
        <w:t xml:space="preserve"> small </w:t>
      </w:r>
      <w:r w:rsidR="00BB0AC6">
        <w:rPr>
          <w:szCs w:val="22"/>
        </w:rPr>
        <w:t>broadcasters, including ability to pay</w:t>
      </w:r>
      <w:r w:rsidR="003563EB">
        <w:rPr>
          <w:szCs w:val="22"/>
        </w:rPr>
        <w:t>.</w:t>
      </w:r>
      <w:r w:rsidR="00BB0AC6">
        <w:rPr>
          <w:rStyle w:val="FootnoteReference"/>
          <w:szCs w:val="22"/>
        </w:rPr>
        <w:footnoteReference w:id="37"/>
      </w:r>
      <w:r w:rsidR="00B01E97">
        <w:rPr>
          <w:szCs w:val="22"/>
        </w:rPr>
        <w:t xml:space="preserve">  </w:t>
      </w:r>
    </w:p>
    <w:p w14:paraId="0E042581" w14:textId="17424AF7" w:rsidR="00E056D5" w:rsidRPr="0003016B" w:rsidRDefault="00F9150A" w:rsidP="00F9150A">
      <w:pPr>
        <w:pStyle w:val="Heading1"/>
        <w:numPr>
          <w:ilvl w:val="0"/>
          <w:numId w:val="0"/>
        </w:numPr>
        <w:ind w:left="720" w:hanging="720"/>
        <w:jc w:val="left"/>
        <w:rPr>
          <w:color w:val="FF0000"/>
          <w:szCs w:val="22"/>
        </w:rPr>
      </w:pPr>
      <w:r>
        <w:rPr>
          <w:szCs w:val="22"/>
        </w:rPr>
        <w:t xml:space="preserve">IV.      </w:t>
      </w:r>
      <w:r w:rsidR="00E056D5" w:rsidRPr="00E056D5">
        <w:rPr>
          <w:szCs w:val="22"/>
        </w:rPr>
        <w:t>ORDERING CLAUSES</w:t>
      </w:r>
    </w:p>
    <w:p w14:paraId="501F7A9D" w14:textId="6623ACEB" w:rsidR="00E056D5" w:rsidRPr="00E056D5" w:rsidRDefault="00BA4626" w:rsidP="00E056D5">
      <w:pPr>
        <w:pStyle w:val="ParaNum"/>
        <w:tabs>
          <w:tab w:val="clear" w:pos="1440"/>
          <w:tab w:val="num" w:pos="0"/>
        </w:tabs>
        <w:ind w:firstLine="630"/>
        <w:jc w:val="left"/>
        <w:rPr>
          <w:szCs w:val="22"/>
        </w:rPr>
      </w:pPr>
      <w:r>
        <w:rPr>
          <w:szCs w:val="22"/>
        </w:rPr>
        <w:t>We find that Peconic has not shown the existence of any material error in the original order, and its new arguments are not based on changed</w:t>
      </w:r>
      <w:r>
        <w:t xml:space="preserve"> circumstances or new facts that could not have been known during its last opportunity to present such matters.  </w:t>
      </w:r>
      <w:r w:rsidR="00E056D5" w:rsidRPr="00E056D5">
        <w:rPr>
          <w:szCs w:val="22"/>
        </w:rPr>
        <w:t xml:space="preserve">Accordingly, IT IS ORDERED, </w:t>
      </w:r>
      <w:r w:rsidR="00B964C3">
        <w:rPr>
          <w:szCs w:val="22"/>
        </w:rPr>
        <w:t>that the Petiti</w:t>
      </w:r>
      <w:r w:rsidR="00681974">
        <w:rPr>
          <w:szCs w:val="22"/>
        </w:rPr>
        <w:t>on for Reconsideration filed by</w:t>
      </w:r>
      <w:r w:rsidR="00B964C3">
        <w:rPr>
          <w:szCs w:val="22"/>
        </w:rPr>
        <w:t xml:space="preserve"> Peconic Public Broadcasting on March 7, 2016, IS </w:t>
      </w:r>
      <w:r w:rsidR="00403B75">
        <w:rPr>
          <w:szCs w:val="22"/>
        </w:rPr>
        <w:t>D</w:t>
      </w:r>
      <w:r w:rsidR="00D22BC4">
        <w:rPr>
          <w:szCs w:val="22"/>
        </w:rPr>
        <w:t>ISM</w:t>
      </w:r>
      <w:r w:rsidR="00403B75">
        <w:rPr>
          <w:szCs w:val="22"/>
        </w:rPr>
        <w:t>I</w:t>
      </w:r>
      <w:r w:rsidR="00D22BC4">
        <w:rPr>
          <w:szCs w:val="22"/>
        </w:rPr>
        <w:t>S</w:t>
      </w:r>
      <w:r w:rsidR="00403B75">
        <w:rPr>
          <w:szCs w:val="22"/>
        </w:rPr>
        <w:t xml:space="preserve">SED to extent indicated above and IS </w:t>
      </w:r>
      <w:r w:rsidR="00B964C3">
        <w:rPr>
          <w:szCs w:val="22"/>
        </w:rPr>
        <w:t>DENIED</w:t>
      </w:r>
      <w:r w:rsidR="00403B75">
        <w:rPr>
          <w:szCs w:val="22"/>
        </w:rPr>
        <w:t xml:space="preserve"> in all other respects</w:t>
      </w:r>
      <w:r w:rsidR="00B964C3">
        <w:rPr>
          <w:szCs w:val="22"/>
        </w:rPr>
        <w:t>.</w:t>
      </w:r>
      <w:r w:rsidR="00D22BC4">
        <w:rPr>
          <w:szCs w:val="22"/>
        </w:rPr>
        <w:t xml:space="preserve"> </w:t>
      </w:r>
    </w:p>
    <w:p w14:paraId="62AFAE14" w14:textId="77777777" w:rsidR="00E056D5" w:rsidRPr="00E056D5" w:rsidRDefault="00E056D5" w:rsidP="00E056D5">
      <w:pPr>
        <w:tabs>
          <w:tab w:val="num" w:pos="0"/>
        </w:tabs>
        <w:ind w:firstLine="630"/>
        <w:rPr>
          <w:szCs w:val="22"/>
        </w:rPr>
      </w:pPr>
      <w:bookmarkStart w:id="1" w:name="sp_1511_259"/>
      <w:bookmarkStart w:id="2" w:name="SDU_259"/>
      <w:bookmarkStart w:id="3" w:name="citeas((Cite_as:_22_F.C.C.R._256,_*259_("/>
      <w:bookmarkEnd w:id="1"/>
      <w:bookmarkEnd w:id="2"/>
      <w:bookmarkEnd w:id="3"/>
      <w:r w:rsidRPr="00E056D5">
        <w:rPr>
          <w:szCs w:val="22"/>
        </w:rPr>
        <w:tab/>
      </w:r>
      <w:r w:rsidRPr="00E056D5">
        <w:rPr>
          <w:szCs w:val="22"/>
        </w:rPr>
        <w:tab/>
      </w:r>
      <w:r w:rsidRPr="00E056D5">
        <w:rPr>
          <w:szCs w:val="22"/>
        </w:rPr>
        <w:tab/>
      </w:r>
      <w:r w:rsidRPr="00E056D5">
        <w:rPr>
          <w:szCs w:val="22"/>
        </w:rPr>
        <w:tab/>
      </w:r>
      <w:r w:rsidRPr="00E056D5">
        <w:rPr>
          <w:szCs w:val="22"/>
        </w:rPr>
        <w:tab/>
      </w:r>
      <w:r w:rsidRPr="00E056D5">
        <w:rPr>
          <w:szCs w:val="22"/>
        </w:rPr>
        <w:tab/>
        <w:t>FEDERAL COMMUNICATIONS COMMISSION</w:t>
      </w:r>
    </w:p>
    <w:p w14:paraId="08B61554" w14:textId="77777777" w:rsidR="00E056D5" w:rsidRPr="00E056D5" w:rsidRDefault="00E056D5" w:rsidP="00E056D5">
      <w:pPr>
        <w:tabs>
          <w:tab w:val="num" w:pos="0"/>
        </w:tabs>
        <w:ind w:firstLine="630"/>
        <w:rPr>
          <w:szCs w:val="22"/>
        </w:rPr>
      </w:pPr>
    </w:p>
    <w:p w14:paraId="4C5CE5BF" w14:textId="77777777"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r>
    </w:p>
    <w:p w14:paraId="22E6AD00" w14:textId="77777777"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t>Peter H. Doyle</w:t>
      </w:r>
    </w:p>
    <w:p w14:paraId="06879FF6" w14:textId="77777777"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t xml:space="preserve">Chief, Audio Division </w:t>
      </w:r>
    </w:p>
    <w:p w14:paraId="1C10545F" w14:textId="77777777" w:rsidR="006C1806" w:rsidRPr="00E056D5" w:rsidRDefault="00E056D5" w:rsidP="00710722">
      <w:pPr>
        <w:tabs>
          <w:tab w:val="num" w:pos="0"/>
        </w:tabs>
        <w:ind w:firstLine="630"/>
        <w:rPr>
          <w:szCs w:val="22"/>
        </w:rPr>
      </w:pPr>
      <w:r w:rsidRPr="00E056D5">
        <w:rPr>
          <w:szCs w:val="22"/>
        </w:rPr>
        <w:tab/>
      </w:r>
      <w:r w:rsidRPr="00E056D5">
        <w:rPr>
          <w:szCs w:val="22"/>
        </w:rPr>
        <w:tab/>
      </w:r>
      <w:r w:rsidRPr="00E056D5">
        <w:rPr>
          <w:szCs w:val="22"/>
        </w:rPr>
        <w:tab/>
      </w:r>
      <w:r w:rsidRPr="00E056D5">
        <w:rPr>
          <w:szCs w:val="22"/>
        </w:rPr>
        <w:tab/>
      </w:r>
      <w:r w:rsidRPr="00E056D5">
        <w:rPr>
          <w:szCs w:val="22"/>
        </w:rPr>
        <w:tab/>
      </w:r>
      <w:r w:rsidRPr="00E056D5">
        <w:rPr>
          <w:szCs w:val="22"/>
        </w:rPr>
        <w:tab/>
        <w:t>Media Bureau</w:t>
      </w:r>
    </w:p>
    <w:sectPr w:rsidR="006C1806" w:rsidRPr="00E056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A4C2A" w14:textId="77777777" w:rsidR="00066ADD" w:rsidRDefault="00066ADD">
      <w:r>
        <w:separator/>
      </w:r>
    </w:p>
  </w:endnote>
  <w:endnote w:type="continuationSeparator" w:id="0">
    <w:p w14:paraId="19AAC485" w14:textId="77777777" w:rsidR="00066ADD" w:rsidRDefault="0006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B7A1" w14:textId="77777777" w:rsidR="00A0767C" w:rsidRDefault="00A07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CE5ED9" w14:textId="77777777" w:rsidR="00A0767C" w:rsidRDefault="00A076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98C7" w14:textId="77777777" w:rsidR="00A0767C" w:rsidRDefault="00A07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11C">
      <w:rPr>
        <w:rStyle w:val="PageNumber"/>
        <w:noProof/>
      </w:rPr>
      <w:t>2</w:t>
    </w:r>
    <w:r>
      <w:rPr>
        <w:rStyle w:val="PageNumber"/>
      </w:rPr>
      <w:fldChar w:fldCharType="end"/>
    </w:r>
  </w:p>
  <w:p w14:paraId="03B2E928" w14:textId="77777777" w:rsidR="00A0767C" w:rsidRDefault="00A0767C">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B821" w14:textId="77777777" w:rsidR="00A0767C" w:rsidRDefault="00A0767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B9B4" w14:textId="77777777" w:rsidR="00066ADD" w:rsidRDefault="00066ADD">
      <w:r>
        <w:separator/>
      </w:r>
    </w:p>
  </w:footnote>
  <w:footnote w:type="continuationSeparator" w:id="0">
    <w:p w14:paraId="4D090747" w14:textId="77777777" w:rsidR="00066ADD" w:rsidRDefault="00066ADD">
      <w:r>
        <w:continuationSeparator/>
      </w:r>
    </w:p>
  </w:footnote>
  <w:footnote w:id="1">
    <w:p w14:paraId="0B9FB7FD" w14:textId="3D4DF159" w:rsidR="00730C9A" w:rsidRPr="00501D92" w:rsidRDefault="00730C9A" w:rsidP="00E23263">
      <w:pPr>
        <w:pStyle w:val="FootnoteText"/>
        <w:jc w:val="left"/>
        <w:rPr>
          <w:sz w:val="20"/>
        </w:rPr>
      </w:pPr>
      <w:r w:rsidRPr="00501D92">
        <w:rPr>
          <w:rStyle w:val="FootnoteReference"/>
          <w:sz w:val="20"/>
        </w:rPr>
        <w:footnoteRef/>
      </w:r>
      <w:r w:rsidRPr="00501D92">
        <w:rPr>
          <w:sz w:val="20"/>
        </w:rPr>
        <w:t xml:space="preserve"> </w:t>
      </w:r>
      <w:r w:rsidR="008D2D89">
        <w:rPr>
          <w:i/>
          <w:sz w:val="20"/>
        </w:rPr>
        <w:t>Peconic Pub. Broad.</w:t>
      </w:r>
      <w:r w:rsidRPr="00501D92">
        <w:rPr>
          <w:sz w:val="20"/>
        </w:rPr>
        <w:t>, Forfeiture Order, 31 FCC Rcd 1904, 1905, para. 4 (MB Mar. 7, 2016) (</w:t>
      </w:r>
      <w:r w:rsidRPr="00501D92">
        <w:rPr>
          <w:i/>
          <w:sz w:val="20"/>
        </w:rPr>
        <w:t>Forfeiture Order</w:t>
      </w:r>
      <w:r w:rsidRPr="00501D92">
        <w:rPr>
          <w:sz w:val="20"/>
        </w:rPr>
        <w:t>).</w:t>
      </w:r>
    </w:p>
  </w:footnote>
  <w:footnote w:id="2">
    <w:p w14:paraId="13FAD7E1" w14:textId="77777777" w:rsidR="00A0767C" w:rsidRPr="00501D92" w:rsidRDefault="00A0767C" w:rsidP="00E23263">
      <w:pPr>
        <w:pStyle w:val="FootnoteText"/>
        <w:jc w:val="left"/>
        <w:rPr>
          <w:sz w:val="20"/>
        </w:rPr>
      </w:pPr>
      <w:r w:rsidRPr="00501D92">
        <w:rPr>
          <w:rStyle w:val="FootnoteReference"/>
          <w:sz w:val="20"/>
        </w:rPr>
        <w:footnoteRef/>
      </w:r>
      <w:r w:rsidRPr="00501D92">
        <w:rPr>
          <w:sz w:val="20"/>
        </w:rPr>
        <w:t xml:space="preserve"> 47 CFR § 73.3527.</w:t>
      </w:r>
    </w:p>
  </w:footnote>
  <w:footnote w:id="3">
    <w:p w14:paraId="19389B0C" w14:textId="77777777" w:rsidR="00A0767C" w:rsidRPr="00501D92" w:rsidRDefault="00A0767C" w:rsidP="00E23263">
      <w:pPr>
        <w:pStyle w:val="FootnoteText"/>
        <w:jc w:val="left"/>
        <w:rPr>
          <w:sz w:val="20"/>
        </w:rPr>
      </w:pPr>
      <w:r w:rsidRPr="00501D92">
        <w:rPr>
          <w:rStyle w:val="FootnoteReference"/>
          <w:sz w:val="20"/>
        </w:rPr>
        <w:footnoteRef/>
      </w:r>
      <w:r w:rsidRPr="00501D92">
        <w:rPr>
          <w:sz w:val="20"/>
        </w:rPr>
        <w:t xml:space="preserve"> </w:t>
      </w:r>
      <w:r w:rsidR="005A546B" w:rsidRPr="00501D92">
        <w:rPr>
          <w:sz w:val="20"/>
        </w:rPr>
        <w:t>Application at Section III, Question 3.</w:t>
      </w:r>
    </w:p>
  </w:footnote>
  <w:footnote w:id="4">
    <w:p w14:paraId="2BA0D9B4" w14:textId="479E81ED" w:rsidR="00A0767C" w:rsidRPr="00501D92" w:rsidRDefault="00A0767C" w:rsidP="00E23263">
      <w:pPr>
        <w:pStyle w:val="FootnoteText"/>
        <w:jc w:val="left"/>
        <w:rPr>
          <w:sz w:val="20"/>
        </w:rPr>
      </w:pPr>
      <w:r w:rsidRPr="00501D92">
        <w:rPr>
          <w:rStyle w:val="FootnoteReference"/>
          <w:sz w:val="20"/>
        </w:rPr>
        <w:footnoteRef/>
      </w:r>
      <w:r w:rsidRPr="00501D92">
        <w:rPr>
          <w:sz w:val="20"/>
        </w:rPr>
        <w:t xml:space="preserve"> </w:t>
      </w:r>
      <w:r w:rsidR="00FF57E4">
        <w:rPr>
          <w:i/>
          <w:sz w:val="20"/>
        </w:rPr>
        <w:t>Peconic Pub. Broad</w:t>
      </w:r>
      <w:r w:rsidR="0017216F">
        <w:rPr>
          <w:i/>
          <w:sz w:val="20"/>
        </w:rPr>
        <w:t>.</w:t>
      </w:r>
      <w:r w:rsidR="00FF57E4" w:rsidRPr="00501D92">
        <w:rPr>
          <w:i/>
          <w:sz w:val="20"/>
        </w:rPr>
        <w:t xml:space="preserve">, </w:t>
      </w:r>
      <w:r w:rsidR="00FF57E4" w:rsidRPr="00501D92">
        <w:rPr>
          <w:sz w:val="20"/>
        </w:rPr>
        <w:t>Memorandum Opinion and Order and Notice of Apparent Liability for F</w:t>
      </w:r>
      <w:r w:rsidR="0017216F">
        <w:rPr>
          <w:sz w:val="20"/>
        </w:rPr>
        <w:t>orfeiture, 30 FCC Rcd 2205, 2208, para. 10</w:t>
      </w:r>
      <w:r w:rsidR="00FF57E4" w:rsidRPr="00501D92">
        <w:rPr>
          <w:sz w:val="20"/>
        </w:rPr>
        <w:t xml:space="preserve"> (MB 2015)</w:t>
      </w:r>
      <w:r w:rsidR="00FF57E4" w:rsidRPr="00501D92">
        <w:rPr>
          <w:i/>
          <w:sz w:val="20"/>
        </w:rPr>
        <w:t xml:space="preserve"> </w:t>
      </w:r>
      <w:r w:rsidR="00FF57E4" w:rsidRPr="00501D92">
        <w:rPr>
          <w:sz w:val="20"/>
        </w:rPr>
        <w:t>(</w:t>
      </w:r>
      <w:r w:rsidR="00FF57E4" w:rsidRPr="00501D92">
        <w:rPr>
          <w:i/>
          <w:sz w:val="20"/>
        </w:rPr>
        <w:t>NAL</w:t>
      </w:r>
      <w:r w:rsidR="00FF57E4" w:rsidRPr="00501D92">
        <w:rPr>
          <w:sz w:val="20"/>
        </w:rPr>
        <w:t>).</w:t>
      </w:r>
    </w:p>
  </w:footnote>
  <w:footnote w:id="5">
    <w:p w14:paraId="0EEC13EB" w14:textId="5EC6C493" w:rsidR="00571B20" w:rsidRPr="00571B20" w:rsidRDefault="00571B20" w:rsidP="00E23263">
      <w:pPr>
        <w:pStyle w:val="FootnoteText"/>
        <w:jc w:val="left"/>
        <w:rPr>
          <w:sz w:val="20"/>
        </w:rPr>
      </w:pPr>
      <w:r w:rsidRPr="00571B20">
        <w:rPr>
          <w:rStyle w:val="FootnoteReference"/>
          <w:sz w:val="20"/>
        </w:rPr>
        <w:footnoteRef/>
      </w:r>
      <w:r w:rsidRPr="00571B20">
        <w:rPr>
          <w:sz w:val="20"/>
        </w:rPr>
        <w:t xml:space="preserve"> Peconic titled the Response “Petition for Reconsideration,” but the </w:t>
      </w:r>
      <w:r w:rsidRPr="00571B20">
        <w:rPr>
          <w:i/>
          <w:sz w:val="20"/>
        </w:rPr>
        <w:t>NAL</w:t>
      </w:r>
      <w:r w:rsidRPr="00571B20">
        <w:rPr>
          <w:sz w:val="20"/>
        </w:rPr>
        <w:t xml:space="preserve"> invited a response, and </w:t>
      </w:r>
      <w:r w:rsidR="00002A5A">
        <w:rPr>
          <w:sz w:val="20"/>
        </w:rPr>
        <w:t xml:space="preserve">the Bureau </w:t>
      </w:r>
      <w:r w:rsidRPr="00571B20">
        <w:rPr>
          <w:sz w:val="20"/>
        </w:rPr>
        <w:t>treat</w:t>
      </w:r>
      <w:r w:rsidR="00002A5A">
        <w:rPr>
          <w:sz w:val="20"/>
        </w:rPr>
        <w:t>ed</w:t>
      </w:r>
      <w:r w:rsidRPr="00571B20">
        <w:rPr>
          <w:sz w:val="20"/>
        </w:rPr>
        <w:t xml:space="preserve"> it as such.</w:t>
      </w:r>
    </w:p>
  </w:footnote>
  <w:footnote w:id="6">
    <w:p w14:paraId="54CC86A9" w14:textId="07787709" w:rsidR="00A0767C" w:rsidRPr="00501D92" w:rsidRDefault="00A0767C" w:rsidP="00E23263">
      <w:pPr>
        <w:pStyle w:val="FootnoteText"/>
        <w:jc w:val="left"/>
        <w:rPr>
          <w:sz w:val="20"/>
        </w:rPr>
      </w:pPr>
      <w:r w:rsidRPr="00501D92">
        <w:rPr>
          <w:rStyle w:val="FootnoteReference"/>
          <w:sz w:val="20"/>
        </w:rPr>
        <w:footnoteRef/>
      </w:r>
      <w:r w:rsidR="003E238F">
        <w:rPr>
          <w:sz w:val="20"/>
        </w:rPr>
        <w:t xml:space="preserve"> </w:t>
      </w:r>
      <w:r w:rsidR="00571B20">
        <w:rPr>
          <w:sz w:val="20"/>
        </w:rPr>
        <w:t>Response</w:t>
      </w:r>
      <w:r w:rsidRPr="00501D92">
        <w:rPr>
          <w:sz w:val="20"/>
        </w:rPr>
        <w:t xml:space="preserve"> at 2</w:t>
      </w:r>
      <w:r w:rsidR="00902881">
        <w:rPr>
          <w:sz w:val="20"/>
        </w:rPr>
        <w:t xml:space="preserve"> </w:t>
      </w:r>
      <w:r w:rsidR="00902881" w:rsidRPr="003E238F">
        <w:rPr>
          <w:sz w:val="20"/>
        </w:rPr>
        <w:t>citing</w:t>
      </w:r>
      <w:r w:rsidR="00902881">
        <w:rPr>
          <w:i/>
          <w:sz w:val="20"/>
        </w:rPr>
        <w:t xml:space="preserve"> KSCT-TV v. FCC</w:t>
      </w:r>
      <w:r w:rsidR="003E238F">
        <w:rPr>
          <w:sz w:val="20"/>
        </w:rPr>
        <w:t>, 699 F.2d 1185 (D.C. Cir. 1983) (</w:t>
      </w:r>
      <w:r w:rsidR="003E238F">
        <w:rPr>
          <w:i/>
          <w:sz w:val="20"/>
        </w:rPr>
        <w:t>KSCT-TV</w:t>
      </w:r>
      <w:r w:rsidR="003E238F">
        <w:rPr>
          <w:sz w:val="20"/>
        </w:rPr>
        <w:t>).</w:t>
      </w:r>
      <w:r w:rsidRPr="00501D92">
        <w:rPr>
          <w:sz w:val="20"/>
        </w:rPr>
        <w:t xml:space="preserve"> </w:t>
      </w:r>
    </w:p>
  </w:footnote>
  <w:footnote w:id="7">
    <w:p w14:paraId="4556EB0B" w14:textId="77777777" w:rsidR="00A0767C" w:rsidRPr="000749AD" w:rsidRDefault="00A0767C" w:rsidP="00E23263">
      <w:pPr>
        <w:pStyle w:val="FootnoteText"/>
        <w:jc w:val="left"/>
        <w:rPr>
          <w:sz w:val="20"/>
        </w:rPr>
      </w:pPr>
      <w:r w:rsidRPr="00501D92">
        <w:rPr>
          <w:rStyle w:val="FootnoteReference"/>
          <w:sz w:val="20"/>
        </w:rPr>
        <w:footnoteRef/>
      </w:r>
      <w:r w:rsidRPr="00501D92">
        <w:rPr>
          <w:sz w:val="20"/>
        </w:rPr>
        <w:t xml:space="preserve"> </w:t>
      </w:r>
      <w:r w:rsidRPr="00501D92">
        <w:rPr>
          <w:i/>
          <w:sz w:val="20"/>
        </w:rPr>
        <w:t>Id</w:t>
      </w:r>
      <w:r w:rsidRPr="00501D92">
        <w:rPr>
          <w:sz w:val="20"/>
        </w:rPr>
        <w:t>.</w:t>
      </w:r>
    </w:p>
  </w:footnote>
  <w:footnote w:id="8">
    <w:p w14:paraId="3283E32F" w14:textId="77777777" w:rsidR="00A0767C" w:rsidRPr="00E23263" w:rsidRDefault="00A0767C" w:rsidP="00E23263">
      <w:pPr>
        <w:pStyle w:val="FootnoteText"/>
        <w:jc w:val="left"/>
        <w:rPr>
          <w:sz w:val="20"/>
        </w:rPr>
      </w:pPr>
      <w:r w:rsidRPr="00E23263">
        <w:rPr>
          <w:rStyle w:val="FootnoteReference"/>
          <w:sz w:val="20"/>
        </w:rPr>
        <w:footnoteRef/>
      </w:r>
      <w:r w:rsidRPr="00E23263">
        <w:rPr>
          <w:sz w:val="20"/>
        </w:rPr>
        <w:t xml:space="preserve"> </w:t>
      </w:r>
      <w:r w:rsidRPr="00E23263">
        <w:rPr>
          <w:i/>
          <w:sz w:val="20"/>
        </w:rPr>
        <w:t>Id.</w:t>
      </w:r>
      <w:r w:rsidRPr="00E23263">
        <w:rPr>
          <w:sz w:val="20"/>
        </w:rPr>
        <w:t xml:space="preserve"> at 3.</w:t>
      </w:r>
    </w:p>
  </w:footnote>
  <w:footnote w:id="9">
    <w:p w14:paraId="46807E8E" w14:textId="07007C88"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w:t>
      </w:r>
      <w:r w:rsidR="006F285D" w:rsidRPr="00E23263">
        <w:rPr>
          <w:i/>
          <w:sz w:val="20"/>
        </w:rPr>
        <w:t>Forfeiture Order</w:t>
      </w:r>
      <w:r w:rsidR="006F285D" w:rsidRPr="00E23263">
        <w:rPr>
          <w:sz w:val="20"/>
        </w:rPr>
        <w:t xml:space="preserve">, </w:t>
      </w:r>
      <w:r w:rsidR="00621A59">
        <w:rPr>
          <w:sz w:val="20"/>
        </w:rPr>
        <w:t xml:space="preserve">31 FCC Rcd </w:t>
      </w:r>
      <w:r w:rsidR="006F285D" w:rsidRPr="00E23263">
        <w:rPr>
          <w:sz w:val="20"/>
        </w:rPr>
        <w:t>at</w:t>
      </w:r>
      <w:r w:rsidRPr="00E23263">
        <w:rPr>
          <w:sz w:val="20"/>
        </w:rPr>
        <w:t xml:space="preserve"> </w:t>
      </w:r>
      <w:r w:rsidR="00B2624F" w:rsidRPr="00E23263">
        <w:rPr>
          <w:sz w:val="20"/>
        </w:rPr>
        <w:t>1905</w:t>
      </w:r>
      <w:r w:rsidR="006F285D" w:rsidRPr="00E23263">
        <w:rPr>
          <w:sz w:val="20"/>
        </w:rPr>
        <w:t>, para. 4</w:t>
      </w:r>
      <w:r w:rsidR="00D61B7C">
        <w:rPr>
          <w:sz w:val="20"/>
        </w:rPr>
        <w:t>.</w:t>
      </w:r>
    </w:p>
  </w:footnote>
  <w:footnote w:id="10">
    <w:p w14:paraId="4A83F18A" w14:textId="77777777"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w:t>
      </w:r>
      <w:r w:rsidRPr="00E23263">
        <w:rPr>
          <w:i/>
          <w:sz w:val="20"/>
        </w:rPr>
        <w:t>Id.</w:t>
      </w:r>
      <w:r w:rsidRPr="00E23263">
        <w:rPr>
          <w:sz w:val="20"/>
        </w:rPr>
        <w:t xml:space="preserve"> at </w:t>
      </w:r>
      <w:r w:rsidR="00B2624F" w:rsidRPr="00E23263">
        <w:rPr>
          <w:sz w:val="20"/>
        </w:rPr>
        <w:t>1906</w:t>
      </w:r>
      <w:r w:rsidRPr="00E23263">
        <w:rPr>
          <w:sz w:val="20"/>
        </w:rPr>
        <w:t>, para. 6.</w:t>
      </w:r>
    </w:p>
  </w:footnote>
  <w:footnote w:id="11">
    <w:p w14:paraId="42D620D0" w14:textId="77777777"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w:t>
      </w:r>
      <w:r w:rsidRPr="00E23263">
        <w:rPr>
          <w:i/>
          <w:sz w:val="20"/>
        </w:rPr>
        <w:t xml:space="preserve">Id. </w:t>
      </w:r>
      <w:r w:rsidRPr="00E23263">
        <w:rPr>
          <w:sz w:val="20"/>
        </w:rPr>
        <w:t>at</w:t>
      </w:r>
      <w:r w:rsidR="00B2624F" w:rsidRPr="00E23263">
        <w:rPr>
          <w:sz w:val="20"/>
        </w:rPr>
        <w:t xml:space="preserve"> 1906</w:t>
      </w:r>
      <w:r w:rsidRPr="00E23263">
        <w:rPr>
          <w:sz w:val="20"/>
        </w:rPr>
        <w:t>, para. 7.</w:t>
      </w:r>
    </w:p>
  </w:footnote>
  <w:footnote w:id="12">
    <w:p w14:paraId="2BB591B2" w14:textId="34A04E58"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w:t>
      </w:r>
      <w:r w:rsidRPr="00E23263">
        <w:rPr>
          <w:i/>
          <w:sz w:val="20"/>
        </w:rPr>
        <w:t xml:space="preserve">Id. </w:t>
      </w:r>
      <w:r w:rsidRPr="00E23263">
        <w:rPr>
          <w:sz w:val="20"/>
        </w:rPr>
        <w:t xml:space="preserve">at </w:t>
      </w:r>
      <w:r w:rsidR="00B2624F" w:rsidRPr="00E23263">
        <w:rPr>
          <w:sz w:val="20"/>
        </w:rPr>
        <w:t>1903</w:t>
      </w:r>
      <w:r w:rsidR="006D17A4">
        <w:rPr>
          <w:sz w:val="20"/>
        </w:rPr>
        <w:t>,</w:t>
      </w:r>
      <w:r w:rsidRPr="00E23263">
        <w:rPr>
          <w:sz w:val="20"/>
        </w:rPr>
        <w:t xml:space="preserve"> para. 5</w:t>
      </w:r>
      <w:r w:rsidR="006D17A4">
        <w:rPr>
          <w:sz w:val="20"/>
        </w:rPr>
        <w:t>.</w:t>
      </w:r>
      <w:r w:rsidRPr="00E23263">
        <w:rPr>
          <w:sz w:val="20"/>
        </w:rPr>
        <w:t xml:space="preserve"> </w:t>
      </w:r>
    </w:p>
  </w:footnote>
  <w:footnote w:id="13">
    <w:p w14:paraId="6FA3341A" w14:textId="7EB130C6" w:rsidR="00B2624F" w:rsidRPr="00E23263" w:rsidRDefault="00B2624F" w:rsidP="00982722">
      <w:pPr>
        <w:pStyle w:val="FootnoteText"/>
        <w:jc w:val="left"/>
        <w:rPr>
          <w:sz w:val="20"/>
        </w:rPr>
      </w:pPr>
      <w:r w:rsidRPr="00E23263">
        <w:rPr>
          <w:rStyle w:val="FootnoteReference"/>
          <w:sz w:val="20"/>
        </w:rPr>
        <w:footnoteRef/>
      </w:r>
      <w:r w:rsidRPr="00E23263">
        <w:rPr>
          <w:sz w:val="20"/>
        </w:rPr>
        <w:t xml:space="preserve"> </w:t>
      </w:r>
      <w:r w:rsidRPr="00E23263">
        <w:rPr>
          <w:i/>
          <w:sz w:val="20"/>
        </w:rPr>
        <w:t>William Penn Univ.</w:t>
      </w:r>
      <w:r w:rsidRPr="00E23263">
        <w:rPr>
          <w:sz w:val="20"/>
        </w:rPr>
        <w:t>, Policy Statement and Order, 28 FCC Rcd 6932, 6939</w:t>
      </w:r>
      <w:r w:rsidR="00BD68C1">
        <w:rPr>
          <w:sz w:val="20"/>
        </w:rPr>
        <w:t>, para. 14</w:t>
      </w:r>
      <w:r w:rsidRPr="00E23263">
        <w:rPr>
          <w:sz w:val="20"/>
        </w:rPr>
        <w:t xml:space="preserve"> (MB 2013)</w:t>
      </w:r>
      <w:r w:rsidR="001C0E43" w:rsidRPr="00E23263">
        <w:rPr>
          <w:sz w:val="20"/>
        </w:rPr>
        <w:t xml:space="preserve"> (</w:t>
      </w:r>
      <w:r w:rsidR="001C0E43" w:rsidRPr="00E23263">
        <w:rPr>
          <w:i/>
          <w:sz w:val="20"/>
        </w:rPr>
        <w:t>William Penn</w:t>
      </w:r>
      <w:r w:rsidR="001C0E43" w:rsidRPr="00E23263">
        <w:rPr>
          <w:sz w:val="20"/>
        </w:rPr>
        <w:t>).</w:t>
      </w:r>
    </w:p>
  </w:footnote>
  <w:footnote w:id="14">
    <w:p w14:paraId="745341AC" w14:textId="2673A364" w:rsidR="00C86FD8" w:rsidRPr="00E23263" w:rsidRDefault="00C86FD8" w:rsidP="00982722">
      <w:pPr>
        <w:pStyle w:val="FootnoteText"/>
        <w:jc w:val="left"/>
        <w:rPr>
          <w:sz w:val="20"/>
        </w:rPr>
      </w:pPr>
      <w:r w:rsidRPr="00E23263">
        <w:rPr>
          <w:rStyle w:val="FootnoteReference"/>
          <w:sz w:val="20"/>
        </w:rPr>
        <w:footnoteRef/>
      </w:r>
      <w:r w:rsidRPr="00E23263">
        <w:rPr>
          <w:sz w:val="20"/>
        </w:rPr>
        <w:t xml:space="preserve"> Petition at 2.</w:t>
      </w:r>
    </w:p>
  </w:footnote>
  <w:footnote w:id="15">
    <w:p w14:paraId="7A83FC5F" w14:textId="1549FB43" w:rsidR="0060037C" w:rsidRPr="0060037C" w:rsidRDefault="0060037C" w:rsidP="00982722">
      <w:pPr>
        <w:pStyle w:val="FootnoteText"/>
        <w:jc w:val="left"/>
        <w:rPr>
          <w:sz w:val="20"/>
        </w:rPr>
      </w:pPr>
      <w:r w:rsidRPr="0060037C">
        <w:rPr>
          <w:rStyle w:val="FootnoteReference"/>
          <w:sz w:val="20"/>
        </w:rPr>
        <w:footnoteRef/>
      </w:r>
      <w:r w:rsidRPr="0060037C">
        <w:rPr>
          <w:sz w:val="20"/>
        </w:rPr>
        <w:t xml:space="preserve"> </w:t>
      </w:r>
      <w:r w:rsidR="00C44114">
        <w:rPr>
          <w:i/>
          <w:sz w:val="20"/>
        </w:rPr>
        <w:t>See id.</w:t>
      </w:r>
      <w:r>
        <w:rPr>
          <w:sz w:val="20"/>
        </w:rPr>
        <w:t xml:space="preserve"> at 3.</w:t>
      </w:r>
    </w:p>
  </w:footnote>
  <w:footnote w:id="16">
    <w:p w14:paraId="6312AC80" w14:textId="6F2E4C9B"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47 CFR § 1.80</w:t>
      </w:r>
      <w:r w:rsidR="00C44114">
        <w:rPr>
          <w:sz w:val="20"/>
        </w:rPr>
        <w:t>(b)</w:t>
      </w:r>
      <w:r w:rsidRPr="00E23263">
        <w:rPr>
          <w:sz w:val="20"/>
        </w:rPr>
        <w:t>(8) (factors considered in determining the amount of the forfeiture penalty)</w:t>
      </w:r>
      <w:r w:rsidR="004B3ECF" w:rsidRPr="00E23263">
        <w:rPr>
          <w:sz w:val="20"/>
        </w:rPr>
        <w:t>.</w:t>
      </w:r>
    </w:p>
  </w:footnote>
  <w:footnote w:id="17">
    <w:p w14:paraId="5E70896F" w14:textId="57DBD1C8" w:rsidR="00A0767C" w:rsidRPr="00E23263" w:rsidRDefault="00A0767C" w:rsidP="00982722">
      <w:pPr>
        <w:pStyle w:val="FootnoteText"/>
        <w:jc w:val="left"/>
        <w:rPr>
          <w:sz w:val="20"/>
        </w:rPr>
      </w:pPr>
      <w:r w:rsidRPr="00E23263">
        <w:rPr>
          <w:rStyle w:val="FootnoteReference"/>
          <w:sz w:val="20"/>
        </w:rPr>
        <w:footnoteRef/>
      </w:r>
      <w:r w:rsidRPr="00E23263">
        <w:rPr>
          <w:sz w:val="20"/>
        </w:rPr>
        <w:t xml:space="preserve"> </w:t>
      </w:r>
      <w:r w:rsidR="00C82ADB" w:rsidRPr="00E23263">
        <w:rPr>
          <w:sz w:val="20"/>
        </w:rPr>
        <w:t>47 CFR § 1.106(c) (referencing 47 CFR § 1.106(b)(2))</w:t>
      </w:r>
      <w:r w:rsidR="006110BE">
        <w:rPr>
          <w:sz w:val="20"/>
        </w:rPr>
        <w:t xml:space="preserve">. </w:t>
      </w:r>
    </w:p>
  </w:footnote>
  <w:footnote w:id="18">
    <w:p w14:paraId="5FBC7039" w14:textId="64149893" w:rsidR="00DA6BD7" w:rsidRPr="00482630" w:rsidRDefault="00DA6BD7" w:rsidP="00982722">
      <w:pPr>
        <w:pStyle w:val="FootnoteText"/>
        <w:jc w:val="left"/>
        <w:rPr>
          <w:sz w:val="20"/>
        </w:rPr>
      </w:pPr>
      <w:r w:rsidRPr="00482630">
        <w:rPr>
          <w:rStyle w:val="FootnoteReference"/>
          <w:sz w:val="20"/>
        </w:rPr>
        <w:footnoteRef/>
      </w:r>
      <w:r w:rsidRPr="00482630">
        <w:rPr>
          <w:sz w:val="20"/>
        </w:rPr>
        <w:t xml:space="preserve"> </w:t>
      </w:r>
      <w:r w:rsidRPr="00DB3704">
        <w:rPr>
          <w:sz w:val="20"/>
        </w:rPr>
        <w:t>Peconic states that “basing forfeitures on gross revenues has a disparate impact on small public broadcasters such as PPB” because “such broadcasters frequently operate without significant reserves or access to adequate credit resources</w:t>
      </w:r>
      <w:r w:rsidR="006110BE" w:rsidRPr="00DB3704">
        <w:rPr>
          <w:sz w:val="20"/>
        </w:rPr>
        <w:t>.</w:t>
      </w:r>
      <w:r w:rsidRPr="00DB3704">
        <w:rPr>
          <w:sz w:val="20"/>
        </w:rPr>
        <w:t xml:space="preserve">” </w:t>
      </w:r>
      <w:r w:rsidR="006110BE" w:rsidRPr="00DB3704">
        <w:rPr>
          <w:sz w:val="20"/>
        </w:rPr>
        <w:t xml:space="preserve">Petition at 2.  </w:t>
      </w:r>
      <w:r w:rsidRPr="00DB3704">
        <w:rPr>
          <w:sz w:val="20"/>
        </w:rPr>
        <w:t>Peconic</w:t>
      </w:r>
      <w:r w:rsidR="006110BE" w:rsidRPr="00DB3704">
        <w:rPr>
          <w:sz w:val="20"/>
        </w:rPr>
        <w:t>, however,</w:t>
      </w:r>
      <w:r w:rsidRPr="00DB3704">
        <w:rPr>
          <w:sz w:val="20"/>
        </w:rPr>
        <w:t xml:space="preserve"> never claims </w:t>
      </w:r>
      <w:r w:rsidR="00C71E4A" w:rsidRPr="00DB3704">
        <w:rPr>
          <w:sz w:val="20"/>
        </w:rPr>
        <w:t>that i</w:t>
      </w:r>
      <w:r w:rsidR="004B1435" w:rsidRPr="00DB3704">
        <w:rPr>
          <w:sz w:val="20"/>
        </w:rPr>
        <w:t>t</w:t>
      </w:r>
      <w:r w:rsidR="00C71E4A" w:rsidRPr="00DB3704">
        <w:rPr>
          <w:sz w:val="20"/>
        </w:rPr>
        <w:t xml:space="preserve"> was </w:t>
      </w:r>
      <w:r w:rsidRPr="00DB3704">
        <w:rPr>
          <w:sz w:val="20"/>
        </w:rPr>
        <w:t>actually unable to pay the forfeiture or actually lack</w:t>
      </w:r>
      <w:r w:rsidR="00C71E4A" w:rsidRPr="00DB3704">
        <w:rPr>
          <w:sz w:val="20"/>
        </w:rPr>
        <w:t>s</w:t>
      </w:r>
      <w:r w:rsidRPr="00DB3704">
        <w:rPr>
          <w:sz w:val="20"/>
        </w:rPr>
        <w:t xml:space="preserve"> reserves and access to credit.</w:t>
      </w:r>
      <w:r w:rsidR="00F074E1" w:rsidRPr="00DB3704">
        <w:rPr>
          <w:sz w:val="20"/>
        </w:rPr>
        <w:t xml:space="preserve">  </w:t>
      </w:r>
      <w:r w:rsidR="00F074E1" w:rsidRPr="00482630">
        <w:rPr>
          <w:sz w:val="20"/>
        </w:rPr>
        <w:t xml:space="preserve">Peconic’s argument also mischaracterizes </w:t>
      </w:r>
      <w:r w:rsidR="007013F2">
        <w:rPr>
          <w:sz w:val="20"/>
        </w:rPr>
        <w:t xml:space="preserve">the </w:t>
      </w:r>
      <w:r w:rsidR="007013F2" w:rsidRPr="00DB3704">
        <w:rPr>
          <w:i/>
          <w:sz w:val="20"/>
        </w:rPr>
        <w:t>Forfeiture Order’s</w:t>
      </w:r>
      <w:r w:rsidR="007013F2">
        <w:rPr>
          <w:sz w:val="20"/>
        </w:rPr>
        <w:t xml:space="preserve"> reliance on </w:t>
      </w:r>
      <w:r w:rsidR="00F074E1" w:rsidRPr="00482630">
        <w:rPr>
          <w:i/>
          <w:sz w:val="20"/>
        </w:rPr>
        <w:t>PJB Communications</w:t>
      </w:r>
      <w:r w:rsidR="007013F2">
        <w:rPr>
          <w:sz w:val="20"/>
        </w:rPr>
        <w:t xml:space="preserve">, incorrectly alleging the case was cited </w:t>
      </w:r>
      <w:r w:rsidR="00F074E1" w:rsidRPr="00482630">
        <w:rPr>
          <w:sz w:val="20"/>
        </w:rPr>
        <w:t xml:space="preserve">“to support [the Commission’s] adoption of a strict standard for the ability to pay” based on gross revenues.  Petition at 1.  In </w:t>
      </w:r>
      <w:r w:rsidR="007013F2">
        <w:rPr>
          <w:sz w:val="20"/>
        </w:rPr>
        <w:t>fact</w:t>
      </w:r>
      <w:r w:rsidR="00F074E1" w:rsidRPr="00482630">
        <w:rPr>
          <w:sz w:val="20"/>
        </w:rPr>
        <w:t xml:space="preserve">, </w:t>
      </w:r>
      <w:r w:rsidR="00F074E1" w:rsidRPr="00482630">
        <w:rPr>
          <w:i/>
          <w:sz w:val="20"/>
        </w:rPr>
        <w:t>PJB Communications</w:t>
      </w:r>
      <w:r w:rsidR="00F074E1" w:rsidRPr="00482630">
        <w:rPr>
          <w:sz w:val="20"/>
        </w:rPr>
        <w:t xml:space="preserve"> was cited to explain that willful violations can be the result of inadvertent error, making no mention of gross revenues.  </w:t>
      </w:r>
      <w:r w:rsidR="00F074E1" w:rsidRPr="00482630">
        <w:rPr>
          <w:i/>
          <w:sz w:val="20"/>
        </w:rPr>
        <w:t>Forfeiture Order</w:t>
      </w:r>
      <w:r w:rsidR="00621A59">
        <w:rPr>
          <w:sz w:val="20"/>
        </w:rPr>
        <w:t>, 31 FCC Rcd</w:t>
      </w:r>
      <w:r w:rsidR="00F074E1" w:rsidRPr="00482630">
        <w:rPr>
          <w:sz w:val="20"/>
        </w:rPr>
        <w:t xml:space="preserve"> at 1906, para. 6 &amp; n.19.  </w:t>
      </w:r>
      <w:r w:rsidR="003238F1" w:rsidRPr="00482630">
        <w:rPr>
          <w:sz w:val="20"/>
        </w:rPr>
        <w:t xml:space="preserve">  </w:t>
      </w:r>
    </w:p>
  </w:footnote>
  <w:footnote w:id="19">
    <w:p w14:paraId="1E55467C" w14:textId="47A92D63" w:rsidR="00CE6778" w:rsidRPr="00482630" w:rsidRDefault="00A0767C" w:rsidP="00482630">
      <w:pPr>
        <w:pStyle w:val="FootnoteText"/>
        <w:jc w:val="left"/>
        <w:rPr>
          <w:i/>
          <w:sz w:val="20"/>
        </w:rPr>
      </w:pPr>
      <w:r w:rsidRPr="00482630">
        <w:rPr>
          <w:rStyle w:val="FootnoteReference"/>
          <w:sz w:val="20"/>
        </w:rPr>
        <w:footnoteRef/>
      </w:r>
      <w:r w:rsidRPr="00482630">
        <w:rPr>
          <w:sz w:val="20"/>
        </w:rPr>
        <w:t xml:space="preserve"> </w:t>
      </w:r>
      <w:r w:rsidR="00A6416F">
        <w:rPr>
          <w:i/>
          <w:sz w:val="20"/>
        </w:rPr>
        <w:t>S</w:t>
      </w:r>
      <w:r w:rsidR="00C82ADB" w:rsidRPr="00482630">
        <w:rPr>
          <w:i/>
          <w:sz w:val="20"/>
        </w:rPr>
        <w:t>ee</w:t>
      </w:r>
      <w:r w:rsidR="00C82ADB" w:rsidRPr="00482630">
        <w:rPr>
          <w:sz w:val="20"/>
        </w:rPr>
        <w:t xml:space="preserve">, </w:t>
      </w:r>
      <w:r w:rsidR="00C82ADB" w:rsidRPr="00482630">
        <w:rPr>
          <w:i/>
          <w:sz w:val="20"/>
        </w:rPr>
        <w:t xml:space="preserve">e.g., </w:t>
      </w:r>
      <w:r w:rsidR="005A1AE4" w:rsidRPr="00482630">
        <w:rPr>
          <w:i/>
          <w:sz w:val="20"/>
        </w:rPr>
        <w:t>Lake City Lighthouse, Inc.</w:t>
      </w:r>
      <w:r w:rsidR="005A1AE4" w:rsidRPr="00482630">
        <w:rPr>
          <w:sz w:val="20"/>
        </w:rPr>
        <w:t>, Letter Order, 28 FCC Rcd 411 (MB 2013) (</w:t>
      </w:r>
      <w:r w:rsidR="00D75755" w:rsidRPr="00482630">
        <w:rPr>
          <w:sz w:val="20"/>
        </w:rPr>
        <w:t>dismissing</w:t>
      </w:r>
      <w:r w:rsidR="005A1AE4" w:rsidRPr="00482630">
        <w:rPr>
          <w:sz w:val="20"/>
        </w:rPr>
        <w:t xml:space="preserve"> petition for reconsider</w:t>
      </w:r>
      <w:r w:rsidR="00D75755" w:rsidRPr="00482630">
        <w:rPr>
          <w:sz w:val="20"/>
        </w:rPr>
        <w:t>ation that raised arguments which</w:t>
      </w:r>
      <w:r w:rsidR="005A1AE4" w:rsidRPr="00482630">
        <w:rPr>
          <w:sz w:val="20"/>
        </w:rPr>
        <w:t xml:space="preserve"> could have been raised earlier); </w:t>
      </w:r>
      <w:r w:rsidR="005A1AE4" w:rsidRPr="00482630">
        <w:rPr>
          <w:i/>
          <w:sz w:val="20"/>
        </w:rPr>
        <w:t>CCBL Broadcasting Licenses</w:t>
      </w:r>
      <w:r w:rsidR="002D165F">
        <w:rPr>
          <w:sz w:val="20"/>
        </w:rPr>
        <w:t>,</w:t>
      </w:r>
      <w:r w:rsidR="002D165F">
        <w:rPr>
          <w:i/>
          <w:sz w:val="20"/>
        </w:rPr>
        <w:t xml:space="preserve"> </w:t>
      </w:r>
      <w:r w:rsidR="005A1AE4" w:rsidRPr="00482630">
        <w:rPr>
          <w:sz w:val="20"/>
        </w:rPr>
        <w:t>23 FCC Rcd 4526, Letter Order (MB 2008) (same).</w:t>
      </w:r>
      <w:r w:rsidR="005A1AE4" w:rsidRPr="00482630">
        <w:rPr>
          <w:i/>
          <w:sz w:val="20"/>
        </w:rPr>
        <w:t xml:space="preserve"> </w:t>
      </w:r>
    </w:p>
  </w:footnote>
  <w:footnote w:id="20">
    <w:p w14:paraId="50A39293" w14:textId="5361D3F0" w:rsidR="00A0767C" w:rsidRPr="00482630" w:rsidRDefault="00A0767C" w:rsidP="00482630">
      <w:pPr>
        <w:pStyle w:val="FootnoteText"/>
        <w:jc w:val="left"/>
        <w:rPr>
          <w:i/>
          <w:sz w:val="20"/>
        </w:rPr>
      </w:pPr>
      <w:r w:rsidRPr="00482630">
        <w:rPr>
          <w:rStyle w:val="FootnoteReference"/>
          <w:sz w:val="20"/>
        </w:rPr>
        <w:footnoteRef/>
      </w:r>
      <w:r w:rsidRPr="00482630">
        <w:rPr>
          <w:sz w:val="20"/>
        </w:rPr>
        <w:t xml:space="preserve"> </w:t>
      </w:r>
      <w:r w:rsidR="00E51EFA" w:rsidRPr="00482630">
        <w:rPr>
          <w:i/>
          <w:sz w:val="20"/>
        </w:rPr>
        <w:t>William Penn Univ.</w:t>
      </w:r>
      <w:r w:rsidR="00D75755" w:rsidRPr="00482630">
        <w:rPr>
          <w:sz w:val="20"/>
        </w:rPr>
        <w:t>, 28 FCC Rcd at</w:t>
      </w:r>
      <w:r w:rsidR="00E51EFA" w:rsidRPr="00482630">
        <w:rPr>
          <w:sz w:val="20"/>
        </w:rPr>
        <w:t xml:space="preserve"> 6939</w:t>
      </w:r>
      <w:r w:rsidR="00D75755" w:rsidRPr="00482630">
        <w:rPr>
          <w:sz w:val="20"/>
        </w:rPr>
        <w:t>.</w:t>
      </w:r>
      <w:r w:rsidRPr="00482630">
        <w:rPr>
          <w:sz w:val="20"/>
        </w:rPr>
        <w:t xml:space="preserve"> </w:t>
      </w:r>
    </w:p>
  </w:footnote>
  <w:footnote w:id="21">
    <w:p w14:paraId="2E3AE9D2" w14:textId="77777777" w:rsidR="0051030B" w:rsidRPr="00482630" w:rsidRDefault="0051030B" w:rsidP="00482630">
      <w:pPr>
        <w:pStyle w:val="FootnoteText"/>
        <w:jc w:val="left"/>
        <w:rPr>
          <w:sz w:val="20"/>
        </w:rPr>
      </w:pPr>
      <w:r w:rsidRPr="00482630">
        <w:rPr>
          <w:rStyle w:val="FootnoteReference"/>
          <w:sz w:val="20"/>
        </w:rPr>
        <w:footnoteRef/>
      </w:r>
      <w:r w:rsidRPr="00482630">
        <w:rPr>
          <w:sz w:val="20"/>
        </w:rPr>
        <w:t xml:space="preserve"> Petition at 2.</w:t>
      </w:r>
    </w:p>
  </w:footnote>
  <w:footnote w:id="22">
    <w:p w14:paraId="2528DDA8" w14:textId="6FF501DF" w:rsidR="00A0767C" w:rsidRPr="00482630" w:rsidRDefault="00A0767C" w:rsidP="00482630">
      <w:pPr>
        <w:pStyle w:val="FootnoteText"/>
        <w:jc w:val="left"/>
        <w:rPr>
          <w:sz w:val="20"/>
        </w:rPr>
      </w:pPr>
      <w:r w:rsidRPr="00482630">
        <w:rPr>
          <w:rStyle w:val="FootnoteReference"/>
          <w:sz w:val="20"/>
        </w:rPr>
        <w:footnoteRef/>
      </w:r>
      <w:r w:rsidRPr="00482630">
        <w:rPr>
          <w:sz w:val="20"/>
        </w:rPr>
        <w:t xml:space="preserve"> </w:t>
      </w:r>
      <w:r w:rsidR="00482630">
        <w:rPr>
          <w:i/>
          <w:sz w:val="20"/>
        </w:rPr>
        <w:t>William Penn Univ.</w:t>
      </w:r>
      <w:r w:rsidR="00482630">
        <w:rPr>
          <w:sz w:val="20"/>
        </w:rPr>
        <w:t>, 28 FCC Rcd</w:t>
      </w:r>
      <w:r w:rsidR="00621A59">
        <w:rPr>
          <w:sz w:val="20"/>
        </w:rPr>
        <w:t xml:space="preserve"> </w:t>
      </w:r>
      <w:r w:rsidR="00E51EFA" w:rsidRPr="00482630">
        <w:rPr>
          <w:sz w:val="20"/>
        </w:rPr>
        <w:t>at 6932</w:t>
      </w:r>
      <w:r w:rsidR="00FE376E" w:rsidRPr="00482630">
        <w:rPr>
          <w:sz w:val="20"/>
        </w:rPr>
        <w:t xml:space="preserve"> n.2</w:t>
      </w:r>
      <w:r w:rsidR="00E51EFA" w:rsidRPr="00482630">
        <w:rPr>
          <w:i/>
          <w:sz w:val="20"/>
        </w:rPr>
        <w:t xml:space="preserve"> </w:t>
      </w:r>
      <w:r w:rsidR="00E51EFA" w:rsidRPr="00482630">
        <w:rPr>
          <w:sz w:val="20"/>
        </w:rPr>
        <w:t>(e</w:t>
      </w:r>
      <w:r w:rsidRPr="00482630">
        <w:rPr>
          <w:sz w:val="20"/>
        </w:rPr>
        <w:t>mphasis added</w:t>
      </w:r>
      <w:r w:rsidR="00E51EFA" w:rsidRPr="00482630">
        <w:rPr>
          <w:sz w:val="20"/>
        </w:rPr>
        <w:t>).</w:t>
      </w:r>
    </w:p>
  </w:footnote>
  <w:footnote w:id="23">
    <w:p w14:paraId="2BCC2AA2" w14:textId="77777777" w:rsidR="00FE376E" w:rsidRPr="00482630" w:rsidRDefault="00FE376E" w:rsidP="00482630">
      <w:pPr>
        <w:pStyle w:val="FootnoteText"/>
        <w:jc w:val="left"/>
        <w:rPr>
          <w:sz w:val="20"/>
        </w:rPr>
      </w:pPr>
      <w:r w:rsidRPr="00482630">
        <w:rPr>
          <w:rStyle w:val="FootnoteReference"/>
          <w:sz w:val="20"/>
        </w:rPr>
        <w:footnoteRef/>
      </w:r>
      <w:r w:rsidRPr="00482630">
        <w:rPr>
          <w:sz w:val="20"/>
        </w:rPr>
        <w:t xml:space="preserve"> </w:t>
      </w:r>
      <w:r w:rsidRPr="00482630">
        <w:rPr>
          <w:i/>
          <w:sz w:val="20"/>
        </w:rPr>
        <w:t xml:space="preserve">Id. </w:t>
      </w:r>
      <w:r w:rsidRPr="00482630">
        <w:rPr>
          <w:sz w:val="20"/>
        </w:rPr>
        <w:t>at 6934.</w:t>
      </w:r>
    </w:p>
  </w:footnote>
  <w:footnote w:id="24">
    <w:p w14:paraId="4FEA22CC" w14:textId="2E6FD0A4" w:rsidR="00DF7827" w:rsidRPr="00482630" w:rsidRDefault="00DF7827" w:rsidP="00482630">
      <w:pPr>
        <w:pStyle w:val="FootnoteText"/>
        <w:jc w:val="left"/>
        <w:rPr>
          <w:sz w:val="20"/>
        </w:rPr>
      </w:pPr>
      <w:r w:rsidRPr="00482630">
        <w:rPr>
          <w:rStyle w:val="FootnoteReference"/>
          <w:sz w:val="20"/>
        </w:rPr>
        <w:footnoteRef/>
      </w:r>
      <w:r w:rsidRPr="00482630">
        <w:rPr>
          <w:sz w:val="20"/>
        </w:rPr>
        <w:t xml:space="preserve"> </w:t>
      </w:r>
      <w:r w:rsidR="00482630">
        <w:rPr>
          <w:i/>
          <w:sz w:val="20"/>
        </w:rPr>
        <w:t xml:space="preserve">See Id. </w:t>
      </w:r>
      <w:r w:rsidR="00482630" w:rsidRPr="00482630">
        <w:rPr>
          <w:sz w:val="20"/>
        </w:rPr>
        <w:t>at 6933, para. 3.</w:t>
      </w:r>
    </w:p>
  </w:footnote>
  <w:footnote w:id="25">
    <w:p w14:paraId="470BFFB7" w14:textId="30FF6B15" w:rsidR="00DF7827" w:rsidRPr="00482630" w:rsidRDefault="00DF7827" w:rsidP="00482630">
      <w:pPr>
        <w:pStyle w:val="FootnoteText"/>
        <w:jc w:val="left"/>
        <w:rPr>
          <w:sz w:val="20"/>
        </w:rPr>
      </w:pPr>
      <w:r w:rsidRPr="00482630">
        <w:rPr>
          <w:rStyle w:val="FootnoteReference"/>
          <w:sz w:val="20"/>
        </w:rPr>
        <w:footnoteRef/>
      </w:r>
      <w:r w:rsidRPr="00482630">
        <w:rPr>
          <w:sz w:val="20"/>
        </w:rPr>
        <w:t xml:space="preserve"> </w:t>
      </w:r>
      <w:r w:rsidR="00482630">
        <w:rPr>
          <w:i/>
          <w:sz w:val="20"/>
        </w:rPr>
        <w:t xml:space="preserve">See Id. </w:t>
      </w:r>
      <w:r w:rsidR="00482630">
        <w:rPr>
          <w:sz w:val="20"/>
        </w:rPr>
        <w:t>at 6936, para. 9.</w:t>
      </w:r>
    </w:p>
  </w:footnote>
  <w:footnote w:id="26">
    <w:p w14:paraId="1ABCD813" w14:textId="45DDAA8B" w:rsidR="00D74A8A" w:rsidRPr="00CD2092" w:rsidRDefault="00D74A8A" w:rsidP="00D74A8A">
      <w:pPr>
        <w:pStyle w:val="FootnoteText"/>
        <w:jc w:val="left"/>
        <w:rPr>
          <w:sz w:val="20"/>
        </w:rPr>
      </w:pPr>
      <w:r w:rsidRPr="00CD2092">
        <w:rPr>
          <w:rStyle w:val="FootnoteReference"/>
          <w:sz w:val="20"/>
        </w:rPr>
        <w:footnoteRef/>
      </w:r>
      <w:r w:rsidRPr="00CD2092">
        <w:rPr>
          <w:sz w:val="20"/>
        </w:rPr>
        <w:t xml:space="preserve"> At the time of that decision, </w:t>
      </w:r>
      <w:r w:rsidR="007013F2">
        <w:rPr>
          <w:sz w:val="20"/>
        </w:rPr>
        <w:t>fewer</w:t>
      </w:r>
      <w:r w:rsidRPr="00CD2092">
        <w:rPr>
          <w:sz w:val="20"/>
        </w:rPr>
        <w:t xml:space="preserve"> than 500 out of nearly 3,800 licensed NCE FM stations were entirely student-run.</w:t>
      </w:r>
    </w:p>
  </w:footnote>
  <w:footnote w:id="27">
    <w:p w14:paraId="59BA1A7B" w14:textId="77777777" w:rsidR="00D74A8A" w:rsidRPr="00CD2092" w:rsidRDefault="00D74A8A" w:rsidP="00D74A8A">
      <w:pPr>
        <w:pStyle w:val="FootnoteText"/>
        <w:jc w:val="left"/>
        <w:rPr>
          <w:sz w:val="20"/>
        </w:rPr>
      </w:pPr>
      <w:r w:rsidRPr="00CD2092">
        <w:rPr>
          <w:rStyle w:val="FootnoteReference"/>
          <w:sz w:val="20"/>
        </w:rPr>
        <w:footnoteRef/>
      </w:r>
      <w:r w:rsidRPr="00CD2092">
        <w:rPr>
          <w:sz w:val="20"/>
        </w:rPr>
        <w:t xml:space="preserve"> Response, Declaration of Peconic President Wallace A. Smith, at 5, para. 5 (declaring that, as a veteran broadcaster, Smith understands that the public file is one of the most important rules).</w:t>
      </w:r>
    </w:p>
  </w:footnote>
  <w:footnote w:id="28">
    <w:p w14:paraId="528C4FF5" w14:textId="2555B52F" w:rsidR="00FE376E" w:rsidRPr="00D22BC4" w:rsidRDefault="00FE376E" w:rsidP="002D165F">
      <w:pPr>
        <w:pStyle w:val="FootnoteText"/>
        <w:jc w:val="left"/>
        <w:rPr>
          <w:sz w:val="20"/>
        </w:rPr>
      </w:pPr>
      <w:r w:rsidRPr="00D22BC4">
        <w:rPr>
          <w:rStyle w:val="FootnoteReference"/>
          <w:sz w:val="20"/>
        </w:rPr>
        <w:footnoteRef/>
      </w:r>
      <w:r w:rsidRPr="00D22BC4">
        <w:rPr>
          <w:sz w:val="20"/>
        </w:rPr>
        <w:t xml:space="preserve"> </w:t>
      </w:r>
      <w:r w:rsidR="00621A59">
        <w:rPr>
          <w:i/>
          <w:sz w:val="20"/>
        </w:rPr>
        <w:t>William Penn Univ.</w:t>
      </w:r>
      <w:r w:rsidR="00621A59">
        <w:rPr>
          <w:sz w:val="20"/>
        </w:rPr>
        <w:t xml:space="preserve">, 28 FCC Rcd </w:t>
      </w:r>
      <w:r w:rsidR="00621A59" w:rsidRPr="00482630">
        <w:rPr>
          <w:sz w:val="20"/>
        </w:rPr>
        <w:t>at</w:t>
      </w:r>
      <w:r w:rsidRPr="00D22BC4">
        <w:rPr>
          <w:i/>
          <w:sz w:val="20"/>
        </w:rPr>
        <w:t xml:space="preserve"> </w:t>
      </w:r>
      <w:r w:rsidRPr="00D22BC4">
        <w:rPr>
          <w:sz w:val="20"/>
        </w:rPr>
        <w:t>6938</w:t>
      </w:r>
      <w:r w:rsidR="005A5B77" w:rsidRPr="00D22BC4">
        <w:rPr>
          <w:sz w:val="20"/>
        </w:rPr>
        <w:t>, para. 12</w:t>
      </w:r>
      <w:r w:rsidRPr="00D22BC4">
        <w:rPr>
          <w:sz w:val="20"/>
        </w:rPr>
        <w:t>.</w:t>
      </w:r>
    </w:p>
  </w:footnote>
  <w:footnote w:id="29">
    <w:p w14:paraId="73A892BD" w14:textId="77777777" w:rsidR="00D74A8A" w:rsidRPr="00D22BC4" w:rsidRDefault="00D74A8A" w:rsidP="002D165F">
      <w:pPr>
        <w:pStyle w:val="FootnoteText"/>
        <w:jc w:val="left"/>
        <w:rPr>
          <w:sz w:val="20"/>
        </w:rPr>
      </w:pPr>
      <w:r w:rsidRPr="00D22BC4">
        <w:rPr>
          <w:rStyle w:val="FootnoteReference"/>
          <w:sz w:val="20"/>
        </w:rPr>
        <w:footnoteRef/>
      </w:r>
      <w:r w:rsidRPr="00D22BC4">
        <w:rPr>
          <w:sz w:val="20"/>
        </w:rPr>
        <w:t xml:space="preserve"> </w:t>
      </w:r>
      <w:r w:rsidRPr="00D22BC4">
        <w:rPr>
          <w:i/>
          <w:sz w:val="20"/>
        </w:rPr>
        <w:t>See, e.g., Lincoln County School Dist.</w:t>
      </w:r>
      <w:r w:rsidRPr="00D22BC4">
        <w:rPr>
          <w:sz w:val="20"/>
        </w:rPr>
        <w:t xml:space="preserve">, Order and Consent Decree, 30 FCC Rcd 6925, 6928, para. 3 (MB 2015).  </w:t>
      </w:r>
    </w:p>
  </w:footnote>
  <w:footnote w:id="30">
    <w:p w14:paraId="787DE3AF" w14:textId="19748E9D" w:rsidR="004D4EE9" w:rsidRPr="00D22BC4" w:rsidRDefault="004D4EE9" w:rsidP="002D165F">
      <w:pPr>
        <w:pStyle w:val="FootnoteText"/>
        <w:jc w:val="left"/>
        <w:rPr>
          <w:sz w:val="20"/>
        </w:rPr>
      </w:pPr>
      <w:r w:rsidRPr="00D22BC4">
        <w:rPr>
          <w:rStyle w:val="FootnoteReference"/>
          <w:sz w:val="20"/>
        </w:rPr>
        <w:footnoteRef/>
      </w:r>
      <w:r w:rsidRPr="00D22BC4">
        <w:rPr>
          <w:sz w:val="20"/>
        </w:rPr>
        <w:t xml:space="preserve"> Section 503(b)(2)(E) indicates that, in determining the amount of a forfeiture penalty, the Commission “shall take into account the nature, circumstances, extent, and gravity of the violation and, with respect to the violator, the degree of culpability, any history of prior offenses, ability to pay, and such other matters as justice may require.” </w:t>
      </w:r>
    </w:p>
  </w:footnote>
  <w:footnote w:id="31">
    <w:p w14:paraId="508D2B0E" w14:textId="3AE70F97" w:rsidR="001255C8" w:rsidRPr="00D22BC4" w:rsidRDefault="001255C8" w:rsidP="002D165F">
      <w:pPr>
        <w:pStyle w:val="FootnoteText"/>
        <w:jc w:val="left"/>
        <w:rPr>
          <w:sz w:val="20"/>
        </w:rPr>
      </w:pPr>
      <w:r w:rsidRPr="00D22BC4">
        <w:rPr>
          <w:rStyle w:val="FootnoteReference"/>
          <w:sz w:val="20"/>
        </w:rPr>
        <w:footnoteRef/>
      </w:r>
      <w:r w:rsidRPr="00D22BC4">
        <w:rPr>
          <w:sz w:val="20"/>
        </w:rPr>
        <w:t xml:space="preserve"> Petition at 3.</w:t>
      </w:r>
    </w:p>
  </w:footnote>
  <w:footnote w:id="32">
    <w:p w14:paraId="6FB383C8" w14:textId="1B0D8F47" w:rsidR="004D4EE9" w:rsidRPr="00C339EA" w:rsidRDefault="004D4EE9" w:rsidP="00137ABE">
      <w:pPr>
        <w:pStyle w:val="FootnoteText"/>
        <w:jc w:val="left"/>
        <w:rPr>
          <w:sz w:val="20"/>
        </w:rPr>
      </w:pPr>
      <w:r w:rsidRPr="00D22BC4">
        <w:rPr>
          <w:rStyle w:val="FootnoteReference"/>
          <w:sz w:val="20"/>
        </w:rPr>
        <w:footnoteRef/>
      </w:r>
      <w:r w:rsidRPr="00D22BC4">
        <w:rPr>
          <w:sz w:val="20"/>
        </w:rPr>
        <w:t xml:space="preserve"> </w:t>
      </w:r>
      <w:r w:rsidRPr="00D22BC4">
        <w:rPr>
          <w:i/>
          <w:sz w:val="20"/>
        </w:rPr>
        <w:t>Se</w:t>
      </w:r>
      <w:r w:rsidR="00D22BC4">
        <w:rPr>
          <w:i/>
          <w:sz w:val="20"/>
        </w:rPr>
        <w:t>e</w:t>
      </w:r>
      <w:r w:rsidRPr="00D22BC4">
        <w:rPr>
          <w:i/>
          <w:sz w:val="20"/>
        </w:rPr>
        <w:t xml:space="preserve"> </w:t>
      </w:r>
      <w:r w:rsidR="002D165F">
        <w:rPr>
          <w:sz w:val="20"/>
        </w:rPr>
        <w:t>47 CFR § 1.80(b</w:t>
      </w:r>
      <w:r w:rsidRPr="00D22BC4">
        <w:rPr>
          <w:sz w:val="20"/>
        </w:rPr>
        <w:t>)(8)</w:t>
      </w:r>
      <w:r w:rsidR="00374A2E">
        <w:rPr>
          <w:sz w:val="20"/>
        </w:rPr>
        <w:t xml:space="preserve">.  </w:t>
      </w:r>
    </w:p>
  </w:footnote>
  <w:footnote w:id="33">
    <w:p w14:paraId="3686CF55" w14:textId="0002D3F4" w:rsidR="00A541B9" w:rsidRPr="00F92856" w:rsidRDefault="00A541B9" w:rsidP="002D165F">
      <w:pPr>
        <w:pStyle w:val="FootnoteText"/>
        <w:jc w:val="left"/>
      </w:pPr>
      <w:r w:rsidRPr="00D22BC4">
        <w:rPr>
          <w:rStyle w:val="FootnoteReference"/>
          <w:sz w:val="20"/>
        </w:rPr>
        <w:footnoteRef/>
      </w:r>
      <w:r w:rsidR="00D22BC4">
        <w:rPr>
          <w:sz w:val="20"/>
        </w:rPr>
        <w:t xml:space="preserve"> </w:t>
      </w:r>
      <w:r w:rsidR="00F92856">
        <w:rPr>
          <w:sz w:val="20"/>
        </w:rPr>
        <w:t xml:space="preserve">See </w:t>
      </w:r>
      <w:r w:rsidR="00D22BC4">
        <w:rPr>
          <w:sz w:val="20"/>
        </w:rPr>
        <w:t>Federal Communications Commission, Forfeiture Proceedings, 62 Fed. Reg. 43474, 43475, para. 5 (</w:t>
      </w:r>
      <w:r w:rsidR="008B4B51">
        <w:rPr>
          <w:sz w:val="20"/>
        </w:rPr>
        <w:t>July 28, 1997) (</w:t>
      </w:r>
      <w:r w:rsidR="008B4B51" w:rsidRPr="00F7273F">
        <w:rPr>
          <w:i/>
          <w:sz w:val="20"/>
        </w:rPr>
        <w:t>FCC Forfeiture Proceedings</w:t>
      </w:r>
      <w:r w:rsidR="008B4B51">
        <w:rPr>
          <w:sz w:val="20"/>
        </w:rPr>
        <w:t>)</w:t>
      </w:r>
      <w:r w:rsidR="00F92856">
        <w:rPr>
          <w:sz w:val="20"/>
        </w:rPr>
        <w:t xml:space="preserve">; </w:t>
      </w:r>
      <w:r w:rsidR="00172439">
        <w:rPr>
          <w:i/>
          <w:sz w:val="20"/>
        </w:rPr>
        <w:t>s</w:t>
      </w:r>
      <w:r w:rsidR="00F92856" w:rsidRPr="00F92856">
        <w:rPr>
          <w:i/>
          <w:sz w:val="20"/>
        </w:rPr>
        <w:t>ee also</w:t>
      </w:r>
      <w:r w:rsidR="00F92856">
        <w:rPr>
          <w:sz w:val="20"/>
        </w:rPr>
        <w:t xml:space="preserve"> </w:t>
      </w:r>
      <w:r w:rsidR="00F92856" w:rsidRPr="00172439">
        <w:rPr>
          <w:i/>
          <w:sz w:val="20"/>
        </w:rPr>
        <w:t>Forfeiture Policy Statement and Amendment of Section 1.80 of the Rules</w:t>
      </w:r>
      <w:r w:rsidR="00F92856">
        <w:rPr>
          <w:sz w:val="20"/>
        </w:rPr>
        <w:t>, Report and Order, 12 FCC Rcd 17087, 17100, para. 27 (1997) (</w:t>
      </w:r>
      <w:r w:rsidR="00F92856">
        <w:rPr>
          <w:i/>
          <w:sz w:val="20"/>
        </w:rPr>
        <w:t>Forfeiture Policy Statement</w:t>
      </w:r>
      <w:r w:rsidR="00F92856">
        <w:rPr>
          <w:sz w:val="20"/>
        </w:rPr>
        <w:t>).</w:t>
      </w:r>
    </w:p>
  </w:footnote>
  <w:footnote w:id="34">
    <w:p w14:paraId="492F1371" w14:textId="5C6A40FF" w:rsidR="0098262F" w:rsidRPr="00172439" w:rsidRDefault="0098262F" w:rsidP="0098262F">
      <w:pPr>
        <w:pStyle w:val="FootnoteText"/>
        <w:jc w:val="left"/>
        <w:rPr>
          <w:sz w:val="20"/>
        </w:rPr>
      </w:pPr>
      <w:r w:rsidRPr="00172439">
        <w:rPr>
          <w:rStyle w:val="FootnoteReference"/>
          <w:sz w:val="20"/>
        </w:rPr>
        <w:footnoteRef/>
      </w:r>
      <w:r w:rsidRPr="00172439">
        <w:rPr>
          <w:sz w:val="20"/>
        </w:rPr>
        <w:t xml:space="preserve"> </w:t>
      </w:r>
      <w:r w:rsidR="00172439" w:rsidRPr="00172439">
        <w:rPr>
          <w:i/>
          <w:sz w:val="20"/>
        </w:rPr>
        <w:t xml:space="preserve">See </w:t>
      </w:r>
      <w:r w:rsidRPr="00172439">
        <w:rPr>
          <w:i/>
          <w:sz w:val="20"/>
        </w:rPr>
        <w:t>FCC Forfeiture Proceedings</w:t>
      </w:r>
      <w:r w:rsidRPr="00172439">
        <w:rPr>
          <w:sz w:val="20"/>
        </w:rPr>
        <w:t>, 62 Fed. Reg. at 43475, para. 6</w:t>
      </w:r>
      <w:r w:rsidR="00172439" w:rsidRPr="00172439">
        <w:rPr>
          <w:sz w:val="20"/>
        </w:rPr>
        <w:t xml:space="preserve">; </w:t>
      </w:r>
      <w:r w:rsidR="00172439" w:rsidRPr="00172439">
        <w:rPr>
          <w:i/>
          <w:sz w:val="20"/>
        </w:rPr>
        <w:t>see also Forfeiture Policy Statement</w:t>
      </w:r>
      <w:r w:rsidR="00172439">
        <w:rPr>
          <w:sz w:val="20"/>
        </w:rPr>
        <w:t>,</w:t>
      </w:r>
      <w:r w:rsidR="00172439" w:rsidRPr="00172439">
        <w:rPr>
          <w:sz w:val="20"/>
        </w:rPr>
        <w:t xml:space="preserve"> 12 FCC Rcd at 17158, para. 113.</w:t>
      </w:r>
    </w:p>
  </w:footnote>
  <w:footnote w:id="35">
    <w:p w14:paraId="00BD0746" w14:textId="318EFA95" w:rsidR="00A541B9" w:rsidRPr="00CD2092" w:rsidRDefault="00A541B9" w:rsidP="00A541B9">
      <w:pPr>
        <w:pStyle w:val="FootnoteText"/>
        <w:jc w:val="left"/>
        <w:rPr>
          <w:sz w:val="20"/>
        </w:rPr>
      </w:pPr>
      <w:r w:rsidRPr="00CD2092">
        <w:rPr>
          <w:rStyle w:val="FootnoteReference"/>
          <w:sz w:val="20"/>
        </w:rPr>
        <w:footnoteRef/>
      </w:r>
      <w:r w:rsidRPr="00CD2092">
        <w:rPr>
          <w:sz w:val="20"/>
        </w:rPr>
        <w:t xml:space="preserve"> </w:t>
      </w:r>
      <w:r w:rsidR="00725B1C">
        <w:rPr>
          <w:i/>
          <w:sz w:val="20"/>
        </w:rPr>
        <w:t>See Discussion Radio, Inc.</w:t>
      </w:r>
      <w:r w:rsidR="00725B1C">
        <w:rPr>
          <w:sz w:val="20"/>
        </w:rPr>
        <w:t xml:space="preserve">, Memorandum Opinion and Order and Notice of Apparent Liability, </w:t>
      </w:r>
      <w:r w:rsidR="00725B1C">
        <w:rPr>
          <w:color w:val="212121"/>
          <w:sz w:val="20"/>
        </w:rPr>
        <w:t>19 FCC Rcd</w:t>
      </w:r>
      <w:r w:rsidR="00725B1C" w:rsidRPr="00725B1C">
        <w:rPr>
          <w:color w:val="212121"/>
          <w:sz w:val="20"/>
        </w:rPr>
        <w:t xml:space="preserve"> 7433</w:t>
      </w:r>
      <w:r w:rsidR="00725B1C">
        <w:rPr>
          <w:color w:val="212121"/>
          <w:sz w:val="20"/>
        </w:rPr>
        <w:t>, 7441, para. 28 (2004)</w:t>
      </w:r>
      <w:r>
        <w:rPr>
          <w:sz w:val="20"/>
        </w:rPr>
        <w:t xml:space="preserve">; </w:t>
      </w:r>
      <w:r>
        <w:rPr>
          <w:i/>
          <w:sz w:val="20"/>
        </w:rPr>
        <w:t>see also</w:t>
      </w:r>
      <w:r>
        <w:rPr>
          <w:sz w:val="20"/>
        </w:rPr>
        <w:t xml:space="preserve"> </w:t>
      </w:r>
      <w:r>
        <w:rPr>
          <w:i/>
          <w:sz w:val="20"/>
        </w:rPr>
        <w:t>La Tremenda Radio Mexico Inc.</w:t>
      </w:r>
      <w:r>
        <w:rPr>
          <w:sz w:val="20"/>
        </w:rPr>
        <w:t xml:space="preserve">, Forfeiture Order, 26 FCC Rcd 9296, 9298, para. 8 (MB 2011). </w:t>
      </w:r>
    </w:p>
  </w:footnote>
  <w:footnote w:id="36">
    <w:p w14:paraId="1C3D2F67" w14:textId="35D5205F" w:rsidR="002D165F" w:rsidRPr="002D165F" w:rsidRDefault="002D165F">
      <w:pPr>
        <w:pStyle w:val="FootnoteText"/>
        <w:rPr>
          <w:sz w:val="20"/>
        </w:rPr>
      </w:pPr>
      <w:r w:rsidRPr="002D165F">
        <w:rPr>
          <w:rStyle w:val="FootnoteReference"/>
          <w:sz w:val="20"/>
        </w:rPr>
        <w:footnoteRef/>
      </w:r>
      <w:r w:rsidRPr="002D165F">
        <w:rPr>
          <w:sz w:val="20"/>
        </w:rPr>
        <w:t xml:space="preserve"> </w:t>
      </w:r>
      <w:r>
        <w:rPr>
          <w:i/>
          <w:sz w:val="20"/>
        </w:rPr>
        <w:t xml:space="preserve">See </w:t>
      </w:r>
      <w:r>
        <w:rPr>
          <w:sz w:val="20"/>
        </w:rPr>
        <w:t>5 U.S.C. §§ 603</w:t>
      </w:r>
      <w:r>
        <w:rPr>
          <w:sz w:val="20"/>
        </w:rPr>
        <w:softHyphen/>
        <w:t>-604.</w:t>
      </w:r>
    </w:p>
  </w:footnote>
  <w:footnote w:id="37">
    <w:p w14:paraId="72A24B01" w14:textId="6DBEE822" w:rsidR="00BB0AC6" w:rsidRPr="00890101" w:rsidRDefault="00BB0AC6" w:rsidP="00982722">
      <w:pPr>
        <w:pStyle w:val="FootnoteText"/>
        <w:jc w:val="left"/>
        <w:rPr>
          <w:sz w:val="20"/>
        </w:rPr>
      </w:pPr>
      <w:r w:rsidRPr="00725B1C">
        <w:rPr>
          <w:rStyle w:val="FootnoteReference"/>
          <w:sz w:val="20"/>
        </w:rPr>
        <w:footnoteRef/>
      </w:r>
      <w:r w:rsidRPr="00725B1C">
        <w:rPr>
          <w:sz w:val="20"/>
        </w:rPr>
        <w:t xml:space="preserve"> </w:t>
      </w:r>
      <w:r w:rsidRPr="00890101">
        <w:rPr>
          <w:i/>
          <w:sz w:val="20"/>
        </w:rPr>
        <w:t>Pac. Empire Radio Corp.</w:t>
      </w:r>
      <w:r w:rsidRPr="00890101">
        <w:rPr>
          <w:sz w:val="20"/>
        </w:rPr>
        <w:t xml:space="preserve">, Forfeiture Order, 29 FCC Rcd 1177, 1179-1180, para. 6-7 (2014) (finding no merit in petitioner’s contention that a $25,000 forfeiture for public inspection file violations should be reduced </w:t>
      </w:r>
      <w:r w:rsidR="00890101" w:rsidRPr="00890101">
        <w:rPr>
          <w:sz w:val="20"/>
        </w:rPr>
        <w:t xml:space="preserve">because </w:t>
      </w:r>
      <w:r w:rsidRPr="00890101">
        <w:rPr>
          <w:sz w:val="20"/>
        </w:rPr>
        <w:t>petitioner</w:t>
      </w:r>
      <w:r w:rsidR="00890101" w:rsidRPr="00890101">
        <w:rPr>
          <w:sz w:val="20"/>
        </w:rPr>
        <w:t xml:space="preserve"> was</w:t>
      </w:r>
      <w:r w:rsidRPr="00890101">
        <w:rPr>
          <w:sz w:val="20"/>
        </w:rPr>
        <w:t xml:space="preserve"> a small broadcaster</w:t>
      </w:r>
      <w:r w:rsidR="002D165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89BD" w14:textId="77777777" w:rsidR="00BF4FB1" w:rsidRDefault="00BF4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24D1" w14:textId="1AED1499" w:rsidR="00A0767C" w:rsidRDefault="00A0767C">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w:t>
    </w:r>
    <w:r w:rsidR="00996B79" w:rsidRPr="00996B79">
      <w:rPr>
        <w:b/>
        <w:szCs w:val="22"/>
      </w:rPr>
      <w:t>DA 16-716</w:t>
    </w:r>
  </w:p>
  <w:p w14:paraId="50954A8E" w14:textId="77777777" w:rsidR="00A0767C" w:rsidRDefault="00A0767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1965653" wp14:editId="3F7A7DC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F4C7A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0A5A0141" w14:textId="77777777" w:rsidR="00A0767C" w:rsidRDefault="00A07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7C3F" w14:textId="188B7CC5" w:rsidR="00A0767C" w:rsidRDefault="00A0767C">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w:t>
    </w:r>
    <w:r w:rsidR="00996B79" w:rsidRPr="00996B79">
      <w:rPr>
        <w:b/>
        <w:szCs w:val="22"/>
      </w:rPr>
      <w:t>DA 16-716</w:t>
    </w:r>
  </w:p>
  <w:p w14:paraId="27E53DDA" w14:textId="77777777" w:rsidR="00A0767C" w:rsidRDefault="00A0767C">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14:anchorId="5938FE88" wp14:editId="7A89982C">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123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14:paraId="2082A5AF" w14:textId="77777777" w:rsidR="00A0767C" w:rsidRDefault="00A076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F09"/>
    <w:multiLevelType w:val="hybridMultilevel"/>
    <w:tmpl w:val="7390C4C8"/>
    <w:lvl w:ilvl="0" w:tplc="A5B4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A734A"/>
    <w:multiLevelType w:val="hybridMultilevel"/>
    <w:tmpl w:val="4956E95A"/>
    <w:lvl w:ilvl="0" w:tplc="8B26C5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59316D"/>
    <w:multiLevelType w:val="hybridMultilevel"/>
    <w:tmpl w:val="6D5E12AE"/>
    <w:lvl w:ilvl="0" w:tplc="10D28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22583"/>
    <w:multiLevelType w:val="hybridMultilevel"/>
    <w:tmpl w:val="A11A115E"/>
    <w:lvl w:ilvl="0" w:tplc="C3DA0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6B8"/>
    <w:multiLevelType w:val="hybridMultilevel"/>
    <w:tmpl w:val="C66A6B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5A5250"/>
    <w:multiLevelType w:val="hybridMultilevel"/>
    <w:tmpl w:val="C228231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1B3D"/>
    <w:multiLevelType w:val="singleLevel"/>
    <w:tmpl w:val="054C89A8"/>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01520C"/>
    <w:multiLevelType w:val="hybridMultilevel"/>
    <w:tmpl w:val="DECA6A70"/>
    <w:lvl w:ilvl="0" w:tplc="23FCD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727DD"/>
    <w:multiLevelType w:val="hybridMultilevel"/>
    <w:tmpl w:val="7E089682"/>
    <w:lvl w:ilvl="0" w:tplc="9B42A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A17FF"/>
    <w:multiLevelType w:val="hybridMultilevel"/>
    <w:tmpl w:val="E09E96FE"/>
    <w:lvl w:ilvl="0" w:tplc="941099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B627F"/>
    <w:multiLevelType w:val="hybridMultilevel"/>
    <w:tmpl w:val="81749D3E"/>
    <w:lvl w:ilvl="0" w:tplc="E7345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61182925"/>
    <w:multiLevelType w:val="singleLevel"/>
    <w:tmpl w:val="5D584E86"/>
    <w:lvl w:ilvl="0">
      <w:start w:val="1"/>
      <w:numFmt w:val="decimal"/>
      <w:lvlText w:val="%1."/>
      <w:lvlJc w:val="left"/>
      <w:pPr>
        <w:tabs>
          <w:tab w:val="num" w:pos="1080"/>
        </w:tabs>
        <w:ind w:left="0" w:firstLine="720"/>
      </w:pPr>
      <w:rPr>
        <w:b w:val="0"/>
      </w:rPr>
    </w:lvl>
  </w:abstractNum>
  <w:abstractNum w:abstractNumId="1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F7A67A0"/>
    <w:multiLevelType w:val="hybridMultilevel"/>
    <w:tmpl w:val="DD6AAD0E"/>
    <w:lvl w:ilvl="0" w:tplc="941099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52748"/>
    <w:multiLevelType w:val="hybridMultilevel"/>
    <w:tmpl w:val="BFAE2848"/>
    <w:lvl w:ilvl="0" w:tplc="4A481C8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24014"/>
    <w:multiLevelType w:val="hybridMultilevel"/>
    <w:tmpl w:val="7F60175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A1923"/>
    <w:multiLevelType w:val="hybridMultilevel"/>
    <w:tmpl w:val="A648C2E2"/>
    <w:lvl w:ilvl="0" w:tplc="1D24354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00B30"/>
    <w:multiLevelType w:val="hybridMultilevel"/>
    <w:tmpl w:val="0590A02A"/>
    <w:lvl w:ilvl="0" w:tplc="685E6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7"/>
    <w:lvlOverride w:ilvl="0">
      <w:startOverride w:val="1"/>
    </w:lvlOverride>
  </w:num>
  <w:num w:numId="4">
    <w:abstractNumId w:val="7"/>
    <w:lvlOverride w:ilvl="0">
      <w:startOverride w:val="1"/>
    </w:lvlOverride>
  </w:num>
  <w:num w:numId="5">
    <w:abstractNumId w:val="2"/>
  </w:num>
  <w:num w:numId="6">
    <w:abstractNumId w:val="13"/>
  </w:num>
  <w:num w:numId="7">
    <w:abstractNumId w:val="12"/>
  </w:num>
  <w:num w:numId="8">
    <w:abstractNumId w:val="1"/>
  </w:num>
  <w:num w:numId="9">
    <w:abstractNumId w:val="16"/>
  </w:num>
  <w:num w:numId="10">
    <w:abstractNumId w:val="10"/>
  </w:num>
  <w:num w:numId="11">
    <w:abstractNumId w:val="18"/>
  </w:num>
  <w:num w:numId="12">
    <w:abstractNumId w:val="17"/>
  </w:num>
  <w:num w:numId="13">
    <w:abstractNumId w:val="3"/>
  </w:num>
  <w:num w:numId="14">
    <w:abstractNumId w:val="11"/>
  </w:num>
  <w:num w:numId="15">
    <w:abstractNumId w:val="5"/>
  </w:num>
  <w:num w:numId="16">
    <w:abstractNumId w:val="6"/>
  </w:num>
  <w:num w:numId="17">
    <w:abstractNumId w:val="8"/>
  </w:num>
  <w:num w:numId="18">
    <w:abstractNumId w:val="15"/>
  </w:num>
  <w:num w:numId="19">
    <w:abstractNumId w:val="4"/>
  </w:num>
  <w:num w:numId="20">
    <w:abstractNumId w:val="19"/>
  </w:num>
  <w:num w:numId="21">
    <w:abstractNumId w:val="7"/>
    <w:lvlOverride w:ilvl="0">
      <w:startOverride w:val="1"/>
    </w:lvlOverride>
  </w:num>
  <w:num w:numId="22">
    <w:abstractNumId w:val="7"/>
    <w:lvlOverride w:ilvl="0">
      <w:startOverride w:val="1"/>
    </w:lvlOverride>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02A5A"/>
    <w:rsid w:val="0001009C"/>
    <w:rsid w:val="000160DE"/>
    <w:rsid w:val="00020051"/>
    <w:rsid w:val="0003016B"/>
    <w:rsid w:val="00032CB2"/>
    <w:rsid w:val="00033C5E"/>
    <w:rsid w:val="000348BE"/>
    <w:rsid w:val="0003769F"/>
    <w:rsid w:val="00037B89"/>
    <w:rsid w:val="000414C7"/>
    <w:rsid w:val="0005212B"/>
    <w:rsid w:val="00066ADD"/>
    <w:rsid w:val="000749AD"/>
    <w:rsid w:val="00082F10"/>
    <w:rsid w:val="0008645C"/>
    <w:rsid w:val="00090453"/>
    <w:rsid w:val="00091044"/>
    <w:rsid w:val="0009492D"/>
    <w:rsid w:val="00094F4C"/>
    <w:rsid w:val="000A0223"/>
    <w:rsid w:val="000A5964"/>
    <w:rsid w:val="000B5B41"/>
    <w:rsid w:val="000C3960"/>
    <w:rsid w:val="000C45C9"/>
    <w:rsid w:val="000C75FE"/>
    <w:rsid w:val="000D1035"/>
    <w:rsid w:val="000E2414"/>
    <w:rsid w:val="000E3FB6"/>
    <w:rsid w:val="000F1DF5"/>
    <w:rsid w:val="00104BEB"/>
    <w:rsid w:val="00110108"/>
    <w:rsid w:val="00111CDB"/>
    <w:rsid w:val="001133D4"/>
    <w:rsid w:val="001200B1"/>
    <w:rsid w:val="001208B0"/>
    <w:rsid w:val="001255C8"/>
    <w:rsid w:val="00131AEF"/>
    <w:rsid w:val="00133EA8"/>
    <w:rsid w:val="001352E3"/>
    <w:rsid w:val="00137ABE"/>
    <w:rsid w:val="00142C18"/>
    <w:rsid w:val="001441D2"/>
    <w:rsid w:val="00144B1F"/>
    <w:rsid w:val="0014567B"/>
    <w:rsid w:val="00171579"/>
    <w:rsid w:val="0017216F"/>
    <w:rsid w:val="00172439"/>
    <w:rsid w:val="00173E98"/>
    <w:rsid w:val="00174881"/>
    <w:rsid w:val="00190988"/>
    <w:rsid w:val="0019169E"/>
    <w:rsid w:val="00191F4D"/>
    <w:rsid w:val="001A354F"/>
    <w:rsid w:val="001A5E00"/>
    <w:rsid w:val="001A7298"/>
    <w:rsid w:val="001B06A4"/>
    <w:rsid w:val="001B4B13"/>
    <w:rsid w:val="001B571E"/>
    <w:rsid w:val="001C0E43"/>
    <w:rsid w:val="001C1067"/>
    <w:rsid w:val="001C2C22"/>
    <w:rsid w:val="001C508B"/>
    <w:rsid w:val="001E7457"/>
    <w:rsid w:val="001F2CFB"/>
    <w:rsid w:val="001F7942"/>
    <w:rsid w:val="002030D0"/>
    <w:rsid w:val="002070D7"/>
    <w:rsid w:val="002128B7"/>
    <w:rsid w:val="00221CAA"/>
    <w:rsid w:val="00226EB0"/>
    <w:rsid w:val="00227030"/>
    <w:rsid w:val="0023052F"/>
    <w:rsid w:val="00235ACC"/>
    <w:rsid w:val="00244B9F"/>
    <w:rsid w:val="00271560"/>
    <w:rsid w:val="002731F9"/>
    <w:rsid w:val="00274CDB"/>
    <w:rsid w:val="00276AB5"/>
    <w:rsid w:val="00276D49"/>
    <w:rsid w:val="00283812"/>
    <w:rsid w:val="00290497"/>
    <w:rsid w:val="0029298E"/>
    <w:rsid w:val="002949C4"/>
    <w:rsid w:val="00295B61"/>
    <w:rsid w:val="002C0690"/>
    <w:rsid w:val="002C229B"/>
    <w:rsid w:val="002C4578"/>
    <w:rsid w:val="002D165F"/>
    <w:rsid w:val="002E102D"/>
    <w:rsid w:val="002E5AF6"/>
    <w:rsid w:val="002F168E"/>
    <w:rsid w:val="002F209C"/>
    <w:rsid w:val="00302F7F"/>
    <w:rsid w:val="00305CBC"/>
    <w:rsid w:val="00312EA4"/>
    <w:rsid w:val="003137F9"/>
    <w:rsid w:val="003172E8"/>
    <w:rsid w:val="003238F1"/>
    <w:rsid w:val="00330F2A"/>
    <w:rsid w:val="003425A6"/>
    <w:rsid w:val="00347D09"/>
    <w:rsid w:val="0035129B"/>
    <w:rsid w:val="00351386"/>
    <w:rsid w:val="003563EB"/>
    <w:rsid w:val="00360486"/>
    <w:rsid w:val="003656C5"/>
    <w:rsid w:val="00365858"/>
    <w:rsid w:val="0036599A"/>
    <w:rsid w:val="003663BA"/>
    <w:rsid w:val="00374A2E"/>
    <w:rsid w:val="00382D0E"/>
    <w:rsid w:val="003857F4"/>
    <w:rsid w:val="00387E93"/>
    <w:rsid w:val="00391EA0"/>
    <w:rsid w:val="003A1D20"/>
    <w:rsid w:val="003A65F7"/>
    <w:rsid w:val="003B4EDF"/>
    <w:rsid w:val="003B5587"/>
    <w:rsid w:val="003C0DC9"/>
    <w:rsid w:val="003C3079"/>
    <w:rsid w:val="003C7843"/>
    <w:rsid w:val="003D373B"/>
    <w:rsid w:val="003E238F"/>
    <w:rsid w:val="003E4E3E"/>
    <w:rsid w:val="003E6521"/>
    <w:rsid w:val="003F6802"/>
    <w:rsid w:val="00403B75"/>
    <w:rsid w:val="00410135"/>
    <w:rsid w:val="004254A8"/>
    <w:rsid w:val="004268FF"/>
    <w:rsid w:val="00432EB4"/>
    <w:rsid w:val="00450C46"/>
    <w:rsid w:val="0046508D"/>
    <w:rsid w:val="00477A8A"/>
    <w:rsid w:val="00480031"/>
    <w:rsid w:val="00482328"/>
    <w:rsid w:val="00482630"/>
    <w:rsid w:val="004A1625"/>
    <w:rsid w:val="004A5C7A"/>
    <w:rsid w:val="004B1435"/>
    <w:rsid w:val="004B3ECF"/>
    <w:rsid w:val="004B446B"/>
    <w:rsid w:val="004B66C3"/>
    <w:rsid w:val="004D4EE9"/>
    <w:rsid w:val="004D5260"/>
    <w:rsid w:val="004E5A6A"/>
    <w:rsid w:val="004E5EAF"/>
    <w:rsid w:val="005007F2"/>
    <w:rsid w:val="00501D92"/>
    <w:rsid w:val="0051030B"/>
    <w:rsid w:val="00510C46"/>
    <w:rsid w:val="00521047"/>
    <w:rsid w:val="0052738F"/>
    <w:rsid w:val="00530A7F"/>
    <w:rsid w:val="005347B4"/>
    <w:rsid w:val="0054442B"/>
    <w:rsid w:val="00546B39"/>
    <w:rsid w:val="00564CB7"/>
    <w:rsid w:val="00567287"/>
    <w:rsid w:val="005674CE"/>
    <w:rsid w:val="005718F1"/>
    <w:rsid w:val="00571B20"/>
    <w:rsid w:val="00572DD8"/>
    <w:rsid w:val="00586E26"/>
    <w:rsid w:val="005903E7"/>
    <w:rsid w:val="0059293B"/>
    <w:rsid w:val="005A1AE4"/>
    <w:rsid w:val="005A47F0"/>
    <w:rsid w:val="005A546B"/>
    <w:rsid w:val="005A5B77"/>
    <w:rsid w:val="005B23CA"/>
    <w:rsid w:val="005B7D94"/>
    <w:rsid w:val="005C0326"/>
    <w:rsid w:val="005D7DE8"/>
    <w:rsid w:val="005E624C"/>
    <w:rsid w:val="005F0707"/>
    <w:rsid w:val="005F799D"/>
    <w:rsid w:val="0060037C"/>
    <w:rsid w:val="006015C5"/>
    <w:rsid w:val="00601A9E"/>
    <w:rsid w:val="006110BE"/>
    <w:rsid w:val="00621A59"/>
    <w:rsid w:val="006354A9"/>
    <w:rsid w:val="006356F9"/>
    <w:rsid w:val="00641739"/>
    <w:rsid w:val="00644195"/>
    <w:rsid w:val="00647C48"/>
    <w:rsid w:val="00650057"/>
    <w:rsid w:val="00653378"/>
    <w:rsid w:val="006620B7"/>
    <w:rsid w:val="006628FF"/>
    <w:rsid w:val="006730DF"/>
    <w:rsid w:val="00676218"/>
    <w:rsid w:val="0067795E"/>
    <w:rsid w:val="00681974"/>
    <w:rsid w:val="00693B18"/>
    <w:rsid w:val="00694FC0"/>
    <w:rsid w:val="006B3427"/>
    <w:rsid w:val="006C06A9"/>
    <w:rsid w:val="006C1806"/>
    <w:rsid w:val="006C23B7"/>
    <w:rsid w:val="006C5184"/>
    <w:rsid w:val="006C7375"/>
    <w:rsid w:val="006D17A4"/>
    <w:rsid w:val="006D5DE2"/>
    <w:rsid w:val="006F0BA6"/>
    <w:rsid w:val="006F2824"/>
    <w:rsid w:val="006F285D"/>
    <w:rsid w:val="006F38B6"/>
    <w:rsid w:val="007013F2"/>
    <w:rsid w:val="00702B1A"/>
    <w:rsid w:val="00702E35"/>
    <w:rsid w:val="00710722"/>
    <w:rsid w:val="00710968"/>
    <w:rsid w:val="0071751B"/>
    <w:rsid w:val="00724704"/>
    <w:rsid w:val="00725B1C"/>
    <w:rsid w:val="00726249"/>
    <w:rsid w:val="0073087A"/>
    <w:rsid w:val="00730C9A"/>
    <w:rsid w:val="00736CD7"/>
    <w:rsid w:val="00736FD3"/>
    <w:rsid w:val="00741744"/>
    <w:rsid w:val="00753AE8"/>
    <w:rsid w:val="0075688A"/>
    <w:rsid w:val="00762E9C"/>
    <w:rsid w:val="007669FA"/>
    <w:rsid w:val="00776BE1"/>
    <w:rsid w:val="007840B2"/>
    <w:rsid w:val="0078579D"/>
    <w:rsid w:val="00792A95"/>
    <w:rsid w:val="007942D7"/>
    <w:rsid w:val="0079494B"/>
    <w:rsid w:val="007C00AB"/>
    <w:rsid w:val="007C14CB"/>
    <w:rsid w:val="007C784C"/>
    <w:rsid w:val="007D7E21"/>
    <w:rsid w:val="007E1241"/>
    <w:rsid w:val="007E1DBD"/>
    <w:rsid w:val="007E7E67"/>
    <w:rsid w:val="007F01EF"/>
    <w:rsid w:val="007F4C84"/>
    <w:rsid w:val="007F6982"/>
    <w:rsid w:val="007F6C04"/>
    <w:rsid w:val="007F6CDB"/>
    <w:rsid w:val="008036E7"/>
    <w:rsid w:val="008129E4"/>
    <w:rsid w:val="00821ABC"/>
    <w:rsid w:val="008427D9"/>
    <w:rsid w:val="0084323D"/>
    <w:rsid w:val="00850A58"/>
    <w:rsid w:val="00850CEC"/>
    <w:rsid w:val="00853BD2"/>
    <w:rsid w:val="00856249"/>
    <w:rsid w:val="0085639A"/>
    <w:rsid w:val="008611EB"/>
    <w:rsid w:val="00862F83"/>
    <w:rsid w:val="00871855"/>
    <w:rsid w:val="00873376"/>
    <w:rsid w:val="00875A2F"/>
    <w:rsid w:val="008854B1"/>
    <w:rsid w:val="00887B7A"/>
    <w:rsid w:val="00890101"/>
    <w:rsid w:val="00891803"/>
    <w:rsid w:val="008965C0"/>
    <w:rsid w:val="008A2D8C"/>
    <w:rsid w:val="008A4565"/>
    <w:rsid w:val="008B340A"/>
    <w:rsid w:val="008B4B51"/>
    <w:rsid w:val="008C2F7E"/>
    <w:rsid w:val="008C4577"/>
    <w:rsid w:val="008D2D89"/>
    <w:rsid w:val="008D46B0"/>
    <w:rsid w:val="008D7AD0"/>
    <w:rsid w:val="008E2CA7"/>
    <w:rsid w:val="008E5742"/>
    <w:rsid w:val="008F194D"/>
    <w:rsid w:val="00902881"/>
    <w:rsid w:val="009028C6"/>
    <w:rsid w:val="00903AC4"/>
    <w:rsid w:val="00912F8F"/>
    <w:rsid w:val="00916681"/>
    <w:rsid w:val="00934B3B"/>
    <w:rsid w:val="009360B2"/>
    <w:rsid w:val="00955F0D"/>
    <w:rsid w:val="0095769A"/>
    <w:rsid w:val="00966FDD"/>
    <w:rsid w:val="00975E52"/>
    <w:rsid w:val="00980410"/>
    <w:rsid w:val="0098262F"/>
    <w:rsid w:val="00982722"/>
    <w:rsid w:val="009861AA"/>
    <w:rsid w:val="009867C1"/>
    <w:rsid w:val="009913AB"/>
    <w:rsid w:val="0099311C"/>
    <w:rsid w:val="00994135"/>
    <w:rsid w:val="00995ADB"/>
    <w:rsid w:val="00996B79"/>
    <w:rsid w:val="009A4EC0"/>
    <w:rsid w:val="009C05A7"/>
    <w:rsid w:val="009C2609"/>
    <w:rsid w:val="009C6F1A"/>
    <w:rsid w:val="009E79DC"/>
    <w:rsid w:val="009F389D"/>
    <w:rsid w:val="009F534F"/>
    <w:rsid w:val="00A0767C"/>
    <w:rsid w:val="00A1074B"/>
    <w:rsid w:val="00A1679B"/>
    <w:rsid w:val="00A22163"/>
    <w:rsid w:val="00A30B1C"/>
    <w:rsid w:val="00A3154B"/>
    <w:rsid w:val="00A3257E"/>
    <w:rsid w:val="00A40E00"/>
    <w:rsid w:val="00A40F62"/>
    <w:rsid w:val="00A45861"/>
    <w:rsid w:val="00A4672D"/>
    <w:rsid w:val="00A506BB"/>
    <w:rsid w:val="00A541B9"/>
    <w:rsid w:val="00A57AD1"/>
    <w:rsid w:val="00A63012"/>
    <w:rsid w:val="00A6416F"/>
    <w:rsid w:val="00A659ED"/>
    <w:rsid w:val="00A72911"/>
    <w:rsid w:val="00A9338A"/>
    <w:rsid w:val="00A97B24"/>
    <w:rsid w:val="00AA3993"/>
    <w:rsid w:val="00AB5C8E"/>
    <w:rsid w:val="00AC28BF"/>
    <w:rsid w:val="00AC642E"/>
    <w:rsid w:val="00AC689E"/>
    <w:rsid w:val="00AD2A63"/>
    <w:rsid w:val="00AD7F76"/>
    <w:rsid w:val="00AF7539"/>
    <w:rsid w:val="00B01E97"/>
    <w:rsid w:val="00B13A9E"/>
    <w:rsid w:val="00B2624F"/>
    <w:rsid w:val="00B27180"/>
    <w:rsid w:val="00B27DE5"/>
    <w:rsid w:val="00B353FB"/>
    <w:rsid w:val="00B35EB1"/>
    <w:rsid w:val="00B40E6A"/>
    <w:rsid w:val="00B4782F"/>
    <w:rsid w:val="00B51C6C"/>
    <w:rsid w:val="00B6404A"/>
    <w:rsid w:val="00B64A9F"/>
    <w:rsid w:val="00B70E91"/>
    <w:rsid w:val="00B7608E"/>
    <w:rsid w:val="00B94768"/>
    <w:rsid w:val="00B964C3"/>
    <w:rsid w:val="00BA2118"/>
    <w:rsid w:val="00BA4626"/>
    <w:rsid w:val="00BA6BFD"/>
    <w:rsid w:val="00BA793F"/>
    <w:rsid w:val="00BB0AC6"/>
    <w:rsid w:val="00BB704C"/>
    <w:rsid w:val="00BC2D75"/>
    <w:rsid w:val="00BC5507"/>
    <w:rsid w:val="00BC5767"/>
    <w:rsid w:val="00BD68C1"/>
    <w:rsid w:val="00BE5BA4"/>
    <w:rsid w:val="00BF4FB1"/>
    <w:rsid w:val="00BF7AE7"/>
    <w:rsid w:val="00C0597D"/>
    <w:rsid w:val="00C05C36"/>
    <w:rsid w:val="00C1394B"/>
    <w:rsid w:val="00C24728"/>
    <w:rsid w:val="00C269DD"/>
    <w:rsid w:val="00C339EA"/>
    <w:rsid w:val="00C371B6"/>
    <w:rsid w:val="00C37A34"/>
    <w:rsid w:val="00C408F0"/>
    <w:rsid w:val="00C41531"/>
    <w:rsid w:val="00C437CF"/>
    <w:rsid w:val="00C44114"/>
    <w:rsid w:val="00C53B8E"/>
    <w:rsid w:val="00C53D41"/>
    <w:rsid w:val="00C61464"/>
    <w:rsid w:val="00C637B9"/>
    <w:rsid w:val="00C648EE"/>
    <w:rsid w:val="00C70A24"/>
    <w:rsid w:val="00C71E4A"/>
    <w:rsid w:val="00C74BDB"/>
    <w:rsid w:val="00C82ADB"/>
    <w:rsid w:val="00C86FD8"/>
    <w:rsid w:val="00C90832"/>
    <w:rsid w:val="00C97EA4"/>
    <w:rsid w:val="00CB6096"/>
    <w:rsid w:val="00CC61BB"/>
    <w:rsid w:val="00CD0A32"/>
    <w:rsid w:val="00CD2092"/>
    <w:rsid w:val="00CD5C3A"/>
    <w:rsid w:val="00CD66BD"/>
    <w:rsid w:val="00CE3F8B"/>
    <w:rsid w:val="00CE6778"/>
    <w:rsid w:val="00CF236D"/>
    <w:rsid w:val="00CF7851"/>
    <w:rsid w:val="00D03B04"/>
    <w:rsid w:val="00D077DB"/>
    <w:rsid w:val="00D10FCA"/>
    <w:rsid w:val="00D141A1"/>
    <w:rsid w:val="00D15800"/>
    <w:rsid w:val="00D22BC4"/>
    <w:rsid w:val="00D34575"/>
    <w:rsid w:val="00D36061"/>
    <w:rsid w:val="00D45F87"/>
    <w:rsid w:val="00D56DBC"/>
    <w:rsid w:val="00D57AE7"/>
    <w:rsid w:val="00D61B7C"/>
    <w:rsid w:val="00D63049"/>
    <w:rsid w:val="00D705A1"/>
    <w:rsid w:val="00D711ED"/>
    <w:rsid w:val="00D74A8A"/>
    <w:rsid w:val="00D75755"/>
    <w:rsid w:val="00D826C9"/>
    <w:rsid w:val="00D82ED9"/>
    <w:rsid w:val="00D95ED8"/>
    <w:rsid w:val="00D96930"/>
    <w:rsid w:val="00D97258"/>
    <w:rsid w:val="00DA5F96"/>
    <w:rsid w:val="00DA6BD7"/>
    <w:rsid w:val="00DB3704"/>
    <w:rsid w:val="00DB5403"/>
    <w:rsid w:val="00DC134A"/>
    <w:rsid w:val="00DC1755"/>
    <w:rsid w:val="00DC5882"/>
    <w:rsid w:val="00DC6355"/>
    <w:rsid w:val="00DD7789"/>
    <w:rsid w:val="00DE008C"/>
    <w:rsid w:val="00DE114D"/>
    <w:rsid w:val="00DE1BF2"/>
    <w:rsid w:val="00DE41BB"/>
    <w:rsid w:val="00DF7827"/>
    <w:rsid w:val="00E008A7"/>
    <w:rsid w:val="00E039DE"/>
    <w:rsid w:val="00E056D5"/>
    <w:rsid w:val="00E070BC"/>
    <w:rsid w:val="00E221C1"/>
    <w:rsid w:val="00E23263"/>
    <w:rsid w:val="00E3357D"/>
    <w:rsid w:val="00E4087A"/>
    <w:rsid w:val="00E431EF"/>
    <w:rsid w:val="00E43266"/>
    <w:rsid w:val="00E50A74"/>
    <w:rsid w:val="00E51EFA"/>
    <w:rsid w:val="00E6027C"/>
    <w:rsid w:val="00E62878"/>
    <w:rsid w:val="00E63A1E"/>
    <w:rsid w:val="00E72F54"/>
    <w:rsid w:val="00E7504D"/>
    <w:rsid w:val="00E94386"/>
    <w:rsid w:val="00ED7DA5"/>
    <w:rsid w:val="00EE6FEF"/>
    <w:rsid w:val="00EF030A"/>
    <w:rsid w:val="00F074E1"/>
    <w:rsid w:val="00F11108"/>
    <w:rsid w:val="00F1714A"/>
    <w:rsid w:val="00F26824"/>
    <w:rsid w:val="00F34378"/>
    <w:rsid w:val="00F3498C"/>
    <w:rsid w:val="00F403F2"/>
    <w:rsid w:val="00F40645"/>
    <w:rsid w:val="00F412E7"/>
    <w:rsid w:val="00F5583E"/>
    <w:rsid w:val="00F65B1B"/>
    <w:rsid w:val="00F7273F"/>
    <w:rsid w:val="00F737E1"/>
    <w:rsid w:val="00F74F9D"/>
    <w:rsid w:val="00F86E3B"/>
    <w:rsid w:val="00F9150A"/>
    <w:rsid w:val="00F92856"/>
    <w:rsid w:val="00FA4F39"/>
    <w:rsid w:val="00FB4C17"/>
    <w:rsid w:val="00FC3172"/>
    <w:rsid w:val="00FC3993"/>
    <w:rsid w:val="00FC595C"/>
    <w:rsid w:val="00FD2834"/>
    <w:rsid w:val="00FD4006"/>
    <w:rsid w:val="00FE376E"/>
    <w:rsid w:val="00FE4B13"/>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rsid w:val="00E056D5"/>
    <w:pPr>
      <w:keepNext/>
      <w:widowControl w:val="0"/>
      <w:numPr>
        <w:numId w:val="7"/>
      </w:numPr>
      <w:suppressAutoHyphens/>
      <w:spacing w:after="220"/>
      <w:jc w:val="both"/>
      <w:outlineLvl w:val="0"/>
    </w:pPr>
    <w:rPr>
      <w:b/>
      <w:caps/>
    </w:rPr>
  </w:style>
  <w:style w:type="paragraph" w:styleId="Heading2">
    <w:name w:val="heading 2"/>
    <w:basedOn w:val="Normal"/>
    <w:next w:val="ParaNum"/>
    <w:link w:val="Heading2Char"/>
    <w:qFormat/>
    <w:rsid w:val="00E056D5"/>
    <w:pPr>
      <w:keepNext/>
      <w:widowControl w:val="0"/>
      <w:numPr>
        <w:ilvl w:val="1"/>
        <w:numId w:val="7"/>
      </w:numPr>
      <w:spacing w:after="220"/>
      <w:jc w:val="both"/>
      <w:outlineLvl w:val="1"/>
    </w:pPr>
    <w:rPr>
      <w:b/>
    </w:rPr>
  </w:style>
  <w:style w:type="paragraph" w:styleId="Heading3">
    <w:name w:val="heading 3"/>
    <w:basedOn w:val="Normal"/>
    <w:next w:val="ParaNum"/>
    <w:link w:val="Heading3Char"/>
    <w:qFormat/>
    <w:rsid w:val="00E056D5"/>
    <w:pPr>
      <w:keepNext/>
      <w:widowControl w:val="0"/>
      <w:numPr>
        <w:ilvl w:val="2"/>
        <w:numId w:val="7"/>
      </w:numPr>
      <w:spacing w:after="220"/>
      <w:jc w:val="both"/>
      <w:outlineLvl w:val="2"/>
    </w:pPr>
    <w:rPr>
      <w:b/>
    </w:rPr>
  </w:style>
  <w:style w:type="paragraph" w:styleId="Heading4">
    <w:name w:val="heading 4"/>
    <w:basedOn w:val="Normal"/>
    <w:next w:val="ParaNum"/>
    <w:link w:val="Heading4Char"/>
    <w:qFormat/>
    <w:rsid w:val="00E056D5"/>
    <w:pPr>
      <w:keepNext/>
      <w:widowControl w:val="0"/>
      <w:numPr>
        <w:ilvl w:val="3"/>
        <w:numId w:val="7"/>
      </w:numPr>
      <w:spacing w:after="220"/>
      <w:jc w:val="both"/>
      <w:outlineLvl w:val="3"/>
    </w:pPr>
    <w:rPr>
      <w:b/>
    </w:rPr>
  </w:style>
  <w:style w:type="paragraph" w:styleId="Heading5">
    <w:name w:val="heading 5"/>
    <w:basedOn w:val="Normal"/>
    <w:next w:val="ParaNum"/>
    <w:link w:val="Heading5Char"/>
    <w:qFormat/>
    <w:rsid w:val="00E056D5"/>
    <w:pPr>
      <w:keepNext/>
      <w:widowControl w:val="0"/>
      <w:numPr>
        <w:ilvl w:val="4"/>
        <w:numId w:val="7"/>
      </w:numPr>
      <w:suppressAutoHyphens/>
      <w:spacing w:after="220"/>
      <w:jc w:val="both"/>
      <w:outlineLvl w:val="4"/>
    </w:pPr>
    <w:rPr>
      <w:b/>
    </w:rPr>
  </w:style>
  <w:style w:type="paragraph" w:styleId="Heading6">
    <w:name w:val="heading 6"/>
    <w:basedOn w:val="Normal"/>
    <w:next w:val="ParaNum"/>
    <w:link w:val="Heading6Char"/>
    <w:qFormat/>
    <w:rsid w:val="00E056D5"/>
    <w:pPr>
      <w:widowControl w:val="0"/>
      <w:numPr>
        <w:ilvl w:val="5"/>
        <w:numId w:val="7"/>
      </w:numPr>
      <w:spacing w:after="220"/>
      <w:jc w:val="both"/>
      <w:outlineLvl w:val="5"/>
    </w:pPr>
    <w:rPr>
      <w:b/>
    </w:rPr>
  </w:style>
  <w:style w:type="paragraph" w:styleId="Heading7">
    <w:name w:val="heading 7"/>
    <w:basedOn w:val="Normal"/>
    <w:next w:val="ParaNum"/>
    <w:link w:val="Heading7Char"/>
    <w:qFormat/>
    <w:rsid w:val="00E056D5"/>
    <w:pPr>
      <w:widowControl w:val="0"/>
      <w:numPr>
        <w:ilvl w:val="6"/>
        <w:numId w:val="7"/>
      </w:numPr>
      <w:spacing w:after="220"/>
      <w:jc w:val="both"/>
      <w:outlineLvl w:val="6"/>
    </w:pPr>
    <w:rPr>
      <w:b/>
    </w:rPr>
  </w:style>
  <w:style w:type="paragraph" w:styleId="Heading8">
    <w:name w:val="heading 8"/>
    <w:basedOn w:val="Normal"/>
    <w:next w:val="ParaNum"/>
    <w:link w:val="Heading8Char"/>
    <w:qFormat/>
    <w:rsid w:val="00E056D5"/>
    <w:pPr>
      <w:widowControl w:val="0"/>
      <w:numPr>
        <w:ilvl w:val="7"/>
        <w:numId w:val="7"/>
      </w:numPr>
      <w:spacing w:after="220"/>
      <w:jc w:val="both"/>
      <w:outlineLvl w:val="7"/>
    </w:pPr>
    <w:rPr>
      <w:b/>
    </w:rPr>
  </w:style>
  <w:style w:type="paragraph" w:styleId="Heading9">
    <w:name w:val="heading 9"/>
    <w:basedOn w:val="Normal"/>
    <w:next w:val="ParaNum"/>
    <w:link w:val="Heading9Char"/>
    <w:qFormat/>
    <w:rsid w:val="00E056D5"/>
    <w:pPr>
      <w:widowControl w:val="0"/>
      <w:numPr>
        <w:ilvl w:val="8"/>
        <w:numId w:val="7"/>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1"/>
      </w:numPr>
      <w:tabs>
        <w:tab w:val="clear" w:pos="360"/>
        <w:tab w:val="left" w:pos="1440"/>
      </w:tabs>
      <w:spacing w:after="220"/>
      <w:ind w:left="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Caption">
    <w:name w:val="caption"/>
    <w:basedOn w:val="Normal"/>
    <w:next w:val="Normal"/>
    <w:qFormat/>
    <w:rsid w:val="00FC595C"/>
    <w:pPr>
      <w:spacing w:before="120" w:after="120"/>
    </w:pPr>
    <w:rPr>
      <w:b/>
    </w:rPr>
  </w:style>
  <w:style w:type="character" w:customStyle="1" w:styleId="documentbody1">
    <w:name w:val="documentbody1"/>
    <w:basedOn w:val="DefaultParagraphFont"/>
    <w:rsid w:val="00FC595C"/>
    <w:rPr>
      <w:rFonts w:ascii="Verdana" w:hAnsi="Verdana" w:hint="default"/>
      <w:sz w:val="19"/>
      <w:szCs w:val="19"/>
    </w:rPr>
  </w:style>
  <w:style w:type="character" w:customStyle="1" w:styleId="documentbody">
    <w:name w:val="documentbody"/>
    <w:basedOn w:val="DefaultParagraphFont"/>
    <w:rsid w:val="00D141A1"/>
  </w:style>
  <w:style w:type="character" w:customStyle="1" w:styleId="bestsection">
    <w:name w:val="bestsection"/>
    <w:basedOn w:val="DefaultParagraphFont"/>
    <w:rsid w:val="00D141A1"/>
  </w:style>
  <w:style w:type="character" w:customStyle="1" w:styleId="ParaNumChar">
    <w:name w:val="ParaNum Char"/>
    <w:basedOn w:val="DefaultParagraphFont"/>
    <w:link w:val="ParaNum"/>
    <w:locked/>
    <w:rsid w:val="000348BE"/>
    <w:rPr>
      <w:sz w:val="22"/>
    </w:rPr>
  </w:style>
  <w:style w:type="character" w:customStyle="1" w:styleId="documentbody5">
    <w:name w:val="documentbody5"/>
    <w:basedOn w:val="DefaultParagraphFont"/>
    <w:rsid w:val="000348BE"/>
    <w:rPr>
      <w:rFonts w:ascii="Verdana" w:hAnsi="Verdana" w:hint="default"/>
      <w:sz w:val="19"/>
      <w:szCs w:val="19"/>
    </w:rPr>
  </w:style>
  <w:style w:type="character" w:customStyle="1" w:styleId="Heading1Char">
    <w:name w:val="Heading 1 Char"/>
    <w:basedOn w:val="DefaultParagraphFont"/>
    <w:link w:val="Heading1"/>
    <w:rsid w:val="00E056D5"/>
    <w:rPr>
      <w:b/>
      <w:caps/>
      <w:sz w:val="22"/>
    </w:rPr>
  </w:style>
  <w:style w:type="character" w:customStyle="1" w:styleId="Heading2Char">
    <w:name w:val="Heading 2 Char"/>
    <w:basedOn w:val="DefaultParagraphFont"/>
    <w:link w:val="Heading2"/>
    <w:rsid w:val="00E056D5"/>
    <w:rPr>
      <w:b/>
      <w:sz w:val="22"/>
    </w:rPr>
  </w:style>
  <w:style w:type="character" w:customStyle="1" w:styleId="Heading3Char">
    <w:name w:val="Heading 3 Char"/>
    <w:basedOn w:val="DefaultParagraphFont"/>
    <w:link w:val="Heading3"/>
    <w:rsid w:val="00E056D5"/>
    <w:rPr>
      <w:b/>
      <w:sz w:val="22"/>
    </w:rPr>
  </w:style>
  <w:style w:type="character" w:customStyle="1" w:styleId="Heading4Char">
    <w:name w:val="Heading 4 Char"/>
    <w:basedOn w:val="DefaultParagraphFont"/>
    <w:link w:val="Heading4"/>
    <w:rsid w:val="00E056D5"/>
    <w:rPr>
      <w:b/>
      <w:sz w:val="22"/>
    </w:rPr>
  </w:style>
  <w:style w:type="character" w:customStyle="1" w:styleId="Heading5Char">
    <w:name w:val="Heading 5 Char"/>
    <w:basedOn w:val="DefaultParagraphFont"/>
    <w:link w:val="Heading5"/>
    <w:rsid w:val="00E056D5"/>
    <w:rPr>
      <w:b/>
      <w:sz w:val="22"/>
    </w:rPr>
  </w:style>
  <w:style w:type="character" w:customStyle="1" w:styleId="Heading6Char">
    <w:name w:val="Heading 6 Char"/>
    <w:basedOn w:val="DefaultParagraphFont"/>
    <w:link w:val="Heading6"/>
    <w:rsid w:val="00E056D5"/>
    <w:rPr>
      <w:b/>
      <w:sz w:val="22"/>
    </w:rPr>
  </w:style>
  <w:style w:type="character" w:customStyle="1" w:styleId="Heading7Char">
    <w:name w:val="Heading 7 Char"/>
    <w:basedOn w:val="DefaultParagraphFont"/>
    <w:link w:val="Heading7"/>
    <w:rsid w:val="00E056D5"/>
    <w:rPr>
      <w:b/>
      <w:sz w:val="22"/>
    </w:rPr>
  </w:style>
  <w:style w:type="character" w:customStyle="1" w:styleId="Heading8Char">
    <w:name w:val="Heading 8 Char"/>
    <w:basedOn w:val="DefaultParagraphFont"/>
    <w:link w:val="Heading8"/>
    <w:rsid w:val="00E056D5"/>
    <w:rPr>
      <w:b/>
      <w:sz w:val="22"/>
    </w:rPr>
  </w:style>
  <w:style w:type="character" w:customStyle="1" w:styleId="Heading9Char">
    <w:name w:val="Heading 9 Char"/>
    <w:basedOn w:val="DefaultParagraphFont"/>
    <w:link w:val="Heading9"/>
    <w:rsid w:val="00E056D5"/>
    <w:rPr>
      <w:b/>
      <w:sz w:val="22"/>
    </w:rPr>
  </w:style>
  <w:style w:type="paragraph" w:styleId="ListParagraph">
    <w:name w:val="List Paragraph"/>
    <w:basedOn w:val="Normal"/>
    <w:uiPriority w:val="34"/>
    <w:qFormat/>
    <w:rsid w:val="00E056D5"/>
    <w:pPr>
      <w:ind w:left="720"/>
      <w:contextualSpacing/>
    </w:pPr>
  </w:style>
  <w:style w:type="character" w:styleId="FollowedHyperlink">
    <w:name w:val="FollowedHyperlink"/>
    <w:basedOn w:val="DefaultParagraphFont"/>
    <w:semiHidden/>
    <w:unhideWhenUsed/>
    <w:rsid w:val="00753AE8"/>
    <w:rPr>
      <w:color w:val="800080" w:themeColor="followedHyperlink"/>
      <w:u w:val="single"/>
    </w:rPr>
  </w:style>
  <w:style w:type="paragraph" w:styleId="Revision">
    <w:name w:val="Revision"/>
    <w:hidden/>
    <w:uiPriority w:val="99"/>
    <w:semiHidden/>
    <w:rsid w:val="001C106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rsid w:val="00E056D5"/>
    <w:pPr>
      <w:keepNext/>
      <w:widowControl w:val="0"/>
      <w:numPr>
        <w:numId w:val="7"/>
      </w:numPr>
      <w:suppressAutoHyphens/>
      <w:spacing w:after="220"/>
      <w:jc w:val="both"/>
      <w:outlineLvl w:val="0"/>
    </w:pPr>
    <w:rPr>
      <w:b/>
      <w:caps/>
    </w:rPr>
  </w:style>
  <w:style w:type="paragraph" w:styleId="Heading2">
    <w:name w:val="heading 2"/>
    <w:basedOn w:val="Normal"/>
    <w:next w:val="ParaNum"/>
    <w:link w:val="Heading2Char"/>
    <w:qFormat/>
    <w:rsid w:val="00E056D5"/>
    <w:pPr>
      <w:keepNext/>
      <w:widowControl w:val="0"/>
      <w:numPr>
        <w:ilvl w:val="1"/>
        <w:numId w:val="7"/>
      </w:numPr>
      <w:spacing w:after="220"/>
      <w:jc w:val="both"/>
      <w:outlineLvl w:val="1"/>
    </w:pPr>
    <w:rPr>
      <w:b/>
    </w:rPr>
  </w:style>
  <w:style w:type="paragraph" w:styleId="Heading3">
    <w:name w:val="heading 3"/>
    <w:basedOn w:val="Normal"/>
    <w:next w:val="ParaNum"/>
    <w:link w:val="Heading3Char"/>
    <w:qFormat/>
    <w:rsid w:val="00E056D5"/>
    <w:pPr>
      <w:keepNext/>
      <w:widowControl w:val="0"/>
      <w:numPr>
        <w:ilvl w:val="2"/>
        <w:numId w:val="7"/>
      </w:numPr>
      <w:spacing w:after="220"/>
      <w:jc w:val="both"/>
      <w:outlineLvl w:val="2"/>
    </w:pPr>
    <w:rPr>
      <w:b/>
    </w:rPr>
  </w:style>
  <w:style w:type="paragraph" w:styleId="Heading4">
    <w:name w:val="heading 4"/>
    <w:basedOn w:val="Normal"/>
    <w:next w:val="ParaNum"/>
    <w:link w:val="Heading4Char"/>
    <w:qFormat/>
    <w:rsid w:val="00E056D5"/>
    <w:pPr>
      <w:keepNext/>
      <w:widowControl w:val="0"/>
      <w:numPr>
        <w:ilvl w:val="3"/>
        <w:numId w:val="7"/>
      </w:numPr>
      <w:spacing w:after="220"/>
      <w:jc w:val="both"/>
      <w:outlineLvl w:val="3"/>
    </w:pPr>
    <w:rPr>
      <w:b/>
    </w:rPr>
  </w:style>
  <w:style w:type="paragraph" w:styleId="Heading5">
    <w:name w:val="heading 5"/>
    <w:basedOn w:val="Normal"/>
    <w:next w:val="ParaNum"/>
    <w:link w:val="Heading5Char"/>
    <w:qFormat/>
    <w:rsid w:val="00E056D5"/>
    <w:pPr>
      <w:keepNext/>
      <w:widowControl w:val="0"/>
      <w:numPr>
        <w:ilvl w:val="4"/>
        <w:numId w:val="7"/>
      </w:numPr>
      <w:suppressAutoHyphens/>
      <w:spacing w:after="220"/>
      <w:jc w:val="both"/>
      <w:outlineLvl w:val="4"/>
    </w:pPr>
    <w:rPr>
      <w:b/>
    </w:rPr>
  </w:style>
  <w:style w:type="paragraph" w:styleId="Heading6">
    <w:name w:val="heading 6"/>
    <w:basedOn w:val="Normal"/>
    <w:next w:val="ParaNum"/>
    <w:link w:val="Heading6Char"/>
    <w:qFormat/>
    <w:rsid w:val="00E056D5"/>
    <w:pPr>
      <w:widowControl w:val="0"/>
      <w:numPr>
        <w:ilvl w:val="5"/>
        <w:numId w:val="7"/>
      </w:numPr>
      <w:spacing w:after="220"/>
      <w:jc w:val="both"/>
      <w:outlineLvl w:val="5"/>
    </w:pPr>
    <w:rPr>
      <w:b/>
    </w:rPr>
  </w:style>
  <w:style w:type="paragraph" w:styleId="Heading7">
    <w:name w:val="heading 7"/>
    <w:basedOn w:val="Normal"/>
    <w:next w:val="ParaNum"/>
    <w:link w:val="Heading7Char"/>
    <w:qFormat/>
    <w:rsid w:val="00E056D5"/>
    <w:pPr>
      <w:widowControl w:val="0"/>
      <w:numPr>
        <w:ilvl w:val="6"/>
        <w:numId w:val="7"/>
      </w:numPr>
      <w:spacing w:after="220"/>
      <w:jc w:val="both"/>
      <w:outlineLvl w:val="6"/>
    </w:pPr>
    <w:rPr>
      <w:b/>
    </w:rPr>
  </w:style>
  <w:style w:type="paragraph" w:styleId="Heading8">
    <w:name w:val="heading 8"/>
    <w:basedOn w:val="Normal"/>
    <w:next w:val="ParaNum"/>
    <w:link w:val="Heading8Char"/>
    <w:qFormat/>
    <w:rsid w:val="00E056D5"/>
    <w:pPr>
      <w:widowControl w:val="0"/>
      <w:numPr>
        <w:ilvl w:val="7"/>
        <w:numId w:val="7"/>
      </w:numPr>
      <w:spacing w:after="220"/>
      <w:jc w:val="both"/>
      <w:outlineLvl w:val="7"/>
    </w:pPr>
    <w:rPr>
      <w:b/>
    </w:rPr>
  </w:style>
  <w:style w:type="paragraph" w:styleId="Heading9">
    <w:name w:val="heading 9"/>
    <w:basedOn w:val="Normal"/>
    <w:next w:val="ParaNum"/>
    <w:link w:val="Heading9Char"/>
    <w:qFormat/>
    <w:rsid w:val="00E056D5"/>
    <w:pPr>
      <w:widowControl w:val="0"/>
      <w:numPr>
        <w:ilvl w:val="8"/>
        <w:numId w:val="7"/>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1"/>
      </w:numPr>
      <w:tabs>
        <w:tab w:val="clear" w:pos="360"/>
        <w:tab w:val="left" w:pos="1440"/>
      </w:tabs>
      <w:spacing w:after="220"/>
      <w:ind w:left="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Caption">
    <w:name w:val="caption"/>
    <w:basedOn w:val="Normal"/>
    <w:next w:val="Normal"/>
    <w:qFormat/>
    <w:rsid w:val="00FC595C"/>
    <w:pPr>
      <w:spacing w:before="120" w:after="120"/>
    </w:pPr>
    <w:rPr>
      <w:b/>
    </w:rPr>
  </w:style>
  <w:style w:type="character" w:customStyle="1" w:styleId="documentbody1">
    <w:name w:val="documentbody1"/>
    <w:basedOn w:val="DefaultParagraphFont"/>
    <w:rsid w:val="00FC595C"/>
    <w:rPr>
      <w:rFonts w:ascii="Verdana" w:hAnsi="Verdana" w:hint="default"/>
      <w:sz w:val="19"/>
      <w:szCs w:val="19"/>
    </w:rPr>
  </w:style>
  <w:style w:type="character" w:customStyle="1" w:styleId="documentbody">
    <w:name w:val="documentbody"/>
    <w:basedOn w:val="DefaultParagraphFont"/>
    <w:rsid w:val="00D141A1"/>
  </w:style>
  <w:style w:type="character" w:customStyle="1" w:styleId="bestsection">
    <w:name w:val="bestsection"/>
    <w:basedOn w:val="DefaultParagraphFont"/>
    <w:rsid w:val="00D141A1"/>
  </w:style>
  <w:style w:type="character" w:customStyle="1" w:styleId="ParaNumChar">
    <w:name w:val="ParaNum Char"/>
    <w:basedOn w:val="DefaultParagraphFont"/>
    <w:link w:val="ParaNum"/>
    <w:locked/>
    <w:rsid w:val="000348BE"/>
    <w:rPr>
      <w:sz w:val="22"/>
    </w:rPr>
  </w:style>
  <w:style w:type="character" w:customStyle="1" w:styleId="documentbody5">
    <w:name w:val="documentbody5"/>
    <w:basedOn w:val="DefaultParagraphFont"/>
    <w:rsid w:val="000348BE"/>
    <w:rPr>
      <w:rFonts w:ascii="Verdana" w:hAnsi="Verdana" w:hint="default"/>
      <w:sz w:val="19"/>
      <w:szCs w:val="19"/>
    </w:rPr>
  </w:style>
  <w:style w:type="character" w:customStyle="1" w:styleId="Heading1Char">
    <w:name w:val="Heading 1 Char"/>
    <w:basedOn w:val="DefaultParagraphFont"/>
    <w:link w:val="Heading1"/>
    <w:rsid w:val="00E056D5"/>
    <w:rPr>
      <w:b/>
      <w:caps/>
      <w:sz w:val="22"/>
    </w:rPr>
  </w:style>
  <w:style w:type="character" w:customStyle="1" w:styleId="Heading2Char">
    <w:name w:val="Heading 2 Char"/>
    <w:basedOn w:val="DefaultParagraphFont"/>
    <w:link w:val="Heading2"/>
    <w:rsid w:val="00E056D5"/>
    <w:rPr>
      <w:b/>
      <w:sz w:val="22"/>
    </w:rPr>
  </w:style>
  <w:style w:type="character" w:customStyle="1" w:styleId="Heading3Char">
    <w:name w:val="Heading 3 Char"/>
    <w:basedOn w:val="DefaultParagraphFont"/>
    <w:link w:val="Heading3"/>
    <w:rsid w:val="00E056D5"/>
    <w:rPr>
      <w:b/>
      <w:sz w:val="22"/>
    </w:rPr>
  </w:style>
  <w:style w:type="character" w:customStyle="1" w:styleId="Heading4Char">
    <w:name w:val="Heading 4 Char"/>
    <w:basedOn w:val="DefaultParagraphFont"/>
    <w:link w:val="Heading4"/>
    <w:rsid w:val="00E056D5"/>
    <w:rPr>
      <w:b/>
      <w:sz w:val="22"/>
    </w:rPr>
  </w:style>
  <w:style w:type="character" w:customStyle="1" w:styleId="Heading5Char">
    <w:name w:val="Heading 5 Char"/>
    <w:basedOn w:val="DefaultParagraphFont"/>
    <w:link w:val="Heading5"/>
    <w:rsid w:val="00E056D5"/>
    <w:rPr>
      <w:b/>
      <w:sz w:val="22"/>
    </w:rPr>
  </w:style>
  <w:style w:type="character" w:customStyle="1" w:styleId="Heading6Char">
    <w:name w:val="Heading 6 Char"/>
    <w:basedOn w:val="DefaultParagraphFont"/>
    <w:link w:val="Heading6"/>
    <w:rsid w:val="00E056D5"/>
    <w:rPr>
      <w:b/>
      <w:sz w:val="22"/>
    </w:rPr>
  </w:style>
  <w:style w:type="character" w:customStyle="1" w:styleId="Heading7Char">
    <w:name w:val="Heading 7 Char"/>
    <w:basedOn w:val="DefaultParagraphFont"/>
    <w:link w:val="Heading7"/>
    <w:rsid w:val="00E056D5"/>
    <w:rPr>
      <w:b/>
      <w:sz w:val="22"/>
    </w:rPr>
  </w:style>
  <w:style w:type="character" w:customStyle="1" w:styleId="Heading8Char">
    <w:name w:val="Heading 8 Char"/>
    <w:basedOn w:val="DefaultParagraphFont"/>
    <w:link w:val="Heading8"/>
    <w:rsid w:val="00E056D5"/>
    <w:rPr>
      <w:b/>
      <w:sz w:val="22"/>
    </w:rPr>
  </w:style>
  <w:style w:type="character" w:customStyle="1" w:styleId="Heading9Char">
    <w:name w:val="Heading 9 Char"/>
    <w:basedOn w:val="DefaultParagraphFont"/>
    <w:link w:val="Heading9"/>
    <w:rsid w:val="00E056D5"/>
    <w:rPr>
      <w:b/>
      <w:sz w:val="22"/>
    </w:rPr>
  </w:style>
  <w:style w:type="paragraph" w:styleId="ListParagraph">
    <w:name w:val="List Paragraph"/>
    <w:basedOn w:val="Normal"/>
    <w:uiPriority w:val="34"/>
    <w:qFormat/>
    <w:rsid w:val="00E056D5"/>
    <w:pPr>
      <w:ind w:left="720"/>
      <w:contextualSpacing/>
    </w:pPr>
  </w:style>
  <w:style w:type="character" w:styleId="FollowedHyperlink">
    <w:name w:val="FollowedHyperlink"/>
    <w:basedOn w:val="DefaultParagraphFont"/>
    <w:semiHidden/>
    <w:unhideWhenUsed/>
    <w:rsid w:val="00753AE8"/>
    <w:rPr>
      <w:color w:val="800080" w:themeColor="followedHyperlink"/>
      <w:u w:val="single"/>
    </w:rPr>
  </w:style>
  <w:style w:type="paragraph" w:styleId="Revision">
    <w:name w:val="Revision"/>
    <w:hidden/>
    <w:uiPriority w:val="99"/>
    <w:semiHidden/>
    <w:rsid w:val="001C10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8333</Characters>
  <Application>Microsoft Office Word</Application>
  <DocSecurity>0</DocSecurity>
  <Lines>140</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9841</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2016-06-23T15:44:00Z</dcterms:created>
  <dcterms:modified xsi:type="dcterms:W3CDTF">2016-06-23T15:44:00Z</dcterms:modified>
  <cp:category> </cp:category>
  <cp:contentStatus> </cp:contentStatus>
</cp:coreProperties>
</file>