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B7714" w:rsidRDefault="006B7714" w:rsidP="009A3799">
      <w:pPr>
        <w:spacing w:before="60" w:after="120"/>
        <w:jc w:val="right"/>
        <w:rPr>
          <w:b/>
          <w:szCs w:val="22"/>
        </w:rPr>
      </w:pPr>
      <w:r>
        <w:rPr>
          <w:b/>
          <w:szCs w:val="22"/>
        </w:rPr>
        <w:lastRenderedPageBreak/>
        <w:t xml:space="preserve">DA </w:t>
      </w:r>
      <w:r w:rsidR="00E2119C">
        <w:rPr>
          <w:b/>
          <w:szCs w:val="22"/>
        </w:rPr>
        <w:t>16</w:t>
      </w:r>
      <w:r w:rsidR="0083017B" w:rsidRPr="0083017B">
        <w:rPr>
          <w:b/>
          <w:szCs w:val="22"/>
        </w:rPr>
        <w:t>-</w:t>
      </w:r>
      <w:r w:rsidR="00FC3109">
        <w:rPr>
          <w:b/>
          <w:szCs w:val="22"/>
        </w:rPr>
        <w:t>71</w:t>
      </w:r>
    </w:p>
    <w:p w:rsidR="006B7714" w:rsidRDefault="006B7714" w:rsidP="009A3799">
      <w:pPr>
        <w:spacing w:after="240"/>
        <w:jc w:val="right"/>
        <w:rPr>
          <w:szCs w:val="22"/>
        </w:rPr>
      </w:pPr>
      <w:r>
        <w:rPr>
          <w:b/>
          <w:szCs w:val="22"/>
        </w:rPr>
        <w:t>Released:</w:t>
      </w:r>
      <w:r w:rsidR="00EA5BC3">
        <w:rPr>
          <w:b/>
          <w:szCs w:val="22"/>
        </w:rPr>
        <w:t xml:space="preserve">  </w:t>
      </w:r>
      <w:r w:rsidR="00F766DB">
        <w:rPr>
          <w:b/>
          <w:szCs w:val="22"/>
        </w:rPr>
        <w:t xml:space="preserve">January </w:t>
      </w:r>
      <w:r w:rsidR="00FC3109">
        <w:rPr>
          <w:b/>
          <w:szCs w:val="22"/>
        </w:rPr>
        <w:t>21</w:t>
      </w:r>
      <w:r w:rsidR="00EA5BC3">
        <w:rPr>
          <w:b/>
          <w:szCs w:val="22"/>
        </w:rPr>
        <w:t xml:space="preserve">, </w:t>
      </w:r>
      <w:r w:rsidR="00F766DB">
        <w:rPr>
          <w:b/>
          <w:szCs w:val="22"/>
        </w:rPr>
        <w:t>2016</w:t>
      </w:r>
    </w:p>
    <w:p w:rsidR="00E2119C" w:rsidRDefault="00C6045B" w:rsidP="001834F7">
      <w:pPr>
        <w:spacing w:after="120"/>
        <w:jc w:val="center"/>
        <w:rPr>
          <w:b/>
          <w:szCs w:val="24"/>
        </w:rPr>
      </w:pPr>
      <w:r>
        <w:rPr>
          <w:b/>
          <w:szCs w:val="24"/>
        </w:rPr>
        <w:t xml:space="preserve">WIRELINE COMPETITION BUREAU SEEKS COMMENTS ON </w:t>
      </w:r>
      <w:r w:rsidR="00E2119C">
        <w:rPr>
          <w:b/>
          <w:szCs w:val="24"/>
        </w:rPr>
        <w:t>NATIONAL EXCHANGE CARRIER ASSOCIATION, INC.’S PROPOSED 2016 MODIFICATION OF AVERAGE SCHEDULE FORMULAS</w:t>
      </w:r>
    </w:p>
    <w:p w:rsidR="006353FC" w:rsidRPr="009878FF" w:rsidRDefault="006353FC" w:rsidP="006353FC">
      <w:pPr>
        <w:autoSpaceDE w:val="0"/>
        <w:autoSpaceDN w:val="0"/>
        <w:adjustRightInd w:val="0"/>
        <w:jc w:val="center"/>
        <w:rPr>
          <w:b/>
          <w:color w:val="000000"/>
          <w:szCs w:val="22"/>
        </w:rPr>
      </w:pPr>
      <w:r w:rsidRPr="009878FF">
        <w:rPr>
          <w:b/>
          <w:color w:val="000000"/>
          <w:szCs w:val="22"/>
        </w:rPr>
        <w:t xml:space="preserve">WC Docket No. </w:t>
      </w:r>
      <w:r w:rsidR="00E2119C">
        <w:rPr>
          <w:b/>
          <w:color w:val="000000"/>
          <w:szCs w:val="22"/>
        </w:rPr>
        <w:t>15-298</w:t>
      </w:r>
    </w:p>
    <w:p w:rsidR="009878FF" w:rsidRDefault="009878FF" w:rsidP="009878FF">
      <w:pPr>
        <w:autoSpaceDE w:val="0"/>
        <w:autoSpaceDN w:val="0"/>
        <w:adjustRightInd w:val="0"/>
        <w:jc w:val="center"/>
        <w:rPr>
          <w:b/>
          <w:szCs w:val="22"/>
        </w:rPr>
      </w:pPr>
    </w:p>
    <w:p w:rsidR="00E832CD" w:rsidRPr="00E832CD" w:rsidRDefault="00E832CD" w:rsidP="00E832CD">
      <w:pPr>
        <w:autoSpaceDE w:val="0"/>
        <w:autoSpaceDN w:val="0"/>
        <w:adjustRightInd w:val="0"/>
        <w:rPr>
          <w:b/>
          <w:szCs w:val="22"/>
        </w:rPr>
      </w:pPr>
      <w:r w:rsidRPr="00E832CD">
        <w:rPr>
          <w:b/>
          <w:szCs w:val="22"/>
        </w:rPr>
        <w:t xml:space="preserve">Comment Date:  </w:t>
      </w:r>
      <w:r w:rsidR="00612AF9">
        <w:rPr>
          <w:b/>
          <w:szCs w:val="22"/>
        </w:rPr>
        <w:t>February 22</w:t>
      </w:r>
      <w:r>
        <w:rPr>
          <w:b/>
          <w:szCs w:val="22"/>
        </w:rPr>
        <w:t xml:space="preserve">, </w:t>
      </w:r>
      <w:r w:rsidRPr="00E832CD">
        <w:rPr>
          <w:b/>
          <w:szCs w:val="22"/>
        </w:rPr>
        <w:t>20</w:t>
      </w:r>
      <w:r>
        <w:rPr>
          <w:b/>
          <w:szCs w:val="22"/>
        </w:rPr>
        <w:t>16</w:t>
      </w:r>
      <w:r w:rsidRPr="00E832CD">
        <w:rPr>
          <w:b/>
          <w:szCs w:val="22"/>
        </w:rPr>
        <w:t xml:space="preserve"> </w:t>
      </w:r>
    </w:p>
    <w:p w:rsidR="00E832CD" w:rsidRDefault="00612AF9" w:rsidP="009A3799">
      <w:pPr>
        <w:autoSpaceDE w:val="0"/>
        <w:autoSpaceDN w:val="0"/>
        <w:adjustRightInd w:val="0"/>
        <w:spacing w:after="240"/>
        <w:rPr>
          <w:b/>
          <w:szCs w:val="22"/>
        </w:rPr>
      </w:pPr>
      <w:r>
        <w:rPr>
          <w:b/>
          <w:szCs w:val="22"/>
        </w:rPr>
        <w:t>Reply Comment Date:  March 8</w:t>
      </w:r>
      <w:r w:rsidR="00E832CD" w:rsidRPr="00E832CD">
        <w:rPr>
          <w:b/>
          <w:szCs w:val="22"/>
        </w:rPr>
        <w:t>, 201</w:t>
      </w:r>
      <w:r w:rsidR="00E832CD">
        <w:rPr>
          <w:b/>
          <w:szCs w:val="22"/>
        </w:rPr>
        <w:t>6</w:t>
      </w:r>
    </w:p>
    <w:p w:rsidR="00F766DB" w:rsidRPr="00B10D3F" w:rsidRDefault="00F766DB" w:rsidP="00435D94">
      <w:pPr>
        <w:pStyle w:val="Style0"/>
        <w:spacing w:after="120"/>
        <w:ind w:firstLine="720"/>
        <w:rPr>
          <w:rFonts w:ascii="Times New Roman" w:hAnsi="Times New Roman"/>
          <w:color w:val="000000"/>
          <w:sz w:val="22"/>
          <w:szCs w:val="22"/>
        </w:rPr>
      </w:pPr>
      <w:r w:rsidRPr="00B10D3F">
        <w:rPr>
          <w:rFonts w:ascii="Times New Roman" w:hAnsi="Times New Roman"/>
          <w:color w:val="000000"/>
          <w:sz w:val="22"/>
          <w:szCs w:val="22"/>
        </w:rPr>
        <w:t>On December 2</w:t>
      </w:r>
      <w:r>
        <w:rPr>
          <w:rFonts w:ascii="Times New Roman" w:hAnsi="Times New Roman"/>
          <w:color w:val="000000"/>
          <w:sz w:val="22"/>
          <w:szCs w:val="22"/>
        </w:rPr>
        <w:t>3</w:t>
      </w:r>
      <w:r w:rsidRPr="00B10D3F">
        <w:rPr>
          <w:rFonts w:ascii="Times New Roman" w:hAnsi="Times New Roman"/>
          <w:color w:val="000000"/>
          <w:sz w:val="22"/>
          <w:szCs w:val="22"/>
        </w:rPr>
        <w:t>, 201</w:t>
      </w:r>
      <w:r>
        <w:rPr>
          <w:rFonts w:ascii="Times New Roman" w:hAnsi="Times New Roman"/>
          <w:color w:val="000000"/>
          <w:sz w:val="22"/>
          <w:szCs w:val="22"/>
        </w:rPr>
        <w:t>5</w:t>
      </w:r>
      <w:r w:rsidRPr="00B10D3F">
        <w:rPr>
          <w:rFonts w:ascii="Times New Roman" w:hAnsi="Times New Roman"/>
          <w:color w:val="000000"/>
          <w:sz w:val="22"/>
          <w:szCs w:val="22"/>
        </w:rPr>
        <w:t>, the National Exchange Carrier Association, Inc. (NECA) filed with the Commission its proposed modification of average schedule formulas for interstate settlements, pursuant to section 69.606 of the Commission’s rules.</w:t>
      </w:r>
      <w:r w:rsidRPr="00B10D3F">
        <w:rPr>
          <w:rStyle w:val="FootnoteReference"/>
          <w:rFonts w:ascii="Times New Roman" w:hAnsi="Times New Roman"/>
          <w:color w:val="000000"/>
          <w:sz w:val="22"/>
          <w:szCs w:val="22"/>
        </w:rPr>
        <w:footnoteReference w:id="1"/>
      </w:r>
      <w:r w:rsidRPr="00B10D3F">
        <w:rPr>
          <w:rFonts w:ascii="Times New Roman" w:hAnsi="Times New Roman"/>
          <w:color w:val="000000"/>
          <w:sz w:val="22"/>
          <w:szCs w:val="22"/>
        </w:rPr>
        <w:t xml:space="preserve">  NECA proposes to revise the formulas for average schedule interstate settlement disbursements in connection with the provision of interstate access services for the period beginning July 1, 201</w:t>
      </w:r>
      <w:r>
        <w:rPr>
          <w:rFonts w:ascii="Times New Roman" w:hAnsi="Times New Roman"/>
          <w:color w:val="000000"/>
          <w:sz w:val="22"/>
          <w:szCs w:val="22"/>
        </w:rPr>
        <w:t>6</w:t>
      </w:r>
      <w:r w:rsidRPr="00B10D3F">
        <w:rPr>
          <w:rFonts w:ascii="Times New Roman" w:hAnsi="Times New Roman"/>
          <w:color w:val="000000"/>
          <w:sz w:val="22"/>
          <w:szCs w:val="22"/>
        </w:rPr>
        <w:t>, through June 30, 201</w:t>
      </w:r>
      <w:r>
        <w:rPr>
          <w:rFonts w:ascii="Times New Roman" w:hAnsi="Times New Roman"/>
          <w:color w:val="000000"/>
          <w:sz w:val="22"/>
          <w:szCs w:val="22"/>
        </w:rPr>
        <w:t>7</w:t>
      </w:r>
      <w:r w:rsidRPr="00B10D3F">
        <w:rPr>
          <w:rFonts w:ascii="Times New Roman" w:hAnsi="Times New Roman"/>
          <w:color w:val="000000"/>
          <w:sz w:val="22"/>
          <w:szCs w:val="22"/>
        </w:rPr>
        <w:t xml:space="preserve">.  </w:t>
      </w:r>
    </w:p>
    <w:p w:rsidR="00F766DB" w:rsidRPr="00B10D3F" w:rsidRDefault="00F766DB" w:rsidP="00435D94">
      <w:pPr>
        <w:autoSpaceDE w:val="0"/>
        <w:autoSpaceDN w:val="0"/>
        <w:adjustRightInd w:val="0"/>
        <w:spacing w:after="120"/>
        <w:rPr>
          <w:color w:val="231F20"/>
          <w:szCs w:val="22"/>
        </w:rPr>
      </w:pPr>
      <w:r w:rsidRPr="00B10D3F">
        <w:rPr>
          <w:szCs w:val="22"/>
        </w:rPr>
        <w:tab/>
      </w:r>
      <w:r w:rsidR="00817F49">
        <w:rPr>
          <w:szCs w:val="22"/>
        </w:rPr>
        <w:t>According to NECA</w:t>
      </w:r>
      <w:r w:rsidR="002478FB">
        <w:rPr>
          <w:szCs w:val="22"/>
        </w:rPr>
        <w:t>’s filing</w:t>
      </w:r>
      <w:r w:rsidR="00817F49">
        <w:rPr>
          <w:szCs w:val="22"/>
        </w:rPr>
        <w:t>,</w:t>
      </w:r>
      <w:r w:rsidR="002478FB">
        <w:rPr>
          <w:szCs w:val="22"/>
        </w:rPr>
        <w:t xml:space="preserve"> the </w:t>
      </w:r>
      <w:r w:rsidRPr="00B10D3F">
        <w:rPr>
          <w:color w:val="231F20"/>
          <w:szCs w:val="22"/>
        </w:rPr>
        <w:t>propose</w:t>
      </w:r>
      <w:r w:rsidR="002478FB">
        <w:rPr>
          <w:color w:val="231F20"/>
          <w:szCs w:val="22"/>
        </w:rPr>
        <w:t>d</w:t>
      </w:r>
      <w:r w:rsidRPr="00B10D3F">
        <w:rPr>
          <w:color w:val="231F20"/>
          <w:szCs w:val="22"/>
        </w:rPr>
        <w:t xml:space="preserve"> formula changes w</w:t>
      </w:r>
      <w:r w:rsidR="002478FB">
        <w:rPr>
          <w:color w:val="231F20"/>
          <w:szCs w:val="22"/>
        </w:rPr>
        <w:t xml:space="preserve">ill </w:t>
      </w:r>
      <w:r>
        <w:rPr>
          <w:color w:val="231F20"/>
          <w:szCs w:val="22"/>
        </w:rPr>
        <w:t xml:space="preserve">increase </w:t>
      </w:r>
      <w:r w:rsidRPr="00B10D3F">
        <w:rPr>
          <w:color w:val="231F20"/>
          <w:szCs w:val="22"/>
        </w:rPr>
        <w:t xml:space="preserve">settlement rates by </w:t>
      </w:r>
      <w:r>
        <w:rPr>
          <w:color w:val="231F20"/>
          <w:szCs w:val="22"/>
        </w:rPr>
        <w:t>2.6</w:t>
      </w:r>
      <w:r w:rsidR="0016330A">
        <w:rPr>
          <w:color w:val="231F20"/>
          <w:szCs w:val="22"/>
        </w:rPr>
        <w:t xml:space="preserve"> </w:t>
      </w:r>
      <w:r>
        <w:rPr>
          <w:color w:val="231F20"/>
          <w:szCs w:val="22"/>
        </w:rPr>
        <w:t>percent</w:t>
      </w:r>
      <w:r w:rsidRPr="00B10D3F">
        <w:rPr>
          <w:color w:val="231F20"/>
          <w:szCs w:val="22"/>
        </w:rPr>
        <w:t xml:space="preserve"> at constant demand.</w:t>
      </w:r>
      <w:r w:rsidRPr="00B10D3F">
        <w:rPr>
          <w:rStyle w:val="FootnoteReference"/>
          <w:szCs w:val="22"/>
        </w:rPr>
        <w:footnoteReference w:id="2"/>
      </w:r>
      <w:r w:rsidRPr="00B10D3F">
        <w:rPr>
          <w:color w:val="231F20"/>
          <w:szCs w:val="22"/>
        </w:rPr>
        <w:t xml:space="preserve"> </w:t>
      </w:r>
      <w:r>
        <w:rPr>
          <w:color w:val="231F20"/>
          <w:szCs w:val="22"/>
        </w:rPr>
        <w:t xml:space="preserve"> </w:t>
      </w:r>
      <w:r w:rsidR="002478FB">
        <w:rPr>
          <w:color w:val="231F20"/>
          <w:szCs w:val="22"/>
        </w:rPr>
        <w:t>NECA states that t</w:t>
      </w:r>
      <w:r w:rsidRPr="00B10D3F">
        <w:rPr>
          <w:color w:val="231F20"/>
          <w:szCs w:val="22"/>
        </w:rPr>
        <w:t>he proposed settlement formulas reflect the same general structures and methods as current formulas</w:t>
      </w:r>
      <w:r w:rsidRPr="00B10D3F">
        <w:rPr>
          <w:szCs w:val="22"/>
        </w:rPr>
        <w:t>.</w:t>
      </w:r>
      <w:r w:rsidR="00825F63">
        <w:rPr>
          <w:rStyle w:val="FootnoteReference"/>
          <w:szCs w:val="22"/>
        </w:rPr>
        <w:footnoteReference w:id="3"/>
      </w:r>
      <w:r w:rsidRPr="00B10D3F">
        <w:rPr>
          <w:szCs w:val="22"/>
        </w:rPr>
        <w:t xml:space="preserve"> </w:t>
      </w:r>
      <w:r>
        <w:rPr>
          <w:szCs w:val="22"/>
        </w:rPr>
        <w:t xml:space="preserve"> </w:t>
      </w:r>
      <w:r w:rsidR="002478FB">
        <w:rPr>
          <w:szCs w:val="22"/>
        </w:rPr>
        <w:t xml:space="preserve">NECA </w:t>
      </w:r>
      <w:r w:rsidR="00825F63">
        <w:rPr>
          <w:szCs w:val="22"/>
        </w:rPr>
        <w:t xml:space="preserve">further </w:t>
      </w:r>
      <w:r w:rsidR="002478FB">
        <w:rPr>
          <w:szCs w:val="22"/>
        </w:rPr>
        <w:t>states that t</w:t>
      </w:r>
      <w:r w:rsidRPr="00B10D3F">
        <w:rPr>
          <w:szCs w:val="22"/>
        </w:rPr>
        <w:t>he effects of these formula changes on individual average schedule companies will vary depending on each company’s size and demand characteristics.</w:t>
      </w:r>
      <w:r w:rsidR="00825F63">
        <w:rPr>
          <w:rStyle w:val="FootnoteReference"/>
          <w:szCs w:val="22"/>
        </w:rPr>
        <w:footnoteReference w:id="4"/>
      </w:r>
      <w:r w:rsidRPr="00B10D3F">
        <w:rPr>
          <w:szCs w:val="22"/>
        </w:rPr>
        <w:t xml:space="preserve">  </w:t>
      </w:r>
      <w:r w:rsidR="007C64A2" w:rsidRPr="007C64A2">
        <w:rPr>
          <w:szCs w:val="22"/>
        </w:rPr>
        <w:t xml:space="preserve">NECA </w:t>
      </w:r>
      <w:r w:rsidR="006A2F38">
        <w:rPr>
          <w:szCs w:val="22"/>
        </w:rPr>
        <w:t>“</w:t>
      </w:r>
      <w:r w:rsidR="007C64A2" w:rsidRPr="007C64A2">
        <w:rPr>
          <w:szCs w:val="22"/>
        </w:rPr>
        <w:t>calculates that</w:t>
      </w:r>
      <w:r w:rsidR="007C64A2">
        <w:rPr>
          <w:szCs w:val="22"/>
        </w:rPr>
        <w:t xml:space="preserve"> </w:t>
      </w:r>
      <w:r w:rsidR="007C64A2" w:rsidRPr="007C64A2">
        <w:rPr>
          <w:szCs w:val="22"/>
        </w:rPr>
        <w:t>most companies are expected to experience increases in settlements, with 46 study areas</w:t>
      </w:r>
      <w:r w:rsidR="007C64A2">
        <w:rPr>
          <w:szCs w:val="22"/>
        </w:rPr>
        <w:t xml:space="preserve"> </w:t>
      </w:r>
      <w:r w:rsidR="007C64A2" w:rsidRPr="007C64A2">
        <w:rPr>
          <w:szCs w:val="22"/>
        </w:rPr>
        <w:t>of the total 313 average schedule study areas expected to experience settlement rate</w:t>
      </w:r>
      <w:r w:rsidR="007C64A2">
        <w:rPr>
          <w:szCs w:val="22"/>
        </w:rPr>
        <w:t xml:space="preserve"> </w:t>
      </w:r>
      <w:r w:rsidR="007C64A2" w:rsidRPr="007C64A2">
        <w:rPr>
          <w:szCs w:val="22"/>
        </w:rPr>
        <w:t>reductions, at constant demand.</w:t>
      </w:r>
      <w:r w:rsidR="006A2F38">
        <w:rPr>
          <w:szCs w:val="22"/>
        </w:rPr>
        <w:t>”</w:t>
      </w:r>
      <w:r w:rsidRPr="00B10D3F">
        <w:rPr>
          <w:rStyle w:val="FootnoteReference"/>
          <w:szCs w:val="22"/>
        </w:rPr>
        <w:footnoteReference w:id="5"/>
      </w:r>
      <w:r w:rsidRPr="00B10D3F">
        <w:rPr>
          <w:color w:val="231F20"/>
          <w:szCs w:val="22"/>
        </w:rPr>
        <w:t xml:space="preserve"> </w:t>
      </w:r>
    </w:p>
    <w:p w:rsidR="007C64A2" w:rsidRDefault="00F766DB" w:rsidP="00435D94">
      <w:pPr>
        <w:autoSpaceDE w:val="0"/>
        <w:autoSpaceDN w:val="0"/>
        <w:adjustRightInd w:val="0"/>
        <w:spacing w:after="120"/>
        <w:ind w:firstLine="720"/>
        <w:rPr>
          <w:color w:val="231F20"/>
          <w:szCs w:val="22"/>
        </w:rPr>
      </w:pPr>
      <w:r w:rsidRPr="008C330E">
        <w:rPr>
          <w:color w:val="231F20"/>
          <w:szCs w:val="22"/>
        </w:rPr>
        <w:t xml:space="preserve">According to NECA, </w:t>
      </w:r>
      <w:r w:rsidR="00AE300D">
        <w:rPr>
          <w:color w:val="231F20"/>
          <w:szCs w:val="22"/>
        </w:rPr>
        <w:t>“</w:t>
      </w:r>
      <w:r w:rsidR="007C64A2" w:rsidRPr="008C330E">
        <w:rPr>
          <w:color w:val="231F20"/>
          <w:szCs w:val="22"/>
        </w:rPr>
        <w:t>most of the settlement increases are attributed to increases in special access formulas across all line-size groups</w:t>
      </w:r>
      <w:r w:rsidR="002478FB" w:rsidRPr="008C330E">
        <w:rPr>
          <w:color w:val="231F20"/>
          <w:szCs w:val="22"/>
        </w:rPr>
        <w:t>,</w:t>
      </w:r>
      <w:r w:rsidR="00AE300D">
        <w:rPr>
          <w:color w:val="231F20"/>
          <w:szCs w:val="22"/>
        </w:rPr>
        <w:t>”</w:t>
      </w:r>
      <w:r w:rsidR="002478FB" w:rsidRPr="008C330E">
        <w:rPr>
          <w:color w:val="231F20"/>
          <w:szCs w:val="22"/>
        </w:rPr>
        <w:t xml:space="preserve"> and t</w:t>
      </w:r>
      <w:r w:rsidR="007C64A2" w:rsidRPr="008C330E">
        <w:rPr>
          <w:color w:val="231F20"/>
          <w:szCs w:val="22"/>
        </w:rPr>
        <w:t xml:space="preserve">he </w:t>
      </w:r>
      <w:r w:rsidR="00AE300D">
        <w:rPr>
          <w:color w:val="231F20"/>
          <w:szCs w:val="22"/>
        </w:rPr>
        <w:t>“</w:t>
      </w:r>
      <w:r w:rsidR="007C64A2" w:rsidRPr="008C330E">
        <w:rPr>
          <w:color w:val="231F20"/>
          <w:szCs w:val="22"/>
        </w:rPr>
        <w:t>increases in special access DSL and Non-DSL formulas are attributed to higher account growth and a continued increase in account allocations</w:t>
      </w:r>
      <w:r w:rsidR="00AE300D">
        <w:rPr>
          <w:color w:val="231F20"/>
          <w:szCs w:val="22"/>
        </w:rPr>
        <w:t xml:space="preserve"> to the special access category</w:t>
      </w:r>
      <w:r w:rsidR="007C64A2" w:rsidRPr="008C330E">
        <w:rPr>
          <w:color w:val="231F20"/>
          <w:szCs w:val="22"/>
        </w:rPr>
        <w:t xml:space="preserve"> especially for account COE 4.2.</w:t>
      </w:r>
      <w:r w:rsidR="00AE300D">
        <w:rPr>
          <w:color w:val="231F20"/>
          <w:szCs w:val="22"/>
        </w:rPr>
        <w:t>”</w:t>
      </w:r>
      <w:r w:rsidR="00825F63">
        <w:rPr>
          <w:rStyle w:val="FootnoteReference"/>
          <w:color w:val="231F20"/>
          <w:szCs w:val="22"/>
        </w:rPr>
        <w:footnoteReference w:id="6"/>
      </w:r>
      <w:r w:rsidR="00AE300D">
        <w:rPr>
          <w:color w:val="231F20"/>
          <w:szCs w:val="22"/>
        </w:rPr>
        <w:t xml:space="preserve">  NECA also states that</w:t>
      </w:r>
      <w:r w:rsidR="002478FB" w:rsidRPr="008C330E">
        <w:rPr>
          <w:color w:val="231F20"/>
          <w:szCs w:val="22"/>
        </w:rPr>
        <w:t xml:space="preserve"> a</w:t>
      </w:r>
      <w:r w:rsidR="007C64A2" w:rsidRPr="008C330E">
        <w:rPr>
          <w:color w:val="231F20"/>
          <w:szCs w:val="22"/>
        </w:rPr>
        <w:t xml:space="preserve"> </w:t>
      </w:r>
      <w:r w:rsidR="00AE300D">
        <w:rPr>
          <w:color w:val="231F20"/>
          <w:szCs w:val="22"/>
        </w:rPr>
        <w:t>“</w:t>
      </w:r>
      <w:r w:rsidR="007C64A2" w:rsidRPr="008C330E">
        <w:rPr>
          <w:color w:val="231F20"/>
          <w:szCs w:val="22"/>
        </w:rPr>
        <w:t xml:space="preserve">projected significant </w:t>
      </w:r>
      <w:r w:rsidR="007C64A2" w:rsidRPr="008C330E">
        <w:rPr>
          <w:color w:val="231F20"/>
          <w:szCs w:val="22"/>
        </w:rPr>
        <w:lastRenderedPageBreak/>
        <w:t>reduction</w:t>
      </w:r>
      <w:r w:rsidR="002478FB" w:rsidRPr="008C330E">
        <w:rPr>
          <w:color w:val="231F20"/>
          <w:szCs w:val="22"/>
        </w:rPr>
        <w:t xml:space="preserve"> </w:t>
      </w:r>
      <w:r w:rsidR="007C64A2" w:rsidRPr="008C330E">
        <w:rPr>
          <w:color w:val="231F20"/>
          <w:szCs w:val="22"/>
        </w:rPr>
        <w:t>in Non-DSL demand has contributed to an increase of the Non-DSL formula, while a projected increase in DSL demand has partially offset the increase of the DSL formula.</w:t>
      </w:r>
      <w:r w:rsidR="00F42470">
        <w:rPr>
          <w:color w:val="231F20"/>
          <w:szCs w:val="22"/>
        </w:rPr>
        <w:t>”</w:t>
      </w:r>
      <w:r w:rsidR="007C64A2" w:rsidRPr="00B10D3F">
        <w:rPr>
          <w:rStyle w:val="FootnoteReference"/>
          <w:szCs w:val="22"/>
        </w:rPr>
        <w:footnoteReference w:id="7"/>
      </w:r>
    </w:p>
    <w:p w:rsidR="00E832CD" w:rsidRPr="004C5C5C" w:rsidRDefault="00E832CD" w:rsidP="00435D94">
      <w:pPr>
        <w:pStyle w:val="Default"/>
        <w:spacing w:after="120"/>
        <w:ind w:firstLine="720"/>
        <w:rPr>
          <w:sz w:val="22"/>
          <w:szCs w:val="22"/>
        </w:rPr>
      </w:pPr>
      <w:r w:rsidRPr="004C5C5C">
        <w:rPr>
          <w:sz w:val="22"/>
          <w:szCs w:val="22"/>
        </w:rPr>
        <w:t xml:space="preserve">Pursuant to section 1.419 of the Commission’s rules, 47 CFR § 1.419, interested parties may file comments and reply comments on or before the dates indicated on the first page of this document.  Comments may be filed </w:t>
      </w:r>
      <w:r w:rsidR="00316FAA">
        <w:rPr>
          <w:sz w:val="22"/>
          <w:szCs w:val="22"/>
        </w:rPr>
        <w:t xml:space="preserve">by paper or by </w:t>
      </w:r>
      <w:r w:rsidRPr="004C5C5C">
        <w:rPr>
          <w:sz w:val="22"/>
          <w:szCs w:val="22"/>
        </w:rPr>
        <w:t xml:space="preserve">using the Commission’s Electronic Comment Filing System (ECFS).  </w:t>
      </w:r>
      <w:r w:rsidRPr="004C5C5C">
        <w:rPr>
          <w:i/>
          <w:sz w:val="22"/>
          <w:szCs w:val="22"/>
        </w:rPr>
        <w:t>See Electronic Filing of Documents in Rulemaking Proceedings</w:t>
      </w:r>
      <w:r w:rsidRPr="004C5C5C">
        <w:rPr>
          <w:sz w:val="22"/>
          <w:szCs w:val="22"/>
        </w:rPr>
        <w:t>, 63 FR 24121 (1998).</w:t>
      </w:r>
    </w:p>
    <w:p w:rsidR="006B7714" w:rsidRDefault="006B7714">
      <w:pPr>
        <w:numPr>
          <w:ilvl w:val="0"/>
          <w:numId w:val="13"/>
        </w:numPr>
        <w:spacing w:after="120"/>
        <w:contextualSpacing/>
        <w:rPr>
          <w:rFonts w:eastAsia="Calibri"/>
          <w:szCs w:val="22"/>
        </w:rPr>
      </w:pPr>
      <w:r>
        <w:rPr>
          <w:rFonts w:eastAsia="Calibri"/>
          <w:szCs w:val="22"/>
        </w:rPr>
        <w:t>Electronic Filers:</w:t>
      </w:r>
      <w:r w:rsidR="00A82796">
        <w:rPr>
          <w:rFonts w:eastAsia="Calibri"/>
          <w:szCs w:val="22"/>
        </w:rPr>
        <w:t xml:space="preserve"> </w:t>
      </w:r>
      <w:r>
        <w:rPr>
          <w:rFonts w:eastAsia="Calibri"/>
          <w:szCs w:val="22"/>
        </w:rPr>
        <w:t xml:space="preserve"> </w:t>
      </w:r>
      <w:r w:rsidR="00BA5949">
        <w:rPr>
          <w:rFonts w:eastAsia="Calibri"/>
          <w:szCs w:val="22"/>
        </w:rPr>
        <w:t xml:space="preserve">Comments </w:t>
      </w:r>
      <w:r>
        <w:rPr>
          <w:rFonts w:eastAsia="Calibri"/>
          <w:szCs w:val="22"/>
        </w:rPr>
        <w:t xml:space="preserve">may be filed electronically using the Internet by accessing </w:t>
      </w:r>
      <w:r>
        <w:rPr>
          <w:rFonts w:eastAsia="Calibri"/>
          <w:color w:val="000000"/>
          <w:szCs w:val="22"/>
        </w:rPr>
        <w:t>ECFS</w:t>
      </w:r>
      <w:r>
        <w:rPr>
          <w:rFonts w:eastAsia="Calibri"/>
          <w:szCs w:val="22"/>
        </w:rPr>
        <w:t xml:space="preserve">: </w:t>
      </w:r>
      <w:hyperlink r:id="rId14" w:history="1">
        <w:r>
          <w:rPr>
            <w:rStyle w:val="Hyperlink"/>
            <w:snapToGrid w:val="0"/>
            <w:color w:val="auto"/>
            <w:kern w:val="28"/>
            <w:szCs w:val="22"/>
            <w:u w:val="none"/>
          </w:rPr>
          <w:t>http://apps.fcc.gov/ecfs</w:t>
        </w:r>
      </w:hyperlink>
      <w:r>
        <w:rPr>
          <w:rFonts w:eastAsia="Calibri"/>
          <w:szCs w:val="22"/>
        </w:rPr>
        <w:t>.</w:t>
      </w:r>
    </w:p>
    <w:p w:rsidR="006B7714" w:rsidRDefault="006B7714">
      <w:pPr>
        <w:spacing w:after="120"/>
        <w:ind w:left="720"/>
        <w:contextualSpacing/>
        <w:rPr>
          <w:rFonts w:eastAsia="Calibri"/>
          <w:sz w:val="12"/>
          <w:szCs w:val="12"/>
        </w:rPr>
      </w:pPr>
    </w:p>
    <w:p w:rsidR="006B7714" w:rsidRDefault="006B7714">
      <w:pPr>
        <w:numPr>
          <w:ilvl w:val="0"/>
          <w:numId w:val="13"/>
        </w:numPr>
        <w:spacing w:after="120"/>
        <w:contextualSpacing/>
        <w:rPr>
          <w:rFonts w:eastAsia="Calibri"/>
          <w:szCs w:val="22"/>
        </w:rPr>
      </w:pPr>
      <w:r>
        <w:rPr>
          <w:rFonts w:eastAsia="Calibri"/>
          <w:szCs w:val="22"/>
        </w:rPr>
        <w:t xml:space="preserve">Paper Filers: </w:t>
      </w:r>
      <w:r w:rsidR="00A82796">
        <w:rPr>
          <w:rFonts w:eastAsia="Calibri"/>
          <w:szCs w:val="22"/>
        </w:rPr>
        <w:t xml:space="preserve"> </w:t>
      </w:r>
      <w:r>
        <w:rPr>
          <w:rFonts w:eastAsia="Calibri"/>
          <w:szCs w:val="22"/>
        </w:rPr>
        <w:t xml:space="preserve">Parties who choose to file by paper must file an original and one copy of each filing.  Filings can be sent by hand or messenger delivery, by commercial overnight courier, or by first-class or overnight U.S. Postal Service mail.  </w:t>
      </w:r>
    </w:p>
    <w:p w:rsidR="006B7714" w:rsidRDefault="006B7714">
      <w:pPr>
        <w:spacing w:after="120"/>
        <w:ind w:left="720"/>
        <w:contextualSpacing/>
        <w:rPr>
          <w:rFonts w:eastAsia="Calibri"/>
          <w:sz w:val="12"/>
          <w:szCs w:val="12"/>
        </w:rPr>
      </w:pPr>
    </w:p>
    <w:p w:rsidR="006B7714" w:rsidRDefault="006B7714" w:rsidP="00435D94">
      <w:pPr>
        <w:numPr>
          <w:ilvl w:val="0"/>
          <w:numId w:val="14"/>
        </w:numPr>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6B7714" w:rsidRDefault="006B7714" w:rsidP="00195ECB">
      <w:pPr>
        <w:ind w:left="108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rsidR="006B7714" w:rsidRDefault="006B7714" w:rsidP="00195ECB">
      <w:pPr>
        <w:ind w:left="1080"/>
        <w:contextualSpacing/>
        <w:rPr>
          <w:rFonts w:eastAsia="Calibri"/>
          <w:sz w:val="12"/>
          <w:szCs w:val="12"/>
        </w:rPr>
      </w:pPr>
    </w:p>
    <w:p w:rsidR="006B7714" w:rsidRDefault="006B7714" w:rsidP="00435D94">
      <w:pPr>
        <w:numPr>
          <w:ilvl w:val="0"/>
          <w:numId w:val="14"/>
        </w:numPr>
        <w:ind w:left="1080"/>
        <w:contextualSpacing/>
        <w:rPr>
          <w:rFonts w:eastAsia="Calibri"/>
          <w:szCs w:val="22"/>
        </w:rPr>
      </w:pPr>
      <w:r>
        <w:rPr>
          <w:rFonts w:eastAsia="Calibri"/>
          <w:szCs w:val="22"/>
        </w:rPr>
        <w:t>U.S. Postal Service first-class, Express, and Priority mail must be addressed to 445 12th Street, SW, Washington, DC 20554.</w:t>
      </w:r>
    </w:p>
    <w:p w:rsidR="006B7714" w:rsidRDefault="006B7714">
      <w:pPr>
        <w:ind w:left="1080"/>
        <w:contextualSpacing/>
        <w:rPr>
          <w:rFonts w:eastAsia="Calibri"/>
          <w:sz w:val="12"/>
          <w:szCs w:val="12"/>
        </w:rPr>
      </w:pPr>
    </w:p>
    <w:p w:rsidR="006B7714" w:rsidRDefault="006B7714">
      <w:pPr>
        <w:ind w:firstLine="720"/>
        <w:contextualSpacing/>
        <w:rPr>
          <w:rFonts w:eastAsia="Calibri"/>
          <w:szCs w:val="22"/>
        </w:rPr>
      </w:pPr>
      <w:r>
        <w:rPr>
          <w:rFonts w:eastAsia="Calibri"/>
          <w:szCs w:val="22"/>
        </w:rPr>
        <w:t xml:space="preserve">People with Disabilities: </w:t>
      </w:r>
      <w:r w:rsidR="00A82796">
        <w:rPr>
          <w:rFonts w:eastAsia="Calibri"/>
          <w:szCs w:val="22"/>
        </w:rPr>
        <w:t xml:space="preserve"> </w:t>
      </w:r>
      <w:r>
        <w:rPr>
          <w:rFonts w:eastAsia="Calibri"/>
          <w:szCs w:val="22"/>
        </w:rPr>
        <w:t>To request materials in accessible formats for people with disabilities</w:t>
      </w:r>
    </w:p>
    <w:p w:rsidR="00435D94" w:rsidRDefault="006B7714" w:rsidP="001834F7">
      <w:pPr>
        <w:spacing w:after="120"/>
        <w:contextualSpacing/>
        <w:rPr>
          <w:rFonts w:eastAsia="Calibri"/>
          <w:szCs w:val="22"/>
        </w:rPr>
      </w:pPr>
      <w:r>
        <w:rPr>
          <w:rFonts w:eastAsia="Calibri"/>
          <w:szCs w:val="22"/>
        </w:rPr>
        <w:t xml:space="preserve">(Braille, large print, electronic files, audio format), send an e-mail to </w:t>
      </w:r>
      <w:hyperlink r:id="rId15" w:history="1">
        <w:r w:rsidR="002C672E"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6A2F38" w:rsidRDefault="006A2F38" w:rsidP="006A2F38">
      <w:pPr>
        <w:contextualSpacing/>
        <w:rPr>
          <w:rFonts w:eastAsia="Calibri"/>
          <w:szCs w:val="22"/>
        </w:rPr>
      </w:pPr>
    </w:p>
    <w:p w:rsidR="00E832CD" w:rsidRDefault="00E832CD" w:rsidP="00435D94">
      <w:pPr>
        <w:spacing w:after="120"/>
        <w:ind w:firstLine="720"/>
        <w:rPr>
          <w:szCs w:val="22"/>
        </w:rPr>
      </w:pPr>
      <w:r w:rsidRPr="00170A3F">
        <w:rPr>
          <w:szCs w:val="22"/>
        </w:rPr>
        <w:t xml:space="preserve">The proceeding this Notice initiates shall be treated as a “permit-but-disclose” proceeding in accordance with the Commission’s </w:t>
      </w:r>
      <w:r w:rsidRPr="00170A3F">
        <w:rPr>
          <w:i/>
          <w:iCs/>
          <w:szCs w:val="22"/>
        </w:rPr>
        <w:t xml:space="preserve">ex parte </w:t>
      </w:r>
      <w:r w:rsidRPr="00170A3F">
        <w:rPr>
          <w:szCs w:val="22"/>
        </w:rPr>
        <w:t>rules.</w:t>
      </w:r>
      <w:r w:rsidRPr="00B8354E">
        <w:rPr>
          <w:rStyle w:val="FootnoteReference"/>
          <w:szCs w:val="22"/>
        </w:rPr>
        <w:footnoteReference w:id="8"/>
      </w:r>
      <w:r w:rsidRPr="00B8354E">
        <w:rPr>
          <w:szCs w:val="22"/>
        </w:rPr>
        <w:t xml:space="preserve">  Persons making </w:t>
      </w:r>
      <w:r w:rsidRPr="005D2406">
        <w:rPr>
          <w:i/>
          <w:szCs w:val="22"/>
        </w:rPr>
        <w:t xml:space="preserve">ex parte </w:t>
      </w:r>
      <w:r w:rsidRPr="005D2406">
        <w:rPr>
          <w:szCs w:val="22"/>
        </w:rPr>
        <w:t xml:space="preserve">presentations must file a copy of any written presentation or a memorandum summarizing any oral presentation within two business days after the presentation (unless a different deadline applicable to the Sunshine period applies).  </w:t>
      </w:r>
      <w:r w:rsidRPr="00170A3F">
        <w:rPr>
          <w:szCs w:val="22"/>
        </w:rPr>
        <w:t xml:space="preserve">Persons making oral </w:t>
      </w:r>
      <w:r w:rsidRPr="00170A3F">
        <w:rPr>
          <w:i/>
          <w:iCs/>
          <w:szCs w:val="22"/>
        </w:rPr>
        <w:t xml:space="preserve">ex parte </w:t>
      </w:r>
      <w:r w:rsidRPr="00170A3F">
        <w:rPr>
          <w:szCs w:val="22"/>
        </w:rPr>
        <w:t xml:space="preserve">presentations are reminded that memoranda summarizing the presentation must (1) list all persons attending or otherwise participating in the meeting at which the </w:t>
      </w:r>
      <w:r w:rsidRPr="00170A3F">
        <w:rPr>
          <w:i/>
          <w:iCs/>
          <w:szCs w:val="22"/>
        </w:rPr>
        <w:t xml:space="preserve">ex parte </w:t>
      </w:r>
      <w:r w:rsidRPr="00170A3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70A3F">
        <w:rPr>
          <w:i/>
          <w:iCs/>
          <w:szCs w:val="22"/>
        </w:rPr>
        <w:t xml:space="preserve">ex parte </w:t>
      </w:r>
      <w:r w:rsidRPr="00170A3F">
        <w:rPr>
          <w:szCs w:val="22"/>
        </w:rPr>
        <w:t xml:space="preserve">meetings are deemed to be written </w:t>
      </w:r>
      <w:r w:rsidRPr="00170A3F">
        <w:rPr>
          <w:i/>
          <w:iCs/>
          <w:szCs w:val="22"/>
        </w:rPr>
        <w:t>ex parte</w:t>
      </w:r>
      <w:r w:rsidRPr="00170A3F">
        <w:rPr>
          <w:szCs w:val="22"/>
        </w:rPr>
        <w:t xml:space="preserve"> presentations and must be filed consistent with rule 1.1206(b).  In proceedings governed by rule 1.49(f) or for which the Commission has made available a method of electronic filing, written </w:t>
      </w:r>
      <w:r w:rsidRPr="00170A3F">
        <w:rPr>
          <w:i/>
          <w:iCs/>
          <w:szCs w:val="22"/>
        </w:rPr>
        <w:t xml:space="preserve">ex parte </w:t>
      </w:r>
      <w:r w:rsidRPr="00170A3F">
        <w:rPr>
          <w:szCs w:val="22"/>
        </w:rPr>
        <w:t xml:space="preserve">presentations and memoranda summarizing oral </w:t>
      </w:r>
      <w:r w:rsidRPr="00170A3F">
        <w:rPr>
          <w:i/>
          <w:iCs/>
          <w:szCs w:val="22"/>
        </w:rPr>
        <w:t xml:space="preserve">ex parte </w:t>
      </w:r>
      <w:r w:rsidRPr="00170A3F">
        <w:rPr>
          <w:szCs w:val="22"/>
        </w:rPr>
        <w:t>presentations, and all attachments thereto, must be filed through the electronic comment filing system available for that proceeding, and must be filed in thei</w:t>
      </w:r>
      <w:r w:rsidRPr="00D86975">
        <w:rPr>
          <w:szCs w:val="22"/>
        </w:rPr>
        <w:t>r native format (</w:t>
      </w:r>
      <w:r w:rsidRPr="009A3799">
        <w:rPr>
          <w:iCs/>
          <w:szCs w:val="22"/>
        </w:rPr>
        <w:t>e.g.</w:t>
      </w:r>
      <w:r w:rsidRPr="00316FAA">
        <w:rPr>
          <w:szCs w:val="22"/>
        </w:rPr>
        <w:t>,</w:t>
      </w:r>
      <w:r w:rsidRPr="004C5C5C">
        <w:rPr>
          <w:szCs w:val="22"/>
        </w:rPr>
        <w:t xml:space="preserve"> .doc, .xml, .ppt, </w:t>
      </w:r>
      <w:r w:rsidRPr="004C5C5C">
        <w:rPr>
          <w:szCs w:val="22"/>
        </w:rPr>
        <w:lastRenderedPageBreak/>
        <w:t xml:space="preserve">searchable .pdf).  Participants in this proceeding should familiarize themselves with the Commission’s </w:t>
      </w:r>
      <w:r w:rsidRPr="004C5C5C">
        <w:rPr>
          <w:i/>
          <w:iCs/>
          <w:szCs w:val="22"/>
        </w:rPr>
        <w:t xml:space="preserve">ex parte </w:t>
      </w:r>
      <w:r w:rsidRPr="004C5C5C">
        <w:rPr>
          <w:szCs w:val="22"/>
        </w:rPr>
        <w:t>rules.</w:t>
      </w:r>
    </w:p>
    <w:p w:rsidR="006B7714" w:rsidRDefault="006B7714" w:rsidP="00E832CD">
      <w:pPr>
        <w:spacing w:after="240"/>
        <w:ind w:firstLine="720"/>
        <w:rPr>
          <w:rFonts w:eastAsia="Calibri"/>
          <w:szCs w:val="22"/>
        </w:rPr>
      </w:pPr>
      <w:r>
        <w:rPr>
          <w:rFonts w:eastAsia="Calibri"/>
          <w:szCs w:val="22"/>
        </w:rPr>
        <w:t>For furt</w:t>
      </w:r>
      <w:r w:rsidR="00BC531E">
        <w:rPr>
          <w:rFonts w:eastAsia="Calibri"/>
          <w:szCs w:val="22"/>
        </w:rPr>
        <w:t>her information, please contact Robin Cohn</w:t>
      </w:r>
      <w:r>
        <w:rPr>
          <w:rFonts w:eastAsia="Calibri"/>
          <w:szCs w:val="22"/>
        </w:rPr>
        <w:t>, Pricing Policy Division, Wireline Competition Bureau, at (202) 418-</w:t>
      </w:r>
      <w:r w:rsidR="00BC531E">
        <w:rPr>
          <w:rFonts w:eastAsia="Calibri"/>
          <w:szCs w:val="22"/>
        </w:rPr>
        <w:t>2747</w:t>
      </w:r>
      <w:r w:rsidR="008C5226">
        <w:rPr>
          <w:rFonts w:eastAsia="Calibri"/>
          <w:szCs w:val="22"/>
        </w:rPr>
        <w:t xml:space="preserve"> </w:t>
      </w:r>
      <w:r>
        <w:rPr>
          <w:rFonts w:eastAsia="Calibri"/>
          <w:szCs w:val="22"/>
        </w:rPr>
        <w:t xml:space="preserve">or via email at </w:t>
      </w:r>
      <w:hyperlink r:id="rId16" w:history="1">
        <w:r w:rsidR="00BC531E" w:rsidRPr="00460B54">
          <w:rPr>
            <w:rStyle w:val="Hyperlink"/>
            <w:rFonts w:eastAsia="Calibri"/>
            <w:szCs w:val="22"/>
          </w:rPr>
          <w:t>Robin.Cohn@fcc.gov</w:t>
        </w:r>
      </w:hyperlink>
      <w:r>
        <w:rPr>
          <w:rFonts w:eastAsia="Calibri"/>
          <w:szCs w:val="22"/>
        </w:rPr>
        <w:t xml:space="preserve">.  </w:t>
      </w:r>
    </w:p>
    <w:p w:rsidR="006B7714" w:rsidRDefault="006B7714">
      <w:pPr>
        <w:contextualSpacing/>
        <w:rPr>
          <w:rFonts w:eastAsia="Calibri"/>
          <w:szCs w:val="22"/>
        </w:rPr>
      </w:pPr>
    </w:p>
    <w:p w:rsidR="006B7714" w:rsidRDefault="006B7714" w:rsidP="00E832CD">
      <w:pPr>
        <w:contextualSpacing/>
        <w:jc w:val="center"/>
      </w:pPr>
      <w:r>
        <w:rPr>
          <w:rFonts w:eastAsia="Calibri"/>
          <w:b/>
          <w:szCs w:val="22"/>
        </w:rPr>
        <w:t>- FCC -</w:t>
      </w:r>
    </w:p>
    <w:sectPr w:rsidR="006B7714" w:rsidSect="00BC531E">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B5" w:rsidRDefault="002814B5">
      <w:r>
        <w:separator/>
      </w:r>
    </w:p>
  </w:endnote>
  <w:endnote w:type="continuationSeparator" w:id="0">
    <w:p w:rsidR="002814B5" w:rsidRDefault="002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6B" w:rsidRDefault="00F1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15070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6B" w:rsidRDefault="00F1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B5" w:rsidRDefault="002814B5">
      <w:r>
        <w:separator/>
      </w:r>
    </w:p>
  </w:footnote>
  <w:footnote w:type="continuationSeparator" w:id="0">
    <w:p w:rsidR="002814B5" w:rsidRDefault="002814B5">
      <w:r>
        <w:continuationSeparator/>
      </w:r>
    </w:p>
  </w:footnote>
  <w:footnote w:id="1">
    <w:p w:rsidR="00F766DB" w:rsidRPr="000F5186" w:rsidRDefault="00F766DB" w:rsidP="00435D94">
      <w:pPr>
        <w:pStyle w:val="FootnoteText"/>
        <w:spacing w:after="120"/>
        <w:rPr>
          <w:sz w:val="20"/>
        </w:rPr>
      </w:pPr>
      <w:r w:rsidRPr="000F5186">
        <w:rPr>
          <w:rStyle w:val="FootnoteReference"/>
          <w:sz w:val="20"/>
        </w:rPr>
        <w:footnoteRef/>
      </w:r>
      <w:r w:rsidRPr="000F5186">
        <w:rPr>
          <w:color w:val="000000"/>
          <w:sz w:val="20"/>
        </w:rPr>
        <w:t xml:space="preserve"> 47 CFR § 69.606(b).  </w:t>
      </w:r>
      <w:r w:rsidRPr="000F5186">
        <w:rPr>
          <w:i/>
          <w:sz w:val="20"/>
        </w:rPr>
        <w:t>See</w:t>
      </w:r>
      <w:r w:rsidRPr="000F5186">
        <w:rPr>
          <w:sz w:val="20"/>
        </w:rPr>
        <w:t xml:space="preserve"> National Exchange Carrier Association</w:t>
      </w:r>
      <w:r w:rsidRPr="000F5186">
        <w:rPr>
          <w:i/>
          <w:sz w:val="20"/>
        </w:rPr>
        <w:t xml:space="preserve">, </w:t>
      </w:r>
      <w:r w:rsidRPr="000F5186">
        <w:rPr>
          <w:sz w:val="20"/>
        </w:rPr>
        <w:t xml:space="preserve">2016 Modification of Average Schedules, </w:t>
      </w:r>
      <w:r w:rsidRPr="000F5186">
        <w:rPr>
          <w:i/>
          <w:sz w:val="20"/>
        </w:rPr>
        <w:t>attached to</w:t>
      </w:r>
      <w:r w:rsidRPr="000F5186">
        <w:rPr>
          <w:sz w:val="20"/>
        </w:rPr>
        <w:t xml:space="preserve"> Letter from Richard A. Askoff, Executive Director—Regulatory, NECA, to Marlene H. Dortch, Secretary, FCC, WC Docket No. 15-298 (filed Dec. 23, 2015). </w:t>
      </w:r>
    </w:p>
  </w:footnote>
  <w:footnote w:id="2">
    <w:p w:rsidR="00F766DB" w:rsidRPr="000F5186" w:rsidRDefault="00F766DB" w:rsidP="00435D94">
      <w:pPr>
        <w:pStyle w:val="FootnoteText"/>
        <w:spacing w:after="120"/>
        <w:rPr>
          <w:sz w:val="20"/>
        </w:rPr>
      </w:pPr>
      <w:r w:rsidRPr="000F5186">
        <w:rPr>
          <w:rStyle w:val="FootnoteReference"/>
          <w:sz w:val="20"/>
        </w:rPr>
        <w:footnoteRef/>
      </w:r>
      <w:r w:rsidRPr="000F5186">
        <w:rPr>
          <w:sz w:val="20"/>
        </w:rPr>
        <w:t xml:space="preserve"> </w:t>
      </w:r>
      <w:r w:rsidRPr="000F5186">
        <w:rPr>
          <w:i/>
          <w:sz w:val="20"/>
        </w:rPr>
        <w:t>Id</w:t>
      </w:r>
      <w:r w:rsidRPr="000F5186">
        <w:rPr>
          <w:sz w:val="20"/>
        </w:rPr>
        <w:t>. at Summary-1.</w:t>
      </w:r>
    </w:p>
  </w:footnote>
  <w:footnote w:id="3">
    <w:p w:rsidR="00825F63" w:rsidRDefault="00825F63" w:rsidP="00435D94">
      <w:pPr>
        <w:pStyle w:val="FootnoteText"/>
        <w:spacing w:after="120"/>
      </w:pPr>
      <w:r>
        <w:rPr>
          <w:rStyle w:val="FootnoteReference"/>
        </w:rPr>
        <w:footnoteRef/>
      </w:r>
      <w:r>
        <w:t xml:space="preserve"> </w:t>
      </w:r>
      <w:r w:rsidRPr="000F5186">
        <w:rPr>
          <w:i/>
          <w:sz w:val="20"/>
        </w:rPr>
        <w:t>Id</w:t>
      </w:r>
      <w:r w:rsidRPr="000F5186">
        <w:rPr>
          <w:sz w:val="20"/>
        </w:rPr>
        <w:t>.</w:t>
      </w:r>
    </w:p>
  </w:footnote>
  <w:footnote w:id="4">
    <w:p w:rsidR="00825F63" w:rsidRPr="00825F63" w:rsidRDefault="00825F63" w:rsidP="00435D94">
      <w:pPr>
        <w:pStyle w:val="FootnoteText"/>
        <w:spacing w:after="120"/>
        <w:rPr>
          <w:sz w:val="20"/>
        </w:rPr>
      </w:pPr>
      <w:r w:rsidRPr="00825F63">
        <w:rPr>
          <w:rStyle w:val="FootnoteReference"/>
          <w:sz w:val="20"/>
        </w:rPr>
        <w:footnoteRef/>
      </w:r>
      <w:r w:rsidRPr="00825F63">
        <w:rPr>
          <w:sz w:val="20"/>
        </w:rPr>
        <w:t xml:space="preserve"> </w:t>
      </w:r>
      <w:r w:rsidRPr="00825F63">
        <w:rPr>
          <w:i/>
          <w:sz w:val="20"/>
        </w:rPr>
        <w:t>Id</w:t>
      </w:r>
      <w:r w:rsidRPr="00825F63">
        <w:rPr>
          <w:sz w:val="20"/>
        </w:rPr>
        <w:t>.</w:t>
      </w:r>
    </w:p>
  </w:footnote>
  <w:footnote w:id="5">
    <w:p w:rsidR="00F766DB" w:rsidRPr="00825F63" w:rsidRDefault="00F766DB" w:rsidP="00435D94">
      <w:pPr>
        <w:pStyle w:val="FootnoteText"/>
        <w:spacing w:after="120"/>
        <w:rPr>
          <w:sz w:val="20"/>
        </w:rPr>
      </w:pPr>
      <w:r w:rsidRPr="00825F63">
        <w:rPr>
          <w:rStyle w:val="FootnoteReference"/>
          <w:sz w:val="20"/>
        </w:rPr>
        <w:footnoteRef/>
      </w:r>
      <w:r w:rsidRPr="00825F63">
        <w:rPr>
          <w:sz w:val="20"/>
        </w:rPr>
        <w:t xml:space="preserve"> </w:t>
      </w:r>
      <w:r w:rsidRPr="00825F63">
        <w:rPr>
          <w:i/>
          <w:sz w:val="20"/>
        </w:rPr>
        <w:t>Id</w:t>
      </w:r>
      <w:r w:rsidRPr="00825F63">
        <w:rPr>
          <w:sz w:val="20"/>
        </w:rPr>
        <w:t>. at I-5.</w:t>
      </w:r>
    </w:p>
  </w:footnote>
  <w:footnote w:id="6">
    <w:p w:rsidR="00825F63" w:rsidRDefault="00825F63" w:rsidP="00435D94">
      <w:pPr>
        <w:pStyle w:val="FootnoteText"/>
        <w:spacing w:after="120"/>
      </w:pPr>
      <w:r>
        <w:rPr>
          <w:rStyle w:val="FootnoteReference"/>
        </w:rPr>
        <w:footnoteRef/>
      </w:r>
      <w:r>
        <w:t xml:space="preserve"> </w:t>
      </w:r>
      <w:r w:rsidRPr="00825F63">
        <w:rPr>
          <w:i/>
          <w:sz w:val="20"/>
        </w:rPr>
        <w:t>Id</w:t>
      </w:r>
      <w:r>
        <w:rPr>
          <w:sz w:val="20"/>
        </w:rPr>
        <w:t>. at I-6.</w:t>
      </w:r>
    </w:p>
  </w:footnote>
  <w:footnote w:id="7">
    <w:p w:rsidR="007C64A2" w:rsidRPr="000F5186" w:rsidRDefault="007C64A2" w:rsidP="00435D94">
      <w:pPr>
        <w:pStyle w:val="FootnoteText"/>
        <w:spacing w:after="120"/>
        <w:rPr>
          <w:sz w:val="20"/>
        </w:rPr>
      </w:pPr>
      <w:r w:rsidRPr="000F5186">
        <w:rPr>
          <w:rStyle w:val="FootnoteReference"/>
          <w:sz w:val="20"/>
        </w:rPr>
        <w:footnoteRef/>
      </w:r>
      <w:r w:rsidRPr="000F5186">
        <w:rPr>
          <w:sz w:val="20"/>
        </w:rPr>
        <w:t xml:space="preserve"> </w:t>
      </w:r>
      <w:r w:rsidRPr="000F5186">
        <w:rPr>
          <w:i/>
          <w:sz w:val="20"/>
        </w:rPr>
        <w:t>Id</w:t>
      </w:r>
      <w:r w:rsidR="00825F63">
        <w:rPr>
          <w:sz w:val="20"/>
        </w:rPr>
        <w:t>.</w:t>
      </w:r>
    </w:p>
  </w:footnote>
  <w:footnote w:id="8">
    <w:p w:rsidR="00E832CD" w:rsidRPr="000F5186" w:rsidRDefault="00E832CD" w:rsidP="00E832CD">
      <w:pPr>
        <w:pStyle w:val="FootnoteText"/>
        <w:spacing w:after="120"/>
        <w:rPr>
          <w:i/>
          <w:iCs/>
          <w:sz w:val="20"/>
        </w:rPr>
      </w:pPr>
      <w:r w:rsidRPr="000F5186">
        <w:rPr>
          <w:rStyle w:val="FootnoteReference"/>
          <w:sz w:val="20"/>
        </w:rPr>
        <w:footnoteRef/>
      </w:r>
      <w:r w:rsidRPr="000F5186">
        <w:rPr>
          <w:sz w:val="20"/>
        </w:rPr>
        <w:t xml:space="preserve"> 47 CFR § 1.1200 </w:t>
      </w:r>
      <w:r w:rsidRPr="000F5186">
        <w:rPr>
          <w:i/>
          <w:iCs/>
          <w:sz w:val="20"/>
        </w:rPr>
        <w:t>et seq.</w:t>
      </w:r>
    </w:p>
    <w:p w:rsidR="00E832CD" w:rsidRPr="00B8354E" w:rsidRDefault="00E832CD" w:rsidP="00E832CD">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6B" w:rsidRDefault="00F1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6B" w:rsidRDefault="00F1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15070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6B7714">
      <w:rPr>
        <w:rFonts w:ascii="News Gothic MT" w:hAnsi="News Gothic MT"/>
        <w:b/>
        <w:kern w:val="28"/>
        <w:sz w:val="96"/>
      </w:rPr>
      <w:t xml:space="preserve">  PUBLIC NOTICE</w:t>
    </w:r>
  </w:p>
  <w:p w:rsidR="006B7714" w:rsidRDefault="0015070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B13"/>
    <w:rsid w:val="00091D2A"/>
    <w:rsid w:val="000B3697"/>
    <w:rsid w:val="000F5186"/>
    <w:rsid w:val="00114BA7"/>
    <w:rsid w:val="00126D44"/>
    <w:rsid w:val="001314A4"/>
    <w:rsid w:val="00142509"/>
    <w:rsid w:val="0015070C"/>
    <w:rsid w:val="0016330A"/>
    <w:rsid w:val="001834F7"/>
    <w:rsid w:val="0018423B"/>
    <w:rsid w:val="00195ECB"/>
    <w:rsid w:val="001D1BC1"/>
    <w:rsid w:val="001D4B78"/>
    <w:rsid w:val="002377C5"/>
    <w:rsid w:val="00241087"/>
    <w:rsid w:val="0024345E"/>
    <w:rsid w:val="002478FB"/>
    <w:rsid w:val="002502E3"/>
    <w:rsid w:val="00265BBB"/>
    <w:rsid w:val="002667CB"/>
    <w:rsid w:val="00276389"/>
    <w:rsid w:val="002814B5"/>
    <w:rsid w:val="002C151C"/>
    <w:rsid w:val="002C672E"/>
    <w:rsid w:val="002D3A00"/>
    <w:rsid w:val="002E725F"/>
    <w:rsid w:val="002F6CE5"/>
    <w:rsid w:val="00311559"/>
    <w:rsid w:val="00316FAA"/>
    <w:rsid w:val="00330ADB"/>
    <w:rsid w:val="0033330B"/>
    <w:rsid w:val="00342304"/>
    <w:rsid w:val="00343B3C"/>
    <w:rsid w:val="003522D1"/>
    <w:rsid w:val="003548FD"/>
    <w:rsid w:val="00355A87"/>
    <w:rsid w:val="003A05B2"/>
    <w:rsid w:val="003B3555"/>
    <w:rsid w:val="003C534A"/>
    <w:rsid w:val="00406F89"/>
    <w:rsid w:val="00410F14"/>
    <w:rsid w:val="00423424"/>
    <w:rsid w:val="00435A8C"/>
    <w:rsid w:val="00435D94"/>
    <w:rsid w:val="004949FF"/>
    <w:rsid w:val="004C227B"/>
    <w:rsid w:val="00505BCF"/>
    <w:rsid w:val="00515EB0"/>
    <w:rsid w:val="00563924"/>
    <w:rsid w:val="005C63B4"/>
    <w:rsid w:val="005C7F3B"/>
    <w:rsid w:val="005F1ADD"/>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D7178"/>
    <w:rsid w:val="00715033"/>
    <w:rsid w:val="00717B26"/>
    <w:rsid w:val="00731DAE"/>
    <w:rsid w:val="0078088E"/>
    <w:rsid w:val="007C34E3"/>
    <w:rsid w:val="007C64A2"/>
    <w:rsid w:val="007E2D67"/>
    <w:rsid w:val="007F0F67"/>
    <w:rsid w:val="00817F49"/>
    <w:rsid w:val="00825D24"/>
    <w:rsid w:val="00825F63"/>
    <w:rsid w:val="0083017B"/>
    <w:rsid w:val="00890B0D"/>
    <w:rsid w:val="008A6F0A"/>
    <w:rsid w:val="008B0AC7"/>
    <w:rsid w:val="008B217F"/>
    <w:rsid w:val="008C330E"/>
    <w:rsid w:val="008C5226"/>
    <w:rsid w:val="008E291B"/>
    <w:rsid w:val="008E392C"/>
    <w:rsid w:val="008F3F44"/>
    <w:rsid w:val="0090365F"/>
    <w:rsid w:val="009442E8"/>
    <w:rsid w:val="00962ECD"/>
    <w:rsid w:val="00986F50"/>
    <w:rsid w:val="009878FF"/>
    <w:rsid w:val="00993FC4"/>
    <w:rsid w:val="009A3799"/>
    <w:rsid w:val="009B38E1"/>
    <w:rsid w:val="009C4DF3"/>
    <w:rsid w:val="009D247F"/>
    <w:rsid w:val="00A06426"/>
    <w:rsid w:val="00A53FEA"/>
    <w:rsid w:val="00A573B0"/>
    <w:rsid w:val="00A8259E"/>
    <w:rsid w:val="00A82796"/>
    <w:rsid w:val="00A90662"/>
    <w:rsid w:val="00AA234C"/>
    <w:rsid w:val="00AA4BDD"/>
    <w:rsid w:val="00AB0D69"/>
    <w:rsid w:val="00AB722D"/>
    <w:rsid w:val="00AC2886"/>
    <w:rsid w:val="00AD37DE"/>
    <w:rsid w:val="00AE2153"/>
    <w:rsid w:val="00AE300D"/>
    <w:rsid w:val="00AF2790"/>
    <w:rsid w:val="00AF2E50"/>
    <w:rsid w:val="00B331A6"/>
    <w:rsid w:val="00B351FE"/>
    <w:rsid w:val="00B67E3B"/>
    <w:rsid w:val="00B758D3"/>
    <w:rsid w:val="00BA5949"/>
    <w:rsid w:val="00BA6491"/>
    <w:rsid w:val="00BA79CE"/>
    <w:rsid w:val="00BB0ACD"/>
    <w:rsid w:val="00BB420E"/>
    <w:rsid w:val="00BC531E"/>
    <w:rsid w:val="00BC79EB"/>
    <w:rsid w:val="00C23CE6"/>
    <w:rsid w:val="00C24D52"/>
    <w:rsid w:val="00C36BE1"/>
    <w:rsid w:val="00C4622D"/>
    <w:rsid w:val="00C6045B"/>
    <w:rsid w:val="00C85A27"/>
    <w:rsid w:val="00CC6BA9"/>
    <w:rsid w:val="00CD36F6"/>
    <w:rsid w:val="00CD4954"/>
    <w:rsid w:val="00D264BC"/>
    <w:rsid w:val="00D444C8"/>
    <w:rsid w:val="00D57943"/>
    <w:rsid w:val="00D8227C"/>
    <w:rsid w:val="00D83794"/>
    <w:rsid w:val="00D92529"/>
    <w:rsid w:val="00DA66B6"/>
    <w:rsid w:val="00DB76F8"/>
    <w:rsid w:val="00DD7C62"/>
    <w:rsid w:val="00E12B3F"/>
    <w:rsid w:val="00E2119C"/>
    <w:rsid w:val="00E3094D"/>
    <w:rsid w:val="00E641D9"/>
    <w:rsid w:val="00E832CD"/>
    <w:rsid w:val="00E85B6C"/>
    <w:rsid w:val="00EA00A5"/>
    <w:rsid w:val="00EA283A"/>
    <w:rsid w:val="00EA571A"/>
    <w:rsid w:val="00EA5BC3"/>
    <w:rsid w:val="00EE3F67"/>
    <w:rsid w:val="00EF167D"/>
    <w:rsid w:val="00EF3E5E"/>
    <w:rsid w:val="00F05A6C"/>
    <w:rsid w:val="00F1293E"/>
    <w:rsid w:val="00F14B6B"/>
    <w:rsid w:val="00F14F31"/>
    <w:rsid w:val="00F42470"/>
    <w:rsid w:val="00F444AA"/>
    <w:rsid w:val="00F45D51"/>
    <w:rsid w:val="00F620D1"/>
    <w:rsid w:val="00F766DB"/>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in.Coh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851</Words>
  <Characters>4808</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5670</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2016-01-21T17:58:00Z</dcterms:created>
  <dcterms:modified xsi:type="dcterms:W3CDTF">2016-01-21T17:58:00Z</dcterms:modified>
  <cp:category> </cp:category>
  <cp:contentStatus> </cp:contentStatus>
</cp:coreProperties>
</file>