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87B8" w14:textId="77777777" w:rsidR="0098574F" w:rsidRPr="00BE5BE6" w:rsidRDefault="0098574F" w:rsidP="0098574F">
      <w:pPr>
        <w:pStyle w:val="Header"/>
        <w:tabs>
          <w:tab w:val="clear" w:pos="4320"/>
          <w:tab w:val="clear" w:pos="8640"/>
        </w:tabs>
        <w:rPr>
          <w:szCs w:val="22"/>
        </w:rPr>
        <w:sectPr w:rsidR="0098574F" w:rsidRPr="00BE5BE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14:paraId="76197548" w14:textId="3625D0CB" w:rsidR="0098574F" w:rsidRPr="00BE5BE6" w:rsidRDefault="0098574F" w:rsidP="0098574F">
      <w:pPr>
        <w:jc w:val="right"/>
        <w:rPr>
          <w:b/>
          <w:szCs w:val="22"/>
        </w:rPr>
      </w:pPr>
      <w:r w:rsidRPr="00BE5BE6">
        <w:rPr>
          <w:b/>
          <w:szCs w:val="22"/>
        </w:rPr>
        <w:lastRenderedPageBreak/>
        <w:t>DA 16-</w:t>
      </w:r>
      <w:r w:rsidR="004332AC">
        <w:rPr>
          <w:b/>
          <w:szCs w:val="22"/>
        </w:rPr>
        <w:t>721</w:t>
      </w:r>
    </w:p>
    <w:p w14:paraId="49B54A62" w14:textId="77777777" w:rsidR="0098574F" w:rsidRPr="00BE5BE6" w:rsidRDefault="0098574F" w:rsidP="0098574F">
      <w:pPr>
        <w:spacing w:before="60"/>
        <w:jc w:val="right"/>
        <w:rPr>
          <w:b/>
          <w:szCs w:val="22"/>
        </w:rPr>
      </w:pPr>
      <w:r w:rsidRPr="00BE5BE6">
        <w:rPr>
          <w:b/>
          <w:szCs w:val="22"/>
        </w:rPr>
        <w:t>Released: June 27, 2016</w:t>
      </w:r>
    </w:p>
    <w:p w14:paraId="4AF37BED" w14:textId="77777777" w:rsidR="0098574F" w:rsidRPr="00BE5BE6" w:rsidRDefault="0098574F" w:rsidP="0098574F">
      <w:pPr>
        <w:jc w:val="right"/>
        <w:rPr>
          <w:szCs w:val="22"/>
        </w:rPr>
      </w:pPr>
    </w:p>
    <w:p w14:paraId="79E60345" w14:textId="65930DEB" w:rsidR="0098574F" w:rsidRPr="00BE5BE6" w:rsidRDefault="0098574F" w:rsidP="0098574F">
      <w:pPr>
        <w:spacing w:after="220"/>
        <w:jc w:val="center"/>
        <w:rPr>
          <w:b/>
          <w:szCs w:val="22"/>
        </w:rPr>
      </w:pPr>
      <w:r w:rsidRPr="00BE5BE6">
        <w:rPr>
          <w:b/>
          <w:szCs w:val="22"/>
        </w:rPr>
        <w:t>PUBLIC SAFETY AND HOMELAND SECURITY BUREAU LAUNCHES EAS TEST REPORTING SYSTEM (ETRS)</w:t>
      </w:r>
      <w:r w:rsidR="00EA3966">
        <w:rPr>
          <w:b/>
          <w:szCs w:val="22"/>
        </w:rPr>
        <w:t xml:space="preserve"> AND SEEKS COMMENT ON EAS </w:t>
      </w:r>
      <w:r w:rsidR="008141AE">
        <w:rPr>
          <w:b/>
          <w:szCs w:val="22"/>
        </w:rPr>
        <w:t xml:space="preserve">OPERATING </w:t>
      </w:r>
      <w:r w:rsidR="00EA3966">
        <w:rPr>
          <w:b/>
          <w:szCs w:val="22"/>
        </w:rPr>
        <w:t>HANDBOOK RECOMMENDATIONS</w:t>
      </w:r>
    </w:p>
    <w:p w14:paraId="0818558C" w14:textId="77777777" w:rsidR="0098574F" w:rsidRDefault="0098574F" w:rsidP="0098574F">
      <w:pPr>
        <w:spacing w:after="220"/>
        <w:jc w:val="center"/>
        <w:rPr>
          <w:b/>
          <w:szCs w:val="22"/>
        </w:rPr>
      </w:pPr>
      <w:r w:rsidRPr="00BE5BE6">
        <w:rPr>
          <w:b/>
          <w:szCs w:val="22"/>
        </w:rPr>
        <w:t>PS Docket No. 15-94</w:t>
      </w:r>
    </w:p>
    <w:p w14:paraId="1AC28FF7" w14:textId="406F7712" w:rsidR="009B6E12" w:rsidRPr="00BE5BE6" w:rsidRDefault="009B6E12" w:rsidP="009B6E12">
      <w:pPr>
        <w:spacing w:after="220"/>
        <w:rPr>
          <w:szCs w:val="22"/>
        </w:rPr>
      </w:pPr>
      <w:r>
        <w:rPr>
          <w:b/>
          <w:szCs w:val="22"/>
        </w:rPr>
        <w:t xml:space="preserve">COMMENTS DUE:  </w:t>
      </w:r>
      <w:r w:rsidR="005A3B38">
        <w:rPr>
          <w:b/>
          <w:szCs w:val="22"/>
        </w:rPr>
        <w:t>(15 days after date of publication in the Federal Register)</w:t>
      </w:r>
    </w:p>
    <w:p w14:paraId="2896897E" w14:textId="6055B200" w:rsidR="0098574F" w:rsidRPr="00BE5BE6" w:rsidRDefault="0098574F" w:rsidP="00502E39">
      <w:pPr>
        <w:spacing w:after="120"/>
        <w:rPr>
          <w:szCs w:val="22"/>
        </w:rPr>
      </w:pPr>
      <w:r w:rsidRPr="00BE5BE6">
        <w:rPr>
          <w:szCs w:val="22"/>
        </w:rPr>
        <w:tab/>
        <w:t>Today, the Public Safety and Homeland Security Bureau (Bureau) of the Federal Communications Commission (FCC or Commission) provides notice to all Emergency Alert System (EAS) Participants that the EAS Test Reporting System (ETRS) is operational and is ready to accept filings.</w:t>
      </w:r>
      <w:r w:rsidRPr="00BE5BE6">
        <w:rPr>
          <w:rStyle w:val="FootnoteReference"/>
          <w:szCs w:val="22"/>
        </w:rPr>
        <w:footnoteReference w:id="1"/>
      </w:r>
      <w:r w:rsidRPr="00BE5BE6">
        <w:rPr>
          <w:szCs w:val="22"/>
        </w:rPr>
        <w:t xml:space="preserve">  </w:t>
      </w:r>
      <w:r w:rsidR="00EA3966">
        <w:rPr>
          <w:szCs w:val="22"/>
        </w:rPr>
        <w:t>I</w:t>
      </w:r>
      <w:r w:rsidRPr="00BE5BE6">
        <w:rPr>
          <w:szCs w:val="22"/>
        </w:rPr>
        <w:t>nitial instruction</w:t>
      </w:r>
      <w:r w:rsidR="00EA3966">
        <w:rPr>
          <w:szCs w:val="22"/>
        </w:rPr>
        <w:t>s are also provided</w:t>
      </w:r>
      <w:r w:rsidRPr="00BE5BE6">
        <w:rPr>
          <w:szCs w:val="22"/>
        </w:rPr>
        <w:t xml:space="preserve"> on how EAS Participants are to </w:t>
      </w:r>
      <w:r w:rsidR="00EA3966">
        <w:rPr>
          <w:szCs w:val="22"/>
        </w:rPr>
        <w:t>begin</w:t>
      </w:r>
      <w:r w:rsidRPr="00BE5BE6">
        <w:rPr>
          <w:szCs w:val="22"/>
        </w:rPr>
        <w:t xml:space="preserve"> the ETRS filing process.  </w:t>
      </w:r>
      <w:r w:rsidR="00EA3966" w:rsidRPr="00BE5BE6">
        <w:rPr>
          <w:szCs w:val="22"/>
        </w:rPr>
        <w:t xml:space="preserve">This </w:t>
      </w:r>
      <w:r w:rsidR="00EA3966" w:rsidRPr="0094233B">
        <w:rPr>
          <w:i/>
          <w:szCs w:val="22"/>
        </w:rPr>
        <w:t>Public Notice</w:t>
      </w:r>
      <w:r w:rsidR="00EA3966" w:rsidRPr="00BE5BE6">
        <w:rPr>
          <w:szCs w:val="22"/>
        </w:rPr>
        <w:t xml:space="preserve"> also</w:t>
      </w:r>
      <w:r w:rsidR="00EA3966">
        <w:rPr>
          <w:szCs w:val="22"/>
        </w:rPr>
        <w:t xml:space="preserve"> seeks comment on the </w:t>
      </w:r>
      <w:r w:rsidR="00733C7A">
        <w:rPr>
          <w:szCs w:val="22"/>
        </w:rPr>
        <w:t>recommendations adopted by</w:t>
      </w:r>
      <w:r w:rsidR="00EA3966">
        <w:rPr>
          <w:szCs w:val="22"/>
        </w:rPr>
        <w:t xml:space="preserve"> the </w:t>
      </w:r>
      <w:r w:rsidR="00EA3966" w:rsidRPr="009E2CEB">
        <w:t>Communications Security, Reliability, and Interoperability Council (CSRIC)</w:t>
      </w:r>
      <w:r w:rsidR="00EA3966">
        <w:t xml:space="preserve"> on June 22, 2016</w:t>
      </w:r>
      <w:r w:rsidR="005A3B38">
        <w:t xml:space="preserve">, </w:t>
      </w:r>
      <w:r w:rsidR="005A3B38">
        <w:rPr>
          <w:szCs w:val="22"/>
        </w:rPr>
        <w:t>for updating the EAS Operating Handbook</w:t>
      </w:r>
      <w:r w:rsidR="00EA3966">
        <w:t>.</w:t>
      </w:r>
      <w:r w:rsidR="00AD56C0">
        <w:rPr>
          <w:rStyle w:val="FootnoteReference"/>
        </w:rPr>
        <w:footnoteReference w:id="2"/>
      </w:r>
    </w:p>
    <w:p w14:paraId="32257201" w14:textId="77777777" w:rsidR="0098574F" w:rsidRPr="00BE5BE6" w:rsidRDefault="0098574F" w:rsidP="00502E39">
      <w:pPr>
        <w:pStyle w:val="Heading1"/>
        <w:spacing w:after="120"/>
        <w:rPr>
          <w:b w:val="0"/>
          <w:szCs w:val="22"/>
        </w:rPr>
      </w:pPr>
      <w:r w:rsidRPr="00BE5BE6">
        <w:rPr>
          <w:szCs w:val="22"/>
        </w:rPr>
        <w:t>BACKGROUND</w:t>
      </w:r>
    </w:p>
    <w:p w14:paraId="619351EC" w14:textId="583197C1" w:rsidR="0098574F" w:rsidRPr="00BE5BE6" w:rsidRDefault="0098574F" w:rsidP="00502E39">
      <w:pPr>
        <w:spacing w:after="120"/>
        <w:rPr>
          <w:szCs w:val="22"/>
        </w:rPr>
      </w:pPr>
      <w:r w:rsidRPr="00BE5BE6">
        <w:rPr>
          <w:szCs w:val="22"/>
        </w:rPr>
        <w:tab/>
        <w:t xml:space="preserve">On June 3, 2015, the Commission directed the Bureau to implement ETRS, an improved electronic filing system and related database </w:t>
      </w:r>
      <w:r w:rsidR="00346E87">
        <w:rPr>
          <w:szCs w:val="22"/>
        </w:rPr>
        <w:t>upgrad</w:t>
      </w:r>
      <w:r w:rsidR="00051FA4">
        <w:rPr>
          <w:szCs w:val="22"/>
        </w:rPr>
        <w:t>ing</w:t>
      </w:r>
      <w:r w:rsidRPr="00BE5BE6">
        <w:rPr>
          <w:szCs w:val="22"/>
        </w:rPr>
        <w:t xml:space="preserve"> the system the Commission used for the first nationwide EAS test.</w:t>
      </w:r>
      <w:r w:rsidRPr="00BE5BE6">
        <w:rPr>
          <w:rStyle w:val="FootnoteReference"/>
          <w:szCs w:val="22"/>
        </w:rPr>
        <w:footnoteReference w:id="3"/>
      </w:r>
      <w:r w:rsidRPr="00BE5BE6">
        <w:rPr>
          <w:szCs w:val="22"/>
        </w:rPr>
        <w:t xml:space="preserve">  The Bureau subsequently released a </w:t>
      </w:r>
      <w:r w:rsidRPr="00BE5BE6">
        <w:rPr>
          <w:i/>
          <w:szCs w:val="22"/>
        </w:rPr>
        <w:t>Public Notice</w:t>
      </w:r>
      <w:r w:rsidRPr="00BE5BE6">
        <w:rPr>
          <w:szCs w:val="22"/>
        </w:rPr>
        <w:t xml:space="preserve"> on April 18, 2016, that provided initial information about ETRS format and features, including previews of ETRS forms and a description of how ETRS would integrate with other Commission databases.</w:t>
      </w:r>
      <w:r w:rsidRPr="00BE5BE6">
        <w:rPr>
          <w:rStyle w:val="FootnoteReference"/>
          <w:szCs w:val="22"/>
        </w:rPr>
        <w:footnoteReference w:id="4"/>
      </w:r>
    </w:p>
    <w:p w14:paraId="6BBAC876" w14:textId="0F3FF1AE" w:rsidR="0098574F" w:rsidRPr="00BE5BE6" w:rsidRDefault="0098574F" w:rsidP="00502E39">
      <w:pPr>
        <w:spacing w:after="120"/>
        <w:ind w:firstLine="720"/>
        <w:rPr>
          <w:szCs w:val="22"/>
        </w:rPr>
      </w:pPr>
      <w:r w:rsidRPr="00BE5BE6">
        <w:rPr>
          <w:szCs w:val="22"/>
        </w:rPr>
        <w:lastRenderedPageBreak/>
        <w:t>Pursuant to Section 11.61 of the Commission’s rules,</w:t>
      </w:r>
      <w:r w:rsidRPr="00BE5BE6">
        <w:rPr>
          <w:rStyle w:val="FootnoteReference"/>
          <w:szCs w:val="22"/>
        </w:rPr>
        <w:footnoteReference w:id="5"/>
      </w:r>
      <w:r w:rsidRPr="00BE5BE6">
        <w:rPr>
          <w:szCs w:val="22"/>
        </w:rPr>
        <w:t xml:space="preserve"> EAS Participants must submit the identifying information required by ETRS Form One for each of their facilities no later than 60 days after the latter of the launch of </w:t>
      </w:r>
      <w:r w:rsidR="00051FA4">
        <w:rPr>
          <w:szCs w:val="22"/>
        </w:rPr>
        <w:t>the</w:t>
      </w:r>
      <w:r w:rsidR="00051FA4" w:rsidRPr="00BE5BE6">
        <w:rPr>
          <w:szCs w:val="22"/>
        </w:rPr>
        <w:t xml:space="preserve"> </w:t>
      </w:r>
      <w:r w:rsidRPr="00BE5BE6">
        <w:rPr>
          <w:szCs w:val="22"/>
        </w:rPr>
        <w:t>ETRS or publication in the Federal Register of Office of Management and Budget approval of the information collection represented by ETRS.  In this case, OMB approval occurred on December 22, 2015,</w:t>
      </w:r>
      <w:r w:rsidRPr="00BE5BE6">
        <w:rPr>
          <w:rStyle w:val="FootnoteReference"/>
          <w:szCs w:val="22"/>
        </w:rPr>
        <w:footnoteReference w:id="6"/>
      </w:r>
      <w:r w:rsidRPr="00BE5BE6">
        <w:rPr>
          <w:szCs w:val="22"/>
        </w:rPr>
        <w:t xml:space="preserve"> so the trigging event for EAS Participant compliance with ETRS </w:t>
      </w:r>
      <w:r w:rsidR="00EA3966">
        <w:rPr>
          <w:szCs w:val="22"/>
        </w:rPr>
        <w:t xml:space="preserve">registration and filing requirements </w:t>
      </w:r>
      <w:r w:rsidRPr="00BE5BE6">
        <w:rPr>
          <w:szCs w:val="22"/>
        </w:rPr>
        <w:t xml:space="preserve">is this </w:t>
      </w:r>
      <w:r w:rsidRPr="007E186B">
        <w:rPr>
          <w:i/>
          <w:szCs w:val="22"/>
        </w:rPr>
        <w:t>Public Notice</w:t>
      </w:r>
      <w:r w:rsidRPr="00BE5BE6">
        <w:rPr>
          <w:szCs w:val="22"/>
        </w:rPr>
        <w:t xml:space="preserve">.  EAS Participants must complete Form One of ETRS on or before August 26, 2016.  Under the </w:t>
      </w:r>
      <w:r w:rsidRPr="00BE5BE6">
        <w:rPr>
          <w:i/>
          <w:szCs w:val="22"/>
        </w:rPr>
        <w:t>Sixth Report and Order</w:t>
      </w:r>
      <w:r w:rsidRPr="00BE5BE6">
        <w:rPr>
          <w:szCs w:val="22"/>
        </w:rPr>
        <w:t xml:space="preserve">, EAS Participants have until September 26, 2016 </w:t>
      </w:r>
      <w:r>
        <w:rPr>
          <w:szCs w:val="22"/>
        </w:rPr>
        <w:t xml:space="preserve">to </w:t>
      </w:r>
      <w:r w:rsidRPr="00BE5BE6">
        <w:rPr>
          <w:szCs w:val="22"/>
        </w:rPr>
        <w:t>update or correct any errors in their initial Form One filings.</w:t>
      </w:r>
      <w:r w:rsidRPr="00BE5BE6">
        <w:rPr>
          <w:rStyle w:val="FootnoteReference"/>
          <w:szCs w:val="22"/>
        </w:rPr>
        <w:footnoteReference w:id="7"/>
      </w:r>
      <w:r w:rsidRPr="00BE5BE6">
        <w:rPr>
          <w:szCs w:val="22"/>
        </w:rPr>
        <w:t xml:space="preserve">  ETRS Forms Two and Three will </w:t>
      </w:r>
      <w:r w:rsidRPr="0066736E">
        <w:rPr>
          <w:szCs w:val="22"/>
        </w:rPr>
        <w:t xml:space="preserve">become available </w:t>
      </w:r>
      <w:r>
        <w:rPr>
          <w:szCs w:val="22"/>
        </w:rPr>
        <w:t xml:space="preserve">on </w:t>
      </w:r>
      <w:r w:rsidRPr="0066736E">
        <w:rPr>
          <w:szCs w:val="22"/>
        </w:rPr>
        <w:t>ETRS at the time of initiation of the nationwide test</w:t>
      </w:r>
      <w:r w:rsidRPr="00BE5BE6">
        <w:rPr>
          <w:szCs w:val="22"/>
        </w:rPr>
        <w:t>.</w:t>
      </w:r>
      <w:r w:rsidRPr="00BE5BE6">
        <w:rPr>
          <w:rStyle w:val="FootnoteReference"/>
          <w:szCs w:val="22"/>
        </w:rPr>
        <w:footnoteReference w:id="8"/>
      </w:r>
      <w:r w:rsidRPr="00BE5BE6">
        <w:rPr>
          <w:szCs w:val="22"/>
        </w:rPr>
        <w:t xml:space="preserve">  </w:t>
      </w:r>
    </w:p>
    <w:p w14:paraId="77A94F20" w14:textId="77777777" w:rsidR="0098574F" w:rsidRPr="00BE5BE6" w:rsidRDefault="0098574F" w:rsidP="00502E39">
      <w:pPr>
        <w:pStyle w:val="Heading1"/>
        <w:spacing w:after="120"/>
        <w:rPr>
          <w:b w:val="0"/>
          <w:szCs w:val="22"/>
        </w:rPr>
      </w:pPr>
      <w:r w:rsidRPr="00BE5BE6">
        <w:rPr>
          <w:szCs w:val="22"/>
        </w:rPr>
        <w:t>ETRS Registration Instructions</w:t>
      </w:r>
    </w:p>
    <w:p w14:paraId="354D6CFF" w14:textId="23275663" w:rsidR="0098574F" w:rsidRPr="00BE5BE6" w:rsidRDefault="0098574F" w:rsidP="00502E39">
      <w:pPr>
        <w:spacing w:after="120"/>
        <w:ind w:firstLine="720"/>
        <w:rPr>
          <w:szCs w:val="22"/>
        </w:rPr>
      </w:pPr>
      <w:r w:rsidRPr="00BE5BE6">
        <w:rPr>
          <w:szCs w:val="22"/>
        </w:rPr>
        <w:t>To register for ETRS and access Form One, EAS Participants must do the following:</w:t>
      </w:r>
    </w:p>
    <w:p w14:paraId="765B3B8A" w14:textId="7B09D867" w:rsidR="0098574F" w:rsidRPr="004332AC" w:rsidRDefault="0098574F" w:rsidP="00502E39">
      <w:pPr>
        <w:pStyle w:val="ListParagraph"/>
        <w:numPr>
          <w:ilvl w:val="0"/>
          <w:numId w:val="13"/>
        </w:numPr>
        <w:spacing w:after="120"/>
        <w:ind w:left="1080"/>
        <w:rPr>
          <w:szCs w:val="22"/>
        </w:rPr>
      </w:pPr>
      <w:r w:rsidRPr="004332AC">
        <w:rPr>
          <w:szCs w:val="22"/>
        </w:rPr>
        <w:t>Visit the ETRS page of the Commission’s website (</w:t>
      </w:r>
      <w:hyperlink r:id="rId14" w:history="1">
        <w:r w:rsidR="004332AC" w:rsidRPr="004332AC">
          <w:rPr>
            <w:rStyle w:val="Hyperlink"/>
            <w:szCs w:val="22"/>
          </w:rPr>
          <w:t>https://www.fcc.gov/general/eas-test-reporting-system</w:t>
        </w:r>
      </w:hyperlink>
      <w:r w:rsidRPr="004332AC">
        <w:rPr>
          <w:szCs w:val="22"/>
        </w:rPr>
        <w:t>) and click on the ETRS Registration Page link.</w:t>
      </w:r>
    </w:p>
    <w:p w14:paraId="25081339" w14:textId="77777777" w:rsidR="0098574F" w:rsidRDefault="0098574F" w:rsidP="00502E39">
      <w:pPr>
        <w:pStyle w:val="ListParagraph"/>
        <w:numPr>
          <w:ilvl w:val="0"/>
          <w:numId w:val="13"/>
        </w:numPr>
        <w:spacing w:after="120"/>
        <w:ind w:left="1080"/>
        <w:rPr>
          <w:szCs w:val="22"/>
        </w:rPr>
      </w:pPr>
      <w:r w:rsidRPr="00DB440A">
        <w:rPr>
          <w:szCs w:val="22"/>
        </w:rPr>
        <w:t>After successfully completing the ETRS Registration Page, filers will be e-mailed their ETRS account credentials and a link to the ETRS log-in page.</w:t>
      </w:r>
    </w:p>
    <w:p w14:paraId="41D62F60" w14:textId="3729D3F4" w:rsidR="0098574F" w:rsidRDefault="0098574F" w:rsidP="00502E39">
      <w:pPr>
        <w:pStyle w:val="ListParagraph"/>
        <w:numPr>
          <w:ilvl w:val="0"/>
          <w:numId w:val="13"/>
        </w:numPr>
        <w:spacing w:after="120"/>
        <w:ind w:left="1080"/>
        <w:rPr>
          <w:szCs w:val="22"/>
        </w:rPr>
      </w:pPr>
      <w:r>
        <w:rPr>
          <w:szCs w:val="22"/>
        </w:rPr>
        <w:t xml:space="preserve">When </w:t>
      </w:r>
      <w:r w:rsidRPr="00DB440A">
        <w:rPr>
          <w:szCs w:val="22"/>
        </w:rPr>
        <w:t>EAS Participants click on the emailed link and log into ETRS, they will view the ETRS Homepage, which will provide instructions on how to access Form One</w:t>
      </w:r>
      <w:r>
        <w:rPr>
          <w:szCs w:val="22"/>
        </w:rPr>
        <w:t>.</w:t>
      </w:r>
    </w:p>
    <w:p w14:paraId="50E43C28" w14:textId="77777777" w:rsidR="0098574F" w:rsidRPr="00BE5BE6" w:rsidRDefault="0098574F" w:rsidP="00502E39">
      <w:pPr>
        <w:spacing w:after="120"/>
        <w:ind w:firstLine="720"/>
        <w:rPr>
          <w:szCs w:val="22"/>
        </w:rPr>
      </w:pPr>
      <w:bookmarkStart w:id="1" w:name="_Toc378863297"/>
      <w:bookmarkStart w:id="2" w:name="_Toc378868614"/>
      <w:bookmarkStart w:id="3" w:name="_Toc379787524"/>
      <w:bookmarkStart w:id="4" w:name="_Toc379902606"/>
      <w:bookmarkStart w:id="5" w:name="_Toc379903292"/>
      <w:bookmarkStart w:id="6" w:name="_Toc379907071"/>
      <w:bookmarkStart w:id="7" w:name="_Toc380482112"/>
      <w:bookmarkStart w:id="8" w:name="_Toc380483105"/>
      <w:bookmarkStart w:id="9" w:name="_Toc380569178"/>
      <w:bookmarkStart w:id="10" w:name="_Toc380580366"/>
      <w:bookmarkStart w:id="11" w:name="_Toc380581434"/>
      <w:bookmarkStart w:id="12" w:name="_Toc380584424"/>
      <w:bookmarkStart w:id="13" w:name="_Toc380673902"/>
      <w:bookmarkStart w:id="14" w:name="_Toc383514781"/>
      <w:bookmarkStart w:id="15" w:name="_Toc384814354"/>
      <w:bookmarkStart w:id="16" w:name="_Toc384814433"/>
      <w:bookmarkStart w:id="17" w:name="_Toc384814867"/>
      <w:bookmarkStart w:id="18" w:name="_Toc384817909"/>
      <w:bookmarkStart w:id="19" w:name="_Toc387054613"/>
      <w:bookmarkStart w:id="20" w:name="_Toc387154759"/>
      <w:bookmarkStart w:id="21" w:name="_Toc387155784"/>
      <w:bookmarkStart w:id="22" w:name="_Toc387222348"/>
      <w:bookmarkStart w:id="23" w:name="_Toc416948213"/>
      <w:bookmarkStart w:id="24" w:name="_Toc416953270"/>
      <w:bookmarkStart w:id="25" w:name="_Toc417049396"/>
      <w:bookmarkStart w:id="26" w:name="_Toc417049528"/>
      <w:bookmarkStart w:id="27" w:name="_Toc417052028"/>
      <w:bookmarkStart w:id="28" w:name="_Toc417571490"/>
      <w:bookmarkStart w:id="29" w:name="_Toc417571658"/>
      <w:bookmarkStart w:id="30" w:name="_Toc417571762"/>
      <w:bookmarkStart w:id="31" w:name="_Toc417571851"/>
      <w:bookmarkStart w:id="32" w:name="_Toc417571962"/>
      <w:bookmarkStart w:id="33" w:name="_Toc417572017"/>
      <w:bookmarkStart w:id="34" w:name="_Toc417654857"/>
      <w:bookmarkStart w:id="35" w:name="_Toc418178676"/>
      <w:bookmarkStart w:id="36" w:name="_Toc418178786"/>
      <w:bookmarkStart w:id="37" w:name="_Toc418239083"/>
      <w:bookmarkStart w:id="38" w:name="_Toc418861063"/>
      <w:bookmarkStart w:id="39" w:name="_Toc418861131"/>
      <w:bookmarkStart w:id="40" w:name="_Toc419106293"/>
      <w:bookmarkStart w:id="41" w:name="_Toc419106334"/>
      <w:bookmarkStart w:id="42" w:name="_Toc419106395"/>
      <w:bookmarkStart w:id="43" w:name="_Toc419458993"/>
      <w:bookmarkStart w:id="44" w:name="_Toc419466196"/>
      <w:bookmarkStart w:id="45" w:name="_Toc419734066"/>
      <w:bookmarkStart w:id="46" w:name="_Toc420570512"/>
      <w:r>
        <w:rPr>
          <w:szCs w:val="22"/>
        </w:rPr>
        <w:t>EAS Participants should be precise when completing fields in ETRS.</w:t>
      </w:r>
    </w:p>
    <w:p w14:paraId="5EE4B2E8" w14:textId="77777777" w:rsidR="0098574F" w:rsidRDefault="0098574F" w:rsidP="00502E39">
      <w:pPr>
        <w:pStyle w:val="ListParagraph"/>
        <w:numPr>
          <w:ilvl w:val="0"/>
          <w:numId w:val="13"/>
        </w:numPr>
        <w:spacing w:after="120"/>
        <w:ind w:left="1080"/>
        <w:rPr>
          <w:szCs w:val="22"/>
        </w:rPr>
      </w:pPr>
      <w:r w:rsidRPr="00884DCE">
        <w:rPr>
          <w:szCs w:val="22"/>
        </w:rPr>
        <w:t xml:space="preserve">EAS Participants should ensure that their filers accurately enter the EAS Participant’s legal name on the ETRS Registration Page. </w:t>
      </w:r>
    </w:p>
    <w:p w14:paraId="06B04919" w14:textId="7583E7CA" w:rsidR="0098574F" w:rsidRDefault="008F6B05" w:rsidP="00502E39">
      <w:pPr>
        <w:pStyle w:val="ListParagraph"/>
        <w:numPr>
          <w:ilvl w:val="0"/>
          <w:numId w:val="13"/>
        </w:numPr>
        <w:spacing w:after="120"/>
        <w:ind w:left="1080"/>
        <w:rPr>
          <w:szCs w:val="22"/>
        </w:rPr>
      </w:pPr>
      <w:r>
        <w:rPr>
          <w:szCs w:val="22"/>
        </w:rPr>
        <w:t>EAS P</w:t>
      </w:r>
      <w:r w:rsidRPr="00884DCE">
        <w:rPr>
          <w:szCs w:val="22"/>
        </w:rPr>
        <w:t>articipants that are owned by a</w:t>
      </w:r>
      <w:r>
        <w:rPr>
          <w:szCs w:val="22"/>
        </w:rPr>
        <w:t xml:space="preserve"> larger</w:t>
      </w:r>
      <w:r w:rsidRPr="00884DCE">
        <w:rPr>
          <w:szCs w:val="22"/>
        </w:rPr>
        <w:t xml:space="preserve"> entity should accurately enter the owning entity’s legal name in the Owner of EAS Participant field in Form One.</w:t>
      </w:r>
      <w:r w:rsidRPr="00884DCE" w:rsidDel="00884DCE">
        <w:rPr>
          <w:szCs w:val="22"/>
        </w:rPr>
        <w:t xml:space="preserve">  </w:t>
      </w:r>
      <w:r w:rsidR="0098574F" w:rsidRPr="00884DCE" w:rsidDel="00884DCE">
        <w:rPr>
          <w:szCs w:val="22"/>
        </w:rPr>
        <w:t xml:space="preserve"> </w:t>
      </w:r>
    </w:p>
    <w:p w14:paraId="33F0FD41" w14:textId="66E59F03" w:rsidR="0098574F" w:rsidRPr="00884DCE" w:rsidRDefault="0098574F" w:rsidP="00502E39">
      <w:pPr>
        <w:spacing w:after="120"/>
        <w:ind w:firstLine="720"/>
        <w:rPr>
          <w:szCs w:val="22"/>
        </w:rPr>
      </w:pPr>
      <w:r w:rsidRPr="00884DCE">
        <w:rPr>
          <w:szCs w:val="22"/>
        </w:rPr>
        <w:t xml:space="preserve">It is recommended that </w:t>
      </w:r>
      <w:r>
        <w:rPr>
          <w:szCs w:val="22"/>
        </w:rPr>
        <w:t xml:space="preserve">large </w:t>
      </w:r>
      <w:r w:rsidRPr="00884DCE">
        <w:rPr>
          <w:szCs w:val="22"/>
        </w:rPr>
        <w:t xml:space="preserve">EAS Participants </w:t>
      </w:r>
      <w:r w:rsidR="008F6B05">
        <w:rPr>
          <w:szCs w:val="22"/>
        </w:rPr>
        <w:t>(</w:t>
      </w:r>
      <w:r w:rsidR="008F6B05" w:rsidRPr="0094233B">
        <w:rPr>
          <w:i/>
          <w:szCs w:val="22"/>
        </w:rPr>
        <w:t>e.g.</w:t>
      </w:r>
      <w:r w:rsidR="008F6B05">
        <w:rPr>
          <w:szCs w:val="22"/>
        </w:rPr>
        <w:t xml:space="preserve"> EAS Participants with several facilities) </w:t>
      </w:r>
      <w:r>
        <w:rPr>
          <w:szCs w:val="22"/>
        </w:rPr>
        <w:t>request that</w:t>
      </w:r>
      <w:r w:rsidRPr="00884DCE">
        <w:rPr>
          <w:szCs w:val="22"/>
        </w:rPr>
        <w:t xml:space="preserve"> at least one of their filers serve as a “coordinator.”</w:t>
      </w:r>
    </w:p>
    <w:p w14:paraId="0BE37BAE" w14:textId="6C6AD9BB" w:rsidR="008F6B05" w:rsidRPr="008F6B05" w:rsidRDefault="008F6B05" w:rsidP="00502E39">
      <w:pPr>
        <w:pStyle w:val="ListParagraph"/>
        <w:numPr>
          <w:ilvl w:val="0"/>
          <w:numId w:val="14"/>
        </w:numPr>
        <w:spacing w:after="120"/>
        <w:ind w:left="1080"/>
        <w:rPr>
          <w:szCs w:val="22"/>
        </w:rPr>
      </w:pPr>
      <w:r w:rsidRPr="008F6B05">
        <w:rPr>
          <w:szCs w:val="22"/>
        </w:rPr>
        <w:t xml:space="preserve">EAS Participants may designate a coordinator by sending a request to </w:t>
      </w:r>
      <w:hyperlink r:id="rId15" w:history="1">
        <w:r w:rsidRPr="008F6B05">
          <w:rPr>
            <w:rStyle w:val="Hyperlink"/>
            <w:szCs w:val="22"/>
          </w:rPr>
          <w:t>ETRS@fcc.gov</w:t>
        </w:r>
      </w:hyperlink>
      <w:r w:rsidRPr="008F6B05">
        <w:rPr>
          <w:szCs w:val="22"/>
        </w:rPr>
        <w:t xml:space="preserve">. </w:t>
      </w:r>
    </w:p>
    <w:p w14:paraId="4063EED8" w14:textId="77777777" w:rsidR="0098574F" w:rsidRPr="00DB440A" w:rsidRDefault="0098574F" w:rsidP="00502E39">
      <w:pPr>
        <w:pStyle w:val="ListParagraph"/>
        <w:numPr>
          <w:ilvl w:val="0"/>
          <w:numId w:val="14"/>
        </w:numPr>
        <w:spacing w:after="120"/>
        <w:ind w:left="1080"/>
        <w:rPr>
          <w:szCs w:val="22"/>
        </w:rPr>
      </w:pPr>
      <w:r w:rsidRPr="00DB440A">
        <w:rPr>
          <w:szCs w:val="22"/>
        </w:rPr>
        <w:t xml:space="preserve">Coordinators have the ability to “batch” file, as well as view records, update forms, and generate reports from all data associated with </w:t>
      </w:r>
      <w:r>
        <w:rPr>
          <w:szCs w:val="22"/>
        </w:rPr>
        <w:t>other filers that share the same FCC Registration Number</w:t>
      </w:r>
      <w:r w:rsidRPr="00DB440A">
        <w:rPr>
          <w:szCs w:val="22"/>
        </w:rPr>
        <w:t>.</w:t>
      </w:r>
    </w:p>
    <w:p w14:paraId="54CE98CD" w14:textId="54145170" w:rsidR="0098574F" w:rsidRDefault="0098574F" w:rsidP="00502E39">
      <w:pPr>
        <w:spacing w:after="120"/>
        <w:ind w:firstLine="720"/>
        <w:rPr>
          <w:szCs w:val="22"/>
        </w:rPr>
      </w:pPr>
      <w:r w:rsidRPr="00BE5BE6" w:rsidDel="00A72325">
        <w:rPr>
          <w:szCs w:val="22"/>
        </w:rPr>
        <w:t xml:space="preserve">Filers may contact Bureau staff </w:t>
      </w:r>
      <w:r w:rsidDel="00A72325">
        <w:rPr>
          <w:szCs w:val="22"/>
        </w:rPr>
        <w:t xml:space="preserve">for assistance </w:t>
      </w:r>
      <w:r w:rsidR="008F6B05">
        <w:rPr>
          <w:szCs w:val="22"/>
        </w:rPr>
        <w:t xml:space="preserve">in completing Form One </w:t>
      </w:r>
      <w:r w:rsidRPr="00BE5BE6" w:rsidDel="00A72325">
        <w:rPr>
          <w:szCs w:val="22"/>
        </w:rPr>
        <w:t xml:space="preserve">at </w:t>
      </w:r>
      <w:hyperlink r:id="rId16" w:history="1">
        <w:r w:rsidRPr="00BE5BE6" w:rsidDel="00A72325">
          <w:rPr>
            <w:rStyle w:val="Hyperlink"/>
            <w:szCs w:val="22"/>
          </w:rPr>
          <w:t>ETRS@fcc.gov</w:t>
        </w:r>
      </w:hyperlink>
      <w:r w:rsidRPr="00BE5BE6" w:rsidDel="00A72325">
        <w:rPr>
          <w:szCs w:val="22"/>
        </w:rPr>
        <w:t>.</w:t>
      </w:r>
    </w:p>
    <w:p w14:paraId="0BEB4C54" w14:textId="31209B28" w:rsidR="00EA3966" w:rsidRPr="00BE5BE6" w:rsidRDefault="00733C7A" w:rsidP="00502E39">
      <w:pPr>
        <w:pStyle w:val="Heading1"/>
        <w:spacing w:after="120"/>
        <w:rPr>
          <w:b w:val="0"/>
          <w:szCs w:val="22"/>
        </w:rPr>
      </w:pPr>
      <w:r>
        <w:rPr>
          <w:szCs w:val="22"/>
        </w:rPr>
        <w:t>EAS operating handbook</w:t>
      </w:r>
    </w:p>
    <w:p w14:paraId="2418EA42" w14:textId="50E8B5F1" w:rsidR="00CF1580" w:rsidRDefault="00CF1580" w:rsidP="00502E39">
      <w:pPr>
        <w:spacing w:after="120"/>
        <w:ind w:firstLine="720"/>
        <w:rPr>
          <w:snapToGrid w:val="0"/>
          <w:kern w:val="28"/>
          <w:szCs w:val="22"/>
        </w:rPr>
      </w:pPr>
      <w:r>
        <w:rPr>
          <w:snapToGrid w:val="0"/>
          <w:kern w:val="28"/>
          <w:szCs w:val="22"/>
        </w:rPr>
        <w:t>The EAS Operating Handbook (</w:t>
      </w:r>
      <w:r>
        <w:rPr>
          <w:szCs w:val="22"/>
        </w:rPr>
        <w:t>Handbook</w:t>
      </w:r>
      <w:r>
        <w:rPr>
          <w:snapToGrid w:val="0"/>
          <w:kern w:val="28"/>
          <w:szCs w:val="22"/>
        </w:rPr>
        <w:t xml:space="preserve">) is an informational </w:t>
      </w:r>
      <w:r w:rsidR="00013CFD">
        <w:rPr>
          <w:snapToGrid w:val="0"/>
          <w:kern w:val="28"/>
          <w:szCs w:val="22"/>
        </w:rPr>
        <w:t>document</w:t>
      </w:r>
      <w:r>
        <w:rPr>
          <w:snapToGrid w:val="0"/>
          <w:kern w:val="28"/>
          <w:szCs w:val="22"/>
        </w:rPr>
        <w:t xml:space="preserve"> that </w:t>
      </w:r>
      <w:r w:rsidR="00013CFD">
        <w:rPr>
          <w:snapToGrid w:val="0"/>
          <w:kern w:val="28"/>
          <w:szCs w:val="22"/>
        </w:rPr>
        <w:t>aids</w:t>
      </w:r>
      <w:r>
        <w:rPr>
          <w:snapToGrid w:val="0"/>
          <w:kern w:val="28"/>
          <w:szCs w:val="22"/>
        </w:rPr>
        <w:t xml:space="preserve"> EAS Participant personnel </w:t>
      </w:r>
      <w:r w:rsidR="00013CFD">
        <w:rPr>
          <w:snapToGrid w:val="0"/>
          <w:kern w:val="28"/>
          <w:szCs w:val="22"/>
        </w:rPr>
        <w:t xml:space="preserve">in handling EAS messages </w:t>
      </w:r>
      <w:r w:rsidR="006949F3">
        <w:rPr>
          <w:snapToGrid w:val="0"/>
          <w:kern w:val="28"/>
          <w:szCs w:val="22"/>
        </w:rPr>
        <w:t xml:space="preserve">by outlining </w:t>
      </w:r>
      <w:r w:rsidR="006949F3" w:rsidRPr="006949F3">
        <w:rPr>
          <w:snapToGrid w:val="0"/>
          <w:kern w:val="28"/>
          <w:szCs w:val="22"/>
        </w:rPr>
        <w:t>operational procedures</w:t>
      </w:r>
      <w:r w:rsidR="006949F3">
        <w:rPr>
          <w:snapToGrid w:val="0"/>
          <w:kern w:val="28"/>
          <w:szCs w:val="22"/>
        </w:rPr>
        <w:t xml:space="preserve"> </w:t>
      </w:r>
      <w:r w:rsidR="008D57C3">
        <w:rPr>
          <w:snapToGrid w:val="0"/>
          <w:kern w:val="28"/>
          <w:szCs w:val="22"/>
        </w:rPr>
        <w:t xml:space="preserve">reflective of the </w:t>
      </w:r>
      <w:r w:rsidR="008D57C3">
        <w:rPr>
          <w:snapToGrid w:val="0"/>
          <w:kern w:val="28"/>
          <w:szCs w:val="22"/>
        </w:rPr>
        <w:lastRenderedPageBreak/>
        <w:t xml:space="preserve">requirements </w:t>
      </w:r>
      <w:r w:rsidR="0024197C">
        <w:rPr>
          <w:snapToGrid w:val="0"/>
          <w:kern w:val="28"/>
          <w:szCs w:val="22"/>
        </w:rPr>
        <w:t xml:space="preserve">found </w:t>
      </w:r>
      <w:r w:rsidR="003451CD">
        <w:rPr>
          <w:snapToGrid w:val="0"/>
          <w:kern w:val="28"/>
          <w:szCs w:val="22"/>
        </w:rPr>
        <w:t xml:space="preserve">in </w:t>
      </w:r>
      <w:r w:rsidR="0024197C">
        <w:rPr>
          <w:snapToGrid w:val="0"/>
          <w:kern w:val="28"/>
          <w:szCs w:val="22"/>
        </w:rPr>
        <w:t>the</w:t>
      </w:r>
      <w:r w:rsidR="006949F3" w:rsidRPr="006949F3">
        <w:rPr>
          <w:snapToGrid w:val="0"/>
          <w:kern w:val="28"/>
          <w:szCs w:val="22"/>
        </w:rPr>
        <w:t xml:space="preserve"> Part 11 rules</w:t>
      </w:r>
      <w:r>
        <w:rPr>
          <w:snapToGrid w:val="0"/>
          <w:kern w:val="28"/>
          <w:szCs w:val="22"/>
        </w:rPr>
        <w:t>.</w:t>
      </w:r>
      <w:r>
        <w:rPr>
          <w:rStyle w:val="FootnoteReference"/>
          <w:snapToGrid w:val="0"/>
          <w:kern w:val="28"/>
          <w:szCs w:val="22"/>
        </w:rPr>
        <w:footnoteReference w:id="9"/>
      </w:r>
      <w:r>
        <w:rPr>
          <w:snapToGrid w:val="0"/>
          <w:kern w:val="28"/>
          <w:szCs w:val="22"/>
        </w:rPr>
        <w:t xml:space="preserve">  </w:t>
      </w:r>
      <w:r w:rsidR="00492109">
        <w:rPr>
          <w:snapToGrid w:val="0"/>
          <w:kern w:val="28"/>
          <w:szCs w:val="22"/>
        </w:rPr>
        <w:t>The Commission tasked CSRIC with developing recommendations for</w:t>
      </w:r>
      <w:r w:rsidR="00492109" w:rsidRPr="00492109">
        <w:rPr>
          <w:snapToGrid w:val="0"/>
          <w:kern w:val="28"/>
          <w:szCs w:val="22"/>
        </w:rPr>
        <w:t xml:space="preserve"> textual and visual </w:t>
      </w:r>
      <w:r w:rsidR="00492109">
        <w:rPr>
          <w:snapToGrid w:val="0"/>
          <w:kern w:val="28"/>
          <w:szCs w:val="22"/>
        </w:rPr>
        <w:t>modifications to the Handbook to make it s</w:t>
      </w:r>
      <w:r w:rsidR="00492109" w:rsidRPr="00492109">
        <w:rPr>
          <w:snapToGrid w:val="0"/>
          <w:kern w:val="28"/>
          <w:szCs w:val="22"/>
        </w:rPr>
        <w:t xml:space="preserve">uitable for each category of EAS Participant, with particular attention </w:t>
      </w:r>
      <w:r w:rsidR="00492109">
        <w:rPr>
          <w:snapToGrid w:val="0"/>
          <w:kern w:val="28"/>
          <w:szCs w:val="22"/>
        </w:rPr>
        <w:t xml:space="preserve">paid </w:t>
      </w:r>
      <w:r w:rsidR="00492109" w:rsidRPr="00492109">
        <w:rPr>
          <w:snapToGrid w:val="0"/>
          <w:kern w:val="28"/>
          <w:szCs w:val="22"/>
        </w:rPr>
        <w:t>to rural, smaller and less resourced EAS Participants.</w:t>
      </w:r>
      <w:r w:rsidR="00492109">
        <w:rPr>
          <w:rStyle w:val="FootnoteReference"/>
          <w:snapToGrid w:val="0"/>
          <w:kern w:val="28"/>
          <w:szCs w:val="22"/>
        </w:rPr>
        <w:footnoteReference w:id="10"/>
      </w:r>
      <w:r w:rsidR="00492109" w:rsidRPr="00492109">
        <w:rPr>
          <w:snapToGrid w:val="0"/>
          <w:kern w:val="28"/>
          <w:szCs w:val="22"/>
        </w:rPr>
        <w:t xml:space="preserve"> </w:t>
      </w:r>
      <w:r w:rsidR="00492109">
        <w:rPr>
          <w:snapToGrid w:val="0"/>
          <w:kern w:val="28"/>
          <w:szCs w:val="22"/>
        </w:rPr>
        <w:t xml:space="preserve"> On June 22, 2016, </w:t>
      </w:r>
      <w:r w:rsidR="00733C7A">
        <w:rPr>
          <w:snapToGrid w:val="0"/>
          <w:kern w:val="28"/>
          <w:szCs w:val="22"/>
        </w:rPr>
        <w:t xml:space="preserve">CSRIC adopted the </w:t>
      </w:r>
      <w:r w:rsidR="00346E87">
        <w:rPr>
          <w:snapToGrid w:val="0"/>
          <w:kern w:val="28"/>
          <w:szCs w:val="22"/>
        </w:rPr>
        <w:t xml:space="preserve">recommendations described in the </w:t>
      </w:r>
      <w:r w:rsidR="00733C7A" w:rsidRPr="00051FA4">
        <w:rPr>
          <w:i/>
          <w:snapToGrid w:val="0"/>
          <w:kern w:val="28"/>
          <w:szCs w:val="22"/>
        </w:rPr>
        <w:t>EAS Operating Handbook Report</w:t>
      </w:r>
      <w:r w:rsidR="00733C7A">
        <w:rPr>
          <w:snapToGrid w:val="0"/>
          <w:kern w:val="28"/>
          <w:szCs w:val="22"/>
        </w:rPr>
        <w:t>.</w:t>
      </w:r>
      <w:r w:rsidR="00E043C5">
        <w:rPr>
          <w:snapToGrid w:val="0"/>
          <w:kern w:val="28"/>
          <w:szCs w:val="22"/>
        </w:rPr>
        <w:t xml:space="preserve">  </w:t>
      </w:r>
      <w:r w:rsidR="00B040DC">
        <w:rPr>
          <w:snapToGrid w:val="0"/>
          <w:kern w:val="28"/>
          <w:szCs w:val="22"/>
        </w:rPr>
        <w:t xml:space="preserve">Specifically, </w:t>
      </w:r>
      <w:r w:rsidR="0038199A">
        <w:rPr>
          <w:snapToGrid w:val="0"/>
          <w:kern w:val="28"/>
          <w:szCs w:val="22"/>
        </w:rPr>
        <w:t>CSRIC</w:t>
      </w:r>
      <w:r w:rsidR="008E6497">
        <w:rPr>
          <w:snapToGrid w:val="0"/>
          <w:kern w:val="28"/>
          <w:szCs w:val="22"/>
        </w:rPr>
        <w:t xml:space="preserve"> </w:t>
      </w:r>
      <w:r w:rsidR="00B040DC">
        <w:rPr>
          <w:snapToGrid w:val="0"/>
          <w:kern w:val="28"/>
          <w:szCs w:val="22"/>
        </w:rPr>
        <w:t xml:space="preserve">has </w:t>
      </w:r>
      <w:r>
        <w:rPr>
          <w:snapToGrid w:val="0"/>
          <w:kern w:val="28"/>
          <w:szCs w:val="22"/>
        </w:rPr>
        <w:t>recommend</w:t>
      </w:r>
      <w:r w:rsidR="00B040DC">
        <w:rPr>
          <w:snapToGrid w:val="0"/>
          <w:kern w:val="28"/>
          <w:szCs w:val="22"/>
        </w:rPr>
        <w:t>ed</w:t>
      </w:r>
      <w:r>
        <w:rPr>
          <w:snapToGrid w:val="0"/>
          <w:kern w:val="28"/>
          <w:szCs w:val="22"/>
        </w:rPr>
        <w:t xml:space="preserve"> that the Commission adopt</w:t>
      </w:r>
      <w:r w:rsidR="004B0EE6">
        <w:rPr>
          <w:snapToGrid w:val="0"/>
          <w:kern w:val="28"/>
          <w:szCs w:val="22"/>
        </w:rPr>
        <w:t xml:space="preserve"> </w:t>
      </w:r>
      <w:r w:rsidR="00B040DC">
        <w:rPr>
          <w:snapToGrid w:val="0"/>
          <w:kern w:val="28"/>
          <w:szCs w:val="22"/>
        </w:rPr>
        <w:t>the subject</w:t>
      </w:r>
      <w:r w:rsidR="004B0EE6">
        <w:rPr>
          <w:snapToGrid w:val="0"/>
          <w:kern w:val="28"/>
          <w:szCs w:val="22"/>
        </w:rPr>
        <w:t xml:space="preserve"> Handbook</w:t>
      </w:r>
      <w:r>
        <w:rPr>
          <w:snapToGrid w:val="0"/>
          <w:kern w:val="28"/>
          <w:szCs w:val="22"/>
        </w:rPr>
        <w:t xml:space="preserve"> </w:t>
      </w:r>
      <w:r w:rsidR="004B0EE6">
        <w:rPr>
          <w:snapToGrid w:val="0"/>
          <w:kern w:val="28"/>
          <w:szCs w:val="22"/>
        </w:rPr>
        <w:t>that</w:t>
      </w:r>
      <w:r w:rsidR="0038199A">
        <w:rPr>
          <w:snapToGrid w:val="0"/>
          <w:kern w:val="28"/>
          <w:szCs w:val="22"/>
        </w:rPr>
        <w:t xml:space="preserve"> </w:t>
      </w:r>
      <w:r w:rsidR="00947764">
        <w:rPr>
          <w:snapToGrid w:val="0"/>
          <w:kern w:val="28"/>
          <w:szCs w:val="22"/>
        </w:rPr>
        <w:t>employ</w:t>
      </w:r>
      <w:r w:rsidR="004B0EE6">
        <w:rPr>
          <w:snapToGrid w:val="0"/>
          <w:kern w:val="28"/>
          <w:szCs w:val="22"/>
        </w:rPr>
        <w:t>s</w:t>
      </w:r>
      <w:r w:rsidR="00947764">
        <w:rPr>
          <w:snapToGrid w:val="0"/>
          <w:kern w:val="28"/>
          <w:szCs w:val="22"/>
        </w:rPr>
        <w:t xml:space="preserve"> checkboxes and </w:t>
      </w:r>
      <w:r w:rsidR="003F71B1">
        <w:rPr>
          <w:snapToGrid w:val="0"/>
          <w:kern w:val="28"/>
          <w:szCs w:val="22"/>
        </w:rPr>
        <w:t>“fill-in-the-blank” operational steps</w:t>
      </w:r>
      <w:r w:rsidR="00B040DC">
        <w:rPr>
          <w:snapToGrid w:val="0"/>
          <w:kern w:val="28"/>
          <w:szCs w:val="22"/>
        </w:rPr>
        <w:t>.</w:t>
      </w:r>
      <w:r w:rsidR="00B040DC">
        <w:rPr>
          <w:rStyle w:val="FootnoteReference"/>
          <w:snapToGrid w:val="0"/>
          <w:kern w:val="28"/>
          <w:szCs w:val="22"/>
        </w:rPr>
        <w:footnoteReference w:id="11"/>
      </w:r>
      <w:r w:rsidR="00B040DC">
        <w:rPr>
          <w:snapToGrid w:val="0"/>
          <w:kern w:val="28"/>
          <w:szCs w:val="22"/>
        </w:rPr>
        <w:t xml:space="preserve"> </w:t>
      </w:r>
      <w:r w:rsidR="004434E5">
        <w:rPr>
          <w:snapToGrid w:val="0"/>
          <w:kern w:val="28"/>
          <w:szCs w:val="22"/>
        </w:rPr>
        <w:t xml:space="preserve"> </w:t>
      </w:r>
      <w:r w:rsidR="00B040DC">
        <w:rPr>
          <w:snapToGrid w:val="0"/>
          <w:kern w:val="28"/>
          <w:szCs w:val="22"/>
        </w:rPr>
        <w:t>This will mean</w:t>
      </w:r>
      <w:r w:rsidR="004434E5">
        <w:rPr>
          <w:snapToGrid w:val="0"/>
          <w:kern w:val="28"/>
          <w:szCs w:val="22"/>
        </w:rPr>
        <w:t xml:space="preserve"> </w:t>
      </w:r>
      <w:r w:rsidR="005A3B38">
        <w:rPr>
          <w:snapToGrid w:val="0"/>
          <w:kern w:val="28"/>
          <w:szCs w:val="22"/>
        </w:rPr>
        <w:t xml:space="preserve">that to optimize the utility of the Handbook, </w:t>
      </w:r>
      <w:r w:rsidR="00987263">
        <w:rPr>
          <w:snapToGrid w:val="0"/>
          <w:kern w:val="28"/>
          <w:szCs w:val="22"/>
        </w:rPr>
        <w:t>each</w:t>
      </w:r>
      <w:r w:rsidR="004434E5">
        <w:rPr>
          <w:snapToGrid w:val="0"/>
          <w:kern w:val="28"/>
          <w:szCs w:val="22"/>
        </w:rPr>
        <w:t xml:space="preserve"> EAS Participant </w:t>
      </w:r>
      <w:r w:rsidR="005A3B38">
        <w:rPr>
          <w:snapToGrid w:val="0"/>
          <w:kern w:val="28"/>
          <w:szCs w:val="22"/>
        </w:rPr>
        <w:t>should</w:t>
      </w:r>
      <w:r w:rsidR="007E3BDE">
        <w:rPr>
          <w:snapToGrid w:val="0"/>
          <w:kern w:val="28"/>
          <w:szCs w:val="22"/>
        </w:rPr>
        <w:t xml:space="preserve"> customize </w:t>
      </w:r>
      <w:r w:rsidR="005A3B38">
        <w:rPr>
          <w:snapToGrid w:val="0"/>
          <w:kern w:val="28"/>
          <w:szCs w:val="22"/>
        </w:rPr>
        <w:t>it</w:t>
      </w:r>
      <w:r w:rsidR="007E3BDE">
        <w:rPr>
          <w:snapToGrid w:val="0"/>
          <w:kern w:val="28"/>
          <w:szCs w:val="22"/>
        </w:rPr>
        <w:t xml:space="preserve"> </w:t>
      </w:r>
      <w:r w:rsidR="00101A55">
        <w:rPr>
          <w:snapToGrid w:val="0"/>
          <w:kern w:val="28"/>
          <w:szCs w:val="22"/>
        </w:rPr>
        <w:t xml:space="preserve">to describe </w:t>
      </w:r>
      <w:r w:rsidR="005A3B38">
        <w:rPr>
          <w:snapToGrid w:val="0"/>
          <w:kern w:val="28"/>
          <w:szCs w:val="22"/>
        </w:rPr>
        <w:t xml:space="preserve">the Participant’s </w:t>
      </w:r>
      <w:r w:rsidR="008D57C3">
        <w:rPr>
          <w:snapToGrid w:val="0"/>
          <w:kern w:val="28"/>
          <w:szCs w:val="22"/>
        </w:rPr>
        <w:t>individual EAS implementation procedures</w:t>
      </w:r>
      <w:r w:rsidR="00101A55">
        <w:rPr>
          <w:snapToGrid w:val="0"/>
          <w:kern w:val="28"/>
          <w:szCs w:val="22"/>
        </w:rPr>
        <w:t>.</w:t>
      </w:r>
      <w:r w:rsidR="00BA049E">
        <w:rPr>
          <w:rStyle w:val="FootnoteReference"/>
          <w:snapToGrid w:val="0"/>
          <w:kern w:val="28"/>
          <w:szCs w:val="22"/>
        </w:rPr>
        <w:footnoteReference w:id="12"/>
      </w:r>
      <w:r>
        <w:rPr>
          <w:snapToGrid w:val="0"/>
          <w:kern w:val="28"/>
          <w:szCs w:val="22"/>
        </w:rPr>
        <w:t xml:space="preserve">  The Bureau seeks comment on the Handbook presented in Appendix A of</w:t>
      </w:r>
      <w:r w:rsidR="00492109">
        <w:rPr>
          <w:snapToGrid w:val="0"/>
          <w:kern w:val="28"/>
          <w:szCs w:val="22"/>
        </w:rPr>
        <w:t xml:space="preserve"> </w:t>
      </w:r>
      <w:r>
        <w:rPr>
          <w:snapToGrid w:val="0"/>
          <w:kern w:val="28"/>
          <w:szCs w:val="22"/>
        </w:rPr>
        <w:t xml:space="preserve">CSRIC’s </w:t>
      </w:r>
      <w:r w:rsidRPr="0094233B">
        <w:rPr>
          <w:i/>
          <w:snapToGrid w:val="0"/>
          <w:kern w:val="28"/>
          <w:szCs w:val="22"/>
        </w:rPr>
        <w:t>EAS Operating Handbook Report</w:t>
      </w:r>
      <w:r w:rsidR="00346E87">
        <w:rPr>
          <w:snapToGrid w:val="0"/>
          <w:kern w:val="28"/>
          <w:szCs w:val="22"/>
        </w:rPr>
        <w:t xml:space="preserve">, </w:t>
      </w:r>
      <w:r w:rsidR="00346E87">
        <w:rPr>
          <w:snapToGrid w:val="0"/>
        </w:rPr>
        <w:t>together with the accompanying instructions set forth in Appendix B</w:t>
      </w:r>
      <w:r w:rsidR="00B040DC">
        <w:rPr>
          <w:snapToGrid w:val="0"/>
        </w:rPr>
        <w:t>, to support future FCC guidance regarding Handbook use</w:t>
      </w:r>
      <w:r>
        <w:rPr>
          <w:snapToGrid w:val="0"/>
          <w:kern w:val="28"/>
          <w:szCs w:val="22"/>
        </w:rPr>
        <w:t>.</w:t>
      </w:r>
      <w:r>
        <w:rPr>
          <w:rStyle w:val="FootnoteReference"/>
          <w:snapToGrid w:val="0"/>
          <w:kern w:val="28"/>
          <w:szCs w:val="22"/>
        </w:rPr>
        <w:footnoteReference w:id="13"/>
      </w:r>
    </w:p>
    <w:p w14:paraId="257D5F0C" w14:textId="20344283" w:rsidR="00051FA4" w:rsidRDefault="00051FA4" w:rsidP="00502E39">
      <w:pPr>
        <w:spacing w:after="120"/>
        <w:rPr>
          <w:b/>
          <w:szCs w:val="22"/>
        </w:rPr>
      </w:pPr>
      <w:r w:rsidRPr="00E705C0">
        <w:rPr>
          <w:b/>
          <w:szCs w:val="22"/>
        </w:rPr>
        <w:t xml:space="preserve">IV. </w:t>
      </w:r>
      <w:r w:rsidRPr="00E705C0">
        <w:rPr>
          <w:b/>
          <w:szCs w:val="22"/>
        </w:rPr>
        <w:tab/>
      </w:r>
      <w:r w:rsidR="00941887">
        <w:rPr>
          <w:b/>
          <w:szCs w:val="22"/>
        </w:rPr>
        <w:t>PROCEDURAL MATTERS</w:t>
      </w:r>
    </w:p>
    <w:p w14:paraId="43ABAD07" w14:textId="213F82AE" w:rsidR="00941887" w:rsidRDefault="00941887" w:rsidP="00502E39">
      <w:pPr>
        <w:pStyle w:val="Heading2"/>
        <w:spacing w:after="120"/>
      </w:pPr>
      <w:r>
        <w:t>Ex Parte Rules</w:t>
      </w:r>
    </w:p>
    <w:p w14:paraId="0FE96DFC" w14:textId="05ABAB1D" w:rsidR="00941887" w:rsidRPr="00E705C0" w:rsidRDefault="00941887" w:rsidP="00502E39">
      <w:pPr>
        <w:spacing w:after="120"/>
        <w:ind w:firstLine="720"/>
        <w:rPr>
          <w:szCs w:val="22"/>
        </w:rPr>
      </w:pPr>
      <w:r w:rsidRPr="005A3B38">
        <w:rPr>
          <w:szCs w:val="22"/>
        </w:rPr>
        <w:t xml:space="preserve">The proceeding </w:t>
      </w:r>
      <w:r>
        <w:rPr>
          <w:szCs w:val="22"/>
        </w:rPr>
        <w:t xml:space="preserve">initiated by </w:t>
      </w:r>
      <w:r w:rsidR="00332FC7">
        <w:rPr>
          <w:szCs w:val="22"/>
        </w:rPr>
        <w:t xml:space="preserve">Part III of </w:t>
      </w:r>
      <w:r w:rsidRPr="005A3B38">
        <w:rPr>
          <w:szCs w:val="22"/>
        </w:rPr>
        <w:t xml:space="preserve">this </w:t>
      </w:r>
      <w:r w:rsidRPr="005873B5">
        <w:rPr>
          <w:i/>
          <w:szCs w:val="22"/>
        </w:rPr>
        <w:t>Public Notice</w:t>
      </w:r>
      <w:r w:rsidRPr="005A3B38">
        <w:rPr>
          <w:szCs w:val="22"/>
        </w:rPr>
        <w:t xml:space="preserve"> shall be treated as a “permit-but-disclose” proceeding in accordance with the Commission’s </w:t>
      </w:r>
      <w:r w:rsidRPr="005873B5">
        <w:rPr>
          <w:i/>
          <w:szCs w:val="22"/>
        </w:rPr>
        <w:t>ex parte</w:t>
      </w:r>
      <w:r w:rsidRPr="005A3B38">
        <w:rPr>
          <w:szCs w:val="22"/>
        </w:rPr>
        <w:t xml:space="preserve"> rules.</w:t>
      </w:r>
      <w:r>
        <w:rPr>
          <w:rStyle w:val="FootnoteReference"/>
          <w:szCs w:val="22"/>
        </w:rPr>
        <w:footnoteReference w:id="14"/>
      </w:r>
      <w:r>
        <w:rPr>
          <w:szCs w:val="22"/>
        </w:rPr>
        <w:t xml:space="preserve"> </w:t>
      </w:r>
      <w:r w:rsidRPr="005A3B38">
        <w:rPr>
          <w:szCs w:val="22"/>
        </w:rPr>
        <w:t xml:space="preserve"> Persons making </w:t>
      </w:r>
      <w:r w:rsidRPr="005873B5">
        <w:rPr>
          <w:i/>
          <w:szCs w:val="22"/>
        </w:rPr>
        <w:t>ex parte</w:t>
      </w:r>
      <w:r w:rsidRPr="005A3B38">
        <w:rPr>
          <w:szCs w:val="22"/>
        </w:rPr>
        <w:t xml:space="preserve"> presentations must file a copy of any written presentation or a memorandum summarizing any oral presentation within two business days after the presentation (unless a different deadline applicable to the Sunshine period applies). </w:t>
      </w:r>
      <w:r w:rsidR="001B3141">
        <w:rPr>
          <w:szCs w:val="22"/>
        </w:rPr>
        <w:t xml:space="preserve"> </w:t>
      </w:r>
      <w:r w:rsidRPr="005A3B38">
        <w:rPr>
          <w:szCs w:val="22"/>
        </w:rPr>
        <w:t xml:space="preserve">Persons making oral </w:t>
      </w:r>
      <w:r w:rsidRPr="005873B5">
        <w:rPr>
          <w:i/>
          <w:szCs w:val="22"/>
        </w:rPr>
        <w:t>ex parte</w:t>
      </w:r>
      <w:r w:rsidRPr="005A3B38">
        <w:rPr>
          <w:szCs w:val="22"/>
        </w:rPr>
        <w:t xml:space="preserve"> presentations are reminded that memoranda summarizing the presentation must (1) list all persons attending or otherwise participating in the meeting at which the </w:t>
      </w:r>
      <w:r w:rsidRPr="005873B5">
        <w:rPr>
          <w:i/>
          <w:szCs w:val="22"/>
        </w:rPr>
        <w:t>ex parte</w:t>
      </w:r>
      <w:r w:rsidRPr="005A3B3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sidR="001B3141">
        <w:rPr>
          <w:szCs w:val="22"/>
        </w:rPr>
        <w:t xml:space="preserve"> </w:t>
      </w:r>
      <w:r w:rsidRPr="005A3B38">
        <w:rPr>
          <w:szCs w:val="22"/>
        </w:rPr>
        <w:t xml:space="preserve"> Documents shown or given to Commission staff during </w:t>
      </w:r>
      <w:r w:rsidRPr="005873B5">
        <w:rPr>
          <w:i/>
          <w:szCs w:val="22"/>
        </w:rPr>
        <w:t>ex parte</w:t>
      </w:r>
      <w:r w:rsidRPr="005A3B38">
        <w:rPr>
          <w:szCs w:val="22"/>
        </w:rPr>
        <w:t xml:space="preserve"> meetings are deemed to be written </w:t>
      </w:r>
      <w:r w:rsidRPr="005873B5">
        <w:rPr>
          <w:i/>
          <w:szCs w:val="22"/>
        </w:rPr>
        <w:t>ex parte</w:t>
      </w:r>
      <w:r w:rsidRPr="005A3B38">
        <w:rPr>
          <w:szCs w:val="22"/>
        </w:rPr>
        <w:t xml:space="preserve"> presentations and must be filed consistent with rule 1.1206(b).</w:t>
      </w:r>
      <w:r w:rsidR="001B3141">
        <w:rPr>
          <w:szCs w:val="22"/>
        </w:rPr>
        <w:t xml:space="preserve"> </w:t>
      </w:r>
      <w:r w:rsidRPr="005A3B38">
        <w:rPr>
          <w:szCs w:val="22"/>
        </w:rPr>
        <w:t xml:space="preserve"> In proceedings governed by rule 1.49(f) or for which the Commission has made available a method of electronic filing, written </w:t>
      </w:r>
      <w:r w:rsidRPr="005873B5">
        <w:rPr>
          <w:i/>
          <w:szCs w:val="22"/>
        </w:rPr>
        <w:t>ex parte</w:t>
      </w:r>
      <w:r w:rsidRPr="005A3B38">
        <w:rPr>
          <w:szCs w:val="22"/>
        </w:rPr>
        <w:t xml:space="preserve"> presentations and memoranda summarizing oral </w:t>
      </w:r>
      <w:r w:rsidRPr="005873B5">
        <w:rPr>
          <w:i/>
          <w:szCs w:val="22"/>
        </w:rPr>
        <w:t>ex parte</w:t>
      </w:r>
      <w:r w:rsidRPr="005A3B38">
        <w:rPr>
          <w:szCs w:val="22"/>
        </w:rPr>
        <w:t xml:space="preserve"> presentations, and all attachments thereto, must be filed through the electronic comment filing system available for that proceeding, and must be filed in their native format (e.g., .doc, .xml, .ppt, searchable .pdf). </w:t>
      </w:r>
      <w:r w:rsidR="001B3141">
        <w:rPr>
          <w:szCs w:val="22"/>
        </w:rPr>
        <w:t xml:space="preserve"> </w:t>
      </w:r>
      <w:r w:rsidRPr="005A3B38">
        <w:rPr>
          <w:szCs w:val="22"/>
        </w:rPr>
        <w:t xml:space="preserve">Participants in this proceeding should familiarize themselves with the Commission’s </w:t>
      </w:r>
      <w:r w:rsidRPr="005873B5">
        <w:rPr>
          <w:i/>
          <w:szCs w:val="22"/>
        </w:rPr>
        <w:t>ex parte</w:t>
      </w:r>
      <w:r w:rsidRPr="005A3B38">
        <w:rPr>
          <w:szCs w:val="22"/>
        </w:rPr>
        <w:t xml:space="preserve"> rules.</w:t>
      </w:r>
    </w:p>
    <w:p w14:paraId="0F0621AF" w14:textId="528A3DD6" w:rsidR="00941887" w:rsidRPr="00E705C0" w:rsidRDefault="00941887" w:rsidP="00502E39">
      <w:pPr>
        <w:spacing w:after="120"/>
        <w:ind w:firstLine="720"/>
        <w:rPr>
          <w:b/>
          <w:szCs w:val="22"/>
        </w:rPr>
      </w:pPr>
      <w:r>
        <w:rPr>
          <w:b/>
          <w:szCs w:val="22"/>
        </w:rPr>
        <w:t>B.</w:t>
      </w:r>
      <w:r w:rsidRPr="00941887">
        <w:rPr>
          <w:b/>
          <w:szCs w:val="22"/>
        </w:rPr>
        <w:t xml:space="preserve"> </w:t>
      </w:r>
      <w:r>
        <w:rPr>
          <w:b/>
          <w:szCs w:val="22"/>
        </w:rPr>
        <w:tab/>
        <w:t>Comment Filing Procedures</w:t>
      </w:r>
    </w:p>
    <w:p w14:paraId="55B40A7A" w14:textId="56692597" w:rsidR="00051FA4" w:rsidRPr="00E705C0" w:rsidRDefault="00051FA4" w:rsidP="00502E39">
      <w:pPr>
        <w:spacing w:after="120"/>
        <w:rPr>
          <w:szCs w:val="22"/>
        </w:rPr>
      </w:pPr>
      <w:r w:rsidRPr="00E705C0">
        <w:rPr>
          <w:szCs w:val="22"/>
        </w:rPr>
        <w:tab/>
        <w:t xml:space="preserve">Interested parties may file comments in response to </w:t>
      </w:r>
      <w:r w:rsidR="005A3B38">
        <w:rPr>
          <w:szCs w:val="22"/>
        </w:rPr>
        <w:t xml:space="preserve">Part III of </w:t>
      </w:r>
      <w:r w:rsidRPr="00E705C0">
        <w:rPr>
          <w:szCs w:val="22"/>
        </w:rPr>
        <w:t xml:space="preserve">this </w:t>
      </w:r>
      <w:r w:rsidRPr="00E705C0">
        <w:rPr>
          <w:i/>
          <w:szCs w:val="22"/>
        </w:rPr>
        <w:t xml:space="preserve">Notice </w:t>
      </w:r>
      <w:r w:rsidRPr="00E705C0">
        <w:rPr>
          <w:szCs w:val="22"/>
        </w:rPr>
        <w:t xml:space="preserve">on or before the date indicated on the first page of this document.  Comments may be filed using the Commission’s Electronic Comment Filing System (ECFS).  </w:t>
      </w:r>
      <w:r w:rsidRPr="00E705C0">
        <w:rPr>
          <w:i/>
          <w:szCs w:val="22"/>
        </w:rPr>
        <w:t>See Electronic Filing of Documents in Rulemaking Proceedings</w:t>
      </w:r>
      <w:r w:rsidRPr="00E705C0">
        <w:rPr>
          <w:szCs w:val="22"/>
        </w:rPr>
        <w:t>, 63 FR 24121 (1998).</w:t>
      </w:r>
    </w:p>
    <w:p w14:paraId="7702D038" w14:textId="7B9D7B4E" w:rsidR="00051FA4" w:rsidRPr="00E705C0" w:rsidRDefault="00051FA4" w:rsidP="00502E39">
      <w:pPr>
        <w:numPr>
          <w:ilvl w:val="0"/>
          <w:numId w:val="17"/>
        </w:numPr>
        <w:tabs>
          <w:tab w:val="num" w:pos="270"/>
        </w:tabs>
        <w:spacing w:after="120"/>
        <w:rPr>
          <w:szCs w:val="22"/>
        </w:rPr>
      </w:pPr>
      <w:r w:rsidRPr="00E705C0">
        <w:rPr>
          <w:szCs w:val="22"/>
        </w:rPr>
        <w:t xml:space="preserve">Electronic Filers:  Comments may be filed electronically using the Internet by accessing the ECFS:  </w:t>
      </w:r>
      <w:hyperlink r:id="rId17" w:history="1">
        <w:r w:rsidR="004332AC" w:rsidRPr="00360CEE">
          <w:rPr>
            <w:rStyle w:val="Hyperlink"/>
            <w:szCs w:val="22"/>
          </w:rPr>
          <w:t>http://fjallfoss.fcc.gov/ecfs2/</w:t>
        </w:r>
      </w:hyperlink>
      <w:r w:rsidRPr="00E705C0">
        <w:rPr>
          <w:szCs w:val="22"/>
        </w:rPr>
        <w:t>.</w:t>
      </w:r>
    </w:p>
    <w:p w14:paraId="41FAF5BF" w14:textId="77777777" w:rsidR="00051FA4" w:rsidRPr="00E705C0" w:rsidRDefault="00051FA4" w:rsidP="00502E39">
      <w:pPr>
        <w:numPr>
          <w:ilvl w:val="0"/>
          <w:numId w:val="16"/>
        </w:numPr>
        <w:tabs>
          <w:tab w:val="num" w:pos="270"/>
        </w:tabs>
        <w:spacing w:after="120"/>
        <w:rPr>
          <w:szCs w:val="22"/>
        </w:rPr>
      </w:pPr>
      <w:r w:rsidRPr="00E705C0">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14:paraId="53B26E89" w14:textId="77777777" w:rsidR="00051FA4" w:rsidRPr="00E705C0" w:rsidRDefault="00051FA4" w:rsidP="00502E39">
      <w:pPr>
        <w:numPr>
          <w:ilvl w:val="0"/>
          <w:numId w:val="16"/>
        </w:numPr>
        <w:tabs>
          <w:tab w:val="num" w:pos="270"/>
        </w:tabs>
        <w:spacing w:after="120"/>
        <w:rPr>
          <w:szCs w:val="22"/>
        </w:rPr>
      </w:pPr>
      <w:r w:rsidRPr="00E705C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7F4768EA" w14:textId="77777777" w:rsidR="00051FA4" w:rsidRPr="00E705C0" w:rsidRDefault="00051FA4" w:rsidP="00502E39">
      <w:pPr>
        <w:numPr>
          <w:ilvl w:val="0"/>
          <w:numId w:val="15"/>
        </w:numPr>
        <w:tabs>
          <w:tab w:val="num" w:pos="990"/>
        </w:tabs>
        <w:spacing w:after="120"/>
        <w:rPr>
          <w:szCs w:val="22"/>
        </w:rPr>
      </w:pPr>
      <w:r w:rsidRPr="00E705C0">
        <w:rPr>
          <w:szCs w:val="22"/>
        </w:rPr>
        <w:t>All hand-delivered or messenger-delivered paper filings for the Commission’s Secretary must be delivered to FCC Headquarters at 445 12</w:t>
      </w:r>
      <w:r w:rsidRPr="00E705C0">
        <w:rPr>
          <w:szCs w:val="22"/>
          <w:vertAlign w:val="superscript"/>
        </w:rPr>
        <w:t>th</w:t>
      </w:r>
      <w:r w:rsidRPr="00E705C0">
        <w:rPr>
          <w:szCs w:val="22"/>
        </w:rPr>
        <w:t xml:space="preserve"> St., SW, Room TW-A325, Washington, DC 20554.  The filing hours are 8:00 a.m. to 7:00 p.m.  All hand deliveries must be held together with rubber bands or fasteners.  Any envelopes and boxes must be disposed of </w:t>
      </w:r>
      <w:r w:rsidRPr="00E705C0">
        <w:rPr>
          <w:szCs w:val="22"/>
          <w:u w:val="single"/>
        </w:rPr>
        <w:t>before</w:t>
      </w:r>
      <w:r w:rsidRPr="00E705C0">
        <w:rPr>
          <w:szCs w:val="22"/>
        </w:rPr>
        <w:t xml:space="preserve"> entering the building.</w:t>
      </w:r>
    </w:p>
    <w:p w14:paraId="7190CF77" w14:textId="77777777" w:rsidR="00051FA4" w:rsidRPr="00E705C0" w:rsidRDefault="00051FA4" w:rsidP="00502E39">
      <w:pPr>
        <w:numPr>
          <w:ilvl w:val="0"/>
          <w:numId w:val="15"/>
        </w:numPr>
        <w:tabs>
          <w:tab w:val="num" w:pos="990"/>
        </w:tabs>
        <w:spacing w:after="120"/>
        <w:rPr>
          <w:szCs w:val="22"/>
        </w:rPr>
      </w:pPr>
      <w:r w:rsidRPr="00E705C0">
        <w:rPr>
          <w:szCs w:val="22"/>
        </w:rPr>
        <w:t>Commercial overnight mail (other than U.S. Postal Service Express Mail and Priority Mail) must be sent to 9300 East Hampton Drive, Capitol Heights, MD  20743.</w:t>
      </w:r>
    </w:p>
    <w:p w14:paraId="5B740F2D" w14:textId="77777777" w:rsidR="00051FA4" w:rsidRPr="00E705C0" w:rsidRDefault="00051FA4" w:rsidP="00502E39">
      <w:pPr>
        <w:numPr>
          <w:ilvl w:val="0"/>
          <w:numId w:val="15"/>
        </w:numPr>
        <w:tabs>
          <w:tab w:val="num" w:pos="990"/>
        </w:tabs>
        <w:spacing w:after="120"/>
        <w:rPr>
          <w:szCs w:val="22"/>
        </w:rPr>
      </w:pPr>
      <w:r w:rsidRPr="00E705C0">
        <w:rPr>
          <w:szCs w:val="22"/>
        </w:rPr>
        <w:t>U.S. Postal Service first-class, Express, and Priority mail must be addressed to 445 12</w:t>
      </w:r>
      <w:r w:rsidRPr="00E705C0">
        <w:rPr>
          <w:szCs w:val="22"/>
          <w:vertAlign w:val="superscript"/>
        </w:rPr>
        <w:t>th</w:t>
      </w:r>
      <w:r w:rsidRPr="00E705C0">
        <w:rPr>
          <w:szCs w:val="22"/>
        </w:rPr>
        <w:t xml:space="preserve"> Street, SW, Washington DC  20554.</w:t>
      </w:r>
    </w:p>
    <w:p w14:paraId="0E77106F" w14:textId="3E36C7C5" w:rsidR="00051FA4" w:rsidRDefault="00051FA4" w:rsidP="00502E39">
      <w:pPr>
        <w:numPr>
          <w:ilvl w:val="0"/>
          <w:numId w:val="18"/>
        </w:numPr>
        <w:spacing w:after="120"/>
        <w:rPr>
          <w:szCs w:val="22"/>
        </w:rPr>
      </w:pPr>
      <w:r w:rsidRPr="00E705C0">
        <w:rPr>
          <w:szCs w:val="22"/>
        </w:rPr>
        <w:t xml:space="preserve">People with Disabilities:  To request materials in accessible formats for people with disabilities (braille, large print, electronic files, audio format), send an e-mail to </w:t>
      </w:r>
      <w:hyperlink r:id="rId18" w:history="1">
        <w:r w:rsidR="004332AC" w:rsidRPr="00360CEE">
          <w:rPr>
            <w:rStyle w:val="Hyperlink"/>
            <w:szCs w:val="22"/>
          </w:rPr>
          <w:t>fcc504@fcc.gov</w:t>
        </w:r>
      </w:hyperlink>
      <w:r w:rsidR="004332AC">
        <w:rPr>
          <w:szCs w:val="22"/>
        </w:rPr>
        <w:t xml:space="preserve"> </w:t>
      </w:r>
      <w:r w:rsidRPr="00E705C0">
        <w:rPr>
          <w:szCs w:val="22"/>
        </w:rPr>
        <w:t>or call the Consumer &amp; Governmental Affairs Bureau at 202-418-0530 (voice), 202-418-0432 (tty).</w:t>
      </w:r>
    </w:p>
    <w:p w14:paraId="79CC0547" w14:textId="0ED62071" w:rsidR="0098574F" w:rsidRDefault="0098574F" w:rsidP="00502E39">
      <w:pPr>
        <w:spacing w:after="120"/>
        <w:ind w:firstLine="720"/>
        <w:rPr>
          <w:szCs w:val="22"/>
        </w:rPr>
      </w:pPr>
      <w:r w:rsidRPr="00BE5BE6">
        <w:rPr>
          <w:szCs w:val="22"/>
        </w:rPr>
        <w:t>For further information</w:t>
      </w:r>
      <w:r w:rsidRPr="00BE5BE6">
        <w:rPr>
          <w:i/>
          <w:szCs w:val="22"/>
        </w:rPr>
        <w:t>,</w:t>
      </w:r>
      <w:r w:rsidRPr="00BE5BE6">
        <w:rPr>
          <w:szCs w:val="22"/>
        </w:rPr>
        <w:t xml:space="preserve"> contact Austin Randazzo, Attorney Advisor, Policy and Licensing Division, Public Safety and Homeland Security Bureau, at (202) 418-1462 or </w:t>
      </w:r>
      <w:hyperlink r:id="rId19" w:history="1">
        <w:r w:rsidR="004332AC" w:rsidRPr="00360CEE">
          <w:rPr>
            <w:rStyle w:val="Hyperlink"/>
            <w:szCs w:val="22"/>
          </w:rPr>
          <w:t>austin.randazzo@fcc.gov</w:t>
        </w:r>
      </w:hyperlink>
      <w:r w:rsidRPr="00BE5BE6">
        <w:rPr>
          <w:szCs w:val="22"/>
        </w:rPr>
        <w:t xml:space="preserve">. </w:t>
      </w:r>
      <w:r>
        <w:rPr>
          <w:szCs w:val="22"/>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22F370F4" w14:textId="77777777" w:rsidR="0098574F" w:rsidRPr="00BE5BE6" w:rsidRDefault="0098574F" w:rsidP="00502E39">
      <w:pPr>
        <w:spacing w:after="120"/>
        <w:jc w:val="center"/>
        <w:rPr>
          <w:szCs w:val="22"/>
        </w:rPr>
      </w:pPr>
      <w:r w:rsidRPr="00BE5BE6">
        <w:rPr>
          <w:b/>
          <w:szCs w:val="22"/>
        </w:rPr>
        <w:t>-FCC-</w:t>
      </w:r>
    </w:p>
    <w:p w14:paraId="7040F35D" w14:textId="77777777" w:rsidR="00602577" w:rsidRPr="0098574F" w:rsidRDefault="00602577" w:rsidP="0098574F"/>
    <w:sectPr w:rsidR="00602577" w:rsidRPr="0098574F" w:rsidSect="009B6E12">
      <w:headerReference w:type="first" r:id="rId20"/>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7D57" w14:textId="77777777" w:rsidR="00A74CB7" w:rsidRDefault="00A74CB7">
      <w:r>
        <w:separator/>
      </w:r>
    </w:p>
  </w:endnote>
  <w:endnote w:type="continuationSeparator" w:id="0">
    <w:p w14:paraId="3DB96E48" w14:textId="77777777" w:rsidR="00A74CB7" w:rsidRDefault="00A7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6571" w14:textId="77777777" w:rsidR="004F24DA" w:rsidRDefault="004F2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5862" w14:textId="77777777" w:rsidR="00DD2E73" w:rsidRDefault="00DD2E73">
    <w:pPr>
      <w:pStyle w:val="Footer"/>
      <w:jc w:val="center"/>
    </w:pPr>
    <w:r>
      <w:fldChar w:fldCharType="begin"/>
    </w:r>
    <w:r>
      <w:instrText xml:space="preserve"> PAGE   \* MERGEFORMAT </w:instrText>
    </w:r>
    <w:r>
      <w:fldChar w:fldCharType="separate"/>
    </w:r>
    <w:r w:rsidR="00BB38C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AF5D" w14:textId="77777777" w:rsidR="004F24DA" w:rsidRDefault="004F2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65A43" w14:textId="77777777" w:rsidR="00A74CB7" w:rsidRDefault="00A74CB7">
      <w:r>
        <w:separator/>
      </w:r>
    </w:p>
  </w:footnote>
  <w:footnote w:type="continuationSeparator" w:id="0">
    <w:p w14:paraId="29D37293" w14:textId="77777777" w:rsidR="00A74CB7" w:rsidRDefault="00A74CB7">
      <w:r>
        <w:continuationSeparator/>
      </w:r>
    </w:p>
  </w:footnote>
  <w:footnote w:id="1">
    <w:p w14:paraId="2345C6ED" w14:textId="77777777" w:rsidR="0098574F" w:rsidRPr="00BE5BE6" w:rsidRDefault="0098574F" w:rsidP="0098574F">
      <w:pPr>
        <w:pStyle w:val="FootnoteText"/>
        <w:spacing w:after="120"/>
        <w:rPr>
          <w:sz w:val="20"/>
        </w:rPr>
      </w:pPr>
      <w:r w:rsidRPr="00BE5BE6">
        <w:rPr>
          <w:rStyle w:val="FootnoteReference"/>
          <w:sz w:val="20"/>
        </w:rPr>
        <w:footnoteRef/>
      </w:r>
      <w:r w:rsidRPr="00BE5BE6">
        <w:rPr>
          <w:sz w:val="20"/>
        </w:rPr>
        <w:t xml:space="preserve"> 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and wireline video systems.  47 CFR § 11.2(d).</w:t>
      </w:r>
    </w:p>
  </w:footnote>
  <w:footnote w:id="2">
    <w:p w14:paraId="2E9B20C2" w14:textId="1C8782B8" w:rsidR="00AD56C0" w:rsidRDefault="00AD56C0">
      <w:pPr>
        <w:pStyle w:val="FootnoteText"/>
      </w:pPr>
      <w:r>
        <w:rPr>
          <w:rStyle w:val="FootnoteReference"/>
        </w:rPr>
        <w:footnoteRef/>
      </w:r>
      <w:r>
        <w:t xml:space="preserve"> </w:t>
      </w:r>
      <w:r w:rsidRPr="00AD56C0">
        <w:rPr>
          <w:i/>
          <w:smallCaps/>
          <w:snapToGrid w:val="0"/>
          <w:kern w:val="28"/>
          <w:sz w:val="20"/>
        </w:rPr>
        <w:t>S</w:t>
      </w:r>
      <w:r w:rsidRPr="00AD56C0">
        <w:rPr>
          <w:i/>
          <w:snapToGrid w:val="0"/>
          <w:kern w:val="28"/>
          <w:sz w:val="20"/>
        </w:rPr>
        <w:t>ee</w:t>
      </w:r>
      <w:r w:rsidRPr="00AD56C0">
        <w:rPr>
          <w:i/>
          <w:smallCaps/>
          <w:snapToGrid w:val="0"/>
          <w:kern w:val="28"/>
          <w:sz w:val="20"/>
        </w:rPr>
        <w:t xml:space="preserve"> </w:t>
      </w:r>
      <w:r>
        <w:rPr>
          <w:smallCaps/>
          <w:snapToGrid w:val="0"/>
          <w:kern w:val="28"/>
          <w:sz w:val="20"/>
        </w:rPr>
        <w:t xml:space="preserve">CSRIC </w:t>
      </w:r>
      <w:r w:rsidRPr="00AD56C0">
        <w:rPr>
          <w:smallCaps/>
          <w:snapToGrid w:val="0"/>
          <w:kern w:val="28"/>
          <w:sz w:val="20"/>
        </w:rPr>
        <w:t xml:space="preserve">V, </w:t>
      </w:r>
      <w:r w:rsidRPr="0094233B">
        <w:rPr>
          <w:snapToGrid w:val="0"/>
          <w:kern w:val="28"/>
          <w:sz w:val="20"/>
        </w:rPr>
        <w:t xml:space="preserve">Working Group Three, Emergency Alert System, </w:t>
      </w:r>
      <w:r w:rsidR="00733C7A">
        <w:rPr>
          <w:snapToGrid w:val="0"/>
          <w:kern w:val="28"/>
          <w:sz w:val="20"/>
        </w:rPr>
        <w:t xml:space="preserve">Final Report – Updating the EAS Operating Handbook </w:t>
      </w:r>
      <w:r w:rsidRPr="00AD56C0">
        <w:rPr>
          <w:smallCaps/>
          <w:snapToGrid w:val="0"/>
          <w:kern w:val="28"/>
          <w:sz w:val="20"/>
        </w:rPr>
        <w:t>(201</w:t>
      </w:r>
      <w:r w:rsidR="00733C7A">
        <w:rPr>
          <w:smallCaps/>
          <w:snapToGrid w:val="0"/>
          <w:kern w:val="28"/>
          <w:sz w:val="20"/>
        </w:rPr>
        <w:t>6</w:t>
      </w:r>
      <w:r w:rsidRPr="00AD56C0">
        <w:rPr>
          <w:smallCaps/>
          <w:snapToGrid w:val="0"/>
          <w:kern w:val="28"/>
          <w:sz w:val="20"/>
        </w:rPr>
        <w:t>),</w:t>
      </w:r>
      <w:r w:rsidR="00733C7A">
        <w:rPr>
          <w:smallCaps/>
          <w:snapToGrid w:val="0"/>
          <w:kern w:val="28"/>
          <w:sz w:val="20"/>
        </w:rPr>
        <w:t xml:space="preserve"> </w:t>
      </w:r>
      <w:hyperlink r:id="rId1" w:history="1">
        <w:r w:rsidR="00733C7A" w:rsidRPr="00360CEE">
          <w:rPr>
            <w:rStyle w:val="Hyperlink"/>
            <w:snapToGrid w:val="0"/>
            <w:kern w:val="28"/>
            <w:sz w:val="20"/>
          </w:rPr>
          <w:t>https://transition.fcc.gov/bureaus/pshs/advisory/csric5/WG3_Report_Operating-Handbook_062216.pdf</w:t>
        </w:r>
      </w:hyperlink>
      <w:r w:rsidR="00733C7A">
        <w:rPr>
          <w:snapToGrid w:val="0"/>
          <w:kern w:val="28"/>
          <w:sz w:val="20"/>
        </w:rPr>
        <w:t xml:space="preserve"> (</w:t>
      </w:r>
      <w:r w:rsidR="00733C7A">
        <w:rPr>
          <w:i/>
          <w:snapToGrid w:val="0"/>
          <w:kern w:val="28"/>
          <w:sz w:val="20"/>
        </w:rPr>
        <w:t>EAS Operating Handbook Report</w:t>
      </w:r>
      <w:r w:rsidR="00733C7A" w:rsidRPr="00733C7A">
        <w:rPr>
          <w:snapToGrid w:val="0"/>
          <w:kern w:val="28"/>
          <w:sz w:val="20"/>
        </w:rPr>
        <w:t>).</w:t>
      </w:r>
      <w:r w:rsidR="00733C7A">
        <w:rPr>
          <w:snapToGrid w:val="0"/>
          <w:kern w:val="28"/>
          <w:sz w:val="20"/>
        </w:rPr>
        <w:t xml:space="preserve">  T</w:t>
      </w:r>
      <w:r w:rsidRPr="00AD56C0">
        <w:rPr>
          <w:snapToGrid w:val="0"/>
          <w:kern w:val="28"/>
          <w:sz w:val="20"/>
        </w:rPr>
        <w:t xml:space="preserve">he CSRIC is a federal advisory committee charged with providing recommendations to the FCC to ensure, among other things, the optimal security and reliability of communications systems, including telecommunications, media, and public safety systems, subject to the requirements of the Federal Advisory Committee Act (FACA).  </w:t>
      </w:r>
      <w:r w:rsidRPr="00AD56C0">
        <w:rPr>
          <w:i/>
          <w:snapToGrid w:val="0"/>
          <w:kern w:val="28"/>
          <w:sz w:val="20"/>
        </w:rPr>
        <w:t xml:space="preserve">See </w:t>
      </w:r>
      <w:r w:rsidRPr="00AD56C0">
        <w:rPr>
          <w:snapToGrid w:val="0"/>
          <w:kern w:val="28"/>
          <w:sz w:val="20"/>
        </w:rPr>
        <w:t>5 U.S.C.A. § 10.</w:t>
      </w:r>
    </w:p>
  </w:footnote>
  <w:footnote w:id="3">
    <w:p w14:paraId="46ED26B2" w14:textId="0DF859D8" w:rsidR="0098574F" w:rsidRPr="00BE5BE6" w:rsidRDefault="0098574F" w:rsidP="0098574F">
      <w:pPr>
        <w:pStyle w:val="FootnoteText"/>
        <w:spacing w:after="120"/>
        <w:rPr>
          <w:sz w:val="20"/>
        </w:rPr>
      </w:pPr>
      <w:r w:rsidRPr="00BE5BE6">
        <w:rPr>
          <w:rStyle w:val="FootnoteReference"/>
          <w:sz w:val="20"/>
        </w:rPr>
        <w:footnoteRef/>
      </w:r>
      <w:r w:rsidRPr="00BE5BE6">
        <w:rPr>
          <w:sz w:val="20"/>
        </w:rPr>
        <w:t xml:space="preserve"> </w:t>
      </w:r>
      <w:r w:rsidRPr="00BE5BE6">
        <w:rPr>
          <w:i/>
          <w:iCs/>
          <w:sz w:val="20"/>
        </w:rPr>
        <w:t>Review of the Emergency Alert System</w:t>
      </w:r>
      <w:r w:rsidR="0091069E">
        <w:rPr>
          <w:i/>
          <w:iCs/>
          <w:sz w:val="20"/>
        </w:rPr>
        <w:t xml:space="preserve"> et al.</w:t>
      </w:r>
      <w:r w:rsidRPr="00BE5BE6">
        <w:rPr>
          <w:iCs/>
          <w:sz w:val="20"/>
        </w:rPr>
        <w:t>, Sixth Report and Order, EB Docket No. 04-296</w:t>
      </w:r>
      <w:r w:rsidRPr="00BE5BE6">
        <w:rPr>
          <w:i/>
          <w:iCs/>
          <w:sz w:val="20"/>
        </w:rPr>
        <w:t xml:space="preserve">, </w:t>
      </w:r>
      <w:r w:rsidRPr="00BE5BE6">
        <w:rPr>
          <w:iCs/>
          <w:sz w:val="20"/>
        </w:rPr>
        <w:t xml:space="preserve">30 FCC Rcd 6520, 6532, 6536, paras. 25, 33 (2015) </w:t>
      </w:r>
      <w:r w:rsidRPr="00BE5BE6">
        <w:rPr>
          <w:sz w:val="20"/>
        </w:rPr>
        <w:t>(</w:t>
      </w:r>
      <w:r w:rsidRPr="00BE5BE6">
        <w:rPr>
          <w:i/>
          <w:iCs/>
          <w:sz w:val="20"/>
        </w:rPr>
        <w:t>Sixth Report and Order</w:t>
      </w:r>
      <w:r w:rsidRPr="00BE5BE6">
        <w:rPr>
          <w:sz w:val="20"/>
        </w:rPr>
        <w:t>).</w:t>
      </w:r>
    </w:p>
  </w:footnote>
  <w:footnote w:id="4">
    <w:p w14:paraId="12F26823" w14:textId="77777777" w:rsidR="0098574F" w:rsidRPr="00BE5BE6" w:rsidRDefault="0098574F" w:rsidP="0098574F">
      <w:pPr>
        <w:pStyle w:val="FootnoteText"/>
        <w:spacing w:after="120"/>
        <w:rPr>
          <w:sz w:val="20"/>
        </w:rPr>
      </w:pPr>
      <w:r w:rsidRPr="00BE5BE6">
        <w:rPr>
          <w:rStyle w:val="FootnoteReference"/>
          <w:sz w:val="20"/>
        </w:rPr>
        <w:footnoteRef/>
      </w:r>
      <w:r w:rsidRPr="00BE5BE6">
        <w:rPr>
          <w:sz w:val="20"/>
        </w:rPr>
        <w:t xml:space="preserve"> </w:t>
      </w:r>
      <w:r w:rsidRPr="00BE5BE6">
        <w:rPr>
          <w:i/>
          <w:iCs/>
          <w:sz w:val="20"/>
        </w:rPr>
        <w:t>Public Safety and Homeland Security Bureau Provides Information on Implementation of EAS Test Reporting System</w:t>
      </w:r>
      <w:r w:rsidRPr="00BE5BE6">
        <w:rPr>
          <w:sz w:val="20"/>
        </w:rPr>
        <w:t>, Public Notice, PS Docket No. 15-94, 31 FCC Rcd 3682 (PSHSB 2016) (</w:t>
      </w:r>
      <w:r w:rsidRPr="00BE5BE6">
        <w:rPr>
          <w:i/>
          <w:sz w:val="20"/>
        </w:rPr>
        <w:t>ETRS Implementation PN</w:t>
      </w:r>
      <w:r w:rsidRPr="00BE5BE6">
        <w:rPr>
          <w:sz w:val="20"/>
        </w:rPr>
        <w:t>).</w:t>
      </w:r>
    </w:p>
  </w:footnote>
  <w:footnote w:id="5">
    <w:p w14:paraId="7891C8A6" w14:textId="77777777" w:rsidR="0098574F" w:rsidRPr="00BE5BE6" w:rsidRDefault="0098574F" w:rsidP="0098574F">
      <w:pPr>
        <w:pStyle w:val="FootnoteText"/>
        <w:spacing w:after="120"/>
        <w:rPr>
          <w:i/>
          <w:sz w:val="20"/>
        </w:rPr>
      </w:pPr>
      <w:r w:rsidRPr="00BE5BE6">
        <w:rPr>
          <w:rStyle w:val="FootnoteReference"/>
          <w:sz w:val="20"/>
        </w:rPr>
        <w:footnoteRef/>
      </w:r>
      <w:r w:rsidRPr="00BE5BE6">
        <w:rPr>
          <w:sz w:val="20"/>
        </w:rPr>
        <w:t xml:space="preserve"> </w:t>
      </w:r>
      <w:r w:rsidRPr="00BE5BE6">
        <w:rPr>
          <w:i/>
          <w:sz w:val="20"/>
        </w:rPr>
        <w:t>See</w:t>
      </w:r>
      <w:r w:rsidRPr="00BE5BE6">
        <w:rPr>
          <w:sz w:val="20"/>
        </w:rPr>
        <w:t xml:space="preserve"> 47 CFR §</w:t>
      </w:r>
      <w:r>
        <w:rPr>
          <w:sz w:val="20"/>
        </w:rPr>
        <w:t xml:space="preserve"> </w:t>
      </w:r>
      <w:r w:rsidRPr="00BE5BE6">
        <w:rPr>
          <w:sz w:val="20"/>
        </w:rPr>
        <w:t>11.61(a)(3)(iv)(A).</w:t>
      </w:r>
    </w:p>
  </w:footnote>
  <w:footnote w:id="6">
    <w:p w14:paraId="0BCB8284" w14:textId="77777777" w:rsidR="0098574F" w:rsidRPr="00BE5BE6" w:rsidRDefault="0098574F" w:rsidP="0098574F">
      <w:pPr>
        <w:pStyle w:val="FootnoteText"/>
        <w:spacing w:after="120"/>
        <w:rPr>
          <w:sz w:val="20"/>
        </w:rPr>
      </w:pPr>
      <w:r w:rsidRPr="00BE5BE6">
        <w:rPr>
          <w:rStyle w:val="FootnoteReference"/>
          <w:sz w:val="20"/>
        </w:rPr>
        <w:footnoteRef/>
      </w:r>
      <w:r w:rsidRPr="00BE5BE6">
        <w:rPr>
          <w:sz w:val="20"/>
        </w:rPr>
        <w:t xml:space="preserve"> Federal Communications Commission, Review of the Emergency Alert System, 80 FR 79484 (Dec. 22, 2015).  </w:t>
      </w:r>
    </w:p>
  </w:footnote>
  <w:footnote w:id="7">
    <w:p w14:paraId="195ABF52" w14:textId="77777777" w:rsidR="0098574F" w:rsidRPr="00BE5BE6" w:rsidRDefault="0098574F" w:rsidP="0098574F">
      <w:pPr>
        <w:pStyle w:val="FootnoteText"/>
        <w:spacing w:after="120"/>
        <w:rPr>
          <w:sz w:val="20"/>
        </w:rPr>
      </w:pPr>
      <w:r w:rsidRPr="00BE5BE6">
        <w:rPr>
          <w:rStyle w:val="FootnoteReference"/>
          <w:sz w:val="20"/>
        </w:rPr>
        <w:footnoteRef/>
      </w:r>
      <w:r w:rsidRPr="00BE5BE6">
        <w:rPr>
          <w:sz w:val="20"/>
        </w:rPr>
        <w:t xml:space="preserve"> </w:t>
      </w:r>
      <w:r w:rsidRPr="00BE5BE6">
        <w:rPr>
          <w:i/>
          <w:sz w:val="20"/>
        </w:rPr>
        <w:t xml:space="preserve">Sixth Report and Order, </w:t>
      </w:r>
      <w:r w:rsidRPr="00BE5BE6">
        <w:rPr>
          <w:sz w:val="20"/>
        </w:rPr>
        <w:t>30 FCC Rcd at 6533, para. 27.</w:t>
      </w:r>
    </w:p>
  </w:footnote>
  <w:footnote w:id="8">
    <w:p w14:paraId="496A7D90" w14:textId="77777777" w:rsidR="0098574F" w:rsidRPr="00BE5BE6" w:rsidRDefault="0098574F" w:rsidP="0098574F">
      <w:pPr>
        <w:pStyle w:val="FootnoteText"/>
        <w:spacing w:after="120"/>
        <w:rPr>
          <w:sz w:val="20"/>
        </w:rPr>
      </w:pPr>
      <w:r w:rsidRPr="00BE5BE6">
        <w:rPr>
          <w:rStyle w:val="FootnoteReference"/>
          <w:sz w:val="20"/>
        </w:rPr>
        <w:footnoteRef/>
      </w:r>
      <w:r w:rsidRPr="00BE5BE6">
        <w:rPr>
          <w:sz w:val="20"/>
        </w:rPr>
        <w:t xml:space="preserve"> Form Two requests “day of test” data, which must be submitted within 24 hours of any nationwide test or as otherwise required by the Public Safety and Homeland Security Bureau.  </w:t>
      </w:r>
      <w:r w:rsidRPr="00BE5BE6">
        <w:rPr>
          <w:i/>
          <w:sz w:val="20"/>
        </w:rPr>
        <w:t xml:space="preserve">See </w:t>
      </w:r>
      <w:r w:rsidRPr="00BE5BE6">
        <w:rPr>
          <w:sz w:val="20"/>
        </w:rPr>
        <w:t xml:space="preserve">47 CFR § 11.61(a)(3)(iv)(B).  Form Three requests detailed post-test data, which must be submitted within 45 days following any nationwide test.  </w:t>
      </w:r>
      <w:r w:rsidRPr="00BE5BE6">
        <w:rPr>
          <w:i/>
          <w:sz w:val="20"/>
        </w:rPr>
        <w:t xml:space="preserve">See </w:t>
      </w:r>
      <w:r w:rsidRPr="00BE5BE6">
        <w:rPr>
          <w:sz w:val="20"/>
        </w:rPr>
        <w:t>47 CFR § 11.61(a)(3)(iv)(C).  Additional information about the Forms Two and Three, including their availability and filing deadlines, will be provided in a future public notice officially announcing the 2016 nationwide EAS test.</w:t>
      </w:r>
    </w:p>
  </w:footnote>
  <w:footnote w:id="9">
    <w:p w14:paraId="601DB62F" w14:textId="779B6902" w:rsidR="00CF1580" w:rsidRPr="00013CFD" w:rsidRDefault="00CF1580" w:rsidP="00CF1580">
      <w:pPr>
        <w:pStyle w:val="FootnoteText"/>
        <w:rPr>
          <w:sz w:val="20"/>
        </w:rPr>
      </w:pPr>
      <w:r w:rsidRPr="0094233B">
        <w:rPr>
          <w:rStyle w:val="FootnoteReference"/>
          <w:sz w:val="20"/>
        </w:rPr>
        <w:footnoteRef/>
      </w:r>
      <w:r w:rsidRPr="0094233B">
        <w:rPr>
          <w:sz w:val="20"/>
        </w:rPr>
        <w:t xml:space="preserve"> </w:t>
      </w:r>
      <w:r w:rsidR="00013CFD" w:rsidRPr="0094233B">
        <w:rPr>
          <w:i/>
          <w:sz w:val="20"/>
        </w:rPr>
        <w:t xml:space="preserve">See </w:t>
      </w:r>
      <w:r w:rsidR="00013CFD">
        <w:rPr>
          <w:sz w:val="20"/>
        </w:rPr>
        <w:t xml:space="preserve">47 CFR § 11.15; </w:t>
      </w:r>
      <w:r w:rsidR="006949F3">
        <w:rPr>
          <w:i/>
          <w:sz w:val="20"/>
        </w:rPr>
        <w:t>Review of the Emergency Alert System et al.</w:t>
      </w:r>
      <w:r w:rsidR="006949F3">
        <w:rPr>
          <w:sz w:val="20"/>
        </w:rPr>
        <w:t>, Third Further Notice of Proposed Rulemaking, 26 FCC Rcd 8149, 8207, para. 153 (2011);</w:t>
      </w:r>
      <w:r w:rsidR="006949F3">
        <w:rPr>
          <w:i/>
          <w:sz w:val="20"/>
        </w:rPr>
        <w:t xml:space="preserve"> </w:t>
      </w:r>
      <w:r w:rsidR="00013CFD">
        <w:rPr>
          <w:i/>
          <w:sz w:val="20"/>
        </w:rPr>
        <w:t>Review of the Emergency Alert System</w:t>
      </w:r>
      <w:r w:rsidR="006949F3">
        <w:rPr>
          <w:i/>
          <w:sz w:val="20"/>
        </w:rPr>
        <w:t xml:space="preserve"> et al.</w:t>
      </w:r>
      <w:r w:rsidR="00013CFD">
        <w:rPr>
          <w:sz w:val="20"/>
        </w:rPr>
        <w:t xml:space="preserve">, Fifth Report and Order, 27 FCC Rcd 642, 716, para. 211 (2012).  </w:t>
      </w:r>
    </w:p>
  </w:footnote>
  <w:footnote w:id="10">
    <w:p w14:paraId="1E33449A" w14:textId="048C49D7" w:rsidR="00492109" w:rsidRPr="00507C71" w:rsidRDefault="00492109">
      <w:pPr>
        <w:pStyle w:val="FootnoteText"/>
        <w:rPr>
          <w:sz w:val="20"/>
        </w:rPr>
      </w:pPr>
      <w:r w:rsidRPr="00507C71">
        <w:rPr>
          <w:rStyle w:val="FootnoteReference"/>
          <w:sz w:val="20"/>
        </w:rPr>
        <w:footnoteRef/>
      </w:r>
      <w:r w:rsidRPr="00507C71">
        <w:rPr>
          <w:sz w:val="20"/>
        </w:rPr>
        <w:t xml:space="preserve"> CSRIC V Working Group Descriptions and Leadership at 3, </w:t>
      </w:r>
      <w:hyperlink r:id="rId2" w:history="1">
        <w:r w:rsidR="004332AC" w:rsidRPr="00360CEE">
          <w:rPr>
            <w:rStyle w:val="Hyperlink"/>
            <w:sz w:val="20"/>
          </w:rPr>
          <w:t>https://transition.fcc.gov/bureaus/pshs/advisory/csric5/Working_GroupCSRICV_062016.doc</w:t>
        </w:r>
      </w:hyperlink>
      <w:r w:rsidRPr="00507C71">
        <w:rPr>
          <w:sz w:val="20"/>
        </w:rPr>
        <w:t>.</w:t>
      </w:r>
    </w:p>
  </w:footnote>
  <w:footnote w:id="11">
    <w:p w14:paraId="0C1A1688" w14:textId="48D1DFAC" w:rsidR="00B040DC" w:rsidRDefault="00B040DC">
      <w:pPr>
        <w:pStyle w:val="FootnoteText"/>
      </w:pPr>
      <w:r>
        <w:rPr>
          <w:rStyle w:val="FootnoteReference"/>
        </w:rPr>
        <w:footnoteRef/>
      </w:r>
      <w:r>
        <w:t xml:space="preserve"> </w:t>
      </w:r>
      <w:r w:rsidRPr="00507C71">
        <w:rPr>
          <w:i/>
          <w:sz w:val="20"/>
        </w:rPr>
        <w:t xml:space="preserve">Id. </w:t>
      </w:r>
      <w:r w:rsidRPr="00507C71">
        <w:rPr>
          <w:sz w:val="20"/>
        </w:rPr>
        <w:t>at 9-10, Appendices A-B.</w:t>
      </w:r>
    </w:p>
  </w:footnote>
  <w:footnote w:id="12">
    <w:p w14:paraId="0B8484F5" w14:textId="08FF81B3" w:rsidR="00BA049E" w:rsidRPr="00B040DC" w:rsidRDefault="00BA049E">
      <w:pPr>
        <w:pStyle w:val="FootnoteText"/>
        <w:rPr>
          <w:sz w:val="20"/>
        </w:rPr>
      </w:pPr>
      <w:r w:rsidRPr="00507C71">
        <w:rPr>
          <w:rStyle w:val="FootnoteReference"/>
          <w:sz w:val="20"/>
        </w:rPr>
        <w:footnoteRef/>
      </w:r>
      <w:r w:rsidRPr="00507C71">
        <w:rPr>
          <w:sz w:val="20"/>
        </w:rPr>
        <w:t xml:space="preserve"> </w:t>
      </w:r>
      <w:r w:rsidR="00B040DC">
        <w:rPr>
          <w:i/>
          <w:sz w:val="20"/>
        </w:rPr>
        <w:t>Id.</w:t>
      </w:r>
      <w:r w:rsidR="00B040DC">
        <w:rPr>
          <w:sz w:val="20"/>
        </w:rPr>
        <w:t xml:space="preserve"> at 9-10.</w:t>
      </w:r>
    </w:p>
  </w:footnote>
  <w:footnote w:id="13">
    <w:p w14:paraId="064D991B" w14:textId="5D8393B7" w:rsidR="00CF1580" w:rsidRPr="00507C71" w:rsidRDefault="00CF1580">
      <w:pPr>
        <w:pStyle w:val="FootnoteText"/>
        <w:rPr>
          <w:sz w:val="20"/>
        </w:rPr>
      </w:pPr>
      <w:r w:rsidRPr="00507C71">
        <w:rPr>
          <w:rStyle w:val="FootnoteReference"/>
          <w:sz w:val="20"/>
        </w:rPr>
        <w:footnoteRef/>
      </w:r>
      <w:r w:rsidRPr="00507C71">
        <w:rPr>
          <w:sz w:val="20"/>
        </w:rPr>
        <w:t xml:space="preserve"> </w:t>
      </w:r>
      <w:r w:rsidRPr="00507C71">
        <w:rPr>
          <w:i/>
          <w:sz w:val="20"/>
        </w:rPr>
        <w:t>Id.</w:t>
      </w:r>
      <w:r w:rsidRPr="00507C71">
        <w:rPr>
          <w:sz w:val="20"/>
        </w:rPr>
        <w:t xml:space="preserve"> at </w:t>
      </w:r>
      <w:r w:rsidR="00346E87" w:rsidRPr="00507C71">
        <w:rPr>
          <w:sz w:val="20"/>
        </w:rPr>
        <w:t>Appendices A-B</w:t>
      </w:r>
      <w:r w:rsidRPr="00507C71">
        <w:rPr>
          <w:sz w:val="20"/>
        </w:rPr>
        <w:t>.</w:t>
      </w:r>
      <w:r w:rsidR="00492109" w:rsidRPr="00507C71">
        <w:rPr>
          <w:sz w:val="20"/>
        </w:rPr>
        <w:t xml:space="preserve">  The </w:t>
      </w:r>
      <w:r w:rsidR="00492109" w:rsidRPr="00507C71">
        <w:rPr>
          <w:i/>
          <w:snapToGrid w:val="0"/>
          <w:kern w:val="28"/>
          <w:sz w:val="20"/>
        </w:rPr>
        <w:t>EAS Operating Handbook Report</w:t>
      </w:r>
      <w:r w:rsidR="00492109" w:rsidRPr="00507C71">
        <w:rPr>
          <w:snapToGrid w:val="0"/>
          <w:kern w:val="28"/>
          <w:sz w:val="20"/>
        </w:rPr>
        <w:t xml:space="preserve"> also recommends that the Commission develop </w:t>
      </w:r>
      <w:r w:rsidR="00346E87">
        <w:rPr>
          <w:snapToGrid w:val="0"/>
          <w:kern w:val="28"/>
          <w:sz w:val="20"/>
        </w:rPr>
        <w:t xml:space="preserve">an </w:t>
      </w:r>
      <w:r w:rsidR="00492109" w:rsidRPr="00507C71">
        <w:rPr>
          <w:snapToGrid w:val="0"/>
          <w:kern w:val="28"/>
          <w:sz w:val="20"/>
        </w:rPr>
        <w:t xml:space="preserve">EAS Participant Guide and consider amending specific EAS rules.  </w:t>
      </w:r>
      <w:r w:rsidR="00492109" w:rsidRPr="00507C71">
        <w:rPr>
          <w:i/>
          <w:snapToGrid w:val="0"/>
          <w:kern w:val="28"/>
          <w:sz w:val="20"/>
        </w:rPr>
        <w:t>Id.</w:t>
      </w:r>
      <w:r w:rsidR="00492109" w:rsidRPr="00507C71">
        <w:rPr>
          <w:snapToGrid w:val="0"/>
          <w:kern w:val="28"/>
          <w:sz w:val="20"/>
        </w:rPr>
        <w:t xml:space="preserve"> at 11, Appendices C-D.  The Bureau does not seek comment on those recommendations at this time. </w:t>
      </w:r>
    </w:p>
  </w:footnote>
  <w:footnote w:id="14">
    <w:p w14:paraId="4A2E8240" w14:textId="495F143A" w:rsidR="00332FC7" w:rsidRPr="00332FC7" w:rsidRDefault="00941887" w:rsidP="00332FC7">
      <w:pPr>
        <w:pStyle w:val="FootnoteText"/>
        <w:rPr>
          <w:sz w:val="20"/>
        </w:rPr>
      </w:pPr>
      <w:r w:rsidRPr="009C7019">
        <w:rPr>
          <w:rStyle w:val="FootnoteReference"/>
          <w:sz w:val="20"/>
        </w:rPr>
        <w:footnoteRef/>
      </w:r>
      <w:r w:rsidRPr="009C7019">
        <w:rPr>
          <w:sz w:val="20"/>
        </w:rPr>
        <w:t xml:space="preserve"> 47 CFR §§ 1.1200 – 1.1216.</w:t>
      </w:r>
      <w:r w:rsidR="00332FC7">
        <w:rPr>
          <w:sz w:val="20"/>
        </w:rPr>
        <w:t xml:space="preserve">  </w:t>
      </w:r>
      <w:r w:rsidR="00332FC7" w:rsidRPr="00332FC7">
        <w:rPr>
          <w:sz w:val="20"/>
        </w:rPr>
        <w:t xml:space="preserve">To the extent any other aspect of this Public Notice involves a proceeding or a presentation under the Commission’s </w:t>
      </w:r>
      <w:r w:rsidR="00332FC7" w:rsidRPr="00332FC7">
        <w:rPr>
          <w:i/>
          <w:sz w:val="20"/>
        </w:rPr>
        <w:t>ex parte</w:t>
      </w:r>
      <w:r w:rsidR="00332FC7" w:rsidRPr="00332FC7">
        <w:rPr>
          <w:sz w:val="20"/>
        </w:rPr>
        <w:t xml:space="preserve"> rules, it is exempt from the application of those rules.  </w:t>
      </w:r>
      <w:r w:rsidR="00332FC7" w:rsidRPr="00332FC7">
        <w:rPr>
          <w:i/>
          <w:iCs/>
          <w:sz w:val="20"/>
        </w:rPr>
        <w:t xml:space="preserve">See </w:t>
      </w:r>
      <w:r w:rsidR="00332FC7" w:rsidRPr="00332FC7">
        <w:rPr>
          <w:sz w:val="20"/>
        </w:rPr>
        <w:t>47 CFR § 1.1200(a).</w:t>
      </w:r>
    </w:p>
    <w:p w14:paraId="092D1306" w14:textId="41369579" w:rsidR="00941887" w:rsidRPr="009C7019" w:rsidRDefault="00941887" w:rsidP="00F23EFD">
      <w:pPr>
        <w:pStyle w:val="FootnoteText"/>
        <w:ind w:firstLine="7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FDFF" w14:textId="77777777" w:rsidR="004F24DA" w:rsidRDefault="004F2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9B99" w14:textId="77777777" w:rsidR="004F24DA" w:rsidRDefault="004F2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577F" w14:textId="77777777" w:rsidR="0098574F" w:rsidRDefault="00BB38CC">
    <w:pPr>
      <w:pStyle w:val="Header"/>
      <w:tabs>
        <w:tab w:val="clear" w:pos="4320"/>
        <w:tab w:val="clear" w:pos="8640"/>
      </w:tabs>
      <w:spacing w:before="40"/>
      <w:ind w:firstLine="1080"/>
      <w:rPr>
        <w:rFonts w:ascii="News Gothic MT" w:hAnsi="News Gothic MT"/>
        <w:b/>
        <w:kern w:val="28"/>
        <w:sz w:val="96"/>
      </w:rPr>
    </w:pPr>
    <w:r>
      <w:rPr>
        <w:noProof/>
      </w:rPr>
      <w:pict w14:anchorId="51968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98574F">
      <w:rPr>
        <w:rFonts w:ascii="News Gothic MT" w:hAnsi="News Gothic MT"/>
        <w:b/>
        <w:kern w:val="28"/>
        <w:sz w:val="96"/>
      </w:rPr>
      <w:t xml:space="preserve">  PUBLIC NOTICE</w:t>
    </w:r>
  </w:p>
  <w:p w14:paraId="5EE78704" w14:textId="77777777" w:rsidR="0098574F" w:rsidRDefault="00BB38CC">
    <w:pPr>
      <w:pStyle w:val="Header"/>
      <w:tabs>
        <w:tab w:val="clear" w:pos="4320"/>
        <w:tab w:val="clear" w:pos="8640"/>
        <w:tab w:val="left" w:pos="1080"/>
      </w:tabs>
      <w:spacing w:line="1120" w:lineRule="exact"/>
      <w:ind w:left="720"/>
      <w:rPr>
        <w:rFonts w:ascii="Arial" w:hAnsi="Arial"/>
        <w:b/>
        <w:sz w:val="28"/>
      </w:rPr>
    </w:pPr>
    <w:r>
      <w:rPr>
        <w:noProof/>
      </w:rPr>
      <w:pict w14:anchorId="16C3E0E3">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w14:anchorId="73971850">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style="mso-next-textbox:#Text Box 2">
            <w:txbxContent>
              <w:p w14:paraId="32224CD2" w14:textId="77777777" w:rsidR="0098574F" w:rsidRDefault="0098574F">
                <w:pPr>
                  <w:rPr>
                    <w:rFonts w:ascii="Arial" w:hAnsi="Arial"/>
                    <w:b/>
                  </w:rPr>
                </w:pPr>
                <w:r>
                  <w:rPr>
                    <w:rFonts w:ascii="Arial" w:hAnsi="Arial"/>
                    <w:b/>
                  </w:rPr>
                  <w:t>Federal Communications Commission</w:t>
                </w:r>
              </w:p>
              <w:p w14:paraId="68E9D0FB" w14:textId="77777777" w:rsidR="0098574F" w:rsidRDefault="009857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D030BF7" w14:textId="77777777" w:rsidR="0098574F" w:rsidRDefault="0098574F">
                <w:pPr>
                  <w:rPr>
                    <w:rFonts w:ascii="Arial" w:hAnsi="Arial"/>
                    <w:sz w:val="24"/>
                  </w:rPr>
                </w:pPr>
                <w:r>
                  <w:rPr>
                    <w:rFonts w:ascii="Arial" w:hAnsi="Arial"/>
                    <w:b/>
                  </w:rPr>
                  <w:t>Washington, D.C. 20554</w:t>
                </w:r>
              </w:p>
            </w:txbxContent>
          </v:textbox>
        </v:shape>
      </w:pict>
    </w:r>
    <w:r>
      <w:rPr>
        <w:noProof/>
      </w:rPr>
      <w:pict w14:anchorId="068CA994">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style="mso-next-textbox:#Text Box 5" inset=",0,,0">
            <w:txbxContent>
              <w:p w14:paraId="7305CB5E" w14:textId="77777777" w:rsidR="0098574F" w:rsidRDefault="0098574F">
                <w:pPr>
                  <w:spacing w:before="40"/>
                  <w:jc w:val="right"/>
                  <w:rPr>
                    <w:rFonts w:ascii="Arial" w:hAnsi="Arial"/>
                    <w:b/>
                    <w:sz w:val="16"/>
                  </w:rPr>
                </w:pPr>
                <w:r>
                  <w:rPr>
                    <w:rFonts w:ascii="Arial" w:hAnsi="Arial"/>
                    <w:b/>
                    <w:sz w:val="16"/>
                  </w:rPr>
                  <w:t>News Media Information 202 / 418-0500</w:t>
                </w:r>
              </w:p>
              <w:p w14:paraId="4057BC1A" w14:textId="77777777" w:rsidR="0098574F" w:rsidRDefault="0098574F">
                <w:pPr>
                  <w:jc w:val="right"/>
                  <w:rPr>
                    <w:rFonts w:ascii="Arial" w:hAnsi="Arial"/>
                    <w:b/>
                    <w:sz w:val="16"/>
                  </w:rPr>
                </w:pPr>
                <w:r>
                  <w:rPr>
                    <w:rFonts w:ascii="Arial" w:hAnsi="Arial"/>
                    <w:b/>
                    <w:sz w:val="16"/>
                  </w:rPr>
                  <w:tab/>
                  <w:t>Internet: http://www.fcc.gov</w:t>
                </w:r>
              </w:p>
              <w:p w14:paraId="00D7FB1B" w14:textId="77777777" w:rsidR="0098574F" w:rsidRDefault="0098574F">
                <w:pPr>
                  <w:jc w:val="right"/>
                  <w:rPr>
                    <w:rFonts w:ascii="Arial" w:hAnsi="Arial"/>
                    <w:b/>
                    <w:sz w:val="16"/>
                  </w:rPr>
                </w:pPr>
                <w:r>
                  <w:rPr>
                    <w:rFonts w:ascii="Arial" w:hAnsi="Arial"/>
                    <w:b/>
                    <w:sz w:val="16"/>
                  </w:rPr>
                  <w:t>TTY: 1-888-835-5322</w:t>
                </w:r>
              </w:p>
              <w:p w14:paraId="78C8DD1F" w14:textId="77777777" w:rsidR="0098574F" w:rsidRDefault="0098574F">
                <w:pPr>
                  <w:jc w:val="right"/>
                </w:pPr>
              </w:p>
            </w:txbxContent>
          </v:textbox>
        </v:shape>
      </w:pict>
    </w:r>
  </w:p>
  <w:p w14:paraId="73338329" w14:textId="77777777" w:rsidR="0098574F" w:rsidRDefault="0098574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C2E9" w14:textId="77777777" w:rsidR="00602577" w:rsidRDefault="00BB38C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5D525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37A2399D" w14:textId="77777777" w:rsidR="00602577" w:rsidRDefault="00BB38C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3AF86C31">
        <v:line id="_x0000_s2052" style="position:absolute;left:0;text-align:left;z-index:251655168" from="37.6pt,54.95pt" to="501.1pt,55.15pt" o:allowincell="f"/>
      </w:pict>
    </w:r>
    <w:r>
      <w:rPr>
        <w:rFonts w:ascii="News Gothic MT" w:hAnsi="News Gothic MT"/>
        <w:b/>
        <w:noProof/>
        <w:sz w:val="24"/>
      </w:rPr>
      <w:pict w14:anchorId="675B702F">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14:paraId="17B41184" w14:textId="77777777" w:rsidR="00602577" w:rsidRDefault="00602577">
                <w:pPr>
                  <w:rPr>
                    <w:rFonts w:ascii="Arial" w:hAnsi="Arial"/>
                    <w:b/>
                  </w:rPr>
                </w:pPr>
                <w:r>
                  <w:rPr>
                    <w:rFonts w:ascii="Arial" w:hAnsi="Arial"/>
                    <w:b/>
                  </w:rPr>
                  <w:t>Federal Communications Commission</w:t>
                </w:r>
              </w:p>
              <w:p w14:paraId="7210BC35"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711337F"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39EBB9DB">
        <v:shape id="_x0000_s2053" type="#_x0000_t202" style="position:absolute;left:0;text-align:left;margin-left:301.5pt;margin-top:10.25pt;width:207.95pt;height:43.2pt;z-index:251656192" o:allowincell="f" stroked="f">
          <v:textbox style="mso-next-textbox:#_x0000_s2053" inset=",0,,0">
            <w:txbxContent>
              <w:p w14:paraId="7578EB04" w14:textId="77777777" w:rsidR="00602577" w:rsidRDefault="00602577">
                <w:pPr>
                  <w:spacing w:before="40"/>
                  <w:jc w:val="right"/>
                  <w:rPr>
                    <w:rFonts w:ascii="Arial" w:hAnsi="Arial"/>
                    <w:b/>
                    <w:sz w:val="16"/>
                  </w:rPr>
                </w:pPr>
                <w:r>
                  <w:rPr>
                    <w:rFonts w:ascii="Arial" w:hAnsi="Arial"/>
                    <w:b/>
                    <w:sz w:val="16"/>
                  </w:rPr>
                  <w:t>News Media Information 202 / 418-0500</w:t>
                </w:r>
              </w:p>
              <w:p w14:paraId="3ADCFFB3" w14:textId="77777777" w:rsidR="00602577" w:rsidRDefault="00602577">
                <w:pPr>
                  <w:jc w:val="right"/>
                  <w:rPr>
                    <w:rFonts w:ascii="Arial" w:hAnsi="Arial"/>
                    <w:b/>
                    <w:sz w:val="16"/>
                  </w:rPr>
                </w:pPr>
                <w:r>
                  <w:rPr>
                    <w:rFonts w:ascii="Arial" w:hAnsi="Arial"/>
                    <w:b/>
                    <w:sz w:val="16"/>
                  </w:rPr>
                  <w:tab/>
                  <w:t xml:space="preserve">Internet: </w:t>
                </w:r>
                <w:bookmarkStart w:id="47" w:name="_Hlt233824"/>
                <w:r>
                  <w:rPr>
                    <w:rFonts w:ascii="Arial" w:hAnsi="Arial"/>
                    <w:b/>
                    <w:sz w:val="16"/>
                  </w:rPr>
                  <w:t>h</w:t>
                </w:r>
                <w:bookmarkEnd w:id="47"/>
                <w:r>
                  <w:rPr>
                    <w:rFonts w:ascii="Arial" w:hAnsi="Arial"/>
                    <w:b/>
                    <w:sz w:val="16"/>
                  </w:rPr>
                  <w:t>ttp://www.fcc.gov</w:t>
                </w:r>
              </w:p>
              <w:p w14:paraId="4B4A4A9F" w14:textId="77777777" w:rsidR="00602577" w:rsidRDefault="00602577">
                <w:pPr>
                  <w:jc w:val="right"/>
                  <w:rPr>
                    <w:rFonts w:ascii="Arial" w:hAnsi="Arial"/>
                    <w:b/>
                    <w:sz w:val="16"/>
                  </w:rPr>
                </w:pPr>
                <w:r>
                  <w:rPr>
                    <w:rFonts w:ascii="Arial" w:hAnsi="Arial"/>
                    <w:b/>
                    <w:sz w:val="16"/>
                  </w:rPr>
                  <w:t>TTY: 1-888-835-5322</w:t>
                </w:r>
              </w:p>
              <w:p w14:paraId="7C1D925F" w14:textId="77777777" w:rsidR="00602577" w:rsidRDefault="00602577">
                <w:pPr>
                  <w:jc w:val="right"/>
                </w:pPr>
              </w:p>
            </w:txbxContent>
          </v:textbox>
        </v:shape>
      </w:pict>
    </w:r>
  </w:p>
  <w:p w14:paraId="6589151F"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6540CBDE">
      <w:start w:val="1"/>
      <w:numFmt w:val="bullet"/>
      <w:lvlText w:val=""/>
      <w:lvlJc w:val="left"/>
      <w:pPr>
        <w:tabs>
          <w:tab w:val="num" w:pos="720"/>
        </w:tabs>
        <w:ind w:left="720" w:hanging="360"/>
      </w:pPr>
      <w:rPr>
        <w:rFonts w:ascii="Wingdings" w:hAnsi="Wingdings" w:hint="default"/>
      </w:rPr>
    </w:lvl>
    <w:lvl w:ilvl="1" w:tplc="C0AABCC0">
      <w:start w:val="1"/>
      <w:numFmt w:val="decimal"/>
      <w:lvlText w:val="(%2)"/>
      <w:lvlJc w:val="left"/>
      <w:pPr>
        <w:tabs>
          <w:tab w:val="num" w:pos="1440"/>
        </w:tabs>
        <w:ind w:left="1440" w:hanging="360"/>
      </w:pPr>
      <w:rPr>
        <w:rFonts w:cs="Times New Roman" w:hint="default"/>
      </w:rPr>
    </w:lvl>
    <w:lvl w:ilvl="2" w:tplc="98045926">
      <w:start w:val="1"/>
      <w:numFmt w:val="lowerRoman"/>
      <w:lvlText w:val="%3."/>
      <w:lvlJc w:val="right"/>
      <w:pPr>
        <w:tabs>
          <w:tab w:val="num" w:pos="2160"/>
        </w:tabs>
        <w:ind w:left="2160" w:hanging="180"/>
      </w:pPr>
      <w:rPr>
        <w:rFonts w:cs="Times New Roman"/>
      </w:rPr>
    </w:lvl>
    <w:lvl w:ilvl="3" w:tplc="6088B24A" w:tentative="1">
      <w:start w:val="1"/>
      <w:numFmt w:val="decimal"/>
      <w:lvlText w:val="%4."/>
      <w:lvlJc w:val="left"/>
      <w:pPr>
        <w:tabs>
          <w:tab w:val="num" w:pos="2880"/>
        </w:tabs>
        <w:ind w:left="2880" w:hanging="360"/>
      </w:pPr>
      <w:rPr>
        <w:rFonts w:cs="Times New Roman"/>
      </w:rPr>
    </w:lvl>
    <w:lvl w:ilvl="4" w:tplc="73C86270" w:tentative="1">
      <w:start w:val="1"/>
      <w:numFmt w:val="lowerLetter"/>
      <w:lvlText w:val="%5."/>
      <w:lvlJc w:val="left"/>
      <w:pPr>
        <w:tabs>
          <w:tab w:val="num" w:pos="3600"/>
        </w:tabs>
        <w:ind w:left="3600" w:hanging="360"/>
      </w:pPr>
      <w:rPr>
        <w:rFonts w:cs="Times New Roman"/>
      </w:rPr>
    </w:lvl>
    <w:lvl w:ilvl="5" w:tplc="D1D80878" w:tentative="1">
      <w:start w:val="1"/>
      <w:numFmt w:val="lowerRoman"/>
      <w:lvlText w:val="%6."/>
      <w:lvlJc w:val="right"/>
      <w:pPr>
        <w:tabs>
          <w:tab w:val="num" w:pos="4320"/>
        </w:tabs>
        <w:ind w:left="4320" w:hanging="180"/>
      </w:pPr>
      <w:rPr>
        <w:rFonts w:cs="Times New Roman"/>
      </w:rPr>
    </w:lvl>
    <w:lvl w:ilvl="6" w:tplc="6722E838" w:tentative="1">
      <w:start w:val="1"/>
      <w:numFmt w:val="decimal"/>
      <w:lvlText w:val="%7."/>
      <w:lvlJc w:val="left"/>
      <w:pPr>
        <w:tabs>
          <w:tab w:val="num" w:pos="5040"/>
        </w:tabs>
        <w:ind w:left="5040" w:hanging="360"/>
      </w:pPr>
      <w:rPr>
        <w:rFonts w:cs="Times New Roman"/>
      </w:rPr>
    </w:lvl>
    <w:lvl w:ilvl="7" w:tplc="5EBCE8F8" w:tentative="1">
      <w:start w:val="1"/>
      <w:numFmt w:val="lowerLetter"/>
      <w:lvlText w:val="%8."/>
      <w:lvlJc w:val="left"/>
      <w:pPr>
        <w:tabs>
          <w:tab w:val="num" w:pos="5760"/>
        </w:tabs>
        <w:ind w:left="5760" w:hanging="360"/>
      </w:pPr>
      <w:rPr>
        <w:rFonts w:cs="Times New Roman"/>
      </w:rPr>
    </w:lvl>
    <w:lvl w:ilvl="8" w:tplc="17E2C174" w:tentative="1">
      <w:start w:val="1"/>
      <w:numFmt w:val="lowerRoman"/>
      <w:lvlText w:val="%9."/>
      <w:lvlJc w:val="right"/>
      <w:pPr>
        <w:tabs>
          <w:tab w:val="num" w:pos="6480"/>
        </w:tabs>
        <w:ind w:left="6480" w:hanging="180"/>
      </w:pPr>
      <w:rPr>
        <w:rFonts w:cs="Times New Roman"/>
      </w:rPr>
    </w:lvl>
  </w:abstractNum>
  <w:abstractNum w:abstractNumId="1">
    <w:nsid w:val="26820018"/>
    <w:multiLevelType w:val="hybridMultilevel"/>
    <w:tmpl w:val="7440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14E47F9"/>
    <w:multiLevelType w:val="hybridMultilevel"/>
    <w:tmpl w:val="AAFE69B2"/>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4">
    <w:nsid w:val="38333CB5"/>
    <w:multiLevelType w:val="hybridMultilevel"/>
    <w:tmpl w:val="7B9A5D02"/>
    <w:lvl w:ilvl="0" w:tplc="430C879A">
      <w:start w:val="1"/>
      <w:numFmt w:val="bullet"/>
      <w:lvlText w:val=""/>
      <w:lvlJc w:val="left"/>
      <w:pPr>
        <w:tabs>
          <w:tab w:val="num" w:pos="720"/>
        </w:tabs>
        <w:ind w:left="720" w:hanging="360"/>
      </w:pPr>
      <w:rPr>
        <w:rFonts w:ascii="Wingdings" w:hAnsi="Wingdings" w:hint="default"/>
      </w:rPr>
    </w:lvl>
    <w:lvl w:ilvl="1" w:tplc="8AE4D356" w:tentative="1">
      <w:start w:val="1"/>
      <w:numFmt w:val="bullet"/>
      <w:lvlText w:val="o"/>
      <w:lvlJc w:val="left"/>
      <w:pPr>
        <w:tabs>
          <w:tab w:val="num" w:pos="1440"/>
        </w:tabs>
        <w:ind w:left="1440" w:hanging="360"/>
      </w:pPr>
      <w:rPr>
        <w:rFonts w:ascii="Courier New" w:hAnsi="Courier New" w:hint="default"/>
      </w:rPr>
    </w:lvl>
    <w:lvl w:ilvl="2" w:tplc="4628DEC2" w:tentative="1">
      <w:start w:val="1"/>
      <w:numFmt w:val="bullet"/>
      <w:lvlText w:val=""/>
      <w:lvlJc w:val="left"/>
      <w:pPr>
        <w:tabs>
          <w:tab w:val="num" w:pos="2160"/>
        </w:tabs>
        <w:ind w:left="2160" w:hanging="360"/>
      </w:pPr>
      <w:rPr>
        <w:rFonts w:ascii="Wingdings" w:hAnsi="Wingdings" w:hint="default"/>
      </w:rPr>
    </w:lvl>
    <w:lvl w:ilvl="3" w:tplc="6E1CC686" w:tentative="1">
      <w:start w:val="1"/>
      <w:numFmt w:val="bullet"/>
      <w:lvlText w:val=""/>
      <w:lvlJc w:val="left"/>
      <w:pPr>
        <w:tabs>
          <w:tab w:val="num" w:pos="2880"/>
        </w:tabs>
        <w:ind w:left="2880" w:hanging="360"/>
      </w:pPr>
      <w:rPr>
        <w:rFonts w:ascii="Symbol" w:hAnsi="Symbol" w:hint="default"/>
      </w:rPr>
    </w:lvl>
    <w:lvl w:ilvl="4" w:tplc="8EBA1E96" w:tentative="1">
      <w:start w:val="1"/>
      <w:numFmt w:val="bullet"/>
      <w:lvlText w:val="o"/>
      <w:lvlJc w:val="left"/>
      <w:pPr>
        <w:tabs>
          <w:tab w:val="num" w:pos="3600"/>
        </w:tabs>
        <w:ind w:left="3600" w:hanging="360"/>
      </w:pPr>
      <w:rPr>
        <w:rFonts w:ascii="Courier New" w:hAnsi="Courier New" w:hint="default"/>
      </w:rPr>
    </w:lvl>
    <w:lvl w:ilvl="5" w:tplc="BB48588A" w:tentative="1">
      <w:start w:val="1"/>
      <w:numFmt w:val="bullet"/>
      <w:lvlText w:val=""/>
      <w:lvlJc w:val="left"/>
      <w:pPr>
        <w:tabs>
          <w:tab w:val="num" w:pos="4320"/>
        </w:tabs>
        <w:ind w:left="4320" w:hanging="360"/>
      </w:pPr>
      <w:rPr>
        <w:rFonts w:ascii="Wingdings" w:hAnsi="Wingdings" w:hint="default"/>
      </w:rPr>
    </w:lvl>
    <w:lvl w:ilvl="6" w:tplc="1D1888FC" w:tentative="1">
      <w:start w:val="1"/>
      <w:numFmt w:val="bullet"/>
      <w:lvlText w:val=""/>
      <w:lvlJc w:val="left"/>
      <w:pPr>
        <w:tabs>
          <w:tab w:val="num" w:pos="5040"/>
        </w:tabs>
        <w:ind w:left="5040" w:hanging="360"/>
      </w:pPr>
      <w:rPr>
        <w:rFonts w:ascii="Symbol" w:hAnsi="Symbol" w:hint="default"/>
      </w:rPr>
    </w:lvl>
    <w:lvl w:ilvl="7" w:tplc="A8205D42" w:tentative="1">
      <w:start w:val="1"/>
      <w:numFmt w:val="bullet"/>
      <w:lvlText w:val="o"/>
      <w:lvlJc w:val="left"/>
      <w:pPr>
        <w:tabs>
          <w:tab w:val="num" w:pos="5760"/>
        </w:tabs>
        <w:ind w:left="5760" w:hanging="360"/>
      </w:pPr>
      <w:rPr>
        <w:rFonts w:ascii="Courier New" w:hAnsi="Courier New" w:hint="default"/>
      </w:rPr>
    </w:lvl>
    <w:lvl w:ilvl="8" w:tplc="2882495E"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0B128B8"/>
    <w:multiLevelType w:val="hybridMultilevel"/>
    <w:tmpl w:val="67F6A7A6"/>
    <w:lvl w:ilvl="0" w:tplc="6540C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406EE"/>
    <w:multiLevelType w:val="hybridMultilevel"/>
    <w:tmpl w:val="B85C498C"/>
    <w:lvl w:ilvl="0" w:tplc="CA1C088E">
      <w:start w:val="1"/>
      <w:numFmt w:val="decimal"/>
      <w:lvlText w:val="%1."/>
      <w:lvlJc w:val="left"/>
      <w:pPr>
        <w:tabs>
          <w:tab w:val="num" w:pos="1440"/>
        </w:tabs>
        <w:ind w:left="1440" w:hanging="360"/>
      </w:pPr>
      <w:rPr>
        <w:rFonts w:cs="Times New Roman"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1"/>
  </w:num>
  <w:num w:numId="14">
    <w:abstractNumId w:val="3"/>
  </w:num>
  <w:num w:numId="15">
    <w:abstractNumId w:val="11"/>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74F"/>
    <w:rsid w:val="00013CFD"/>
    <w:rsid w:val="000265AE"/>
    <w:rsid w:val="00036E7C"/>
    <w:rsid w:val="000441A3"/>
    <w:rsid w:val="00051FA4"/>
    <w:rsid w:val="000D7AE7"/>
    <w:rsid w:val="00101A55"/>
    <w:rsid w:val="00193527"/>
    <w:rsid w:val="001A70C9"/>
    <w:rsid w:val="001B3141"/>
    <w:rsid w:val="001F4713"/>
    <w:rsid w:val="00207D0A"/>
    <w:rsid w:val="0024197C"/>
    <w:rsid w:val="00332FC7"/>
    <w:rsid w:val="00344627"/>
    <w:rsid w:val="003451CD"/>
    <w:rsid w:val="00346E87"/>
    <w:rsid w:val="0038199A"/>
    <w:rsid w:val="003F71B1"/>
    <w:rsid w:val="004332AC"/>
    <w:rsid w:val="004434E5"/>
    <w:rsid w:val="00492109"/>
    <w:rsid w:val="004B0EE6"/>
    <w:rsid w:val="004B52F3"/>
    <w:rsid w:val="004E5E00"/>
    <w:rsid w:val="004F24DA"/>
    <w:rsid w:val="00501BF2"/>
    <w:rsid w:val="00502E39"/>
    <w:rsid w:val="00507C71"/>
    <w:rsid w:val="0057123F"/>
    <w:rsid w:val="005A3B38"/>
    <w:rsid w:val="00602577"/>
    <w:rsid w:val="00605C3F"/>
    <w:rsid w:val="006949F3"/>
    <w:rsid w:val="00695DEC"/>
    <w:rsid w:val="00733C7A"/>
    <w:rsid w:val="00751457"/>
    <w:rsid w:val="00765B49"/>
    <w:rsid w:val="007A2F18"/>
    <w:rsid w:val="007E3BDE"/>
    <w:rsid w:val="00801998"/>
    <w:rsid w:val="008141AE"/>
    <w:rsid w:val="008D2ED3"/>
    <w:rsid w:val="008D57C3"/>
    <w:rsid w:val="008E6497"/>
    <w:rsid w:val="008F6B05"/>
    <w:rsid w:val="009013C4"/>
    <w:rsid w:val="0091069E"/>
    <w:rsid w:val="00941887"/>
    <w:rsid w:val="00947764"/>
    <w:rsid w:val="0098574F"/>
    <w:rsid w:val="00987263"/>
    <w:rsid w:val="009B6E12"/>
    <w:rsid w:val="009C7019"/>
    <w:rsid w:val="00A53797"/>
    <w:rsid w:val="00A66C99"/>
    <w:rsid w:val="00A74CB7"/>
    <w:rsid w:val="00AC1BC3"/>
    <w:rsid w:val="00AD56C0"/>
    <w:rsid w:val="00B0041E"/>
    <w:rsid w:val="00B040DC"/>
    <w:rsid w:val="00B37BB9"/>
    <w:rsid w:val="00B77D1A"/>
    <w:rsid w:val="00BA049E"/>
    <w:rsid w:val="00BB38CC"/>
    <w:rsid w:val="00BC6C7D"/>
    <w:rsid w:val="00BC7907"/>
    <w:rsid w:val="00BE33DD"/>
    <w:rsid w:val="00C41ACC"/>
    <w:rsid w:val="00C6048D"/>
    <w:rsid w:val="00CE25D5"/>
    <w:rsid w:val="00CF1580"/>
    <w:rsid w:val="00D17DC0"/>
    <w:rsid w:val="00D23E55"/>
    <w:rsid w:val="00D46392"/>
    <w:rsid w:val="00D60EFF"/>
    <w:rsid w:val="00D72EBB"/>
    <w:rsid w:val="00DA4FA6"/>
    <w:rsid w:val="00DC497F"/>
    <w:rsid w:val="00DD2E73"/>
    <w:rsid w:val="00DD62F4"/>
    <w:rsid w:val="00E043C5"/>
    <w:rsid w:val="00E17967"/>
    <w:rsid w:val="00E34FE8"/>
    <w:rsid w:val="00E467AF"/>
    <w:rsid w:val="00E73748"/>
    <w:rsid w:val="00E83464"/>
    <w:rsid w:val="00EA3966"/>
    <w:rsid w:val="00F23EFD"/>
    <w:rsid w:val="00F407E9"/>
    <w:rsid w:val="00F42090"/>
    <w:rsid w:val="00F573A5"/>
    <w:rsid w:val="00FB6C54"/>
    <w:rsid w:val="00FD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D48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4F"/>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Footnote Text Char"/>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98574F"/>
    <w:rPr>
      <w:sz w:val="22"/>
    </w:rPr>
  </w:style>
  <w:style w:type="character" w:styleId="CommentReference">
    <w:name w:val="annotation reference"/>
    <w:uiPriority w:val="99"/>
    <w:semiHidden/>
    <w:unhideWhenUsed/>
    <w:rsid w:val="0098574F"/>
    <w:rPr>
      <w:sz w:val="16"/>
      <w:szCs w:val="16"/>
    </w:rPr>
  </w:style>
  <w:style w:type="paragraph" w:styleId="CommentText">
    <w:name w:val="annotation text"/>
    <w:basedOn w:val="Normal"/>
    <w:link w:val="CommentTextChar"/>
    <w:uiPriority w:val="99"/>
    <w:semiHidden/>
    <w:unhideWhenUsed/>
    <w:rsid w:val="0098574F"/>
    <w:rPr>
      <w:sz w:val="20"/>
    </w:rPr>
  </w:style>
  <w:style w:type="character" w:customStyle="1" w:styleId="CommentTextChar">
    <w:name w:val="Comment Text Char"/>
    <w:basedOn w:val="DefaultParagraphFont"/>
    <w:link w:val="CommentText"/>
    <w:uiPriority w:val="99"/>
    <w:semiHidden/>
    <w:rsid w:val="0098574F"/>
  </w:style>
  <w:style w:type="character" w:customStyle="1" w:styleId="FooterChar">
    <w:name w:val="Footer Char"/>
    <w:link w:val="Footer"/>
    <w:uiPriority w:val="99"/>
    <w:rsid w:val="0098574F"/>
    <w:rPr>
      <w:sz w:val="22"/>
    </w:rPr>
  </w:style>
  <w:style w:type="paragraph" w:styleId="ListParagraph">
    <w:name w:val="List Paragraph"/>
    <w:basedOn w:val="Normal"/>
    <w:uiPriority w:val="34"/>
    <w:qFormat/>
    <w:rsid w:val="0098574F"/>
    <w:pPr>
      <w:ind w:left="720"/>
      <w:contextualSpacing/>
    </w:pPr>
  </w:style>
  <w:style w:type="character" w:customStyle="1" w:styleId="Heading1Char">
    <w:name w:val="Heading 1 Char"/>
    <w:link w:val="Heading1"/>
    <w:uiPriority w:val="1"/>
    <w:locked/>
    <w:rsid w:val="0098574F"/>
    <w:rPr>
      <w:b/>
      <w:caps/>
      <w:sz w:val="22"/>
    </w:rPr>
  </w:style>
  <w:style w:type="paragraph" w:styleId="BalloonText">
    <w:name w:val="Balloon Text"/>
    <w:basedOn w:val="Normal"/>
    <w:link w:val="BalloonTextChar"/>
    <w:uiPriority w:val="99"/>
    <w:semiHidden/>
    <w:unhideWhenUsed/>
    <w:rsid w:val="0098574F"/>
    <w:rPr>
      <w:rFonts w:ascii="Segoe UI" w:hAnsi="Segoe UI" w:cs="Segoe UI"/>
      <w:sz w:val="18"/>
      <w:szCs w:val="18"/>
    </w:rPr>
  </w:style>
  <w:style w:type="character" w:customStyle="1" w:styleId="BalloonTextChar">
    <w:name w:val="Balloon Text Char"/>
    <w:link w:val="BalloonText"/>
    <w:uiPriority w:val="99"/>
    <w:semiHidden/>
    <w:rsid w:val="009857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1FA4"/>
    <w:rPr>
      <w:b/>
      <w:bCs/>
    </w:rPr>
  </w:style>
  <w:style w:type="character" w:customStyle="1" w:styleId="CommentSubjectChar">
    <w:name w:val="Comment Subject Char"/>
    <w:link w:val="CommentSubject"/>
    <w:uiPriority w:val="99"/>
    <w:semiHidden/>
    <w:rsid w:val="00051FA4"/>
    <w:rPr>
      <w:b/>
      <w:bCs/>
    </w:rPr>
  </w:style>
  <w:style w:type="paragraph" w:styleId="Revision">
    <w:name w:val="Revision"/>
    <w:hidden/>
    <w:uiPriority w:val="99"/>
    <w:semiHidden/>
    <w:rsid w:val="00F23EF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5819">
      <w:bodyDiv w:val="1"/>
      <w:marLeft w:val="0"/>
      <w:marRight w:val="0"/>
      <w:marTop w:val="0"/>
      <w:marBottom w:val="0"/>
      <w:divBdr>
        <w:top w:val="none" w:sz="0" w:space="0" w:color="auto"/>
        <w:left w:val="none" w:sz="0" w:space="0" w:color="auto"/>
        <w:bottom w:val="none" w:sz="0" w:space="0" w:color="auto"/>
        <w:right w:val="none" w:sz="0" w:space="0" w:color="auto"/>
      </w:divBdr>
    </w:div>
    <w:div w:id="19175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jallfoss.fcc.gov/ecfs2/" TargetMode="External"/><Relationship Id="rId2" Type="http://schemas.openxmlformats.org/officeDocument/2006/relationships/styles" Target="styles.xml"/><Relationship Id="rId16" Type="http://schemas.openxmlformats.org/officeDocument/2006/relationships/hyperlink" Target="mailto:ETRS@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TRS@fcc.gov" TargetMode="External"/><Relationship Id="rId10" Type="http://schemas.openxmlformats.org/officeDocument/2006/relationships/footer" Target="footer1.xml"/><Relationship Id="rId19" Type="http://schemas.openxmlformats.org/officeDocument/2006/relationships/hyperlink" Target="mailto:austin.randazzo@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general/eas-test-reporting-syste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ransition.fcc.gov/bureaus/pshs/advisory/csric5/Working_GroupCSRICV_062016.doc" TargetMode="External"/><Relationship Id="rId1" Type="http://schemas.openxmlformats.org/officeDocument/2006/relationships/hyperlink" Target="https://transition.fcc.gov/bureaus/pshs/advisory/csric5/WG3_Report_Operating-Handbook_0622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1347</Words>
  <Characters>7558</Characters>
  <Application>Microsoft Office Word</Application>
  <DocSecurity>0</DocSecurity>
  <Lines>113</Lines>
  <Paragraphs>37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2016-06-23T22:26:00Z</cp:lastPrinted>
  <dcterms:created xsi:type="dcterms:W3CDTF">2016-06-27T19:41:00Z</dcterms:created>
  <dcterms:modified xsi:type="dcterms:W3CDTF">2016-06-27T19:41:00Z</dcterms:modified>
  <cp:category> </cp:category>
  <cp:contentStatus> </cp:contentStatus>
</cp:coreProperties>
</file>