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075AA" w:rsidRPr="001E68FC" w:rsidRDefault="007075AA" w:rsidP="007075AA">
      <w:pPr>
        <w:jc w:val="right"/>
        <w:rPr>
          <w:b/>
          <w:sz w:val="24"/>
        </w:rPr>
      </w:pPr>
      <w:r w:rsidRPr="001E68FC">
        <w:rPr>
          <w:b/>
          <w:sz w:val="24"/>
        </w:rPr>
        <w:lastRenderedPageBreak/>
        <w:t>DA</w:t>
      </w:r>
      <w:r>
        <w:rPr>
          <w:b/>
          <w:sz w:val="24"/>
        </w:rPr>
        <w:t xml:space="preserve"> 1</w:t>
      </w:r>
      <w:r w:rsidR="007E1DDF">
        <w:rPr>
          <w:b/>
          <w:sz w:val="24"/>
        </w:rPr>
        <w:t>6</w:t>
      </w:r>
      <w:r>
        <w:rPr>
          <w:b/>
          <w:sz w:val="24"/>
        </w:rPr>
        <w:t>-</w:t>
      </w:r>
      <w:r w:rsidR="00BE03DA">
        <w:rPr>
          <w:b/>
          <w:sz w:val="24"/>
        </w:rPr>
        <w:t>751</w:t>
      </w:r>
    </w:p>
    <w:p w:rsidR="007075AA" w:rsidRPr="001E68FC" w:rsidRDefault="00C212E7" w:rsidP="007075AA">
      <w:pPr>
        <w:spacing w:before="60"/>
        <w:jc w:val="right"/>
        <w:rPr>
          <w:b/>
          <w:sz w:val="24"/>
        </w:rPr>
      </w:pPr>
      <w:r>
        <w:rPr>
          <w:b/>
          <w:sz w:val="24"/>
        </w:rPr>
        <w:t>July 1</w:t>
      </w:r>
      <w:r w:rsidR="007075AA" w:rsidRPr="001E68FC">
        <w:rPr>
          <w:b/>
          <w:sz w:val="24"/>
        </w:rPr>
        <w:t>, 201</w:t>
      </w:r>
      <w:r w:rsidR="007E1DDF">
        <w:rPr>
          <w:b/>
          <w:sz w:val="24"/>
        </w:rPr>
        <w:t>6</w:t>
      </w:r>
    </w:p>
    <w:p w:rsidR="007075AA" w:rsidRDefault="007075AA" w:rsidP="007075AA">
      <w:pPr>
        <w:jc w:val="right"/>
        <w:rPr>
          <w:sz w:val="24"/>
        </w:rPr>
      </w:pPr>
    </w:p>
    <w:p w:rsidR="007075AA" w:rsidRPr="00553887" w:rsidRDefault="007075AA" w:rsidP="007075AA">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 xml:space="preserve">n PETITIONs concerning THE cOMMISSION’S RULE ON OPT-OUT NOTICEs ON FAX ADVERTISEMENTS </w:t>
      </w:r>
    </w:p>
    <w:p w:rsidR="007075AA" w:rsidRDefault="007075AA" w:rsidP="007075AA">
      <w:pPr>
        <w:jc w:val="center"/>
        <w:rPr>
          <w:b/>
          <w:szCs w:val="22"/>
        </w:rPr>
      </w:pPr>
    </w:p>
    <w:p w:rsidR="007075AA" w:rsidRDefault="007075AA" w:rsidP="007075AA">
      <w:pPr>
        <w:jc w:val="center"/>
        <w:rPr>
          <w:b/>
          <w:szCs w:val="22"/>
        </w:rPr>
      </w:pPr>
      <w:r>
        <w:rPr>
          <w:b/>
          <w:szCs w:val="22"/>
        </w:rPr>
        <w:t>CG</w:t>
      </w:r>
      <w:r w:rsidRPr="009007BF">
        <w:rPr>
          <w:b/>
          <w:szCs w:val="22"/>
        </w:rPr>
        <w:t xml:space="preserve"> Docket No. </w:t>
      </w:r>
      <w:r>
        <w:rPr>
          <w:b/>
          <w:szCs w:val="22"/>
        </w:rPr>
        <w:t>02-278</w:t>
      </w:r>
    </w:p>
    <w:p w:rsidR="007075AA" w:rsidRPr="001E68FC" w:rsidRDefault="007075AA" w:rsidP="007075AA">
      <w:pPr>
        <w:spacing w:after="240"/>
        <w:jc w:val="center"/>
        <w:rPr>
          <w:b/>
          <w:sz w:val="24"/>
        </w:rPr>
      </w:pPr>
      <w:r>
        <w:rPr>
          <w:b/>
          <w:szCs w:val="22"/>
        </w:rPr>
        <w:t>CG</w:t>
      </w:r>
      <w:r w:rsidRPr="009007BF">
        <w:rPr>
          <w:b/>
          <w:szCs w:val="22"/>
        </w:rPr>
        <w:t xml:space="preserve"> Docket No. </w:t>
      </w:r>
      <w:r>
        <w:rPr>
          <w:b/>
          <w:szCs w:val="22"/>
        </w:rPr>
        <w:t>05-338</w:t>
      </w:r>
    </w:p>
    <w:p w:rsidR="007075AA" w:rsidRDefault="007075AA" w:rsidP="007075AA">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w:t>
      </w:r>
      <w:r w:rsidR="00C212E7">
        <w:rPr>
          <w:szCs w:val="22"/>
        </w:rPr>
        <w:t>July 15</w:t>
      </w:r>
      <w:r>
        <w:rPr>
          <w:szCs w:val="22"/>
        </w:rPr>
        <w:t>, 201</w:t>
      </w:r>
      <w:r w:rsidR="007E1DDF">
        <w:rPr>
          <w:szCs w:val="22"/>
        </w:rPr>
        <w:t>6</w:t>
      </w:r>
    </w:p>
    <w:p w:rsidR="007075AA" w:rsidRDefault="007075AA" w:rsidP="007075AA">
      <w:pPr>
        <w:rPr>
          <w:b/>
        </w:rPr>
      </w:pPr>
      <w:r>
        <w:rPr>
          <w:b/>
        </w:rPr>
        <w:t>Reply Comment Date</w:t>
      </w:r>
      <w:r>
        <w:t xml:space="preserve">:  </w:t>
      </w:r>
      <w:r w:rsidR="00C212E7">
        <w:rPr>
          <w:b/>
        </w:rPr>
        <w:t>July 22</w:t>
      </w:r>
      <w:r>
        <w:t xml:space="preserve">, </w:t>
      </w:r>
      <w:r>
        <w:rPr>
          <w:b/>
        </w:rPr>
        <w:t>201</w:t>
      </w:r>
      <w:r w:rsidR="007E1DDF">
        <w:rPr>
          <w:b/>
        </w:rPr>
        <w:t>6</w:t>
      </w:r>
    </w:p>
    <w:p w:rsidR="007075AA" w:rsidRPr="00997FAC" w:rsidRDefault="007075AA" w:rsidP="007075AA">
      <w:pPr>
        <w:rPr>
          <w:b/>
        </w:rPr>
      </w:pPr>
    </w:p>
    <w:p w:rsidR="007075AA" w:rsidRDefault="007075AA" w:rsidP="007075AA">
      <w:pPr>
        <w:spacing w:before="120" w:after="240"/>
        <w:rPr>
          <w:szCs w:val="22"/>
        </w:rPr>
      </w:pPr>
      <w:r>
        <w:rPr>
          <w:sz w:val="24"/>
        </w:rPr>
        <w:tab/>
      </w:r>
      <w:r w:rsidRPr="00347DD3">
        <w:rPr>
          <w:szCs w:val="22"/>
        </w:rPr>
        <w:t xml:space="preserve"> </w:t>
      </w:r>
      <w:r w:rsidR="00EF458C">
        <w:rPr>
          <w:szCs w:val="22"/>
        </w:rPr>
        <w:t>Five</w:t>
      </w:r>
      <w:r>
        <w:rPr>
          <w:sz w:val="24"/>
        </w:rPr>
        <w:t xml:space="preserve"> </w:t>
      </w:r>
      <w:r>
        <w:rPr>
          <w:szCs w:val="22"/>
        </w:rPr>
        <w:t>petitions have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w:t>
      </w:r>
      <w:r>
        <w:rPr>
          <w:szCs w:val="22"/>
        </w:rPr>
        <w:t xml:space="preserve"> c</w:t>
      </w:r>
      <w:r w:rsidRPr="00BC51CD">
        <w:rPr>
          <w:szCs w:val="22"/>
        </w:rPr>
        <w:t>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Notice, we seek comment on the Petitions</w:t>
      </w:r>
      <w:r w:rsidRPr="00BC51CD">
        <w:rPr>
          <w:szCs w:val="22"/>
        </w:rPr>
        <w:t xml:space="preserve"> </w:t>
      </w:r>
      <w:r>
        <w:rPr>
          <w:szCs w:val="22"/>
        </w:rPr>
        <w:t xml:space="preserve">as </w:t>
      </w:r>
      <w:r w:rsidRPr="00BC51CD">
        <w:rPr>
          <w:szCs w:val="22"/>
        </w:rPr>
        <w:t xml:space="preserve">described below.  </w:t>
      </w:r>
    </w:p>
    <w:p w:rsidR="007075AA" w:rsidRDefault="007075AA" w:rsidP="007075AA">
      <w:pPr>
        <w:spacing w:before="120" w:after="240"/>
        <w:ind w:firstLine="720"/>
        <w:rPr>
          <w:szCs w:val="22"/>
        </w:rPr>
      </w:pPr>
      <w:r>
        <w:rPr>
          <w:szCs w:val="22"/>
        </w:rPr>
        <w:t>Specifically, the Petitioners seek retroactive waivers of the opt-out notice requirement for fax ads they sent where prior express invitation or permission allegedly had been obtained from the recipient.</w:t>
      </w:r>
      <w:r>
        <w:rPr>
          <w:rStyle w:val="FootnoteReference"/>
          <w:szCs w:val="22"/>
        </w:rPr>
        <w:footnoteReference w:id="3"/>
      </w:r>
      <w:r>
        <w:rPr>
          <w:szCs w:val="22"/>
        </w:rPr>
        <w:t xml:space="preserve">  The Petitioners argue that good cause exists because they are similarly situated to parties who were </w:t>
      </w:r>
      <w:r>
        <w:rPr>
          <w:szCs w:val="22"/>
        </w:rPr>
        <w:lastRenderedPageBreak/>
        <w:t xml:space="preserve">granted retroactive waivers from this requirement by the Commission in the </w:t>
      </w:r>
      <w:r w:rsidRPr="00877275">
        <w:rPr>
          <w:i/>
          <w:szCs w:val="22"/>
        </w:rPr>
        <w:t>Anda Order</w:t>
      </w:r>
      <w:r>
        <w:rPr>
          <w:szCs w:val="22"/>
        </w:rPr>
        <w:t>.</w:t>
      </w:r>
      <w:r>
        <w:rPr>
          <w:rStyle w:val="FootnoteReference"/>
          <w:szCs w:val="22"/>
        </w:rPr>
        <w:footnoteReference w:id="4"/>
      </w:r>
      <w:r>
        <w:rPr>
          <w:szCs w:val="22"/>
        </w:rPr>
        <w:t xml:space="preserve">  In the </w:t>
      </w:r>
      <w:r w:rsidRPr="00877275">
        <w:rPr>
          <w:i/>
          <w:szCs w:val="22"/>
        </w:rPr>
        <w:t>Anda Order</w:t>
      </w:r>
      <w:r w:rsidRPr="00F551BD">
        <w:rPr>
          <w:szCs w:val="22"/>
        </w:rPr>
        <w:t>, the 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e applied to “solicited” faxes.</w:t>
      </w:r>
      <w:r>
        <w:rPr>
          <w:rStyle w:val="FootnoteReference"/>
          <w:szCs w:val="22"/>
        </w:rPr>
        <w:footnoteReference w:id="5"/>
      </w:r>
    </w:p>
    <w:p w:rsidR="007075AA" w:rsidRPr="008D3C08" w:rsidRDefault="007075AA" w:rsidP="007075AA">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6"/>
      </w:r>
      <w:r>
        <w:rPr>
          <w:szCs w:val="22"/>
        </w:rPr>
        <w:t xml:space="preserve">  The Commission noted, however, that other, similarly situated parties may also seek waivers.  We therefore seek comment on the Petitioners’ requests for waiver consistent with the guidance set forth in the </w:t>
      </w:r>
      <w:r>
        <w:rPr>
          <w:i/>
          <w:szCs w:val="22"/>
        </w:rPr>
        <w:t>Anda Order</w:t>
      </w:r>
      <w:r>
        <w:rPr>
          <w:szCs w:val="22"/>
        </w:rPr>
        <w:t xml:space="preserve">. </w:t>
      </w:r>
    </w:p>
    <w:p w:rsidR="007075AA" w:rsidRPr="001E68FC" w:rsidRDefault="007075AA" w:rsidP="007075AA">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7075AA" w:rsidRPr="001E68FC" w:rsidRDefault="007075AA" w:rsidP="007075AA">
      <w:pPr>
        <w:autoSpaceDE w:val="0"/>
        <w:autoSpaceDN w:val="0"/>
        <w:adjustRightInd w:val="0"/>
        <w:ind w:firstLine="720"/>
        <w:rPr>
          <w:szCs w:val="22"/>
        </w:rPr>
      </w:pPr>
    </w:p>
    <w:p w:rsidR="007075AA" w:rsidRPr="001E68FC" w:rsidRDefault="007075AA" w:rsidP="007075AA">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7075AA" w:rsidRPr="001E68FC" w:rsidRDefault="007075AA" w:rsidP="007075AA">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7075AA" w:rsidRPr="001E68FC" w:rsidRDefault="007075AA" w:rsidP="007075AA">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075AA" w:rsidRPr="001E68FC" w:rsidRDefault="007075AA" w:rsidP="007075AA">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7075AA" w:rsidRPr="001E68FC" w:rsidRDefault="007075AA" w:rsidP="007075AA">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7075AA" w:rsidRPr="001E68FC" w:rsidRDefault="007075AA" w:rsidP="007075AA">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7075AA" w:rsidRPr="001E68FC" w:rsidRDefault="007075AA" w:rsidP="007075AA">
      <w:pPr>
        <w:autoSpaceDE w:val="0"/>
        <w:autoSpaceDN w:val="0"/>
        <w:adjustRightInd w:val="0"/>
        <w:rPr>
          <w:szCs w:val="22"/>
        </w:rPr>
      </w:pPr>
    </w:p>
    <w:p w:rsidR="007075AA" w:rsidRPr="001E68FC" w:rsidRDefault="007075AA" w:rsidP="007075AA">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7075AA" w:rsidRPr="001E68FC" w:rsidRDefault="007075AA" w:rsidP="007075AA">
      <w:pPr>
        <w:autoSpaceDE w:val="0"/>
        <w:autoSpaceDN w:val="0"/>
        <w:adjustRightInd w:val="0"/>
        <w:ind w:firstLine="720"/>
        <w:rPr>
          <w:szCs w:val="22"/>
        </w:rPr>
      </w:pPr>
    </w:p>
    <w:p w:rsidR="007075AA" w:rsidRPr="001E68FC" w:rsidRDefault="007075AA" w:rsidP="007075AA">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w:t>
      </w:r>
      <w:r w:rsidRPr="001E68FC">
        <w:lastRenderedPageBreak/>
        <w:t xml:space="preserve">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7075AA" w:rsidRPr="001E68FC" w:rsidRDefault="007075AA" w:rsidP="007075AA">
      <w:pPr>
        <w:autoSpaceDE w:val="0"/>
        <w:autoSpaceDN w:val="0"/>
        <w:adjustRightInd w:val="0"/>
        <w:rPr>
          <w:szCs w:val="22"/>
        </w:rPr>
      </w:pPr>
    </w:p>
    <w:p w:rsidR="007075AA" w:rsidRDefault="007075AA" w:rsidP="007075AA">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hyperlink r:id="rId15" w:history="1">
        <w:r w:rsidRPr="00353E7E">
          <w:rPr>
            <w:rStyle w:val="Hyperlink"/>
            <w:szCs w:val="22"/>
          </w:rPr>
          <w:t>Rebecca.Hirselj@fcc.gov</w:t>
        </w:r>
      </w:hyperlink>
      <w:r w:rsidRPr="001E68FC">
        <w:rPr>
          <w:szCs w:val="22"/>
        </w:rPr>
        <w:t>.</w:t>
      </w:r>
    </w:p>
    <w:p w:rsidR="007075AA" w:rsidRPr="001E68FC" w:rsidRDefault="007075AA" w:rsidP="007075AA">
      <w:pPr>
        <w:rPr>
          <w:szCs w:val="22"/>
        </w:rPr>
      </w:pPr>
    </w:p>
    <w:p w:rsidR="007075AA" w:rsidRPr="00801FF6" w:rsidRDefault="007075AA" w:rsidP="007075AA">
      <w:pPr>
        <w:jc w:val="center"/>
        <w:rPr>
          <w:b/>
          <w:sz w:val="24"/>
          <w:szCs w:val="24"/>
        </w:rPr>
      </w:pPr>
      <w:r w:rsidRPr="001E68FC">
        <w:rPr>
          <w:b/>
          <w:sz w:val="24"/>
          <w:szCs w:val="24"/>
        </w:rPr>
        <w:t>-FCC-</w:t>
      </w:r>
    </w:p>
    <w:p w:rsidR="007075AA" w:rsidRDefault="007075AA" w:rsidP="007075AA">
      <w:pPr>
        <w:spacing w:before="120"/>
        <w:rPr>
          <w:sz w:val="24"/>
        </w:rPr>
      </w:pPr>
    </w:p>
    <w:p w:rsidR="00602577" w:rsidRDefault="00602577" w:rsidP="007075AA">
      <w:pPr>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AA" w:rsidRDefault="007075AA">
      <w:r>
        <w:separator/>
      </w:r>
    </w:p>
  </w:endnote>
  <w:endnote w:type="continuationSeparator" w:id="0">
    <w:p w:rsidR="007075AA" w:rsidRDefault="0070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8D" w:rsidRDefault="00B4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8D" w:rsidRDefault="00B408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8D" w:rsidRDefault="00B4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AA" w:rsidRDefault="007075AA">
      <w:r>
        <w:separator/>
      </w:r>
    </w:p>
  </w:footnote>
  <w:footnote w:type="continuationSeparator" w:id="0">
    <w:p w:rsidR="007075AA" w:rsidRDefault="007075AA">
      <w:r>
        <w:continuationSeparator/>
      </w:r>
    </w:p>
  </w:footnote>
  <w:footnote w:id="1">
    <w:p w:rsidR="007075AA" w:rsidRPr="007512B4" w:rsidRDefault="007075AA" w:rsidP="007075AA">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 xml:space="preserve">47 </w:t>
      </w:r>
      <w:r w:rsidR="00EF70AB">
        <w:rPr>
          <w:sz w:val="20"/>
        </w:rPr>
        <w:t>CFR</w:t>
      </w:r>
      <w:r w:rsidRPr="007512B4">
        <w:rPr>
          <w:sz w:val="20"/>
        </w:rPr>
        <w:t xml:space="preserve"> § 64.1200(a)(4)</w:t>
      </w:r>
      <w:r>
        <w:rPr>
          <w:sz w:val="20"/>
        </w:rPr>
        <w:t>(iii)-</w:t>
      </w:r>
      <w:r w:rsidRPr="007512B4">
        <w:rPr>
          <w:sz w:val="20"/>
        </w:rPr>
        <w:t>(iv).</w:t>
      </w:r>
    </w:p>
  </w:footnote>
  <w:footnote w:id="2">
    <w:p w:rsidR="007075AA" w:rsidRPr="00C212E7" w:rsidRDefault="007075AA" w:rsidP="007075AA">
      <w:pPr>
        <w:rPr>
          <w:i/>
          <w:sz w:val="20"/>
        </w:rPr>
      </w:pPr>
      <w:r w:rsidRPr="007512B4">
        <w:rPr>
          <w:rStyle w:val="FootnoteReference"/>
          <w:sz w:val="20"/>
        </w:rPr>
        <w:footnoteRef/>
      </w:r>
      <w:r w:rsidRPr="007512B4">
        <w:rPr>
          <w:sz w:val="20"/>
        </w:rPr>
        <w:t xml:space="preserve"> </w:t>
      </w:r>
      <w:r w:rsidRPr="007512B4">
        <w:rPr>
          <w:i/>
          <w:sz w:val="20"/>
        </w:rPr>
        <w:t xml:space="preserve">See </w:t>
      </w:r>
      <w:r>
        <w:rPr>
          <w:i/>
          <w:sz w:val="20"/>
        </w:rPr>
        <w:t xml:space="preserve">Petition of </w:t>
      </w:r>
      <w:r w:rsidR="00C212E7">
        <w:rPr>
          <w:i/>
          <w:sz w:val="20"/>
        </w:rPr>
        <w:t>Roche Diagnostics Corporation &amp; Roche Diabetes Care, Inc.</w:t>
      </w:r>
      <w:r>
        <w:rPr>
          <w:i/>
          <w:sz w:val="20"/>
        </w:rPr>
        <w:t xml:space="preserve"> for Waiver</w:t>
      </w:r>
      <w:r w:rsidR="00EF70AB">
        <w:rPr>
          <w:i/>
          <w:sz w:val="20"/>
        </w:rPr>
        <w:t xml:space="preserve"> of 47 </w:t>
      </w:r>
      <w:r w:rsidR="00C212E7">
        <w:rPr>
          <w:i/>
          <w:sz w:val="20"/>
        </w:rPr>
        <w:t>Section</w:t>
      </w:r>
      <w:r w:rsidR="007E1DDF">
        <w:rPr>
          <w:i/>
          <w:sz w:val="20"/>
        </w:rPr>
        <w:t xml:space="preserve"> 64.1200(a)(4)(iv)</w:t>
      </w:r>
      <w:r w:rsidR="00C212E7">
        <w:rPr>
          <w:i/>
          <w:sz w:val="20"/>
        </w:rPr>
        <w:t xml:space="preserve"> of the Commission’s Rules</w:t>
      </w:r>
      <w:r>
        <w:rPr>
          <w:sz w:val="20"/>
        </w:rPr>
        <w:t xml:space="preserve">, CG Docket Nos. 02-278, 05-338 (filed </w:t>
      </w:r>
      <w:r w:rsidR="00C212E7">
        <w:rPr>
          <w:sz w:val="20"/>
        </w:rPr>
        <w:t>June 2</w:t>
      </w:r>
      <w:r>
        <w:rPr>
          <w:sz w:val="20"/>
        </w:rPr>
        <w:t xml:space="preserve">, </w:t>
      </w:r>
      <w:r w:rsidR="00351992">
        <w:rPr>
          <w:sz w:val="20"/>
        </w:rPr>
        <w:t>2016</w:t>
      </w:r>
      <w:r>
        <w:rPr>
          <w:sz w:val="20"/>
        </w:rPr>
        <w:t>) (</w:t>
      </w:r>
      <w:r w:rsidR="00C212E7">
        <w:rPr>
          <w:sz w:val="20"/>
        </w:rPr>
        <w:t>Roche</w:t>
      </w:r>
      <w:r w:rsidR="00351992">
        <w:rPr>
          <w:sz w:val="20"/>
        </w:rPr>
        <w:t xml:space="preserve"> </w:t>
      </w:r>
      <w:r>
        <w:rPr>
          <w:sz w:val="20"/>
        </w:rPr>
        <w:t xml:space="preserve">Petition); </w:t>
      </w:r>
      <w:r w:rsidRPr="00825DBB">
        <w:rPr>
          <w:i/>
          <w:sz w:val="20"/>
        </w:rPr>
        <w:t xml:space="preserve">Petition of </w:t>
      </w:r>
      <w:r w:rsidR="00C212E7">
        <w:rPr>
          <w:i/>
          <w:sz w:val="20"/>
        </w:rPr>
        <w:t>Amatheon, Inc.</w:t>
      </w:r>
      <w:r>
        <w:rPr>
          <w:i/>
          <w:sz w:val="20"/>
        </w:rPr>
        <w:t xml:space="preserve"> </w:t>
      </w:r>
      <w:r w:rsidRPr="00825DBB">
        <w:rPr>
          <w:i/>
          <w:sz w:val="20"/>
        </w:rPr>
        <w:t>for</w:t>
      </w:r>
      <w:r w:rsidR="008C48CC">
        <w:rPr>
          <w:i/>
          <w:sz w:val="20"/>
        </w:rPr>
        <w:t xml:space="preserve"> </w:t>
      </w:r>
      <w:r>
        <w:rPr>
          <w:i/>
          <w:sz w:val="20"/>
        </w:rPr>
        <w:t>Waiver</w:t>
      </w:r>
      <w:r>
        <w:rPr>
          <w:sz w:val="20"/>
        </w:rPr>
        <w:t>, CG Docket Nos. 02-278, 05</w:t>
      </w:r>
      <w:r w:rsidR="00206FD2">
        <w:rPr>
          <w:sz w:val="20"/>
        </w:rPr>
        <w:t xml:space="preserve">-338 (filed </w:t>
      </w:r>
      <w:r w:rsidR="00C212E7">
        <w:rPr>
          <w:sz w:val="20"/>
        </w:rPr>
        <w:t>June 3</w:t>
      </w:r>
      <w:r w:rsidR="00206FD2">
        <w:rPr>
          <w:sz w:val="20"/>
        </w:rPr>
        <w:t xml:space="preserve">, </w:t>
      </w:r>
      <w:r w:rsidR="00351992">
        <w:rPr>
          <w:sz w:val="20"/>
        </w:rPr>
        <w:t>2016</w:t>
      </w:r>
      <w:r w:rsidR="00206FD2">
        <w:rPr>
          <w:sz w:val="20"/>
        </w:rPr>
        <w:t>) (</w:t>
      </w:r>
      <w:r w:rsidR="00C212E7">
        <w:rPr>
          <w:sz w:val="20"/>
        </w:rPr>
        <w:t>Amatheon</w:t>
      </w:r>
      <w:r w:rsidR="00351992">
        <w:rPr>
          <w:sz w:val="20"/>
        </w:rPr>
        <w:t xml:space="preserve"> </w:t>
      </w:r>
      <w:r>
        <w:rPr>
          <w:sz w:val="20"/>
        </w:rPr>
        <w:t>Petition</w:t>
      </w:r>
      <w:r w:rsidR="00C212E7">
        <w:rPr>
          <w:sz w:val="20"/>
        </w:rPr>
        <w:t>)</w:t>
      </w:r>
      <w:r w:rsidR="003B3ADF">
        <w:rPr>
          <w:sz w:val="20"/>
        </w:rPr>
        <w:t xml:space="preserve">; </w:t>
      </w:r>
      <w:r w:rsidR="003B3ADF" w:rsidRPr="003B3ADF">
        <w:rPr>
          <w:i/>
          <w:sz w:val="20"/>
        </w:rPr>
        <w:t>Petition of HomeoPet, LLC for Retroactive Waiver of 47 C.F.R. § 64.1200(a)(4)(iv)</w:t>
      </w:r>
      <w:r w:rsidR="003B3ADF">
        <w:rPr>
          <w:sz w:val="20"/>
        </w:rPr>
        <w:t>, CG Docket Nos. 02-278, 05-338 (filed June 13, 2016) (HomeoPet Petition); Petition of Synchrony Bank d/b/a CareCredit &amp; Synchrony Financial for Retroactive Waiver of 47 C.F.R. § 64.1200(a)(4)(iv) (Synchrony Petition)</w:t>
      </w:r>
      <w:r w:rsidR="00C34660">
        <w:rPr>
          <w:sz w:val="20"/>
        </w:rPr>
        <w:t xml:space="preserve">; </w:t>
      </w:r>
      <w:r w:rsidR="00C34660" w:rsidRPr="00C34660">
        <w:rPr>
          <w:i/>
          <w:sz w:val="20"/>
        </w:rPr>
        <w:t>Petition of Cochran Wholesale Pharmaceuticals, Inc. for Retroactive Waiver</w:t>
      </w:r>
      <w:r w:rsidR="00C34660">
        <w:rPr>
          <w:sz w:val="20"/>
        </w:rPr>
        <w:t>, CG Docket Nos. 02-278, 05-338 (filed June 14, 2016) (Cochran Petition)</w:t>
      </w:r>
      <w:r>
        <w:rPr>
          <w:sz w:val="20"/>
        </w:rPr>
        <w:t xml:space="preserve"> </w:t>
      </w:r>
      <w:r w:rsidRPr="007512B4">
        <w:rPr>
          <w:sz w:val="20"/>
        </w:rPr>
        <w:t>(collectively Petitioners).</w:t>
      </w:r>
    </w:p>
    <w:p w:rsidR="007075AA" w:rsidRPr="007512B4" w:rsidRDefault="007075AA" w:rsidP="007075AA">
      <w:pPr>
        <w:rPr>
          <w:sz w:val="20"/>
        </w:rPr>
      </w:pPr>
    </w:p>
  </w:footnote>
  <w:footnote w:id="3">
    <w:p w:rsidR="007075AA" w:rsidRPr="00FF77E1" w:rsidRDefault="007075AA" w:rsidP="007075AA">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sidR="00C212E7">
        <w:rPr>
          <w:sz w:val="20"/>
        </w:rPr>
        <w:t>Roche</w:t>
      </w:r>
      <w:r w:rsidR="00351992">
        <w:rPr>
          <w:sz w:val="20"/>
        </w:rPr>
        <w:t xml:space="preserve"> </w:t>
      </w:r>
      <w:r>
        <w:rPr>
          <w:sz w:val="20"/>
        </w:rPr>
        <w:t xml:space="preserve">Petition at </w:t>
      </w:r>
      <w:r w:rsidR="00C212E7">
        <w:rPr>
          <w:sz w:val="20"/>
        </w:rPr>
        <w:t>1</w:t>
      </w:r>
      <w:r>
        <w:rPr>
          <w:sz w:val="20"/>
        </w:rPr>
        <w:t xml:space="preserve">; </w:t>
      </w:r>
      <w:r w:rsidR="00C212E7">
        <w:rPr>
          <w:sz w:val="20"/>
        </w:rPr>
        <w:t>Amatheon</w:t>
      </w:r>
      <w:r w:rsidR="00351992">
        <w:rPr>
          <w:sz w:val="20"/>
        </w:rPr>
        <w:t xml:space="preserve"> </w:t>
      </w:r>
      <w:r w:rsidR="008C48CC">
        <w:rPr>
          <w:sz w:val="20"/>
        </w:rPr>
        <w:t>Petition</w:t>
      </w:r>
      <w:r>
        <w:rPr>
          <w:sz w:val="20"/>
        </w:rPr>
        <w:t xml:space="preserve"> at </w:t>
      </w:r>
      <w:r w:rsidR="004E5B14">
        <w:rPr>
          <w:sz w:val="20"/>
        </w:rPr>
        <w:t>1</w:t>
      </w:r>
      <w:r w:rsidR="00C212E7">
        <w:rPr>
          <w:sz w:val="20"/>
        </w:rPr>
        <w:t>, 4</w:t>
      </w:r>
      <w:r w:rsidR="003B3ADF">
        <w:rPr>
          <w:sz w:val="20"/>
        </w:rPr>
        <w:t xml:space="preserve">; HomeoPet Petition at 1; Synchrony Petition at </w:t>
      </w:r>
      <w:r w:rsidR="00063B8C">
        <w:rPr>
          <w:sz w:val="20"/>
        </w:rPr>
        <w:t>1</w:t>
      </w:r>
      <w:r w:rsidR="00C34660">
        <w:rPr>
          <w:sz w:val="20"/>
        </w:rPr>
        <w:t>; Cochran Petition at 4</w:t>
      </w:r>
      <w:r>
        <w:rPr>
          <w:sz w:val="20"/>
        </w:rPr>
        <w:t>.</w:t>
      </w:r>
    </w:p>
  </w:footnote>
  <w:footnote w:id="4">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 xml:space="preserve">See, e.g., </w:t>
      </w:r>
      <w:r w:rsidR="00C212E7">
        <w:rPr>
          <w:sz w:val="20"/>
        </w:rPr>
        <w:t>Roche</w:t>
      </w:r>
      <w:r w:rsidR="00351992">
        <w:rPr>
          <w:sz w:val="20"/>
        </w:rPr>
        <w:t xml:space="preserve"> </w:t>
      </w:r>
      <w:r>
        <w:rPr>
          <w:sz w:val="20"/>
        </w:rPr>
        <w:t xml:space="preserve">Petition at </w:t>
      </w:r>
      <w:r w:rsidR="00C212E7">
        <w:rPr>
          <w:sz w:val="20"/>
        </w:rPr>
        <w:t>4</w:t>
      </w:r>
      <w:r w:rsidR="008C48CC">
        <w:rPr>
          <w:sz w:val="20"/>
        </w:rPr>
        <w:t xml:space="preserve">; </w:t>
      </w:r>
      <w:r w:rsidR="00C212E7">
        <w:rPr>
          <w:sz w:val="20"/>
        </w:rPr>
        <w:t>Amatheon</w:t>
      </w:r>
      <w:r w:rsidR="00351992">
        <w:rPr>
          <w:sz w:val="20"/>
        </w:rPr>
        <w:t xml:space="preserve"> </w:t>
      </w:r>
      <w:r>
        <w:rPr>
          <w:sz w:val="20"/>
        </w:rPr>
        <w:t xml:space="preserve">Petition at </w:t>
      </w:r>
      <w:r w:rsidR="00B15A9F">
        <w:rPr>
          <w:sz w:val="20"/>
        </w:rPr>
        <w:t>3</w:t>
      </w:r>
      <w:r w:rsidR="003B3ADF">
        <w:rPr>
          <w:sz w:val="20"/>
        </w:rPr>
        <w:t xml:space="preserve">; HomeoPet Petition at 1; Synchrony Petition at </w:t>
      </w:r>
      <w:r w:rsidR="00063B8C">
        <w:rPr>
          <w:sz w:val="20"/>
        </w:rPr>
        <w:t>3</w:t>
      </w:r>
      <w:r>
        <w:rPr>
          <w:sz w:val="20"/>
        </w:rPr>
        <w:t>;</w:t>
      </w:r>
      <w:r w:rsidR="00C34660">
        <w:rPr>
          <w:sz w:val="20"/>
        </w:rPr>
        <w:t xml:space="preserve"> Cochran Petition at </w:t>
      </w:r>
      <w:r w:rsidR="0079084F">
        <w:rPr>
          <w:sz w:val="20"/>
        </w:rPr>
        <w:t>4</w:t>
      </w:r>
      <w:r w:rsidR="00C34660">
        <w:rPr>
          <w:sz w:val="20"/>
        </w:rPr>
        <w:t>;</w:t>
      </w:r>
      <w:r>
        <w:rPr>
          <w:sz w:val="20"/>
        </w:rPr>
        <w:t xml:space="preserve"> </w:t>
      </w:r>
      <w:r w:rsidRPr="001A1944">
        <w:rPr>
          <w:i/>
          <w:sz w:val="20"/>
        </w:rPr>
        <w:t>Petition</w:t>
      </w:r>
      <w:r w:rsidR="00EF70AB">
        <w:rPr>
          <w:i/>
          <w:sz w:val="20"/>
        </w:rPr>
        <w:t>s</w:t>
      </w:r>
      <w:r w:rsidRPr="001A1944">
        <w:rPr>
          <w:i/>
          <w:sz w:val="20"/>
        </w:rPr>
        <w:t xml:space="preserve"> for Declaratory Ruling, Waiver, and/or Rulemaking Regarding the Commission’s Opt-Out Requirement for Faxes Sent with the Recipient’s Prior Express Permission</w:t>
      </w:r>
      <w:r w:rsidRPr="001A1944">
        <w:rPr>
          <w:sz w:val="20"/>
        </w:rPr>
        <w:t xml:space="preserve">, CG Docket Nos. 02-278, 05-338, </w:t>
      </w:r>
      <w:r>
        <w:rPr>
          <w:sz w:val="20"/>
        </w:rPr>
        <w:t>29 FCC Rcd 13998,</w:t>
      </w:r>
      <w:r w:rsidR="00C212E7">
        <w:rPr>
          <w:sz w:val="20"/>
        </w:rPr>
        <w:t xml:space="preserve"> </w:t>
      </w:r>
      <w:r>
        <w:rPr>
          <w:sz w:val="20"/>
        </w:rPr>
        <w:t xml:space="preserve">14008-12, </w:t>
      </w:r>
      <w:r w:rsidRPr="007512B4">
        <w:rPr>
          <w:sz w:val="20"/>
        </w:rPr>
        <w:t>paras. 2</w:t>
      </w:r>
      <w:r>
        <w:rPr>
          <w:sz w:val="20"/>
        </w:rPr>
        <w:t>2-31</w:t>
      </w:r>
      <w:r w:rsidRPr="001A1944">
        <w:rPr>
          <w:sz w:val="20"/>
        </w:rPr>
        <w:t xml:space="preserve"> (2014) (</w:t>
      </w:r>
      <w:r w:rsidRPr="001A1944">
        <w:rPr>
          <w:i/>
          <w:sz w:val="20"/>
        </w:rPr>
        <w:t>Anda Order</w:t>
      </w:r>
      <w:r w:rsidRPr="001A1944">
        <w:rPr>
          <w:sz w:val="20"/>
        </w:rPr>
        <w:t>)</w:t>
      </w:r>
      <w:r w:rsidRPr="007512B4">
        <w:rPr>
          <w:sz w:val="20"/>
        </w:rPr>
        <w:t>.</w:t>
      </w:r>
    </w:p>
  </w:footnote>
  <w:footnote w:id="5">
    <w:p w:rsidR="007075AA" w:rsidRPr="00EF45EA" w:rsidRDefault="007075AA" w:rsidP="007075AA">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29 FCC Rcd at 14008-12, paras. 22-30.</w:t>
      </w:r>
    </w:p>
  </w:footnote>
  <w:footnote w:id="6">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14008, para. 22</w:t>
      </w:r>
      <w:r w:rsidRPr="007512B4">
        <w:rPr>
          <w:sz w:val="20"/>
        </w:rPr>
        <w:t>.</w:t>
      </w:r>
    </w:p>
  </w:footnote>
  <w:footnote w:id="7">
    <w:p w:rsidR="007075AA" w:rsidRPr="007512B4" w:rsidRDefault="007075AA" w:rsidP="007075AA">
      <w:pPr>
        <w:pStyle w:val="FootnoteText"/>
        <w:rPr>
          <w:iCs/>
          <w:sz w:val="20"/>
        </w:rPr>
      </w:pPr>
      <w:r w:rsidRPr="007512B4">
        <w:rPr>
          <w:rStyle w:val="FootnoteReference"/>
          <w:sz w:val="20"/>
        </w:rPr>
        <w:footnoteRef/>
      </w:r>
      <w:r w:rsidRPr="007512B4">
        <w:rPr>
          <w:sz w:val="20"/>
        </w:rPr>
        <w:t xml:space="preserve"> 47 </w:t>
      </w:r>
      <w:r w:rsidR="00EF70AB">
        <w:rPr>
          <w:sz w:val="20"/>
        </w:rPr>
        <w:t>CFR</w:t>
      </w:r>
      <w:r w:rsidRPr="007512B4">
        <w:rPr>
          <w:sz w:val="20"/>
        </w:rPr>
        <w:t xml:space="preserve">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8D" w:rsidRDefault="00B40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8D" w:rsidRDefault="00B40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D0B1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D0B1E">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5AA"/>
    <w:rsid w:val="000265AE"/>
    <w:rsid w:val="00063B8C"/>
    <w:rsid w:val="00206FD2"/>
    <w:rsid w:val="002C1962"/>
    <w:rsid w:val="002D00E9"/>
    <w:rsid w:val="00351992"/>
    <w:rsid w:val="003B3ADF"/>
    <w:rsid w:val="0046021F"/>
    <w:rsid w:val="004E5B14"/>
    <w:rsid w:val="005F1D60"/>
    <w:rsid w:val="00602577"/>
    <w:rsid w:val="00631B40"/>
    <w:rsid w:val="007075AA"/>
    <w:rsid w:val="0079084F"/>
    <w:rsid w:val="007E1DDF"/>
    <w:rsid w:val="00800D49"/>
    <w:rsid w:val="008C48CC"/>
    <w:rsid w:val="009F223E"/>
    <w:rsid w:val="00A64552"/>
    <w:rsid w:val="00B15A9F"/>
    <w:rsid w:val="00B4088D"/>
    <w:rsid w:val="00BD0B1E"/>
    <w:rsid w:val="00BE03DA"/>
    <w:rsid w:val="00C212E7"/>
    <w:rsid w:val="00C34660"/>
    <w:rsid w:val="00C66AC8"/>
    <w:rsid w:val="00D17DC0"/>
    <w:rsid w:val="00D60EFF"/>
    <w:rsid w:val="00DA1594"/>
    <w:rsid w:val="00EE485E"/>
    <w:rsid w:val="00EF458C"/>
    <w:rsid w:val="00EF70AB"/>
    <w:rsid w:val="00F3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A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7075AA"/>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7075A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798</Words>
  <Characters>4551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2016-06-30T19:44:00Z</dcterms:created>
  <dcterms:modified xsi:type="dcterms:W3CDTF">2016-06-30T19:44:00Z</dcterms:modified>
  <cp:category> </cp:category>
  <cp:contentStatus> </cp:contentStatus>
</cp:coreProperties>
</file>