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83150B" w:rsidRPr="0083150B" w:rsidRDefault="0083150B" w:rsidP="0083150B">
            <w:pPr>
              <w:tabs>
                <w:tab w:val="center" w:pos="4680"/>
              </w:tabs>
              <w:suppressAutoHyphens/>
              <w:rPr>
                <w:spacing w:val="-2"/>
              </w:rPr>
            </w:pPr>
            <w:r w:rsidRPr="0083150B">
              <w:rPr>
                <w:spacing w:val="-2"/>
              </w:rPr>
              <w:t>WYDC, Inc.</w:t>
            </w:r>
          </w:p>
          <w:p w:rsidR="0083150B" w:rsidRPr="0083150B" w:rsidRDefault="0083150B" w:rsidP="0083150B">
            <w:pPr>
              <w:tabs>
                <w:tab w:val="center" w:pos="4680"/>
              </w:tabs>
              <w:suppressAutoHyphens/>
              <w:rPr>
                <w:spacing w:val="-2"/>
              </w:rPr>
            </w:pPr>
            <w:r w:rsidRPr="0083150B">
              <w:rPr>
                <w:spacing w:val="-2"/>
              </w:rPr>
              <w:t>Licensee of Station WYDC(TV)</w:t>
            </w:r>
          </w:p>
          <w:p w:rsidR="004C2EE3" w:rsidRPr="007115F7" w:rsidRDefault="0083150B" w:rsidP="0083150B">
            <w:pPr>
              <w:tabs>
                <w:tab w:val="center" w:pos="4680"/>
              </w:tabs>
              <w:suppressAutoHyphens/>
              <w:rPr>
                <w:spacing w:val="-2"/>
              </w:rPr>
            </w:pPr>
            <w:r w:rsidRPr="0083150B">
              <w:rPr>
                <w:spacing w:val="-2"/>
              </w:rPr>
              <w:t>Corning, New York</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83150B"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83150B" w:rsidRPr="0083150B" w:rsidRDefault="0083150B" w:rsidP="0083150B">
            <w:pPr>
              <w:pStyle w:val="TOAHeading"/>
              <w:tabs>
                <w:tab w:val="center" w:pos="4680"/>
              </w:tabs>
              <w:rPr>
                <w:spacing w:val="-2"/>
              </w:rPr>
            </w:pPr>
            <w:r w:rsidRPr="0083150B">
              <w:rPr>
                <w:spacing w:val="-2"/>
              </w:rPr>
              <w:t>Facility ID No. 62219</w:t>
            </w:r>
          </w:p>
          <w:p w:rsidR="0083150B" w:rsidRPr="0083150B" w:rsidRDefault="0083150B" w:rsidP="0083150B">
            <w:pPr>
              <w:pStyle w:val="TOAHeading"/>
              <w:tabs>
                <w:tab w:val="center" w:pos="4680"/>
              </w:tabs>
              <w:rPr>
                <w:spacing w:val="-2"/>
              </w:rPr>
            </w:pPr>
            <w:r w:rsidRPr="0083150B">
              <w:rPr>
                <w:spacing w:val="-2"/>
              </w:rPr>
              <w:t xml:space="preserve">NAL/Acct. No.:   201641420011 </w:t>
            </w:r>
          </w:p>
          <w:p w:rsidR="004C2EE3" w:rsidRDefault="0083150B" w:rsidP="0083150B">
            <w:pPr>
              <w:tabs>
                <w:tab w:val="center" w:pos="4680"/>
              </w:tabs>
              <w:suppressAutoHyphens/>
              <w:rPr>
                <w:spacing w:val="-2"/>
              </w:rPr>
            </w:pPr>
            <w:r w:rsidRPr="0083150B">
              <w:rPr>
                <w:spacing w:val="-2"/>
              </w:rPr>
              <w:t>FRN:  0003778511</w:t>
            </w:r>
          </w:p>
        </w:tc>
      </w:tr>
    </w:tbl>
    <w:p w:rsidR="004C2EE3" w:rsidRDefault="004C2EE3" w:rsidP="0070224F"/>
    <w:p w:rsidR="00841AB1" w:rsidRDefault="0083150B"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C147B9">
        <w:rPr>
          <w:b/>
          <w:spacing w:val="-2"/>
        </w:rPr>
        <w:t>July</w:t>
      </w:r>
      <w:r w:rsidR="0083150B">
        <w:rPr>
          <w:b/>
          <w:spacing w:val="-2"/>
        </w:rPr>
        <w:t xml:space="preserve"> </w:t>
      </w:r>
      <w:r w:rsidR="00C147B9">
        <w:rPr>
          <w:b/>
          <w:spacing w:val="-2"/>
        </w:rPr>
        <w:t>7</w:t>
      </w:r>
      <w:r w:rsidR="0083150B">
        <w:rPr>
          <w:b/>
          <w:spacing w:val="-2"/>
        </w:rPr>
        <w:t>, 2016</w:t>
      </w:r>
      <w:r w:rsidR="00C147B9">
        <w:rPr>
          <w:b/>
          <w:spacing w:val="-2"/>
        </w:rPr>
        <w:tab/>
      </w:r>
      <w:r w:rsidR="00822CE0">
        <w:rPr>
          <w:b/>
          <w:spacing w:val="-2"/>
        </w:rPr>
        <w:t>Released</w:t>
      </w:r>
      <w:r>
        <w:rPr>
          <w:b/>
          <w:spacing w:val="-2"/>
        </w:rPr>
        <w:t>:</w:t>
      </w:r>
      <w:r w:rsidR="00822CE0">
        <w:rPr>
          <w:b/>
          <w:spacing w:val="-2"/>
        </w:rPr>
        <w:t xml:space="preserve"> </w:t>
      </w:r>
      <w:r>
        <w:rPr>
          <w:b/>
          <w:spacing w:val="-2"/>
        </w:rPr>
        <w:t xml:space="preserve"> </w:t>
      </w:r>
      <w:r w:rsidR="00C147B9">
        <w:rPr>
          <w:b/>
          <w:spacing w:val="-2"/>
        </w:rPr>
        <w:t>July 7</w:t>
      </w:r>
      <w:r w:rsidR="0083150B">
        <w:rPr>
          <w:b/>
          <w:spacing w:val="-2"/>
        </w:rPr>
        <w:t>, 2016</w:t>
      </w:r>
    </w:p>
    <w:p w:rsidR="00822CE0" w:rsidRDefault="00822CE0"/>
    <w:p w:rsidR="004C2EE3" w:rsidRDefault="004C2EE3">
      <w:pPr>
        <w:rPr>
          <w:spacing w:val="-2"/>
        </w:rPr>
      </w:pPr>
      <w:r>
        <w:t xml:space="preserve">By </w:t>
      </w:r>
      <w:r w:rsidR="004E4A22">
        <w:t>the</w:t>
      </w:r>
      <w:r w:rsidR="002A2D2E">
        <w:t xml:space="preserve"> </w:t>
      </w:r>
      <w:r w:rsidR="0083150B">
        <w:rPr>
          <w:spacing w:val="-2"/>
        </w:rPr>
        <w:t>Video Division, Media Bureau</w:t>
      </w:r>
      <w:r>
        <w:rPr>
          <w:spacing w:val="-2"/>
        </w:rPr>
        <w:t>:</w:t>
      </w:r>
    </w:p>
    <w:p w:rsidR="00822CE0" w:rsidRDefault="00822CE0">
      <w:pPr>
        <w:rPr>
          <w:spacing w:val="-2"/>
        </w:rPr>
      </w:pPr>
    </w:p>
    <w:p w:rsidR="0083150B" w:rsidRDefault="0083150B" w:rsidP="0083150B">
      <w:pPr>
        <w:pStyle w:val="ParaNum"/>
      </w:pPr>
      <w:r>
        <w:t xml:space="preserve">The Video Division issued a </w:t>
      </w:r>
      <w:r w:rsidRPr="005F60A5">
        <w:rPr>
          <w:i/>
        </w:rPr>
        <w:t>Notice of Apparent Liability for Forfeiture</w:t>
      </w:r>
      <w:r>
        <w:t xml:space="preserve"> to WYDC, Inc. (Licensee), the licensee of Station WYDC(TV), Corning, New York (Station)</w:t>
      </w:r>
      <w:r>
        <w:rPr>
          <w:rStyle w:val="FootnoteReference"/>
        </w:rPr>
        <w:footnoteReference w:id="2"/>
      </w:r>
      <w:r>
        <w:t xml:space="preserve"> based on its apparent willful and/or repeated violation</w:t>
      </w:r>
      <w:r w:rsidR="00405BE7">
        <w:t>s</w:t>
      </w:r>
      <w:r>
        <w:t xml:space="preserve"> of Section </w:t>
      </w:r>
      <w:r w:rsidRPr="00BC30DA">
        <w:rPr>
          <w:szCs w:val="22"/>
        </w:rPr>
        <w:t>73.3526(e)(11)(i</w:t>
      </w:r>
      <w:r>
        <w:rPr>
          <w:szCs w:val="22"/>
        </w:rPr>
        <w:t>ii</w:t>
      </w:r>
      <w:r w:rsidRPr="00BC30DA">
        <w:rPr>
          <w:szCs w:val="22"/>
        </w:rPr>
        <w:t xml:space="preserve">) of the </w:t>
      </w:r>
      <w:r>
        <w:rPr>
          <w:szCs w:val="22"/>
        </w:rPr>
        <w:t>Commission’s r</w:t>
      </w:r>
      <w:r w:rsidRPr="00BC30DA">
        <w:rPr>
          <w:szCs w:val="22"/>
        </w:rPr>
        <w:t xml:space="preserve">ules </w:t>
      </w:r>
      <w:r>
        <w:rPr>
          <w:szCs w:val="22"/>
        </w:rPr>
        <w:t>(Rules).</w:t>
      </w:r>
      <w:r>
        <w:rPr>
          <w:rStyle w:val="FootnoteReference"/>
          <w:szCs w:val="22"/>
        </w:rPr>
        <w:footnoteReference w:id="3"/>
      </w:r>
      <w:r>
        <w:rPr>
          <w:szCs w:val="22"/>
        </w:rPr>
        <w:t xml:space="preserve">  </w:t>
      </w:r>
      <w:r>
        <w:t xml:space="preserve">Based upon our review of the Licensee’s Response and the facts and circumstances surrounding it, we hereby rescind the </w:t>
      </w:r>
      <w:r w:rsidRPr="00555F87">
        <w:rPr>
          <w:i/>
        </w:rPr>
        <w:t>NAL</w:t>
      </w:r>
      <w:r>
        <w:t xml:space="preserve"> and cancel the proposed forfeiture.</w:t>
      </w:r>
    </w:p>
    <w:p w:rsidR="0083150B" w:rsidRDefault="0083150B" w:rsidP="0083150B">
      <w:pPr>
        <w:pStyle w:val="ParaNum"/>
        <w:spacing w:after="240"/>
        <w:rPr>
          <w:szCs w:val="22"/>
        </w:rPr>
      </w:pPr>
      <w:r>
        <w:t>Pursuant to s</w:t>
      </w:r>
      <w:r w:rsidRPr="00912E96">
        <w:t>ubsection 73.3526(e)(11)(iii)</w:t>
      </w:r>
      <w:r w:rsidR="005F60A5">
        <w:t xml:space="preserve"> of the Rules</w:t>
      </w:r>
      <w:r w:rsidRPr="00912E96">
        <w:t>, each commercial television licensee is required to prepare and place in its</w:t>
      </w:r>
      <w:r w:rsidR="005F60A5">
        <w:t xml:space="preserve"> local</w:t>
      </w:r>
      <w:r w:rsidRPr="00912E96">
        <w:t xml:space="preserve"> public inspection file a Children’s Television Programming Report (FCC Form 398) for each calendar quarter reflecting, </w:t>
      </w:r>
      <w:r w:rsidRPr="00912E96">
        <w:rPr>
          <w:i/>
        </w:rPr>
        <w:t>inter alia</w:t>
      </w:r>
      <w:r w:rsidRPr="00912E96">
        <w:t>, the efforts that it made during that quarter to serve the educational and i</w:t>
      </w:r>
      <w:r>
        <w:t>nformational needs of children.</w:t>
      </w:r>
      <w:r>
        <w:rPr>
          <w:rStyle w:val="FootnoteReference"/>
        </w:rPr>
        <w:footnoteReference w:id="4"/>
      </w:r>
      <w:r>
        <w:t xml:space="preserve">  L</w:t>
      </w:r>
      <w:r w:rsidRPr="00912E96">
        <w:t xml:space="preserve">icensees </w:t>
      </w:r>
      <w:r>
        <w:t>must</w:t>
      </w:r>
      <w:r w:rsidRPr="00912E96">
        <w:t xml:space="preserve"> file the reports with the Commission</w:t>
      </w:r>
      <w:r>
        <w:t xml:space="preserve"> and </w:t>
      </w:r>
      <w:r w:rsidRPr="00912E96">
        <w:t xml:space="preserve">place them in their public file by the tenth day of </w:t>
      </w:r>
      <w:r>
        <w:t xml:space="preserve">the succeeding calendar quarter.   </w:t>
      </w:r>
      <w:r>
        <w:rPr>
          <w:szCs w:val="22"/>
        </w:rPr>
        <w:t xml:space="preserve">The </w:t>
      </w:r>
      <w:r w:rsidRPr="00C977A8">
        <w:rPr>
          <w:i/>
          <w:szCs w:val="22"/>
        </w:rPr>
        <w:t>NAL</w:t>
      </w:r>
      <w:r>
        <w:rPr>
          <w:szCs w:val="22"/>
        </w:rPr>
        <w:t xml:space="preserve"> proposed a forfeiture of $3,000 based on the Licensee’s failure</w:t>
      </w:r>
      <w:r w:rsidR="005F60A5">
        <w:rPr>
          <w:szCs w:val="22"/>
        </w:rPr>
        <w:t xml:space="preserve"> to</w:t>
      </w:r>
      <w:r>
        <w:rPr>
          <w:szCs w:val="22"/>
        </w:rPr>
        <w:t xml:space="preserve"> file in a</w:t>
      </w:r>
      <w:r w:rsidRPr="00BC30DA">
        <w:rPr>
          <w:szCs w:val="22"/>
        </w:rPr>
        <w:t xml:space="preserve"> timely manner </w:t>
      </w:r>
      <w:r>
        <w:rPr>
          <w:szCs w:val="22"/>
        </w:rPr>
        <w:t>Children’s Television Programming Reports for a period of three quarters.</w:t>
      </w:r>
      <w:r w:rsidR="00405BE7">
        <w:rPr>
          <w:rStyle w:val="FootnoteReference"/>
          <w:szCs w:val="22"/>
        </w:rPr>
        <w:footnoteReference w:id="5"/>
      </w:r>
    </w:p>
    <w:p w:rsidR="0083150B" w:rsidRPr="007D228B" w:rsidRDefault="0083150B" w:rsidP="0083150B">
      <w:pPr>
        <w:pStyle w:val="ParaNum"/>
        <w:widowControl/>
        <w:spacing w:after="240"/>
        <w:rPr>
          <w:szCs w:val="22"/>
        </w:rPr>
      </w:pPr>
      <w:r w:rsidRPr="00C977A8">
        <w:rPr>
          <w:szCs w:val="22"/>
        </w:rPr>
        <w:t>The Lice</w:t>
      </w:r>
      <w:r>
        <w:rPr>
          <w:szCs w:val="22"/>
        </w:rPr>
        <w:t>nsee filed a timely R</w:t>
      </w:r>
      <w:r w:rsidRPr="00C977A8">
        <w:rPr>
          <w:szCs w:val="22"/>
        </w:rPr>
        <w:t xml:space="preserve">esponse </w:t>
      </w:r>
      <w:r>
        <w:rPr>
          <w:szCs w:val="22"/>
        </w:rPr>
        <w:t>on</w:t>
      </w:r>
      <w:r w:rsidRPr="00C977A8">
        <w:rPr>
          <w:szCs w:val="22"/>
        </w:rPr>
        <w:t xml:space="preserve"> June 8, 201</w:t>
      </w:r>
      <w:r>
        <w:rPr>
          <w:szCs w:val="22"/>
        </w:rPr>
        <w:t>6</w:t>
      </w:r>
      <w:r w:rsidRPr="00C977A8">
        <w:rPr>
          <w:szCs w:val="22"/>
        </w:rPr>
        <w:t>.</w:t>
      </w:r>
      <w:r>
        <w:rPr>
          <w:rStyle w:val="FootnoteReference"/>
          <w:szCs w:val="22"/>
        </w:rPr>
        <w:footnoteReference w:id="6"/>
      </w:r>
      <w:r w:rsidRPr="00C977A8">
        <w:rPr>
          <w:szCs w:val="22"/>
        </w:rPr>
        <w:t xml:space="preserve">  </w:t>
      </w:r>
      <w:r>
        <w:rPr>
          <w:szCs w:val="22"/>
        </w:rPr>
        <w:t xml:space="preserve">The Response </w:t>
      </w:r>
      <w:r w:rsidR="00C43C00">
        <w:rPr>
          <w:szCs w:val="22"/>
        </w:rPr>
        <w:t xml:space="preserve">contends that upon further investigation the </w:t>
      </w:r>
      <w:r>
        <w:rPr>
          <w:szCs w:val="22"/>
        </w:rPr>
        <w:t>reports</w:t>
      </w:r>
      <w:r w:rsidR="00C43C00">
        <w:rPr>
          <w:szCs w:val="22"/>
        </w:rPr>
        <w:t xml:space="preserve"> at issue</w:t>
      </w:r>
      <w:r>
        <w:rPr>
          <w:szCs w:val="22"/>
        </w:rPr>
        <w:t xml:space="preserve"> were filed on-time</w:t>
      </w:r>
      <w:r w:rsidR="00C43C00">
        <w:rPr>
          <w:szCs w:val="22"/>
        </w:rPr>
        <w:t>.  In support</w:t>
      </w:r>
      <w:r w:rsidR="0094347B">
        <w:rPr>
          <w:szCs w:val="22"/>
        </w:rPr>
        <w:t xml:space="preserve"> the Response</w:t>
      </w:r>
      <w:r w:rsidR="00C43C00">
        <w:rPr>
          <w:szCs w:val="22"/>
        </w:rPr>
        <w:t xml:space="preserve"> included a</w:t>
      </w:r>
      <w:r>
        <w:rPr>
          <w:szCs w:val="22"/>
        </w:rPr>
        <w:t xml:space="preserve"> s</w:t>
      </w:r>
      <w:r w:rsidRPr="00C977A8">
        <w:rPr>
          <w:szCs w:val="22"/>
        </w:rPr>
        <w:t>igned declaration under penalty of perjury</w:t>
      </w:r>
      <w:r>
        <w:rPr>
          <w:szCs w:val="22"/>
        </w:rPr>
        <w:t xml:space="preserve"> by the Program Director for the Station, whose job responsibilities include preparing and filing the Station’s Children’s Television Programming Reports, and filing confirmation numbers that are generated upon filing.  This evidence supports the Licensee’s claim that the Children’s Television Programming Reports at issue </w:t>
      </w:r>
      <w:r w:rsidRPr="00C977A8">
        <w:rPr>
          <w:szCs w:val="22"/>
        </w:rPr>
        <w:t xml:space="preserve">were </w:t>
      </w:r>
      <w:r>
        <w:rPr>
          <w:szCs w:val="22"/>
        </w:rPr>
        <w:t>initially timely filed, but inadvertently overwritten and subsequently re-filed by the Licensee.</w:t>
      </w:r>
      <w:r>
        <w:rPr>
          <w:rStyle w:val="FootnoteReference"/>
          <w:szCs w:val="22"/>
        </w:rPr>
        <w:footnoteReference w:id="7"/>
      </w:r>
      <w:r>
        <w:rPr>
          <w:szCs w:val="22"/>
        </w:rPr>
        <w:t xml:space="preserve">  </w:t>
      </w:r>
      <w:r>
        <w:t xml:space="preserve">Based on the information provided </w:t>
      </w:r>
      <w:r>
        <w:lastRenderedPageBreak/>
        <w:t xml:space="preserve">in the Response, we find that the Children’s Television Programming Reports at issue were filed </w:t>
      </w:r>
      <w:r w:rsidR="00B25EF1">
        <w:t>in a timely manner and that rescission</w:t>
      </w:r>
      <w:r>
        <w:t xml:space="preserve"> of the </w:t>
      </w:r>
      <w:r w:rsidRPr="00555F87">
        <w:rPr>
          <w:i/>
        </w:rPr>
        <w:t>NAL</w:t>
      </w:r>
      <w:r>
        <w:t xml:space="preserve"> and cancellation of the proposed forfeiture is appropriate.</w:t>
      </w:r>
      <w:r>
        <w:rPr>
          <w:rStyle w:val="FootnoteReference"/>
        </w:rPr>
        <w:footnoteReference w:id="8"/>
      </w:r>
    </w:p>
    <w:p w:rsidR="0083150B" w:rsidRPr="00555F87" w:rsidRDefault="0083150B" w:rsidP="0083150B">
      <w:pPr>
        <w:pStyle w:val="ParaNum"/>
        <w:rPr>
          <w:szCs w:val="22"/>
        </w:rPr>
      </w:pPr>
      <w:r w:rsidRPr="00555F87">
        <w:rPr>
          <w:szCs w:val="22"/>
        </w:rPr>
        <w:t xml:space="preserve">Accordingly, </w:t>
      </w:r>
      <w:r w:rsidRPr="0090147D">
        <w:rPr>
          <w:b/>
          <w:szCs w:val="22"/>
        </w:rPr>
        <w:t>IT IS ORDERED</w:t>
      </w:r>
      <w:r w:rsidRPr="00555F87">
        <w:rPr>
          <w:szCs w:val="22"/>
        </w:rPr>
        <w:t xml:space="preserve"> that the Notice of Apparent Liability for Forfeiture issued to </w:t>
      </w:r>
      <w:r w:rsidR="005F60A5">
        <w:t xml:space="preserve">WYDC, Inc., </w:t>
      </w:r>
      <w:r w:rsidRPr="00555F87">
        <w:rPr>
          <w:szCs w:val="22"/>
        </w:rPr>
        <w:t xml:space="preserve">is hereby </w:t>
      </w:r>
      <w:r w:rsidRPr="0090147D">
        <w:rPr>
          <w:b/>
          <w:szCs w:val="22"/>
        </w:rPr>
        <w:t>RESCINDED</w:t>
      </w:r>
      <w:r w:rsidRPr="00555F87">
        <w:rPr>
          <w:szCs w:val="22"/>
        </w:rPr>
        <w:t xml:space="preserve"> and the proposed $</w:t>
      </w:r>
      <w:r>
        <w:rPr>
          <w:szCs w:val="22"/>
        </w:rPr>
        <w:t>3</w:t>
      </w:r>
      <w:r w:rsidRPr="00555F87">
        <w:rPr>
          <w:szCs w:val="22"/>
        </w:rPr>
        <w:t xml:space="preserve">,000 forfeiture is </w:t>
      </w:r>
      <w:r w:rsidRPr="0090147D">
        <w:rPr>
          <w:b/>
          <w:szCs w:val="22"/>
        </w:rPr>
        <w:t>CANCELLED</w:t>
      </w:r>
      <w:r w:rsidRPr="00555F87">
        <w:rPr>
          <w:szCs w:val="22"/>
        </w:rPr>
        <w:t xml:space="preserve">.  </w:t>
      </w:r>
    </w:p>
    <w:p w:rsidR="0083150B" w:rsidRPr="00555F87" w:rsidRDefault="0083150B" w:rsidP="0083150B">
      <w:pPr>
        <w:pStyle w:val="ParaNum"/>
      </w:pPr>
      <w:r w:rsidRPr="0083150B">
        <w:rPr>
          <w:b/>
        </w:rPr>
        <w:t>IT IS FURTHER ORDERED</w:t>
      </w:r>
      <w:r w:rsidRPr="00555F87">
        <w:t xml:space="preserve"> that copies of this </w:t>
      </w:r>
      <w:r w:rsidRPr="0090147D">
        <w:rPr>
          <w:i/>
        </w:rPr>
        <w:t>NAL</w:t>
      </w:r>
      <w:r w:rsidRPr="00555F87">
        <w:t xml:space="preserve"> shall be sent by First Class and Certified Mail, Return Receipt Requested, to WYDC, Inc.</w:t>
      </w:r>
      <w:r w:rsidR="005F60A5">
        <w:t>,</w:t>
      </w:r>
      <w:r w:rsidRPr="00555F87">
        <w:t xml:space="preserve"> 33 East Market Street, Corning, NY 14830 and to its counsel, Mark Denbo, Esq., Smithwick &amp; Belendiuk, P.C., 5028 Wisconsin Avenue, NW, Sui</w:t>
      </w:r>
      <w:r>
        <w:t>te 301, Washington, DC 20016</w:t>
      </w:r>
      <w:r w:rsidRPr="00BC30DA">
        <w:t xml:space="preserve">. </w:t>
      </w:r>
    </w:p>
    <w:p w:rsidR="002C00E8" w:rsidRDefault="002C00E8" w:rsidP="0083150B">
      <w:pPr>
        <w:pStyle w:val="Heading1"/>
        <w:numPr>
          <w:ilvl w:val="0"/>
          <w:numId w:val="0"/>
        </w:numPr>
        <w:ind w:left="720" w:hanging="720"/>
      </w:pPr>
    </w:p>
    <w:p w:rsidR="0083150B" w:rsidRDefault="0083150B" w:rsidP="0083150B">
      <w:pPr>
        <w:pStyle w:val="ParaNum"/>
        <w:numPr>
          <w:ilvl w:val="0"/>
          <w:numId w:val="0"/>
        </w:numPr>
      </w:pPr>
    </w:p>
    <w:p w:rsidR="0083150B" w:rsidRDefault="0083150B" w:rsidP="0083150B">
      <w:pPr>
        <w:pStyle w:val="ParaNum"/>
        <w:numPr>
          <w:ilvl w:val="0"/>
          <w:numId w:val="0"/>
        </w:numPr>
      </w:pPr>
    </w:p>
    <w:p w:rsidR="0083150B" w:rsidRDefault="0083150B" w:rsidP="0017296B">
      <w:r>
        <w:tab/>
      </w:r>
      <w:r>
        <w:tab/>
      </w:r>
      <w:r>
        <w:tab/>
      </w:r>
      <w:r>
        <w:tab/>
      </w:r>
      <w:r>
        <w:tab/>
      </w:r>
      <w:r>
        <w:tab/>
        <w:t>FEDERAL COMMUNICATIONS COMMISSION</w:t>
      </w:r>
    </w:p>
    <w:p w:rsidR="0083150B" w:rsidRDefault="0083150B" w:rsidP="0017296B"/>
    <w:p w:rsidR="0083150B" w:rsidRDefault="0083150B" w:rsidP="0017296B"/>
    <w:p w:rsidR="0083150B" w:rsidRDefault="0083150B" w:rsidP="0017296B"/>
    <w:p w:rsidR="0083150B" w:rsidRDefault="0083150B" w:rsidP="0017296B"/>
    <w:p w:rsidR="0083150B" w:rsidRDefault="0083150B" w:rsidP="0017296B">
      <w:r>
        <w:tab/>
      </w:r>
      <w:r>
        <w:tab/>
      </w:r>
      <w:r>
        <w:tab/>
      </w:r>
      <w:r>
        <w:tab/>
      </w:r>
      <w:r>
        <w:tab/>
      </w:r>
      <w:r>
        <w:tab/>
        <w:t>Barbara A. Kreisman</w:t>
      </w:r>
    </w:p>
    <w:p w:rsidR="0083150B" w:rsidRDefault="0083150B" w:rsidP="0017296B">
      <w:r>
        <w:tab/>
      </w:r>
      <w:r>
        <w:tab/>
      </w:r>
      <w:r>
        <w:tab/>
      </w:r>
      <w:r>
        <w:tab/>
      </w:r>
      <w:r>
        <w:tab/>
      </w:r>
      <w:r>
        <w:tab/>
        <w:t>Chief, Video Division</w:t>
      </w:r>
    </w:p>
    <w:p w:rsidR="0083150B" w:rsidRDefault="0083150B" w:rsidP="0017296B">
      <w:r>
        <w:tab/>
      </w:r>
      <w:r>
        <w:tab/>
      </w:r>
      <w:r>
        <w:tab/>
      </w:r>
      <w:r>
        <w:tab/>
      </w:r>
      <w:r>
        <w:tab/>
      </w:r>
      <w:r>
        <w:tab/>
        <w:t xml:space="preserve">Media Bureau </w:t>
      </w:r>
    </w:p>
    <w:p w:rsidR="0083150B" w:rsidRPr="0083150B" w:rsidRDefault="0083150B" w:rsidP="0083150B">
      <w:pPr>
        <w:pStyle w:val="ParaNum"/>
        <w:numPr>
          <w:ilvl w:val="0"/>
          <w:numId w:val="0"/>
        </w:numPr>
      </w:pPr>
    </w:p>
    <w:sectPr w:rsidR="0083150B" w:rsidRPr="0083150B"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072" w:rsidRDefault="00604072">
      <w:pPr>
        <w:spacing w:line="20" w:lineRule="exact"/>
      </w:pPr>
    </w:p>
  </w:endnote>
  <w:endnote w:type="continuationSeparator" w:id="0">
    <w:p w:rsidR="00604072" w:rsidRDefault="00604072">
      <w:r>
        <w:t xml:space="preserve"> </w:t>
      </w:r>
    </w:p>
  </w:endnote>
  <w:endnote w:type="continuationNotice" w:id="1">
    <w:p w:rsidR="00604072" w:rsidRDefault="0060407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8413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072" w:rsidRDefault="00604072">
      <w:r>
        <w:separator/>
      </w:r>
    </w:p>
  </w:footnote>
  <w:footnote w:type="continuationSeparator" w:id="0">
    <w:p w:rsidR="00604072" w:rsidRDefault="00604072" w:rsidP="00C721AC">
      <w:pPr>
        <w:spacing w:before="120"/>
        <w:rPr>
          <w:sz w:val="20"/>
        </w:rPr>
      </w:pPr>
      <w:r>
        <w:rPr>
          <w:sz w:val="20"/>
        </w:rPr>
        <w:t xml:space="preserve">(Continued from previous page)  </w:t>
      </w:r>
      <w:r>
        <w:rPr>
          <w:sz w:val="20"/>
        </w:rPr>
        <w:separator/>
      </w:r>
    </w:p>
  </w:footnote>
  <w:footnote w:type="continuationNotice" w:id="1">
    <w:p w:rsidR="00604072" w:rsidRDefault="00604072" w:rsidP="00C721AC">
      <w:pPr>
        <w:jc w:val="right"/>
        <w:rPr>
          <w:sz w:val="20"/>
        </w:rPr>
      </w:pPr>
      <w:r>
        <w:rPr>
          <w:sz w:val="20"/>
        </w:rPr>
        <w:t>(continued….)</w:t>
      </w:r>
    </w:p>
  </w:footnote>
  <w:footnote w:id="2">
    <w:p w:rsidR="0083150B" w:rsidRPr="00CC1064" w:rsidRDefault="0083150B" w:rsidP="0083150B">
      <w:pPr>
        <w:spacing w:after="120"/>
        <w:rPr>
          <w:sz w:val="20"/>
        </w:rPr>
      </w:pPr>
      <w:r w:rsidRPr="009E763A">
        <w:rPr>
          <w:rStyle w:val="FootnoteReference"/>
        </w:rPr>
        <w:footnoteRef/>
      </w:r>
      <w:r w:rsidRPr="009E763A">
        <w:rPr>
          <w:sz w:val="20"/>
        </w:rPr>
        <w:t xml:space="preserve"> </w:t>
      </w:r>
      <w:r>
        <w:rPr>
          <w:i/>
          <w:sz w:val="20"/>
        </w:rPr>
        <w:t>WYDC, Inc., Licensee of WYDC(TV) Corning, New York</w:t>
      </w:r>
      <w:r w:rsidRPr="0083150B">
        <w:rPr>
          <w:sz w:val="20"/>
        </w:rPr>
        <w:t xml:space="preserve">, </w:t>
      </w:r>
      <w:r>
        <w:rPr>
          <w:sz w:val="20"/>
        </w:rPr>
        <w:t xml:space="preserve">Notice of Apparent Liability for Forfeiture, </w:t>
      </w:r>
      <w:r w:rsidRPr="0083150B">
        <w:rPr>
          <w:sz w:val="20"/>
        </w:rPr>
        <w:t>DA 16-523 (rel. May 11, 2016)</w:t>
      </w:r>
      <w:r>
        <w:rPr>
          <w:sz w:val="20"/>
        </w:rPr>
        <w:t xml:space="preserve"> </w:t>
      </w:r>
      <w:r w:rsidRPr="0083150B">
        <w:rPr>
          <w:sz w:val="20"/>
        </w:rPr>
        <w:t>(</w:t>
      </w:r>
      <w:r w:rsidRPr="00555F87">
        <w:rPr>
          <w:i/>
          <w:sz w:val="20"/>
        </w:rPr>
        <w:t>NAL</w:t>
      </w:r>
      <w:r w:rsidRPr="0083150B">
        <w:rPr>
          <w:sz w:val="20"/>
        </w:rPr>
        <w:t>).</w:t>
      </w:r>
    </w:p>
  </w:footnote>
  <w:footnote w:id="3">
    <w:p w:rsidR="0083150B" w:rsidRDefault="0083150B" w:rsidP="0083150B">
      <w:pPr>
        <w:pStyle w:val="FootnoteText"/>
      </w:pPr>
      <w:r>
        <w:rPr>
          <w:rStyle w:val="FootnoteReference"/>
        </w:rPr>
        <w:footnoteRef/>
      </w:r>
      <w:r>
        <w:t xml:space="preserve"> 47 C.F.R. § 73.3526(e)(11)(iii).</w:t>
      </w:r>
    </w:p>
  </w:footnote>
  <w:footnote w:id="4">
    <w:p w:rsidR="0083150B" w:rsidRDefault="0083150B" w:rsidP="0083150B">
      <w:pPr>
        <w:pStyle w:val="FootnoteText"/>
      </w:pPr>
      <w:r>
        <w:rPr>
          <w:rStyle w:val="FootnoteReference"/>
        </w:rPr>
        <w:footnoteRef/>
      </w:r>
      <w:r>
        <w:t xml:space="preserve"> </w:t>
      </w:r>
      <w:r w:rsidRPr="00555F87">
        <w:rPr>
          <w:i/>
        </w:rPr>
        <w:t>Id.</w:t>
      </w:r>
    </w:p>
  </w:footnote>
  <w:footnote w:id="5">
    <w:p w:rsidR="00405BE7" w:rsidRDefault="00405BE7">
      <w:pPr>
        <w:pStyle w:val="FootnoteText"/>
      </w:pPr>
      <w:r>
        <w:rPr>
          <w:rStyle w:val="FootnoteReference"/>
        </w:rPr>
        <w:footnoteRef/>
      </w:r>
      <w:r>
        <w:t xml:space="preserve"> </w:t>
      </w:r>
      <w:r w:rsidR="00443CB8">
        <w:t>T</w:t>
      </w:r>
      <w:r w:rsidRPr="00405BE7">
        <w:t>he NAL finds that the Licensee failed to file in a timely manner its reports for the first quarter of 2012, first quarter of 2013, and third quarter of 2013.</w:t>
      </w:r>
      <w:r>
        <w:t xml:space="preserve">  In fact, as noted in the </w:t>
      </w:r>
      <w:r w:rsidRPr="00C43C00">
        <w:rPr>
          <w:i/>
        </w:rPr>
        <w:t>NAL</w:t>
      </w:r>
      <w:r>
        <w:t xml:space="preserve"> the Licensee itself disclosed that it had failed to timely file these reports.  </w:t>
      </w:r>
      <w:r w:rsidRPr="00405BE7">
        <w:rPr>
          <w:i/>
        </w:rPr>
        <w:t>NAL</w:t>
      </w:r>
      <w:r>
        <w:t xml:space="preserve"> at 1-2, para. 3.</w:t>
      </w:r>
      <w:r w:rsidRPr="00405BE7">
        <w:t xml:space="preserve">  </w:t>
      </w:r>
    </w:p>
  </w:footnote>
  <w:footnote w:id="6">
    <w:p w:rsidR="0083150B" w:rsidRPr="00635A2A" w:rsidRDefault="0083150B" w:rsidP="0083150B">
      <w:pPr>
        <w:tabs>
          <w:tab w:val="center" w:pos="4680"/>
        </w:tabs>
        <w:suppressAutoHyphens/>
        <w:spacing w:after="120"/>
        <w:rPr>
          <w:spacing w:val="-2"/>
          <w:sz w:val="20"/>
        </w:rPr>
      </w:pPr>
      <w:r w:rsidRPr="00635A2A">
        <w:rPr>
          <w:rStyle w:val="FootnoteReference"/>
        </w:rPr>
        <w:footnoteRef/>
      </w:r>
      <w:r w:rsidRPr="00635A2A">
        <w:rPr>
          <w:sz w:val="20"/>
        </w:rPr>
        <w:t xml:space="preserve"> Response to Notice of Apparent Liability filed by </w:t>
      </w:r>
      <w:r>
        <w:rPr>
          <w:spacing w:val="-2"/>
          <w:sz w:val="20"/>
        </w:rPr>
        <w:t xml:space="preserve">WYDC, Inc. </w:t>
      </w:r>
      <w:r w:rsidRPr="00635A2A">
        <w:rPr>
          <w:sz w:val="20"/>
        </w:rPr>
        <w:t>(Jun. 8, 201</w:t>
      </w:r>
      <w:r>
        <w:rPr>
          <w:sz w:val="20"/>
        </w:rPr>
        <w:t>6</w:t>
      </w:r>
      <w:r w:rsidRPr="00635A2A">
        <w:rPr>
          <w:sz w:val="20"/>
        </w:rPr>
        <w:t>)</w:t>
      </w:r>
      <w:r>
        <w:rPr>
          <w:sz w:val="20"/>
        </w:rPr>
        <w:t xml:space="preserve"> (Response</w:t>
      </w:r>
      <w:r w:rsidRPr="00635A2A">
        <w:rPr>
          <w:sz w:val="20"/>
        </w:rPr>
        <w:t>).</w:t>
      </w:r>
    </w:p>
  </w:footnote>
  <w:footnote w:id="7">
    <w:p w:rsidR="0083150B" w:rsidRPr="005F60A5" w:rsidRDefault="0083150B" w:rsidP="0083150B">
      <w:pPr>
        <w:pStyle w:val="FootnoteText"/>
      </w:pPr>
      <w:r>
        <w:rPr>
          <w:rStyle w:val="FootnoteReference"/>
        </w:rPr>
        <w:footnoteRef/>
      </w:r>
      <w:r>
        <w:t xml:space="preserve"> Response at 2-4.  </w:t>
      </w:r>
      <w:r w:rsidRPr="00AC169B">
        <w:rPr>
          <w:szCs w:val="22"/>
        </w:rPr>
        <w:t>The Licensee also notes that it has implemented safeguards to prevent reports from being accidently overwritten</w:t>
      </w:r>
      <w:r>
        <w:rPr>
          <w:szCs w:val="22"/>
        </w:rPr>
        <w:t xml:space="preserve">.  </w:t>
      </w:r>
      <w:r w:rsidRPr="00AC169B">
        <w:rPr>
          <w:szCs w:val="22"/>
        </w:rPr>
        <w:t>Response at 3</w:t>
      </w:r>
      <w:r>
        <w:rPr>
          <w:i/>
          <w:szCs w:val="22"/>
        </w:rPr>
        <w:t>.</w:t>
      </w:r>
    </w:p>
  </w:footnote>
  <w:footnote w:id="8">
    <w:p w:rsidR="0083150B" w:rsidRDefault="0083150B" w:rsidP="0083150B">
      <w:pPr>
        <w:pStyle w:val="FootnoteText"/>
      </w:pPr>
      <w:r>
        <w:rPr>
          <w:rStyle w:val="FootnoteReference"/>
        </w:rPr>
        <w:footnoteRef/>
      </w:r>
      <w:r>
        <w:t xml:space="preserve"> </w:t>
      </w:r>
      <w:r w:rsidRPr="00C21A78">
        <w:t xml:space="preserve">In light of our fact based finding that the WYDC did not violate Section 73.3526(e)(11)(iii) of the Rules, 47 C.F.R, § 73.3526(e)(11)(iii), we need not address WYDC’s alternative legal argument that to the extent it did commit a “technical violation” of the Rules its actions were not “willful and/or repeated.”  </w:t>
      </w:r>
      <w:r w:rsidRPr="00C21A78">
        <w:rPr>
          <w:i/>
        </w:rPr>
        <w:t>Id.</w:t>
      </w:r>
      <w:r w:rsidRPr="00C21A78">
        <w:t>, at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6CC" w:rsidRDefault="003846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83150B">
      <w:t>DA 16-</w:t>
    </w:r>
    <w:r w:rsidR="00C147B9">
      <w:t>772</w:t>
    </w:r>
  </w:p>
  <w:p w:rsidR="00D25FB5" w:rsidRDefault="0083150B">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DF627A"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83150B"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F216F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DA 16-</w:t>
    </w:r>
    <w:r w:rsidR="00C147B9">
      <w:rPr>
        <w:spacing w:val="-2"/>
      </w:rPr>
      <w:t>772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0A7CBC4C"/>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0B"/>
    <w:rsid w:val="0003365E"/>
    <w:rsid w:val="00033C87"/>
    <w:rsid w:val="00036039"/>
    <w:rsid w:val="00037F90"/>
    <w:rsid w:val="000875BF"/>
    <w:rsid w:val="00096D8C"/>
    <w:rsid w:val="000C0B65"/>
    <w:rsid w:val="000E05FE"/>
    <w:rsid w:val="000E3D42"/>
    <w:rsid w:val="00122BD5"/>
    <w:rsid w:val="00133F79"/>
    <w:rsid w:val="00194A66"/>
    <w:rsid w:val="001D6BCF"/>
    <w:rsid w:val="001E01CA"/>
    <w:rsid w:val="00262A58"/>
    <w:rsid w:val="00275CF5"/>
    <w:rsid w:val="0028301F"/>
    <w:rsid w:val="00284132"/>
    <w:rsid w:val="00285017"/>
    <w:rsid w:val="002A2D2E"/>
    <w:rsid w:val="002C00E8"/>
    <w:rsid w:val="00343749"/>
    <w:rsid w:val="003660ED"/>
    <w:rsid w:val="003846CC"/>
    <w:rsid w:val="00385829"/>
    <w:rsid w:val="003906E3"/>
    <w:rsid w:val="003B0550"/>
    <w:rsid w:val="003B694F"/>
    <w:rsid w:val="003F171C"/>
    <w:rsid w:val="00405BE7"/>
    <w:rsid w:val="00405EF2"/>
    <w:rsid w:val="00412FC5"/>
    <w:rsid w:val="00422276"/>
    <w:rsid w:val="004242F1"/>
    <w:rsid w:val="00443CB8"/>
    <w:rsid w:val="00445A00"/>
    <w:rsid w:val="00451B0F"/>
    <w:rsid w:val="00463D51"/>
    <w:rsid w:val="004C2EE3"/>
    <w:rsid w:val="004D58F8"/>
    <w:rsid w:val="004E4A22"/>
    <w:rsid w:val="00511968"/>
    <w:rsid w:val="00555F87"/>
    <w:rsid w:val="0055614C"/>
    <w:rsid w:val="005E14C2"/>
    <w:rsid w:val="005F60A5"/>
    <w:rsid w:val="00604072"/>
    <w:rsid w:val="00607BA5"/>
    <w:rsid w:val="0061180A"/>
    <w:rsid w:val="00626EB6"/>
    <w:rsid w:val="00635A2A"/>
    <w:rsid w:val="00653383"/>
    <w:rsid w:val="00655D03"/>
    <w:rsid w:val="00665919"/>
    <w:rsid w:val="00683388"/>
    <w:rsid w:val="00683F84"/>
    <w:rsid w:val="006A6A81"/>
    <w:rsid w:val="006B26F5"/>
    <w:rsid w:val="006B58CA"/>
    <w:rsid w:val="006F7393"/>
    <w:rsid w:val="0070224F"/>
    <w:rsid w:val="007115F7"/>
    <w:rsid w:val="0074647F"/>
    <w:rsid w:val="00785689"/>
    <w:rsid w:val="0079754B"/>
    <w:rsid w:val="007A1E6D"/>
    <w:rsid w:val="007B0EB2"/>
    <w:rsid w:val="007D228B"/>
    <w:rsid w:val="0080715D"/>
    <w:rsid w:val="00810B6F"/>
    <w:rsid w:val="00812E3E"/>
    <w:rsid w:val="00822CE0"/>
    <w:rsid w:val="0083150B"/>
    <w:rsid w:val="00841AB1"/>
    <w:rsid w:val="008C68F1"/>
    <w:rsid w:val="00921803"/>
    <w:rsid w:val="00926503"/>
    <w:rsid w:val="00927FA4"/>
    <w:rsid w:val="0094347B"/>
    <w:rsid w:val="009726D8"/>
    <w:rsid w:val="009D7EAB"/>
    <w:rsid w:val="009E763A"/>
    <w:rsid w:val="009F76DB"/>
    <w:rsid w:val="00A22ED5"/>
    <w:rsid w:val="00A32C3B"/>
    <w:rsid w:val="00A45F4F"/>
    <w:rsid w:val="00A600A9"/>
    <w:rsid w:val="00AA55B7"/>
    <w:rsid w:val="00AA5B9E"/>
    <w:rsid w:val="00AB2407"/>
    <w:rsid w:val="00AB53DF"/>
    <w:rsid w:val="00AC169B"/>
    <w:rsid w:val="00AD10D7"/>
    <w:rsid w:val="00AF7CFB"/>
    <w:rsid w:val="00B07E5C"/>
    <w:rsid w:val="00B25EF1"/>
    <w:rsid w:val="00B328A8"/>
    <w:rsid w:val="00B77815"/>
    <w:rsid w:val="00B811F7"/>
    <w:rsid w:val="00BA5DC6"/>
    <w:rsid w:val="00BA6196"/>
    <w:rsid w:val="00BC6D8C"/>
    <w:rsid w:val="00C05E55"/>
    <w:rsid w:val="00C13C34"/>
    <w:rsid w:val="00C147B9"/>
    <w:rsid w:val="00C21A78"/>
    <w:rsid w:val="00C27391"/>
    <w:rsid w:val="00C34006"/>
    <w:rsid w:val="00C34262"/>
    <w:rsid w:val="00C426B1"/>
    <w:rsid w:val="00C43C00"/>
    <w:rsid w:val="00C66160"/>
    <w:rsid w:val="00C721AC"/>
    <w:rsid w:val="00C90D6A"/>
    <w:rsid w:val="00C977A8"/>
    <w:rsid w:val="00CA247E"/>
    <w:rsid w:val="00CC1064"/>
    <w:rsid w:val="00CC72B6"/>
    <w:rsid w:val="00D0218D"/>
    <w:rsid w:val="00D25FB5"/>
    <w:rsid w:val="00D44223"/>
    <w:rsid w:val="00D8010B"/>
    <w:rsid w:val="00DA2529"/>
    <w:rsid w:val="00DB130A"/>
    <w:rsid w:val="00DB2EBB"/>
    <w:rsid w:val="00DC10A1"/>
    <w:rsid w:val="00DC655F"/>
    <w:rsid w:val="00DD0B59"/>
    <w:rsid w:val="00DD1F0F"/>
    <w:rsid w:val="00DD7EBD"/>
    <w:rsid w:val="00DF62B6"/>
    <w:rsid w:val="00E07225"/>
    <w:rsid w:val="00E5409F"/>
    <w:rsid w:val="00E768BA"/>
    <w:rsid w:val="00E9691A"/>
    <w:rsid w:val="00EE6488"/>
    <w:rsid w:val="00EF3237"/>
    <w:rsid w:val="00F021FA"/>
    <w:rsid w:val="00F62E97"/>
    <w:rsid w:val="00F64209"/>
    <w:rsid w:val="00F93BF5"/>
    <w:rsid w:val="00FD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83150B"/>
  </w:style>
  <w:style w:type="character" w:customStyle="1" w:styleId="ParaNumChar">
    <w:name w:val="ParaNum Char"/>
    <w:link w:val="ParaNum"/>
    <w:rsid w:val="0083150B"/>
    <w:rPr>
      <w:snapToGrid w:val="0"/>
      <w:kern w:val="28"/>
      <w:sz w:val="22"/>
    </w:rPr>
  </w:style>
  <w:style w:type="paragraph" w:styleId="BalloonText">
    <w:name w:val="Balloon Text"/>
    <w:basedOn w:val="Normal"/>
    <w:link w:val="BalloonTextChar"/>
    <w:rsid w:val="00C147B9"/>
    <w:rPr>
      <w:rFonts w:ascii="Segoe UI" w:hAnsi="Segoe UI" w:cs="Segoe UI"/>
      <w:sz w:val="18"/>
      <w:szCs w:val="18"/>
    </w:rPr>
  </w:style>
  <w:style w:type="character" w:customStyle="1" w:styleId="BalloonTextChar">
    <w:name w:val="Balloon Text Char"/>
    <w:basedOn w:val="DefaultParagraphFont"/>
    <w:link w:val="BalloonText"/>
    <w:rsid w:val="00C147B9"/>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83150B"/>
  </w:style>
  <w:style w:type="character" w:customStyle="1" w:styleId="ParaNumChar">
    <w:name w:val="ParaNum Char"/>
    <w:link w:val="ParaNum"/>
    <w:rsid w:val="0083150B"/>
    <w:rPr>
      <w:snapToGrid w:val="0"/>
      <w:kern w:val="28"/>
      <w:sz w:val="22"/>
    </w:rPr>
  </w:style>
  <w:style w:type="paragraph" w:styleId="BalloonText">
    <w:name w:val="Balloon Text"/>
    <w:basedOn w:val="Normal"/>
    <w:link w:val="BalloonTextChar"/>
    <w:rsid w:val="00C147B9"/>
    <w:rPr>
      <w:rFonts w:ascii="Segoe UI" w:hAnsi="Segoe UI" w:cs="Segoe UI"/>
      <w:sz w:val="18"/>
      <w:szCs w:val="18"/>
    </w:rPr>
  </w:style>
  <w:style w:type="character" w:customStyle="1" w:styleId="BalloonTextChar">
    <w:name w:val="Balloon Text Char"/>
    <w:basedOn w:val="DefaultParagraphFont"/>
    <w:link w:val="BalloonText"/>
    <w:rsid w:val="00C147B9"/>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445</Words>
  <Characters>2473</Characters>
  <Application>Microsoft Office Word</Application>
  <DocSecurity>0</DocSecurity>
  <Lines>65</Lines>
  <Paragraphs>27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2933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2016-07-06T17:28:00Z</cp:lastPrinted>
  <dcterms:created xsi:type="dcterms:W3CDTF">2016-07-06T20:59:00Z</dcterms:created>
  <dcterms:modified xsi:type="dcterms:W3CDTF">2016-07-06T20:59:00Z</dcterms:modified>
  <cp:category> </cp:category>
  <cp:contentStatus> </cp:contentStatus>
</cp:coreProperties>
</file>