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1469"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3EEEAB74" w14:textId="0958D535" w:rsidR="00602577" w:rsidRPr="007665F9" w:rsidRDefault="007665F9">
      <w:pPr>
        <w:jc w:val="right"/>
        <w:rPr>
          <w:b/>
          <w:szCs w:val="22"/>
        </w:rPr>
      </w:pPr>
      <w:r w:rsidRPr="007665F9">
        <w:rPr>
          <w:b/>
          <w:szCs w:val="22"/>
        </w:rPr>
        <w:lastRenderedPageBreak/>
        <w:t>DA 16-</w:t>
      </w:r>
      <w:r w:rsidR="00075DF4">
        <w:rPr>
          <w:b/>
          <w:szCs w:val="22"/>
        </w:rPr>
        <w:t>777</w:t>
      </w:r>
    </w:p>
    <w:p w14:paraId="65345A87" w14:textId="3C81D01D" w:rsidR="00602577" w:rsidRPr="007665F9" w:rsidRDefault="007665F9">
      <w:pPr>
        <w:spacing w:before="60"/>
        <w:jc w:val="right"/>
        <w:rPr>
          <w:b/>
          <w:szCs w:val="22"/>
        </w:rPr>
      </w:pPr>
      <w:r w:rsidRPr="007665F9">
        <w:rPr>
          <w:b/>
          <w:szCs w:val="22"/>
        </w:rPr>
        <w:t xml:space="preserve">Released:  </w:t>
      </w:r>
      <w:r w:rsidR="00C8253D">
        <w:rPr>
          <w:b/>
          <w:szCs w:val="22"/>
        </w:rPr>
        <w:t>July 7</w:t>
      </w:r>
      <w:r w:rsidRPr="007665F9">
        <w:rPr>
          <w:b/>
          <w:szCs w:val="22"/>
        </w:rPr>
        <w:t>, 2016</w:t>
      </w:r>
    </w:p>
    <w:p w14:paraId="645E3949" w14:textId="77777777" w:rsidR="00602577" w:rsidRDefault="00602577">
      <w:pPr>
        <w:jc w:val="right"/>
        <w:rPr>
          <w:sz w:val="24"/>
        </w:rPr>
      </w:pPr>
    </w:p>
    <w:p w14:paraId="0DC88668" w14:textId="68DBF339" w:rsidR="00602577" w:rsidRPr="007665F9" w:rsidRDefault="00517D1E" w:rsidP="00517D1E">
      <w:pPr>
        <w:jc w:val="center"/>
        <w:rPr>
          <w:b/>
          <w:szCs w:val="22"/>
        </w:rPr>
      </w:pPr>
      <w:r>
        <w:rPr>
          <w:b/>
          <w:szCs w:val="22"/>
        </w:rPr>
        <w:t>SPRINT CORPORATION</w:t>
      </w:r>
      <w:r w:rsidR="007665F9" w:rsidRPr="007665F9">
        <w:rPr>
          <w:b/>
          <w:szCs w:val="22"/>
        </w:rPr>
        <w:t xml:space="preserve"> AND </w:t>
      </w:r>
      <w:r w:rsidR="00B04555">
        <w:rPr>
          <w:b/>
          <w:szCs w:val="22"/>
        </w:rPr>
        <w:t>UNITED STATES CELLULAR CORPORATION</w:t>
      </w:r>
      <w:r w:rsidR="00CC5B1E">
        <w:rPr>
          <w:b/>
          <w:szCs w:val="22"/>
        </w:rPr>
        <w:t xml:space="preserve"> </w:t>
      </w:r>
      <w:r w:rsidR="007665F9" w:rsidRPr="007665F9">
        <w:rPr>
          <w:b/>
          <w:szCs w:val="22"/>
        </w:rPr>
        <w:t>SEEK F</w:t>
      </w:r>
      <w:r w:rsidR="00E85F2E">
        <w:rPr>
          <w:b/>
          <w:szCs w:val="22"/>
        </w:rPr>
        <w:t>CC CONSENT</w:t>
      </w:r>
      <w:r w:rsidR="00CC5B1E">
        <w:rPr>
          <w:b/>
          <w:szCs w:val="22"/>
        </w:rPr>
        <w:t xml:space="preserve"> </w:t>
      </w:r>
      <w:r w:rsidR="00701D32">
        <w:rPr>
          <w:b/>
          <w:szCs w:val="22"/>
        </w:rPr>
        <w:t xml:space="preserve">TO THE </w:t>
      </w:r>
      <w:r w:rsidR="002E1372">
        <w:rPr>
          <w:b/>
          <w:szCs w:val="22"/>
        </w:rPr>
        <w:t xml:space="preserve">ASSIGNMENTS </w:t>
      </w:r>
      <w:r w:rsidR="00701D32">
        <w:rPr>
          <w:b/>
          <w:szCs w:val="22"/>
        </w:rPr>
        <w:t>OF</w:t>
      </w:r>
      <w:r w:rsidR="00596439">
        <w:rPr>
          <w:b/>
          <w:szCs w:val="22"/>
        </w:rPr>
        <w:t xml:space="preserve"> </w:t>
      </w:r>
      <w:r>
        <w:rPr>
          <w:b/>
          <w:szCs w:val="22"/>
        </w:rPr>
        <w:t>PERSONAL COMMUNICATIONS SERVICE</w:t>
      </w:r>
      <w:r w:rsidR="006C4A65">
        <w:rPr>
          <w:b/>
          <w:szCs w:val="22"/>
        </w:rPr>
        <w:t xml:space="preserve"> </w:t>
      </w:r>
      <w:r w:rsidR="00CC5B1E">
        <w:rPr>
          <w:b/>
          <w:szCs w:val="22"/>
        </w:rPr>
        <w:t xml:space="preserve">AND ADVANCED WIRELESS SERVICES </w:t>
      </w:r>
      <w:r w:rsidR="006C4A65">
        <w:rPr>
          <w:b/>
          <w:szCs w:val="22"/>
        </w:rPr>
        <w:t>LICENSE</w:t>
      </w:r>
      <w:r w:rsidR="00B80094">
        <w:rPr>
          <w:b/>
          <w:szCs w:val="22"/>
        </w:rPr>
        <w:t>S</w:t>
      </w:r>
    </w:p>
    <w:p w14:paraId="60D8F1EF" w14:textId="61FA9FA9" w:rsidR="00602577" w:rsidRPr="00C63A9B" w:rsidRDefault="005265A2" w:rsidP="00517D1E">
      <w:pPr>
        <w:spacing w:before="240" w:after="240"/>
        <w:jc w:val="center"/>
        <w:rPr>
          <w:b/>
          <w:szCs w:val="22"/>
        </w:rPr>
      </w:pPr>
      <w:r>
        <w:rPr>
          <w:b/>
          <w:szCs w:val="22"/>
        </w:rPr>
        <w:t>WT Docket No. 16-</w:t>
      </w:r>
      <w:r w:rsidR="00587EB1">
        <w:rPr>
          <w:b/>
          <w:szCs w:val="22"/>
        </w:rPr>
        <w:t>179</w:t>
      </w:r>
    </w:p>
    <w:p w14:paraId="7DC659D4" w14:textId="77777777" w:rsidR="00602577" w:rsidRPr="007A67C8" w:rsidRDefault="007A67C8" w:rsidP="007A67C8">
      <w:pPr>
        <w:spacing w:after="220"/>
        <w:jc w:val="center"/>
        <w:rPr>
          <w:b/>
          <w:szCs w:val="22"/>
        </w:rPr>
      </w:pPr>
      <w:r w:rsidRPr="007A67C8">
        <w:rPr>
          <w:b/>
          <w:szCs w:val="22"/>
        </w:rPr>
        <w:t>PLEADING CYCLE ESTABLISHED</w:t>
      </w:r>
    </w:p>
    <w:p w14:paraId="52E54843" w14:textId="4B407DB4" w:rsidR="00B04555" w:rsidRDefault="00B04555" w:rsidP="00B04555">
      <w:pPr>
        <w:outlineLvl w:val="0"/>
        <w:rPr>
          <w:b/>
          <w:szCs w:val="22"/>
        </w:rPr>
      </w:pPr>
      <w:r>
        <w:rPr>
          <w:b/>
          <w:szCs w:val="22"/>
        </w:rPr>
        <w:t>Petitions to Deny Due:</w:t>
      </w:r>
      <w:r>
        <w:rPr>
          <w:b/>
          <w:szCs w:val="22"/>
        </w:rPr>
        <w:tab/>
      </w:r>
      <w:r>
        <w:rPr>
          <w:b/>
          <w:szCs w:val="22"/>
        </w:rPr>
        <w:tab/>
      </w:r>
      <w:r w:rsidR="00C8253D">
        <w:rPr>
          <w:b/>
          <w:spacing w:val="-2"/>
          <w:szCs w:val="22"/>
        </w:rPr>
        <w:t>July 28, 2016</w:t>
      </w:r>
    </w:p>
    <w:p w14:paraId="41120237" w14:textId="6F6B991E" w:rsidR="00B04555" w:rsidRDefault="00B04555" w:rsidP="00B04555">
      <w:pPr>
        <w:rPr>
          <w:b/>
          <w:szCs w:val="22"/>
        </w:rPr>
      </w:pPr>
      <w:r>
        <w:rPr>
          <w:b/>
          <w:szCs w:val="22"/>
        </w:rPr>
        <w:t>Oppositions Due:</w:t>
      </w:r>
      <w:r>
        <w:rPr>
          <w:b/>
          <w:szCs w:val="22"/>
        </w:rPr>
        <w:tab/>
      </w:r>
      <w:r>
        <w:rPr>
          <w:b/>
          <w:szCs w:val="22"/>
        </w:rPr>
        <w:tab/>
      </w:r>
      <w:r w:rsidR="00C8253D">
        <w:rPr>
          <w:b/>
          <w:spacing w:val="-2"/>
          <w:szCs w:val="22"/>
        </w:rPr>
        <w:t>August 4, 2016</w:t>
      </w:r>
    </w:p>
    <w:p w14:paraId="6AEBC395" w14:textId="1C62736F" w:rsidR="00B04555" w:rsidRDefault="00B04555" w:rsidP="00B04555">
      <w:pPr>
        <w:spacing w:after="220"/>
        <w:rPr>
          <w:b/>
          <w:szCs w:val="22"/>
        </w:rPr>
      </w:pPr>
      <w:r>
        <w:rPr>
          <w:b/>
          <w:szCs w:val="22"/>
        </w:rPr>
        <w:t>Replies Due:</w:t>
      </w:r>
      <w:r>
        <w:rPr>
          <w:b/>
          <w:szCs w:val="22"/>
        </w:rPr>
        <w:tab/>
      </w:r>
      <w:r>
        <w:rPr>
          <w:b/>
          <w:szCs w:val="22"/>
        </w:rPr>
        <w:tab/>
      </w:r>
      <w:r>
        <w:rPr>
          <w:b/>
          <w:szCs w:val="22"/>
        </w:rPr>
        <w:tab/>
      </w:r>
      <w:r w:rsidR="00C8253D">
        <w:rPr>
          <w:b/>
          <w:szCs w:val="22"/>
        </w:rPr>
        <w:t>August 11, 2016</w:t>
      </w:r>
    </w:p>
    <w:p w14:paraId="74D99A87" w14:textId="77777777" w:rsidR="007A67C8" w:rsidRDefault="007A67C8" w:rsidP="00144BD1">
      <w:pPr>
        <w:spacing w:after="120"/>
        <w:outlineLvl w:val="0"/>
        <w:rPr>
          <w:b/>
          <w:szCs w:val="22"/>
        </w:rPr>
      </w:pPr>
      <w:r>
        <w:rPr>
          <w:b/>
          <w:szCs w:val="22"/>
        </w:rPr>
        <w:t>I.</w:t>
      </w:r>
      <w:r>
        <w:rPr>
          <w:b/>
          <w:szCs w:val="22"/>
        </w:rPr>
        <w:tab/>
        <w:t>INTRODUCTION</w:t>
      </w:r>
    </w:p>
    <w:p w14:paraId="5B0A2321" w14:textId="18CF262B" w:rsidR="007665F9" w:rsidRDefault="00AF167D" w:rsidP="00CF1545">
      <w:pPr>
        <w:spacing w:after="120"/>
        <w:ind w:firstLine="720"/>
        <w:rPr>
          <w:szCs w:val="22"/>
        </w:rPr>
      </w:pPr>
      <w:r>
        <w:rPr>
          <w:szCs w:val="22"/>
        </w:rPr>
        <w:t>Sprint Corporation</w:t>
      </w:r>
      <w:r w:rsidR="007A67C8">
        <w:rPr>
          <w:szCs w:val="22"/>
        </w:rPr>
        <w:t xml:space="preserve"> (</w:t>
      </w:r>
      <w:r>
        <w:rPr>
          <w:szCs w:val="22"/>
        </w:rPr>
        <w:t>Sprint</w:t>
      </w:r>
      <w:r w:rsidR="00D41A8B">
        <w:rPr>
          <w:szCs w:val="22"/>
        </w:rPr>
        <w:t>)</w:t>
      </w:r>
      <w:r w:rsidR="007A67C8">
        <w:rPr>
          <w:szCs w:val="22"/>
        </w:rPr>
        <w:t xml:space="preserve"> and</w:t>
      </w:r>
      <w:r w:rsidR="001B353C">
        <w:rPr>
          <w:szCs w:val="22"/>
        </w:rPr>
        <w:t xml:space="preserve"> </w:t>
      </w:r>
      <w:r w:rsidR="00D41A8B">
        <w:rPr>
          <w:szCs w:val="22"/>
        </w:rPr>
        <w:t xml:space="preserve">United </w:t>
      </w:r>
      <w:r w:rsidR="00B34F5B">
        <w:rPr>
          <w:szCs w:val="22"/>
        </w:rPr>
        <w:t xml:space="preserve">States </w:t>
      </w:r>
      <w:r w:rsidR="00D41A8B">
        <w:rPr>
          <w:szCs w:val="22"/>
        </w:rPr>
        <w:t>Cellular Corporation</w:t>
      </w:r>
      <w:r>
        <w:rPr>
          <w:szCs w:val="22"/>
        </w:rPr>
        <w:t xml:space="preserve"> </w:t>
      </w:r>
      <w:r w:rsidR="007A67C8">
        <w:rPr>
          <w:szCs w:val="22"/>
        </w:rPr>
        <w:t>(</w:t>
      </w:r>
      <w:r w:rsidR="00D41A8B">
        <w:rPr>
          <w:szCs w:val="22"/>
        </w:rPr>
        <w:t>USCC</w:t>
      </w:r>
      <w:r w:rsidR="007A67C8">
        <w:rPr>
          <w:szCs w:val="22"/>
        </w:rPr>
        <w:t xml:space="preserve">, and together with </w:t>
      </w:r>
      <w:r>
        <w:rPr>
          <w:szCs w:val="22"/>
        </w:rPr>
        <w:t>Sprint</w:t>
      </w:r>
      <w:r w:rsidR="00C8253D">
        <w:rPr>
          <w:szCs w:val="22"/>
        </w:rPr>
        <w:t>, the Applicants)</w:t>
      </w:r>
      <w:r w:rsidR="007A67C8" w:rsidRPr="00586237">
        <w:rPr>
          <w:szCs w:val="22"/>
        </w:rPr>
        <w:t xml:space="preserve"> have filed </w:t>
      </w:r>
      <w:r>
        <w:rPr>
          <w:szCs w:val="22"/>
        </w:rPr>
        <w:t>a</w:t>
      </w:r>
      <w:r w:rsidR="007A67C8" w:rsidRPr="00586237">
        <w:rPr>
          <w:szCs w:val="22"/>
        </w:rPr>
        <w:t>pplication</w:t>
      </w:r>
      <w:r>
        <w:rPr>
          <w:szCs w:val="22"/>
        </w:rPr>
        <w:t>s</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w:t>
      </w:r>
      <w:r w:rsidR="004859D7" w:rsidRPr="00586237">
        <w:rPr>
          <w:szCs w:val="22"/>
        </w:rPr>
        <w:t xml:space="preserve">seeking </w:t>
      </w:r>
      <w:r w:rsidR="004859D7">
        <w:rPr>
          <w:szCs w:val="22"/>
        </w:rPr>
        <w:t>the simultaneous</w:t>
      </w:r>
      <w:r w:rsidR="004859D7" w:rsidRPr="00586237">
        <w:rPr>
          <w:szCs w:val="22"/>
        </w:rPr>
        <w:t xml:space="preserve"> assign</w:t>
      </w:r>
      <w:r w:rsidR="004859D7">
        <w:rPr>
          <w:szCs w:val="22"/>
        </w:rPr>
        <w:t>ments and exchanges of</w:t>
      </w:r>
      <w:r w:rsidR="007A67C8" w:rsidRPr="00586237">
        <w:rPr>
          <w:szCs w:val="22"/>
        </w:rPr>
        <w:t xml:space="preserve"> </w:t>
      </w:r>
      <w:r w:rsidR="004859D7">
        <w:rPr>
          <w:szCs w:val="22"/>
        </w:rPr>
        <w:t>full and</w:t>
      </w:r>
      <w:r w:rsidR="003378B4">
        <w:rPr>
          <w:szCs w:val="22"/>
        </w:rPr>
        <w:t xml:space="preserve"> partitioned </w:t>
      </w:r>
      <w:r w:rsidR="004859D7">
        <w:rPr>
          <w:szCs w:val="22"/>
        </w:rPr>
        <w:t xml:space="preserve">Personal Communications Service (PCS) </w:t>
      </w:r>
      <w:r w:rsidR="001B353C">
        <w:rPr>
          <w:szCs w:val="22"/>
        </w:rPr>
        <w:t>and Advanced Wireless Services (AWS-1) license</w:t>
      </w:r>
      <w:r w:rsidR="00C63A9B">
        <w:rPr>
          <w:szCs w:val="22"/>
        </w:rPr>
        <w:t>s</w:t>
      </w:r>
      <w:r w:rsidR="001B353C">
        <w:rPr>
          <w:szCs w:val="22"/>
        </w:rPr>
        <w:t xml:space="preserve"> </w:t>
      </w:r>
      <w:r w:rsidR="004859D7">
        <w:rPr>
          <w:szCs w:val="22"/>
        </w:rPr>
        <w:t xml:space="preserve">by and among </w:t>
      </w:r>
      <w:r w:rsidR="004859D7" w:rsidRPr="00413631">
        <w:rPr>
          <w:szCs w:val="22"/>
        </w:rPr>
        <w:t>certain subsidiaries</w:t>
      </w:r>
      <w:r w:rsidR="004859D7">
        <w:rPr>
          <w:szCs w:val="22"/>
        </w:rPr>
        <w:t xml:space="preserve"> of </w:t>
      </w:r>
      <w:r w:rsidR="002A4341">
        <w:rPr>
          <w:szCs w:val="22"/>
        </w:rPr>
        <w:t>Sprint</w:t>
      </w:r>
      <w:r w:rsidR="007A67C8">
        <w:rPr>
          <w:szCs w:val="22"/>
        </w:rPr>
        <w:t xml:space="preserve"> </w:t>
      </w:r>
      <w:r w:rsidR="002A4341">
        <w:rPr>
          <w:szCs w:val="22"/>
        </w:rPr>
        <w:t xml:space="preserve">and </w:t>
      </w:r>
      <w:r w:rsidR="00F54F2E">
        <w:rPr>
          <w:szCs w:val="22"/>
        </w:rPr>
        <w:t>USCC</w:t>
      </w:r>
      <w:r w:rsidR="002A4341">
        <w:rPr>
          <w:szCs w:val="22"/>
        </w:rPr>
        <w:t>.</w:t>
      </w:r>
      <w:r w:rsidR="002A4341" w:rsidRPr="002A4341">
        <w:rPr>
          <w:rStyle w:val="FootnoteReference"/>
          <w:sz w:val="20"/>
        </w:rPr>
        <w:footnoteReference w:id="2"/>
      </w:r>
      <w:r w:rsidR="002A4341">
        <w:rPr>
          <w:szCs w:val="22"/>
        </w:rPr>
        <w:t xml:space="preserve">  The subject licenses cover geographic areas </w:t>
      </w:r>
      <w:r w:rsidR="00203F37">
        <w:rPr>
          <w:szCs w:val="22"/>
        </w:rPr>
        <w:t xml:space="preserve">scattered </w:t>
      </w:r>
      <w:r w:rsidR="002A4341">
        <w:rPr>
          <w:szCs w:val="22"/>
        </w:rPr>
        <w:t xml:space="preserve">throughout the </w:t>
      </w:r>
      <w:r w:rsidR="00203F37">
        <w:rPr>
          <w:szCs w:val="22"/>
        </w:rPr>
        <w:t>country</w:t>
      </w:r>
      <w:r w:rsidR="002A4341">
        <w:rPr>
          <w:szCs w:val="22"/>
        </w:rPr>
        <w:t>.</w:t>
      </w:r>
      <w:r w:rsidR="002A4341" w:rsidRPr="00586237">
        <w:rPr>
          <w:szCs w:val="22"/>
        </w:rPr>
        <w:t xml:space="preserve">  </w:t>
      </w:r>
      <w:r w:rsidR="002A4341">
        <w:rPr>
          <w:szCs w:val="22"/>
        </w:rPr>
        <w:t>The proposed transactions involve the transfer of spectrum; no customers or networks would be transferred.</w:t>
      </w:r>
    </w:p>
    <w:p w14:paraId="2EF28D05" w14:textId="7C4D9B7B" w:rsidR="008C0C9F" w:rsidRDefault="008C0C9F" w:rsidP="00F24B92">
      <w:pPr>
        <w:spacing w:after="120"/>
        <w:ind w:firstLine="720"/>
        <w:rPr>
          <w:szCs w:val="22"/>
        </w:rPr>
      </w:pPr>
      <w:r>
        <w:rPr>
          <w:szCs w:val="22"/>
        </w:rPr>
        <w:t xml:space="preserve">The Applicants </w:t>
      </w:r>
      <w:r w:rsidR="00550770">
        <w:rPr>
          <w:szCs w:val="22"/>
        </w:rPr>
        <w:t>assert</w:t>
      </w:r>
      <w:r w:rsidR="00700489">
        <w:rPr>
          <w:szCs w:val="22"/>
        </w:rPr>
        <w:t xml:space="preserve"> that the proposed transaction would enable more efficient operations that would help meet the demands of their customers for broadband wireless services.  I</w:t>
      </w:r>
      <w:r w:rsidR="00F254BC">
        <w:rPr>
          <w:szCs w:val="22"/>
        </w:rPr>
        <w:t xml:space="preserve">n those markets where either Sprint or </w:t>
      </w:r>
      <w:r w:rsidR="00700489">
        <w:rPr>
          <w:szCs w:val="22"/>
        </w:rPr>
        <w:t>USCC</w:t>
      </w:r>
      <w:r w:rsidR="00373E87">
        <w:rPr>
          <w:szCs w:val="22"/>
        </w:rPr>
        <w:t xml:space="preserve"> </w:t>
      </w:r>
      <w:r w:rsidR="00F254BC">
        <w:rPr>
          <w:szCs w:val="22"/>
        </w:rPr>
        <w:t>gain</w:t>
      </w:r>
      <w:r w:rsidR="00350752">
        <w:rPr>
          <w:szCs w:val="22"/>
        </w:rPr>
        <w:t>s</w:t>
      </w:r>
      <w:r w:rsidR="00F254BC">
        <w:rPr>
          <w:szCs w:val="22"/>
        </w:rPr>
        <w:t xml:space="preserve"> additional spectrum, </w:t>
      </w:r>
      <w:r w:rsidR="00700489">
        <w:rPr>
          <w:szCs w:val="22"/>
        </w:rPr>
        <w:t xml:space="preserve">the Applicants claim that </w:t>
      </w:r>
      <w:r w:rsidR="00F254BC">
        <w:rPr>
          <w:szCs w:val="22"/>
        </w:rPr>
        <w:t xml:space="preserve">the proposed transaction would </w:t>
      </w:r>
      <w:r w:rsidR="00700489">
        <w:rPr>
          <w:szCs w:val="22"/>
        </w:rPr>
        <w:t>provide added capacity and improved data throughput speeds.</w:t>
      </w:r>
    </w:p>
    <w:p w14:paraId="2A18BF1A" w14:textId="0DAE209D" w:rsidR="00D7175C" w:rsidRDefault="00D7175C" w:rsidP="00F24B92">
      <w:pPr>
        <w:spacing w:after="120"/>
        <w:ind w:firstLine="720"/>
        <w:rPr>
          <w:szCs w:val="22"/>
        </w:rPr>
      </w:pPr>
      <w:r>
        <w:rPr>
          <w:szCs w:val="22"/>
        </w:rPr>
        <w:t>Our p</w:t>
      </w:r>
      <w:r w:rsidR="00F24B92" w:rsidRPr="009C3DE3">
        <w:rPr>
          <w:szCs w:val="22"/>
        </w:rPr>
        <w:t xml:space="preserve">reliminary review of the applications indicates that the spectrum implicated by the proposed transaction covers </w:t>
      </w:r>
      <w:r w:rsidR="00700489">
        <w:rPr>
          <w:szCs w:val="22"/>
        </w:rPr>
        <w:t>49</w:t>
      </w:r>
      <w:r w:rsidR="00F24B92" w:rsidRPr="009C3DE3">
        <w:rPr>
          <w:szCs w:val="22"/>
        </w:rPr>
        <w:t xml:space="preserve"> counties in all or parts of </w:t>
      </w:r>
      <w:r w:rsidR="00700489">
        <w:rPr>
          <w:szCs w:val="22"/>
        </w:rPr>
        <w:t>14</w:t>
      </w:r>
      <w:r w:rsidR="00F24B92">
        <w:rPr>
          <w:szCs w:val="22"/>
        </w:rPr>
        <w:t xml:space="preserve"> Cellular Market Areas (CMAs</w:t>
      </w:r>
      <w:r w:rsidR="00F24B92" w:rsidRPr="009C3DE3">
        <w:rPr>
          <w:szCs w:val="22"/>
        </w:rPr>
        <w:t xml:space="preserve">), covering </w:t>
      </w:r>
      <w:r w:rsidR="005D5192">
        <w:rPr>
          <w:szCs w:val="22"/>
        </w:rPr>
        <w:t>close to</w:t>
      </w:r>
      <w:r w:rsidR="00700489">
        <w:rPr>
          <w:szCs w:val="22"/>
        </w:rPr>
        <w:t xml:space="preserve"> one</w:t>
      </w:r>
      <w:r w:rsidR="00F24B92" w:rsidRPr="009C3DE3">
        <w:rPr>
          <w:szCs w:val="22"/>
        </w:rPr>
        <w:t xml:space="preserve"> percent of the population of the United States</w:t>
      </w:r>
      <w:r w:rsidR="00550770">
        <w:rPr>
          <w:szCs w:val="22"/>
        </w:rPr>
        <w:t>,</w:t>
      </w:r>
      <w:r w:rsidR="00F24B92" w:rsidRPr="009C3DE3">
        <w:rPr>
          <w:szCs w:val="22"/>
        </w:rPr>
        <w:t xml:space="preserve"> in parts of</w:t>
      </w:r>
      <w:r w:rsidR="00F24B92">
        <w:rPr>
          <w:szCs w:val="22"/>
        </w:rPr>
        <w:t xml:space="preserve"> </w:t>
      </w:r>
      <w:r w:rsidR="00DD5170">
        <w:rPr>
          <w:szCs w:val="22"/>
        </w:rPr>
        <w:t xml:space="preserve">Illinois, Kansas, Michigan, </w:t>
      </w:r>
      <w:r w:rsidR="00B04944">
        <w:rPr>
          <w:szCs w:val="22"/>
        </w:rPr>
        <w:t>Virginia</w:t>
      </w:r>
      <w:r w:rsidR="00DD5170">
        <w:rPr>
          <w:szCs w:val="22"/>
        </w:rPr>
        <w:t>, and Washington</w:t>
      </w:r>
      <w:r w:rsidR="004808EC">
        <w:rPr>
          <w:szCs w:val="22"/>
        </w:rPr>
        <w:t>.</w:t>
      </w:r>
    </w:p>
    <w:p w14:paraId="12680A76" w14:textId="0473174C" w:rsidR="001A70D6" w:rsidRDefault="00F24B92" w:rsidP="00F24B92">
      <w:pPr>
        <w:spacing w:after="120"/>
        <w:ind w:firstLine="720"/>
        <w:rPr>
          <w:szCs w:val="22"/>
        </w:rPr>
      </w:pPr>
      <w:r w:rsidRPr="009C3DE3">
        <w:rPr>
          <w:szCs w:val="22"/>
        </w:rPr>
        <w:t>Pre-transacti</w:t>
      </w:r>
      <w:r w:rsidR="00413631">
        <w:rPr>
          <w:szCs w:val="22"/>
        </w:rPr>
        <w:t>on, across all the CMAs</w:t>
      </w:r>
      <w:r w:rsidR="00DB1EFC">
        <w:rPr>
          <w:szCs w:val="22"/>
        </w:rPr>
        <w:t xml:space="preserve"> involved in these transactions</w:t>
      </w:r>
      <w:r w:rsidRPr="009C3DE3">
        <w:rPr>
          <w:szCs w:val="22"/>
        </w:rPr>
        <w:t xml:space="preserve">, </w:t>
      </w:r>
      <w:r w:rsidR="007B6C44">
        <w:rPr>
          <w:szCs w:val="22"/>
        </w:rPr>
        <w:t>Sprint</w:t>
      </w:r>
      <w:r w:rsidRPr="009C3DE3">
        <w:rPr>
          <w:szCs w:val="22"/>
        </w:rPr>
        <w:t xml:space="preserve"> holds </w:t>
      </w:r>
      <w:r w:rsidR="00DD5170">
        <w:rPr>
          <w:szCs w:val="22"/>
        </w:rPr>
        <w:t>106.5</w:t>
      </w:r>
      <w:r w:rsidRPr="009C3DE3">
        <w:rPr>
          <w:szCs w:val="22"/>
        </w:rPr>
        <w:t xml:space="preserve"> </w:t>
      </w:r>
      <w:r w:rsidR="00A24006">
        <w:rPr>
          <w:szCs w:val="22"/>
        </w:rPr>
        <w:t xml:space="preserve">megahertz </w:t>
      </w:r>
      <w:r w:rsidRPr="009C3DE3">
        <w:rPr>
          <w:szCs w:val="22"/>
        </w:rPr>
        <w:t xml:space="preserve">to </w:t>
      </w:r>
      <w:r w:rsidR="00DD5170">
        <w:rPr>
          <w:szCs w:val="22"/>
        </w:rPr>
        <w:t>240</w:t>
      </w:r>
      <w:r w:rsidR="00D7175C">
        <w:rPr>
          <w:szCs w:val="22"/>
        </w:rPr>
        <w:t>.5</w:t>
      </w:r>
      <w:r w:rsidRPr="009C3DE3">
        <w:rPr>
          <w:szCs w:val="22"/>
        </w:rPr>
        <w:t xml:space="preserve"> megahertz of spectrum in </w:t>
      </w:r>
      <w:r w:rsidR="007B6C44">
        <w:rPr>
          <w:szCs w:val="22"/>
        </w:rPr>
        <w:t>total; post-transaction, Sprint</w:t>
      </w:r>
      <w:r w:rsidRPr="009C3DE3">
        <w:rPr>
          <w:szCs w:val="22"/>
        </w:rPr>
        <w:t xml:space="preserve"> would hold </w:t>
      </w:r>
      <w:r w:rsidR="00DD5170">
        <w:rPr>
          <w:szCs w:val="22"/>
        </w:rPr>
        <w:t>86.5</w:t>
      </w:r>
      <w:r w:rsidRPr="009C3DE3">
        <w:rPr>
          <w:szCs w:val="22"/>
        </w:rPr>
        <w:t xml:space="preserve"> </w:t>
      </w:r>
      <w:r w:rsidR="00A24006">
        <w:rPr>
          <w:szCs w:val="22"/>
        </w:rPr>
        <w:t xml:space="preserve">megahertz </w:t>
      </w:r>
      <w:r w:rsidRPr="009C3DE3">
        <w:rPr>
          <w:szCs w:val="22"/>
        </w:rPr>
        <w:t xml:space="preserve">to </w:t>
      </w:r>
      <w:r w:rsidR="005C657D">
        <w:rPr>
          <w:szCs w:val="22"/>
        </w:rPr>
        <w:t>23</w:t>
      </w:r>
      <w:r w:rsidR="00D7175C">
        <w:rPr>
          <w:szCs w:val="22"/>
        </w:rPr>
        <w:t>0.5</w:t>
      </w:r>
      <w:r w:rsidRPr="009C3DE3">
        <w:rPr>
          <w:szCs w:val="22"/>
        </w:rPr>
        <w:t xml:space="preserve"> megahertz of spectrum in total.  </w:t>
      </w:r>
      <w:r w:rsidR="00B17FC3">
        <w:rPr>
          <w:szCs w:val="22"/>
        </w:rPr>
        <w:t xml:space="preserve">Our </w:t>
      </w:r>
      <w:r w:rsidR="00787A9A">
        <w:rPr>
          <w:szCs w:val="22"/>
        </w:rPr>
        <w:t xml:space="preserve">preliminary </w:t>
      </w:r>
      <w:r w:rsidR="00B17FC3">
        <w:rPr>
          <w:szCs w:val="22"/>
        </w:rPr>
        <w:t xml:space="preserve">review indicates that in those counties in which Sprint would realize a net gain in its </w:t>
      </w:r>
      <w:r w:rsidR="00985E51">
        <w:rPr>
          <w:szCs w:val="22"/>
        </w:rPr>
        <w:t xml:space="preserve">PCS </w:t>
      </w:r>
      <w:r w:rsidR="00B17FC3">
        <w:rPr>
          <w:szCs w:val="22"/>
        </w:rPr>
        <w:t xml:space="preserve">spectrum holdings, </w:t>
      </w:r>
      <w:r w:rsidR="00787A9A">
        <w:rPr>
          <w:szCs w:val="22"/>
        </w:rPr>
        <w:t xml:space="preserve">it would hold a maximum of 230.5 megahertz of spectrum in total post-transaction.  </w:t>
      </w:r>
      <w:r w:rsidR="005D5192">
        <w:rPr>
          <w:szCs w:val="22"/>
        </w:rPr>
        <w:t xml:space="preserve">Sprint would newly trigger the spectrum screen in </w:t>
      </w:r>
      <w:r w:rsidR="004773CD">
        <w:rPr>
          <w:szCs w:val="22"/>
        </w:rPr>
        <w:t>the single-county</w:t>
      </w:r>
      <w:r w:rsidR="005D5192">
        <w:rPr>
          <w:szCs w:val="22"/>
        </w:rPr>
        <w:t xml:space="preserve"> CMA 301 (</w:t>
      </w:r>
      <w:r w:rsidR="004773CD">
        <w:rPr>
          <w:szCs w:val="22"/>
        </w:rPr>
        <w:t>Lawrence, KS</w:t>
      </w:r>
      <w:r w:rsidR="005D5192">
        <w:rPr>
          <w:szCs w:val="22"/>
        </w:rPr>
        <w:t xml:space="preserve">) and </w:t>
      </w:r>
      <w:r w:rsidR="004773CD">
        <w:rPr>
          <w:szCs w:val="22"/>
        </w:rPr>
        <w:t xml:space="preserve">in </w:t>
      </w:r>
      <w:r w:rsidR="005D5192">
        <w:rPr>
          <w:szCs w:val="22"/>
        </w:rPr>
        <w:t>St. Joseph County in CMA 480 (</w:t>
      </w:r>
      <w:r w:rsidR="004773CD">
        <w:rPr>
          <w:szCs w:val="22"/>
        </w:rPr>
        <w:t>Michigan 9 – Cass</w:t>
      </w:r>
      <w:r w:rsidR="005D5192">
        <w:rPr>
          <w:szCs w:val="22"/>
        </w:rPr>
        <w:t xml:space="preserve">), and </w:t>
      </w:r>
      <w:r w:rsidR="00B17FC3">
        <w:rPr>
          <w:szCs w:val="22"/>
        </w:rPr>
        <w:t xml:space="preserve">would further </w:t>
      </w:r>
      <w:r w:rsidR="00B17FC3">
        <w:rPr>
          <w:szCs w:val="22"/>
        </w:rPr>
        <w:lastRenderedPageBreak/>
        <w:t xml:space="preserve">increase its spectrum holdings </w:t>
      </w:r>
      <w:r w:rsidR="00F61DE1">
        <w:rPr>
          <w:szCs w:val="22"/>
        </w:rPr>
        <w:t>that</w:t>
      </w:r>
      <w:r w:rsidR="00B17FC3">
        <w:rPr>
          <w:szCs w:val="22"/>
        </w:rPr>
        <w:t xml:space="preserve"> are currently already above the spectrum screen in </w:t>
      </w:r>
      <w:r w:rsidR="005D5192">
        <w:rPr>
          <w:szCs w:val="22"/>
        </w:rPr>
        <w:t xml:space="preserve">an additional </w:t>
      </w:r>
      <w:r w:rsidR="002F3095">
        <w:rPr>
          <w:szCs w:val="22"/>
        </w:rPr>
        <w:t>five</w:t>
      </w:r>
      <w:r w:rsidR="00B17FC3">
        <w:rPr>
          <w:szCs w:val="22"/>
        </w:rPr>
        <w:t xml:space="preserve"> counties in </w:t>
      </w:r>
      <w:r w:rsidR="00985E51">
        <w:rPr>
          <w:szCs w:val="22"/>
        </w:rPr>
        <w:t xml:space="preserve">all or parts of </w:t>
      </w:r>
      <w:r w:rsidR="00B17FC3">
        <w:rPr>
          <w:szCs w:val="22"/>
        </w:rPr>
        <w:t>three CMAs</w:t>
      </w:r>
      <w:r w:rsidR="00985E51">
        <w:rPr>
          <w:szCs w:val="22"/>
        </w:rPr>
        <w:t xml:space="preserve"> – </w:t>
      </w:r>
      <w:r w:rsidR="00B17FC3">
        <w:rPr>
          <w:szCs w:val="22"/>
        </w:rPr>
        <w:t xml:space="preserve">CMA </w:t>
      </w:r>
      <w:r w:rsidR="002F3095">
        <w:rPr>
          <w:szCs w:val="22"/>
        </w:rPr>
        <w:t>132</w:t>
      </w:r>
      <w:r w:rsidR="00B17FC3">
        <w:rPr>
          <w:szCs w:val="22"/>
        </w:rPr>
        <w:t xml:space="preserve"> (</w:t>
      </w:r>
      <w:r w:rsidR="002F3095">
        <w:rPr>
          <w:szCs w:val="22"/>
        </w:rPr>
        <w:t>Kalamazoo, Michigan</w:t>
      </w:r>
      <w:r w:rsidR="00413631">
        <w:rPr>
          <w:szCs w:val="22"/>
        </w:rPr>
        <w:t>), CMA </w:t>
      </w:r>
      <w:r w:rsidR="002F3095">
        <w:rPr>
          <w:szCs w:val="22"/>
        </w:rPr>
        <w:t>177</w:t>
      </w:r>
      <w:r w:rsidR="00B17FC3">
        <w:rPr>
          <w:szCs w:val="22"/>
        </w:rPr>
        <w:t xml:space="preserve"> (</w:t>
      </w:r>
      <w:r w:rsidR="002F3095">
        <w:rPr>
          <w:szCs w:val="22"/>
        </w:rPr>
        <w:t>Battle Creek, Michigan</w:t>
      </w:r>
      <w:r w:rsidR="00B17FC3">
        <w:rPr>
          <w:szCs w:val="22"/>
        </w:rPr>
        <w:t xml:space="preserve">), and CMA </w:t>
      </w:r>
      <w:r w:rsidR="002F3095">
        <w:rPr>
          <w:szCs w:val="22"/>
        </w:rPr>
        <w:t>207</w:t>
      </w:r>
      <w:r w:rsidR="00B17FC3">
        <w:rPr>
          <w:szCs w:val="22"/>
        </w:rPr>
        <w:t xml:space="preserve"> (</w:t>
      </w:r>
      <w:r w:rsidR="002F3095">
        <w:rPr>
          <w:szCs w:val="22"/>
        </w:rPr>
        <w:t>Jackson, Michigan</w:t>
      </w:r>
      <w:r w:rsidR="00B17FC3">
        <w:rPr>
          <w:szCs w:val="22"/>
        </w:rPr>
        <w:t>)</w:t>
      </w:r>
      <w:r w:rsidR="00985E51">
        <w:rPr>
          <w:szCs w:val="22"/>
        </w:rPr>
        <w:t xml:space="preserve"> – in </w:t>
      </w:r>
      <w:r w:rsidR="002F3095">
        <w:rPr>
          <w:szCs w:val="22"/>
        </w:rPr>
        <w:t>Michigan</w:t>
      </w:r>
      <w:r w:rsidR="00B17FC3">
        <w:rPr>
          <w:szCs w:val="22"/>
        </w:rPr>
        <w:t>.</w:t>
      </w:r>
    </w:p>
    <w:p w14:paraId="3C660551" w14:textId="5FCE7191" w:rsidR="00F24B92" w:rsidRDefault="00F24B92" w:rsidP="00F24B92">
      <w:pPr>
        <w:spacing w:after="120"/>
        <w:ind w:firstLine="720"/>
        <w:rPr>
          <w:szCs w:val="22"/>
        </w:rPr>
      </w:pPr>
      <w:r w:rsidRPr="009C3DE3">
        <w:rPr>
          <w:szCs w:val="22"/>
        </w:rPr>
        <w:t xml:space="preserve">Pre-transaction, </w:t>
      </w:r>
      <w:r w:rsidR="002F3095">
        <w:rPr>
          <w:szCs w:val="22"/>
        </w:rPr>
        <w:t>USCC</w:t>
      </w:r>
      <w:r w:rsidRPr="009C3DE3">
        <w:rPr>
          <w:szCs w:val="22"/>
        </w:rPr>
        <w:t xml:space="preserve"> holds </w:t>
      </w:r>
      <w:r w:rsidR="002F3095">
        <w:rPr>
          <w:szCs w:val="22"/>
        </w:rPr>
        <w:t>10</w:t>
      </w:r>
      <w:r w:rsidRPr="009C3DE3">
        <w:rPr>
          <w:szCs w:val="22"/>
        </w:rPr>
        <w:t xml:space="preserve"> </w:t>
      </w:r>
      <w:r w:rsidR="00A24006">
        <w:rPr>
          <w:szCs w:val="22"/>
        </w:rPr>
        <w:t xml:space="preserve">megahertz </w:t>
      </w:r>
      <w:r w:rsidRPr="009C3DE3">
        <w:rPr>
          <w:szCs w:val="22"/>
        </w:rPr>
        <w:t xml:space="preserve">to </w:t>
      </w:r>
      <w:r w:rsidR="002F3095">
        <w:rPr>
          <w:szCs w:val="22"/>
        </w:rPr>
        <w:t>66</w:t>
      </w:r>
      <w:r w:rsidR="00985E51" w:rsidRPr="009C3DE3">
        <w:rPr>
          <w:szCs w:val="22"/>
        </w:rPr>
        <w:t xml:space="preserve"> </w:t>
      </w:r>
      <w:r w:rsidRPr="009C3DE3">
        <w:rPr>
          <w:szCs w:val="22"/>
        </w:rPr>
        <w:t xml:space="preserve">megahertz of spectrum across all the CMAs involved in these transactions; post-transaction, </w:t>
      </w:r>
      <w:r w:rsidR="002F3095">
        <w:rPr>
          <w:szCs w:val="22"/>
        </w:rPr>
        <w:t>USCC</w:t>
      </w:r>
      <w:r w:rsidR="00147D83">
        <w:rPr>
          <w:szCs w:val="22"/>
        </w:rPr>
        <w:t xml:space="preserve"> </w:t>
      </w:r>
      <w:r w:rsidRPr="009C3DE3">
        <w:rPr>
          <w:szCs w:val="22"/>
        </w:rPr>
        <w:t xml:space="preserve">would hold </w:t>
      </w:r>
      <w:r w:rsidR="002F3095">
        <w:rPr>
          <w:szCs w:val="22"/>
        </w:rPr>
        <w:t>0</w:t>
      </w:r>
      <w:r w:rsidR="00A24006">
        <w:rPr>
          <w:szCs w:val="22"/>
        </w:rPr>
        <w:t xml:space="preserve"> megahertz</w:t>
      </w:r>
      <w:r w:rsidRPr="009C3DE3">
        <w:rPr>
          <w:szCs w:val="22"/>
        </w:rPr>
        <w:t xml:space="preserve"> to </w:t>
      </w:r>
      <w:r w:rsidR="002F3095">
        <w:rPr>
          <w:szCs w:val="22"/>
        </w:rPr>
        <w:t>69</w:t>
      </w:r>
      <w:r w:rsidR="00985E51" w:rsidRPr="009C3DE3">
        <w:rPr>
          <w:szCs w:val="22"/>
        </w:rPr>
        <w:t xml:space="preserve"> </w:t>
      </w:r>
      <w:r w:rsidRPr="009C3DE3">
        <w:rPr>
          <w:szCs w:val="22"/>
        </w:rPr>
        <w:t>megahertz of spectrum in total.</w:t>
      </w:r>
      <w:r w:rsidR="001A70D6">
        <w:rPr>
          <w:szCs w:val="22"/>
        </w:rPr>
        <w:t xml:space="preserve">  In those counties in which </w:t>
      </w:r>
      <w:r w:rsidR="002F3095">
        <w:rPr>
          <w:szCs w:val="22"/>
        </w:rPr>
        <w:t>USCC</w:t>
      </w:r>
      <w:r w:rsidR="001A70D6">
        <w:rPr>
          <w:szCs w:val="22"/>
        </w:rPr>
        <w:t xml:space="preserve"> would realize a net gain in its spectrum holdings, it</w:t>
      </w:r>
      <w:r w:rsidR="004808EC">
        <w:rPr>
          <w:szCs w:val="22"/>
        </w:rPr>
        <w:t>s spectrum holdings</w:t>
      </w:r>
      <w:r w:rsidR="001A70D6">
        <w:rPr>
          <w:szCs w:val="22"/>
        </w:rPr>
        <w:t xml:space="preserve"> </w:t>
      </w:r>
      <w:r w:rsidR="00787A9A">
        <w:rPr>
          <w:szCs w:val="22"/>
        </w:rPr>
        <w:t xml:space="preserve">post-transaction </w:t>
      </w:r>
      <w:r w:rsidR="001A70D6">
        <w:rPr>
          <w:szCs w:val="22"/>
        </w:rPr>
        <w:t>would not trigger the total spectrum screen.</w:t>
      </w:r>
    </w:p>
    <w:p w14:paraId="30E6D3F6" w14:textId="77777777" w:rsidR="00144BD1" w:rsidRPr="0089192F" w:rsidRDefault="00144BD1" w:rsidP="000177BF">
      <w:pPr>
        <w:keepNext/>
        <w:spacing w:before="120" w:after="120"/>
        <w:outlineLvl w:val="0"/>
        <w:rPr>
          <w:rStyle w:val="Normal10"/>
          <w:b/>
          <w:szCs w:val="22"/>
        </w:rPr>
      </w:pPr>
      <w:r>
        <w:rPr>
          <w:rStyle w:val="StyleTimesNewRomanBold11ptBold"/>
        </w:rPr>
        <w:t>ii.</w:t>
      </w:r>
      <w:r>
        <w:rPr>
          <w:rStyle w:val="StyleTimesNewRomanBold11ptBold"/>
        </w:rPr>
        <w:tab/>
        <w:t>Section 310(</w:t>
      </w:r>
      <w:r>
        <w:rPr>
          <w:b/>
          <w:szCs w:val="22"/>
        </w:rPr>
        <w:t>d) APPLICATION</w:t>
      </w:r>
      <w:r w:rsidR="00166A9B">
        <w:rPr>
          <w:b/>
          <w:szCs w:val="22"/>
        </w:rPr>
        <w:t>S</w:t>
      </w:r>
    </w:p>
    <w:p w14:paraId="225E4E8C" w14:textId="77777777"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he application</w:t>
      </w:r>
      <w:r w:rsidR="00203F37">
        <w:rPr>
          <w:rStyle w:val="Normal10"/>
          <w:sz w:val="22"/>
          <w:szCs w:val="22"/>
        </w:rPr>
        <w:t>s</w:t>
      </w:r>
      <w:r w:rsidRPr="00144BD1">
        <w:rPr>
          <w:rStyle w:val="Normal10"/>
          <w:sz w:val="22"/>
          <w:szCs w:val="22"/>
        </w:rPr>
        <w:t xml:space="preserve"> for the assignment of </w:t>
      </w:r>
      <w:r w:rsidRPr="00144BD1">
        <w:rPr>
          <w:szCs w:val="22"/>
        </w:rPr>
        <w:t>license</w:t>
      </w:r>
      <w:r w:rsidR="00203F37">
        <w:rPr>
          <w:szCs w:val="22"/>
        </w:rPr>
        <w:t>s</w:t>
      </w:r>
      <w:r w:rsidRPr="00144BD1">
        <w:rPr>
          <w:szCs w:val="22"/>
        </w:rPr>
        <w:t xml:space="preserve"> </w:t>
      </w:r>
      <w:r w:rsidR="00203F37">
        <w:rPr>
          <w:rStyle w:val="Normal10"/>
          <w:sz w:val="22"/>
          <w:szCs w:val="22"/>
        </w:rPr>
        <w:t>have</w:t>
      </w:r>
      <w:r w:rsidRPr="00144BD1">
        <w:rPr>
          <w:rStyle w:val="Normal10"/>
          <w:sz w:val="22"/>
          <w:szCs w:val="22"/>
        </w:rPr>
        <w:t xml:space="preserve"> the following file number</w:t>
      </w:r>
      <w:r w:rsidR="00203F37">
        <w:rPr>
          <w:rStyle w:val="Normal10"/>
          <w:sz w:val="22"/>
          <w:szCs w:val="22"/>
        </w:rPr>
        <w:t>s</w:t>
      </w:r>
      <w:r w:rsidRPr="00144BD1">
        <w:rPr>
          <w:rStyle w:val="Normal10"/>
          <w:sz w:val="22"/>
          <w:szCs w:val="22"/>
        </w:rPr>
        <w:t>:</w:t>
      </w:r>
    </w:p>
    <w:tbl>
      <w:tblPr>
        <w:tblW w:w="5000" w:type="pct"/>
        <w:tblCellMar>
          <w:left w:w="40" w:type="dxa"/>
          <w:right w:w="40" w:type="dxa"/>
        </w:tblCellMar>
        <w:tblLook w:val="0000" w:firstRow="0" w:lastRow="0" w:firstColumn="0" w:lastColumn="0" w:noHBand="0" w:noVBand="0"/>
      </w:tblPr>
      <w:tblGrid>
        <w:gridCol w:w="1633"/>
        <w:gridCol w:w="3193"/>
        <w:gridCol w:w="3170"/>
        <w:gridCol w:w="1444"/>
      </w:tblGrid>
      <w:tr w:rsidR="00166A9B" w14:paraId="652D6B23" w14:textId="77777777" w:rsidTr="00984EE5">
        <w:trPr>
          <w:cantSplit/>
          <w:trHeight w:val="173"/>
          <w:tblHeader/>
        </w:trPr>
        <w:tc>
          <w:tcPr>
            <w:tcW w:w="865" w:type="pct"/>
            <w:shd w:val="clear" w:color="C0C0C0" w:fill="auto"/>
          </w:tcPr>
          <w:p w14:paraId="16F823F5" w14:textId="77777777" w:rsidR="00166A9B" w:rsidRDefault="00166A9B" w:rsidP="000C2C86">
            <w:pPr>
              <w:widowControl w:val="0"/>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48883257" w14:textId="77777777" w:rsidR="00166A9B" w:rsidRDefault="00166A9B" w:rsidP="000C2C86">
            <w:pPr>
              <w:widowControl w:val="0"/>
              <w:autoSpaceDE w:val="0"/>
              <w:autoSpaceDN w:val="0"/>
              <w:adjustRightInd w:val="0"/>
              <w:rPr>
                <w:b/>
                <w:color w:val="000000"/>
                <w:szCs w:val="22"/>
                <w:u w:val="single"/>
              </w:rPr>
            </w:pPr>
          </w:p>
        </w:tc>
        <w:tc>
          <w:tcPr>
            <w:tcW w:w="1691" w:type="pct"/>
            <w:shd w:val="clear" w:color="C0C0C0" w:fill="auto"/>
          </w:tcPr>
          <w:p w14:paraId="2C000042" w14:textId="77777777" w:rsidR="00166A9B" w:rsidRDefault="00255744" w:rsidP="001500CB">
            <w:pPr>
              <w:widowControl w:val="0"/>
              <w:autoSpaceDE w:val="0"/>
              <w:autoSpaceDN w:val="0"/>
              <w:adjustRightInd w:val="0"/>
              <w:ind w:left="-43"/>
              <w:rPr>
                <w:b/>
                <w:color w:val="000000"/>
                <w:szCs w:val="22"/>
                <w:u w:val="single"/>
              </w:rPr>
            </w:pPr>
            <w:r>
              <w:rPr>
                <w:b/>
                <w:color w:val="000000"/>
                <w:szCs w:val="22"/>
                <w:u w:val="single"/>
              </w:rPr>
              <w:t>Licensee/Assignor</w:t>
            </w:r>
          </w:p>
        </w:tc>
        <w:tc>
          <w:tcPr>
            <w:tcW w:w="1679" w:type="pct"/>
            <w:shd w:val="clear" w:color="C0C0C0" w:fill="auto"/>
          </w:tcPr>
          <w:p w14:paraId="1716B6DA" w14:textId="77777777" w:rsidR="00166A9B" w:rsidRDefault="00255744" w:rsidP="001500CB">
            <w:pPr>
              <w:widowControl w:val="0"/>
              <w:autoSpaceDE w:val="0"/>
              <w:autoSpaceDN w:val="0"/>
              <w:adjustRightInd w:val="0"/>
              <w:rPr>
                <w:b/>
                <w:color w:val="000000"/>
                <w:szCs w:val="22"/>
                <w:u w:val="single"/>
              </w:rPr>
            </w:pPr>
            <w:r>
              <w:rPr>
                <w:b/>
                <w:color w:val="000000"/>
                <w:szCs w:val="22"/>
                <w:u w:val="single"/>
              </w:rPr>
              <w:t>Assignee</w:t>
            </w:r>
          </w:p>
        </w:tc>
        <w:tc>
          <w:tcPr>
            <w:tcW w:w="765" w:type="pct"/>
            <w:shd w:val="clear" w:color="C0C0C0" w:fill="auto"/>
          </w:tcPr>
          <w:p w14:paraId="5D7178A0" w14:textId="77777777" w:rsidR="00166A9B" w:rsidRDefault="00166A9B" w:rsidP="000C2C86">
            <w:pPr>
              <w:widowControl w:val="0"/>
              <w:autoSpaceDE w:val="0"/>
              <w:autoSpaceDN w:val="0"/>
              <w:adjustRightInd w:val="0"/>
              <w:ind w:hanging="40"/>
              <w:rPr>
                <w:b/>
                <w:color w:val="000000"/>
                <w:szCs w:val="22"/>
                <w:u w:val="single"/>
              </w:rPr>
            </w:pPr>
            <w:r>
              <w:rPr>
                <w:b/>
                <w:color w:val="000000"/>
                <w:szCs w:val="22"/>
                <w:u w:val="single"/>
              </w:rPr>
              <w:t>Lead Call Sign</w:t>
            </w:r>
          </w:p>
        </w:tc>
      </w:tr>
      <w:tr w:rsidR="00166A9B" w14:paraId="60324C92" w14:textId="77777777" w:rsidTr="00984EE5">
        <w:trPr>
          <w:cantSplit/>
          <w:trHeight w:val="152"/>
        </w:trPr>
        <w:tc>
          <w:tcPr>
            <w:tcW w:w="865" w:type="pct"/>
            <w:shd w:val="clear" w:color="auto" w:fill="auto"/>
          </w:tcPr>
          <w:p w14:paraId="1A7415D4" w14:textId="2A1930A8" w:rsidR="00166A9B" w:rsidRPr="006C53BA" w:rsidRDefault="00D41A8B" w:rsidP="000C2C86">
            <w:pPr>
              <w:widowControl w:val="0"/>
              <w:tabs>
                <w:tab w:val="left" w:pos="720"/>
              </w:tabs>
              <w:rPr>
                <w:color w:val="000000"/>
                <w:szCs w:val="22"/>
                <w:shd w:val="clear" w:color="auto" w:fill="F7F5FF"/>
              </w:rPr>
            </w:pPr>
            <w:r>
              <w:rPr>
                <w:szCs w:val="22"/>
              </w:rPr>
              <w:t>0007191297</w:t>
            </w:r>
            <w:r w:rsidR="00166A9B" w:rsidRPr="009B5689">
              <w:rPr>
                <w:rStyle w:val="FootnoteReference"/>
                <w:sz w:val="20"/>
              </w:rPr>
              <w:footnoteReference w:id="3"/>
            </w:r>
          </w:p>
        </w:tc>
        <w:tc>
          <w:tcPr>
            <w:tcW w:w="1691" w:type="pct"/>
            <w:shd w:val="clear" w:color="C0C0C0" w:fill="auto"/>
          </w:tcPr>
          <w:p w14:paraId="72762002" w14:textId="431B83CB" w:rsidR="00166A9B" w:rsidRPr="00000509" w:rsidRDefault="00D41A8B" w:rsidP="001500CB">
            <w:pPr>
              <w:widowControl w:val="0"/>
              <w:ind w:left="-43"/>
              <w:rPr>
                <w:szCs w:val="22"/>
              </w:rPr>
            </w:pPr>
            <w:r>
              <w:rPr>
                <w:szCs w:val="22"/>
              </w:rPr>
              <w:t>Wirelessco, LLC</w:t>
            </w:r>
          </w:p>
        </w:tc>
        <w:tc>
          <w:tcPr>
            <w:tcW w:w="1679" w:type="pct"/>
            <w:shd w:val="clear" w:color="C0C0C0" w:fill="auto"/>
          </w:tcPr>
          <w:p w14:paraId="38B6DD32" w14:textId="7A03CEA9" w:rsidR="00166A9B" w:rsidRPr="00530B3B" w:rsidRDefault="00D41A8B" w:rsidP="006416E4">
            <w:pPr>
              <w:widowControl w:val="0"/>
              <w:rPr>
                <w:szCs w:val="22"/>
              </w:rPr>
            </w:pPr>
            <w:r>
              <w:rPr>
                <w:szCs w:val="22"/>
              </w:rPr>
              <w:t>McDaniel Cellular Telephone Co</w:t>
            </w:r>
            <w:r w:rsidR="006416E4">
              <w:rPr>
                <w:szCs w:val="22"/>
              </w:rPr>
              <w:t>mpany</w:t>
            </w:r>
          </w:p>
        </w:tc>
        <w:tc>
          <w:tcPr>
            <w:tcW w:w="765" w:type="pct"/>
            <w:shd w:val="clear" w:color="C0C0C0" w:fill="auto"/>
          </w:tcPr>
          <w:p w14:paraId="5A50935D" w14:textId="50A0768C" w:rsidR="00166A9B" w:rsidRDefault="00D41A8B" w:rsidP="000C2C86">
            <w:pPr>
              <w:widowControl w:val="0"/>
              <w:ind w:hanging="40"/>
              <w:rPr>
                <w:szCs w:val="22"/>
              </w:rPr>
            </w:pPr>
            <w:r>
              <w:rPr>
                <w:szCs w:val="22"/>
              </w:rPr>
              <w:t>KNLF260</w:t>
            </w:r>
          </w:p>
        </w:tc>
      </w:tr>
      <w:tr w:rsidR="00166A9B" w14:paraId="714AD51A" w14:textId="77777777" w:rsidTr="00984EE5">
        <w:trPr>
          <w:cantSplit/>
          <w:trHeight w:hRule="exact" w:val="144"/>
        </w:trPr>
        <w:tc>
          <w:tcPr>
            <w:tcW w:w="865" w:type="pct"/>
            <w:shd w:val="clear" w:color="auto" w:fill="auto"/>
          </w:tcPr>
          <w:p w14:paraId="04B06B90" w14:textId="77777777" w:rsidR="00166A9B" w:rsidRDefault="00166A9B" w:rsidP="000C2C86">
            <w:pPr>
              <w:widowControl w:val="0"/>
              <w:tabs>
                <w:tab w:val="left" w:pos="720"/>
              </w:tabs>
              <w:rPr>
                <w:szCs w:val="22"/>
              </w:rPr>
            </w:pPr>
          </w:p>
        </w:tc>
        <w:tc>
          <w:tcPr>
            <w:tcW w:w="1691" w:type="pct"/>
            <w:shd w:val="clear" w:color="C0C0C0" w:fill="auto"/>
          </w:tcPr>
          <w:p w14:paraId="7F1B23B6" w14:textId="77777777" w:rsidR="00166A9B" w:rsidRDefault="00166A9B" w:rsidP="001500CB">
            <w:pPr>
              <w:widowControl w:val="0"/>
              <w:ind w:left="-43"/>
              <w:rPr>
                <w:szCs w:val="22"/>
              </w:rPr>
            </w:pPr>
          </w:p>
        </w:tc>
        <w:tc>
          <w:tcPr>
            <w:tcW w:w="1679" w:type="pct"/>
            <w:shd w:val="clear" w:color="C0C0C0" w:fill="auto"/>
          </w:tcPr>
          <w:p w14:paraId="4F360A5B" w14:textId="77777777" w:rsidR="00166A9B" w:rsidRDefault="00166A9B" w:rsidP="001500CB">
            <w:pPr>
              <w:widowControl w:val="0"/>
              <w:rPr>
                <w:szCs w:val="22"/>
              </w:rPr>
            </w:pPr>
          </w:p>
        </w:tc>
        <w:tc>
          <w:tcPr>
            <w:tcW w:w="765" w:type="pct"/>
            <w:shd w:val="clear" w:color="C0C0C0" w:fill="auto"/>
          </w:tcPr>
          <w:p w14:paraId="67382E08" w14:textId="77777777" w:rsidR="00166A9B" w:rsidRDefault="00166A9B" w:rsidP="000C2C86">
            <w:pPr>
              <w:widowControl w:val="0"/>
              <w:ind w:hanging="40"/>
              <w:rPr>
                <w:szCs w:val="22"/>
              </w:rPr>
            </w:pPr>
          </w:p>
        </w:tc>
      </w:tr>
      <w:tr w:rsidR="00543F3A" w14:paraId="5092DC1C" w14:textId="77777777" w:rsidTr="00984EE5">
        <w:trPr>
          <w:cantSplit/>
          <w:trHeight w:val="152"/>
        </w:trPr>
        <w:tc>
          <w:tcPr>
            <w:tcW w:w="865" w:type="pct"/>
            <w:shd w:val="clear" w:color="auto" w:fill="auto"/>
          </w:tcPr>
          <w:p w14:paraId="5EDE2B5F" w14:textId="41975211" w:rsidR="00543F3A" w:rsidRPr="006E5293" w:rsidRDefault="00F56EF9" w:rsidP="00543F3A">
            <w:pPr>
              <w:widowControl w:val="0"/>
              <w:tabs>
                <w:tab w:val="left" w:pos="720"/>
              </w:tabs>
              <w:rPr>
                <w:szCs w:val="22"/>
              </w:rPr>
            </w:pPr>
            <w:r>
              <w:rPr>
                <w:szCs w:val="22"/>
              </w:rPr>
              <w:t>0007193238</w:t>
            </w:r>
          </w:p>
        </w:tc>
        <w:tc>
          <w:tcPr>
            <w:tcW w:w="1691" w:type="pct"/>
            <w:shd w:val="clear" w:color="C0C0C0" w:fill="auto"/>
          </w:tcPr>
          <w:p w14:paraId="0C32CF21" w14:textId="61584F17" w:rsidR="00543F3A" w:rsidRPr="00000509" w:rsidRDefault="00F56EF9" w:rsidP="00543F3A">
            <w:pPr>
              <w:widowControl w:val="0"/>
              <w:ind w:left="-43"/>
              <w:rPr>
                <w:szCs w:val="22"/>
              </w:rPr>
            </w:pPr>
            <w:r>
              <w:rPr>
                <w:szCs w:val="22"/>
              </w:rPr>
              <w:t xml:space="preserve">United States Cellular </w:t>
            </w:r>
            <w:r w:rsidR="00C259C9">
              <w:rPr>
                <w:szCs w:val="22"/>
              </w:rPr>
              <w:t>Operating Company of Chicago, LLC</w:t>
            </w:r>
          </w:p>
        </w:tc>
        <w:tc>
          <w:tcPr>
            <w:tcW w:w="1679" w:type="pct"/>
            <w:shd w:val="clear" w:color="C0C0C0" w:fill="auto"/>
          </w:tcPr>
          <w:p w14:paraId="1440E2E2" w14:textId="50B735A8" w:rsidR="00543F3A" w:rsidRPr="00530B3B" w:rsidRDefault="00C259C9" w:rsidP="00543F3A">
            <w:pPr>
              <w:widowControl w:val="0"/>
              <w:rPr>
                <w:szCs w:val="22"/>
              </w:rPr>
            </w:pPr>
            <w:r>
              <w:rPr>
                <w:szCs w:val="22"/>
              </w:rPr>
              <w:t>SprintCom, Inc.</w:t>
            </w:r>
          </w:p>
        </w:tc>
        <w:tc>
          <w:tcPr>
            <w:tcW w:w="765" w:type="pct"/>
            <w:shd w:val="clear" w:color="C0C0C0" w:fill="auto"/>
          </w:tcPr>
          <w:p w14:paraId="184CACEE" w14:textId="49B9893C" w:rsidR="00543F3A" w:rsidRDefault="00C259C9" w:rsidP="00543F3A">
            <w:pPr>
              <w:widowControl w:val="0"/>
              <w:ind w:hanging="40"/>
              <w:rPr>
                <w:szCs w:val="22"/>
              </w:rPr>
            </w:pPr>
            <w:r>
              <w:rPr>
                <w:szCs w:val="22"/>
              </w:rPr>
              <w:t>WQJV274</w:t>
            </w:r>
          </w:p>
        </w:tc>
      </w:tr>
      <w:tr w:rsidR="00166A9B" w14:paraId="12118C7B" w14:textId="77777777" w:rsidTr="00984EE5">
        <w:trPr>
          <w:cantSplit/>
          <w:trHeight w:hRule="exact" w:val="144"/>
        </w:trPr>
        <w:tc>
          <w:tcPr>
            <w:tcW w:w="865" w:type="pct"/>
            <w:shd w:val="clear" w:color="auto" w:fill="auto"/>
          </w:tcPr>
          <w:p w14:paraId="2D12FA1C" w14:textId="77777777" w:rsidR="00166A9B" w:rsidRDefault="00166A9B" w:rsidP="000C2C86">
            <w:pPr>
              <w:widowControl w:val="0"/>
              <w:tabs>
                <w:tab w:val="left" w:pos="720"/>
              </w:tabs>
            </w:pPr>
          </w:p>
        </w:tc>
        <w:tc>
          <w:tcPr>
            <w:tcW w:w="1691" w:type="pct"/>
            <w:shd w:val="clear" w:color="C0C0C0" w:fill="auto"/>
          </w:tcPr>
          <w:p w14:paraId="4C11D924" w14:textId="77777777" w:rsidR="00166A9B" w:rsidRDefault="00166A9B" w:rsidP="001500CB">
            <w:pPr>
              <w:widowControl w:val="0"/>
              <w:ind w:left="-43"/>
              <w:rPr>
                <w:szCs w:val="22"/>
              </w:rPr>
            </w:pPr>
          </w:p>
        </w:tc>
        <w:tc>
          <w:tcPr>
            <w:tcW w:w="1679" w:type="pct"/>
            <w:shd w:val="clear" w:color="C0C0C0" w:fill="auto"/>
          </w:tcPr>
          <w:p w14:paraId="63C4132A" w14:textId="77777777" w:rsidR="00166A9B" w:rsidRDefault="00166A9B" w:rsidP="001500CB">
            <w:pPr>
              <w:widowControl w:val="0"/>
              <w:rPr>
                <w:szCs w:val="22"/>
              </w:rPr>
            </w:pPr>
          </w:p>
        </w:tc>
        <w:tc>
          <w:tcPr>
            <w:tcW w:w="765" w:type="pct"/>
            <w:shd w:val="clear" w:color="C0C0C0" w:fill="auto"/>
          </w:tcPr>
          <w:p w14:paraId="74203155" w14:textId="77777777" w:rsidR="00166A9B" w:rsidRDefault="00166A9B" w:rsidP="000C2C86">
            <w:pPr>
              <w:widowControl w:val="0"/>
              <w:ind w:hanging="40"/>
              <w:rPr>
                <w:szCs w:val="22"/>
              </w:rPr>
            </w:pPr>
          </w:p>
        </w:tc>
      </w:tr>
      <w:tr w:rsidR="00507FC2" w14:paraId="3BAF6AD2" w14:textId="77777777" w:rsidTr="00984EE5">
        <w:trPr>
          <w:cantSplit/>
          <w:trHeight w:val="152"/>
        </w:trPr>
        <w:tc>
          <w:tcPr>
            <w:tcW w:w="865" w:type="pct"/>
            <w:shd w:val="clear" w:color="auto" w:fill="auto"/>
          </w:tcPr>
          <w:p w14:paraId="4647153D" w14:textId="45681886" w:rsidR="00507FC2" w:rsidRPr="00CB3591" w:rsidRDefault="00C259C9" w:rsidP="00507FC2">
            <w:pPr>
              <w:widowControl w:val="0"/>
              <w:tabs>
                <w:tab w:val="left" w:pos="720"/>
              </w:tabs>
              <w:rPr>
                <w:szCs w:val="22"/>
              </w:rPr>
            </w:pPr>
            <w:r>
              <w:rPr>
                <w:szCs w:val="22"/>
              </w:rPr>
              <w:t>0007193258</w:t>
            </w:r>
          </w:p>
        </w:tc>
        <w:tc>
          <w:tcPr>
            <w:tcW w:w="1691" w:type="pct"/>
            <w:shd w:val="clear" w:color="C0C0C0" w:fill="auto"/>
          </w:tcPr>
          <w:p w14:paraId="300694BC" w14:textId="16F7A191" w:rsidR="00507FC2" w:rsidRPr="00000509" w:rsidRDefault="00C259C9" w:rsidP="00507FC2">
            <w:pPr>
              <w:widowControl w:val="0"/>
              <w:ind w:left="-43"/>
              <w:rPr>
                <w:szCs w:val="22"/>
              </w:rPr>
            </w:pPr>
            <w:r>
              <w:rPr>
                <w:szCs w:val="22"/>
              </w:rPr>
              <w:t>USCOC Nebraska/Kansas, LLC</w:t>
            </w:r>
          </w:p>
        </w:tc>
        <w:tc>
          <w:tcPr>
            <w:tcW w:w="1679" w:type="pct"/>
            <w:shd w:val="clear" w:color="C0C0C0" w:fill="auto"/>
          </w:tcPr>
          <w:p w14:paraId="0784C665" w14:textId="77777777" w:rsidR="00507FC2" w:rsidRDefault="00507FC2" w:rsidP="00507FC2">
            <w:pPr>
              <w:widowControl w:val="0"/>
              <w:rPr>
                <w:szCs w:val="22"/>
              </w:rPr>
            </w:pPr>
            <w:r>
              <w:rPr>
                <w:szCs w:val="22"/>
              </w:rPr>
              <w:t>SprintCom, Inc.</w:t>
            </w:r>
          </w:p>
        </w:tc>
        <w:tc>
          <w:tcPr>
            <w:tcW w:w="765" w:type="pct"/>
            <w:shd w:val="clear" w:color="C0C0C0" w:fill="auto"/>
          </w:tcPr>
          <w:p w14:paraId="0BBBB8DB" w14:textId="0E918D8E" w:rsidR="00507FC2" w:rsidRDefault="00C259C9" w:rsidP="00507FC2">
            <w:pPr>
              <w:widowControl w:val="0"/>
              <w:ind w:hanging="40"/>
              <w:rPr>
                <w:szCs w:val="22"/>
              </w:rPr>
            </w:pPr>
            <w:r>
              <w:rPr>
                <w:szCs w:val="22"/>
              </w:rPr>
              <w:t>KNLG322</w:t>
            </w:r>
          </w:p>
        </w:tc>
      </w:tr>
      <w:tr w:rsidR="00C17FE7" w14:paraId="75A5C932" w14:textId="77777777" w:rsidTr="00984EE5">
        <w:trPr>
          <w:cantSplit/>
          <w:trHeight w:hRule="exact" w:val="144"/>
        </w:trPr>
        <w:tc>
          <w:tcPr>
            <w:tcW w:w="865" w:type="pct"/>
            <w:shd w:val="clear" w:color="auto" w:fill="auto"/>
          </w:tcPr>
          <w:p w14:paraId="53A1DC25" w14:textId="77777777" w:rsidR="00C17FE7" w:rsidRDefault="00C17FE7" w:rsidP="00C17FE7">
            <w:pPr>
              <w:widowControl w:val="0"/>
              <w:tabs>
                <w:tab w:val="left" w:pos="720"/>
              </w:tabs>
            </w:pPr>
          </w:p>
        </w:tc>
        <w:tc>
          <w:tcPr>
            <w:tcW w:w="1691" w:type="pct"/>
            <w:shd w:val="clear" w:color="C0C0C0" w:fill="auto"/>
          </w:tcPr>
          <w:p w14:paraId="038759D4" w14:textId="77777777" w:rsidR="00C17FE7" w:rsidRDefault="00C17FE7" w:rsidP="001500CB">
            <w:pPr>
              <w:widowControl w:val="0"/>
              <w:ind w:left="-43"/>
              <w:rPr>
                <w:szCs w:val="22"/>
              </w:rPr>
            </w:pPr>
          </w:p>
        </w:tc>
        <w:tc>
          <w:tcPr>
            <w:tcW w:w="1679" w:type="pct"/>
            <w:shd w:val="clear" w:color="C0C0C0" w:fill="auto"/>
          </w:tcPr>
          <w:p w14:paraId="7A8DBA15" w14:textId="77777777" w:rsidR="00C17FE7" w:rsidRDefault="00C17FE7" w:rsidP="001500CB">
            <w:pPr>
              <w:widowControl w:val="0"/>
              <w:rPr>
                <w:szCs w:val="22"/>
              </w:rPr>
            </w:pPr>
          </w:p>
        </w:tc>
        <w:tc>
          <w:tcPr>
            <w:tcW w:w="765" w:type="pct"/>
            <w:shd w:val="clear" w:color="C0C0C0" w:fill="auto"/>
          </w:tcPr>
          <w:p w14:paraId="2A28ADF1" w14:textId="77777777" w:rsidR="00C17FE7" w:rsidRDefault="00C17FE7" w:rsidP="00C17FE7">
            <w:pPr>
              <w:widowControl w:val="0"/>
              <w:ind w:hanging="40"/>
              <w:rPr>
                <w:szCs w:val="22"/>
              </w:rPr>
            </w:pPr>
          </w:p>
        </w:tc>
      </w:tr>
      <w:tr w:rsidR="00C17FE7" w14:paraId="636544DC" w14:textId="77777777" w:rsidTr="00984EE5">
        <w:trPr>
          <w:cantSplit/>
          <w:trHeight w:val="152"/>
        </w:trPr>
        <w:tc>
          <w:tcPr>
            <w:tcW w:w="865" w:type="pct"/>
            <w:shd w:val="clear" w:color="auto" w:fill="auto"/>
          </w:tcPr>
          <w:p w14:paraId="74246A6A" w14:textId="3383BAD5" w:rsidR="00C17FE7" w:rsidRPr="00C67D0B" w:rsidRDefault="00740E3F" w:rsidP="00C17FE7">
            <w:pPr>
              <w:widowControl w:val="0"/>
              <w:tabs>
                <w:tab w:val="left" w:pos="720"/>
              </w:tabs>
            </w:pPr>
            <w:r>
              <w:rPr>
                <w:szCs w:val="22"/>
              </w:rPr>
              <w:t>000719</w:t>
            </w:r>
            <w:r w:rsidR="00B2625B">
              <w:rPr>
                <w:szCs w:val="22"/>
              </w:rPr>
              <w:t>3273</w:t>
            </w:r>
          </w:p>
        </w:tc>
        <w:tc>
          <w:tcPr>
            <w:tcW w:w="1691" w:type="pct"/>
            <w:shd w:val="clear" w:color="C0C0C0" w:fill="auto"/>
          </w:tcPr>
          <w:p w14:paraId="34134A09" w14:textId="77DC4BDF" w:rsidR="00C17FE7" w:rsidRDefault="00B2625B" w:rsidP="001500CB">
            <w:pPr>
              <w:widowControl w:val="0"/>
              <w:ind w:left="-43"/>
              <w:rPr>
                <w:szCs w:val="22"/>
              </w:rPr>
            </w:pPr>
            <w:r>
              <w:rPr>
                <w:szCs w:val="22"/>
              </w:rPr>
              <w:t>USCOC of Central Illinois, LLC</w:t>
            </w:r>
          </w:p>
        </w:tc>
        <w:tc>
          <w:tcPr>
            <w:tcW w:w="1679" w:type="pct"/>
            <w:shd w:val="clear" w:color="C0C0C0" w:fill="auto"/>
          </w:tcPr>
          <w:p w14:paraId="630C19E7" w14:textId="77777777" w:rsidR="00C17FE7" w:rsidRDefault="00C17FE7" w:rsidP="001500CB">
            <w:pPr>
              <w:widowControl w:val="0"/>
              <w:rPr>
                <w:szCs w:val="22"/>
              </w:rPr>
            </w:pPr>
            <w:r>
              <w:rPr>
                <w:szCs w:val="22"/>
              </w:rPr>
              <w:t>SprintCom, Inc.</w:t>
            </w:r>
          </w:p>
        </w:tc>
        <w:tc>
          <w:tcPr>
            <w:tcW w:w="765" w:type="pct"/>
            <w:shd w:val="clear" w:color="C0C0C0" w:fill="auto"/>
          </w:tcPr>
          <w:p w14:paraId="624A9C91" w14:textId="12329CDA" w:rsidR="00C17FE7" w:rsidRDefault="00B2625B" w:rsidP="00C17FE7">
            <w:pPr>
              <w:widowControl w:val="0"/>
              <w:ind w:hanging="40"/>
              <w:rPr>
                <w:szCs w:val="22"/>
              </w:rPr>
            </w:pPr>
            <w:r>
              <w:rPr>
                <w:szCs w:val="22"/>
              </w:rPr>
              <w:t>KNLG651</w:t>
            </w:r>
          </w:p>
        </w:tc>
      </w:tr>
      <w:tr w:rsidR="00C17FE7" w14:paraId="025CC7DC" w14:textId="77777777" w:rsidTr="00984EE5">
        <w:trPr>
          <w:cantSplit/>
          <w:trHeight w:hRule="exact" w:val="144"/>
        </w:trPr>
        <w:tc>
          <w:tcPr>
            <w:tcW w:w="865" w:type="pct"/>
            <w:shd w:val="clear" w:color="auto" w:fill="auto"/>
          </w:tcPr>
          <w:p w14:paraId="3F0F9220" w14:textId="77777777" w:rsidR="00C17FE7" w:rsidRDefault="00C17FE7" w:rsidP="00C17FE7">
            <w:pPr>
              <w:widowControl w:val="0"/>
              <w:tabs>
                <w:tab w:val="left" w:pos="720"/>
              </w:tabs>
            </w:pPr>
          </w:p>
        </w:tc>
        <w:tc>
          <w:tcPr>
            <w:tcW w:w="1691" w:type="pct"/>
            <w:shd w:val="clear" w:color="C0C0C0" w:fill="auto"/>
          </w:tcPr>
          <w:p w14:paraId="5365A62C" w14:textId="77777777" w:rsidR="00C17FE7" w:rsidRDefault="00C17FE7" w:rsidP="001500CB">
            <w:pPr>
              <w:widowControl w:val="0"/>
              <w:ind w:left="-43"/>
              <w:rPr>
                <w:szCs w:val="22"/>
              </w:rPr>
            </w:pPr>
          </w:p>
        </w:tc>
        <w:tc>
          <w:tcPr>
            <w:tcW w:w="1679" w:type="pct"/>
            <w:shd w:val="clear" w:color="C0C0C0" w:fill="auto"/>
          </w:tcPr>
          <w:p w14:paraId="7DA4C9EF" w14:textId="77777777" w:rsidR="00C17FE7" w:rsidRDefault="00C17FE7" w:rsidP="001500CB">
            <w:pPr>
              <w:widowControl w:val="0"/>
              <w:rPr>
                <w:szCs w:val="22"/>
              </w:rPr>
            </w:pPr>
          </w:p>
        </w:tc>
        <w:tc>
          <w:tcPr>
            <w:tcW w:w="765" w:type="pct"/>
            <w:shd w:val="clear" w:color="C0C0C0" w:fill="auto"/>
          </w:tcPr>
          <w:p w14:paraId="35E3E1DE" w14:textId="77777777" w:rsidR="00C17FE7" w:rsidRDefault="00C17FE7" w:rsidP="00C17FE7">
            <w:pPr>
              <w:widowControl w:val="0"/>
              <w:ind w:hanging="40"/>
              <w:rPr>
                <w:szCs w:val="22"/>
              </w:rPr>
            </w:pPr>
          </w:p>
        </w:tc>
      </w:tr>
      <w:tr w:rsidR="00507FC2" w14:paraId="504176AC" w14:textId="77777777" w:rsidTr="00984EE5">
        <w:trPr>
          <w:cantSplit/>
          <w:trHeight w:val="152"/>
        </w:trPr>
        <w:tc>
          <w:tcPr>
            <w:tcW w:w="865" w:type="pct"/>
            <w:shd w:val="clear" w:color="auto" w:fill="auto"/>
          </w:tcPr>
          <w:p w14:paraId="3C6BFDF7" w14:textId="015B0371" w:rsidR="00507FC2" w:rsidRPr="00336875" w:rsidRDefault="00970F96" w:rsidP="00507FC2">
            <w:pPr>
              <w:widowControl w:val="0"/>
              <w:tabs>
                <w:tab w:val="left" w:pos="720"/>
              </w:tabs>
            </w:pPr>
            <w:r>
              <w:rPr>
                <w:szCs w:val="22"/>
              </w:rPr>
              <w:t>0007193283</w:t>
            </w:r>
          </w:p>
        </w:tc>
        <w:tc>
          <w:tcPr>
            <w:tcW w:w="1691" w:type="pct"/>
            <w:shd w:val="clear" w:color="C0C0C0" w:fill="auto"/>
          </w:tcPr>
          <w:p w14:paraId="15FACBAB" w14:textId="76BF60F7" w:rsidR="00507FC2" w:rsidRDefault="00970F96" w:rsidP="006416E4">
            <w:pPr>
              <w:widowControl w:val="0"/>
              <w:ind w:left="-43"/>
              <w:rPr>
                <w:szCs w:val="22"/>
              </w:rPr>
            </w:pPr>
            <w:r>
              <w:rPr>
                <w:szCs w:val="22"/>
              </w:rPr>
              <w:t>McDaniel Cellular Telephone Co</w:t>
            </w:r>
            <w:r w:rsidR="006416E4">
              <w:rPr>
                <w:szCs w:val="22"/>
              </w:rPr>
              <w:t>mpany</w:t>
            </w:r>
          </w:p>
        </w:tc>
        <w:tc>
          <w:tcPr>
            <w:tcW w:w="1679" w:type="pct"/>
            <w:shd w:val="clear" w:color="C0C0C0" w:fill="auto"/>
          </w:tcPr>
          <w:p w14:paraId="51642EEB" w14:textId="77777777" w:rsidR="00507FC2" w:rsidRPr="00530B3B" w:rsidRDefault="00507FC2" w:rsidP="00507FC2">
            <w:pPr>
              <w:widowControl w:val="0"/>
              <w:rPr>
                <w:szCs w:val="22"/>
              </w:rPr>
            </w:pPr>
            <w:r>
              <w:rPr>
                <w:szCs w:val="22"/>
              </w:rPr>
              <w:t>Wirelessco, LLC</w:t>
            </w:r>
          </w:p>
        </w:tc>
        <w:tc>
          <w:tcPr>
            <w:tcW w:w="765" w:type="pct"/>
            <w:shd w:val="clear" w:color="C0C0C0" w:fill="auto"/>
          </w:tcPr>
          <w:p w14:paraId="0B68D85F" w14:textId="46991D6C" w:rsidR="00507FC2" w:rsidRDefault="00970F96" w:rsidP="00507FC2">
            <w:pPr>
              <w:widowControl w:val="0"/>
              <w:ind w:hanging="40"/>
              <w:rPr>
                <w:szCs w:val="22"/>
              </w:rPr>
            </w:pPr>
            <w:r>
              <w:rPr>
                <w:szCs w:val="22"/>
              </w:rPr>
              <w:t>WQCS457</w:t>
            </w:r>
          </w:p>
        </w:tc>
      </w:tr>
      <w:tr w:rsidR="00C17FE7" w14:paraId="79CEA9C7" w14:textId="77777777" w:rsidTr="00984EE5">
        <w:trPr>
          <w:cantSplit/>
          <w:trHeight w:hRule="exact" w:val="144"/>
        </w:trPr>
        <w:tc>
          <w:tcPr>
            <w:tcW w:w="865" w:type="pct"/>
            <w:shd w:val="clear" w:color="auto" w:fill="auto"/>
          </w:tcPr>
          <w:p w14:paraId="7A728D3B" w14:textId="77777777" w:rsidR="00C17FE7" w:rsidRDefault="00C17FE7" w:rsidP="00C17FE7">
            <w:pPr>
              <w:widowControl w:val="0"/>
              <w:tabs>
                <w:tab w:val="left" w:pos="720"/>
              </w:tabs>
            </w:pPr>
          </w:p>
        </w:tc>
        <w:tc>
          <w:tcPr>
            <w:tcW w:w="1691" w:type="pct"/>
            <w:shd w:val="clear" w:color="C0C0C0" w:fill="auto"/>
          </w:tcPr>
          <w:p w14:paraId="17A10E17" w14:textId="77777777" w:rsidR="00C17FE7" w:rsidRDefault="00C17FE7" w:rsidP="001500CB">
            <w:pPr>
              <w:widowControl w:val="0"/>
              <w:ind w:left="-43"/>
              <w:rPr>
                <w:szCs w:val="22"/>
              </w:rPr>
            </w:pPr>
          </w:p>
        </w:tc>
        <w:tc>
          <w:tcPr>
            <w:tcW w:w="1679" w:type="pct"/>
            <w:shd w:val="clear" w:color="C0C0C0" w:fill="auto"/>
          </w:tcPr>
          <w:p w14:paraId="18A6535D" w14:textId="77777777" w:rsidR="00C17FE7" w:rsidRDefault="00C17FE7" w:rsidP="001500CB">
            <w:pPr>
              <w:widowControl w:val="0"/>
              <w:rPr>
                <w:szCs w:val="22"/>
              </w:rPr>
            </w:pPr>
          </w:p>
        </w:tc>
        <w:tc>
          <w:tcPr>
            <w:tcW w:w="765" w:type="pct"/>
            <w:shd w:val="clear" w:color="C0C0C0" w:fill="auto"/>
          </w:tcPr>
          <w:p w14:paraId="3FD8C371" w14:textId="77777777" w:rsidR="00C17FE7" w:rsidRDefault="00C17FE7" w:rsidP="00C17FE7">
            <w:pPr>
              <w:widowControl w:val="0"/>
              <w:ind w:hanging="40"/>
              <w:rPr>
                <w:szCs w:val="22"/>
              </w:rPr>
            </w:pPr>
          </w:p>
        </w:tc>
      </w:tr>
      <w:tr w:rsidR="005960AD" w14:paraId="4B5C8B23" w14:textId="77777777" w:rsidTr="00984EE5">
        <w:trPr>
          <w:cantSplit/>
          <w:trHeight w:val="152"/>
        </w:trPr>
        <w:tc>
          <w:tcPr>
            <w:tcW w:w="865" w:type="pct"/>
            <w:shd w:val="clear" w:color="auto" w:fill="auto"/>
          </w:tcPr>
          <w:p w14:paraId="08542E6F" w14:textId="7F3BA65F" w:rsidR="005960AD" w:rsidRPr="00A830C2" w:rsidRDefault="005F3C33" w:rsidP="005960AD">
            <w:pPr>
              <w:widowControl w:val="0"/>
              <w:tabs>
                <w:tab w:val="left" w:pos="720"/>
              </w:tabs>
            </w:pPr>
            <w:r>
              <w:rPr>
                <w:szCs w:val="22"/>
              </w:rPr>
              <w:t>500</w:t>
            </w:r>
            <w:r w:rsidR="00322A90">
              <w:rPr>
                <w:szCs w:val="22"/>
              </w:rPr>
              <w:t>0</w:t>
            </w:r>
            <w:r>
              <w:rPr>
                <w:szCs w:val="22"/>
              </w:rPr>
              <w:t>5AWAA16</w:t>
            </w:r>
            <w:r w:rsidR="00C40C56" w:rsidRPr="00C40C56">
              <w:rPr>
                <w:rStyle w:val="FootnoteReference"/>
                <w:sz w:val="20"/>
              </w:rPr>
              <w:footnoteReference w:id="4"/>
            </w:r>
          </w:p>
        </w:tc>
        <w:tc>
          <w:tcPr>
            <w:tcW w:w="1691" w:type="pct"/>
            <w:shd w:val="clear" w:color="C0C0C0" w:fill="auto"/>
          </w:tcPr>
          <w:p w14:paraId="2086049C" w14:textId="37797CCF" w:rsidR="005960AD" w:rsidRDefault="00322A90" w:rsidP="005960AD">
            <w:pPr>
              <w:widowControl w:val="0"/>
              <w:ind w:left="-43"/>
              <w:rPr>
                <w:szCs w:val="22"/>
              </w:rPr>
            </w:pPr>
            <w:r>
              <w:rPr>
                <w:szCs w:val="22"/>
              </w:rPr>
              <w:t>SprintCom, Inc.</w:t>
            </w:r>
          </w:p>
        </w:tc>
        <w:tc>
          <w:tcPr>
            <w:tcW w:w="1679" w:type="pct"/>
            <w:shd w:val="clear" w:color="C0C0C0" w:fill="auto"/>
          </w:tcPr>
          <w:p w14:paraId="506B958F" w14:textId="3C40DBC2" w:rsidR="005960AD" w:rsidRPr="00530B3B" w:rsidRDefault="00322A90" w:rsidP="005960AD">
            <w:pPr>
              <w:widowControl w:val="0"/>
              <w:rPr>
                <w:szCs w:val="22"/>
              </w:rPr>
            </w:pPr>
            <w:r>
              <w:rPr>
                <w:szCs w:val="22"/>
              </w:rPr>
              <w:t>USCOC of Central Illinois, LLC</w:t>
            </w:r>
          </w:p>
        </w:tc>
        <w:tc>
          <w:tcPr>
            <w:tcW w:w="765" w:type="pct"/>
            <w:shd w:val="clear" w:color="C0C0C0" w:fill="auto"/>
          </w:tcPr>
          <w:p w14:paraId="4A557454" w14:textId="486F5EAA" w:rsidR="005960AD" w:rsidRDefault="00322A90" w:rsidP="005960AD">
            <w:pPr>
              <w:widowControl w:val="0"/>
              <w:ind w:hanging="40"/>
              <w:rPr>
                <w:szCs w:val="22"/>
              </w:rPr>
            </w:pPr>
            <w:r>
              <w:rPr>
                <w:szCs w:val="22"/>
              </w:rPr>
              <w:t>WQGD656</w:t>
            </w:r>
          </w:p>
        </w:tc>
      </w:tr>
      <w:tr w:rsidR="00C17FE7" w14:paraId="46BBFBC2" w14:textId="77777777" w:rsidTr="00984EE5">
        <w:trPr>
          <w:cantSplit/>
          <w:trHeight w:hRule="exact" w:val="144"/>
        </w:trPr>
        <w:tc>
          <w:tcPr>
            <w:tcW w:w="865" w:type="pct"/>
            <w:shd w:val="clear" w:color="auto" w:fill="auto"/>
          </w:tcPr>
          <w:p w14:paraId="3852A8A3" w14:textId="77777777" w:rsidR="00C17FE7" w:rsidRDefault="00C17FE7" w:rsidP="00C17FE7">
            <w:pPr>
              <w:widowControl w:val="0"/>
              <w:tabs>
                <w:tab w:val="left" w:pos="720"/>
              </w:tabs>
            </w:pPr>
          </w:p>
        </w:tc>
        <w:tc>
          <w:tcPr>
            <w:tcW w:w="1691" w:type="pct"/>
            <w:shd w:val="clear" w:color="C0C0C0" w:fill="auto"/>
          </w:tcPr>
          <w:p w14:paraId="561C56C5" w14:textId="77777777" w:rsidR="00C17FE7" w:rsidRDefault="00C17FE7" w:rsidP="001500CB">
            <w:pPr>
              <w:widowControl w:val="0"/>
              <w:ind w:left="-43"/>
              <w:rPr>
                <w:szCs w:val="22"/>
              </w:rPr>
            </w:pPr>
          </w:p>
        </w:tc>
        <w:tc>
          <w:tcPr>
            <w:tcW w:w="1679" w:type="pct"/>
            <w:shd w:val="clear" w:color="C0C0C0" w:fill="auto"/>
          </w:tcPr>
          <w:p w14:paraId="1839B071" w14:textId="77777777" w:rsidR="00C17FE7" w:rsidRDefault="00C17FE7" w:rsidP="001500CB">
            <w:pPr>
              <w:widowControl w:val="0"/>
              <w:rPr>
                <w:szCs w:val="22"/>
              </w:rPr>
            </w:pPr>
          </w:p>
        </w:tc>
        <w:tc>
          <w:tcPr>
            <w:tcW w:w="765" w:type="pct"/>
            <w:shd w:val="clear" w:color="C0C0C0" w:fill="auto"/>
          </w:tcPr>
          <w:p w14:paraId="78328F9A" w14:textId="77777777" w:rsidR="00C17FE7" w:rsidRDefault="00C17FE7" w:rsidP="00C17FE7">
            <w:pPr>
              <w:widowControl w:val="0"/>
              <w:ind w:hanging="40"/>
              <w:rPr>
                <w:szCs w:val="22"/>
              </w:rPr>
            </w:pPr>
          </w:p>
        </w:tc>
      </w:tr>
      <w:tr w:rsidR="00C40C56" w14:paraId="7A6B98C5" w14:textId="77777777" w:rsidTr="00984EE5">
        <w:trPr>
          <w:cantSplit/>
          <w:trHeight w:val="152"/>
        </w:trPr>
        <w:tc>
          <w:tcPr>
            <w:tcW w:w="865" w:type="pct"/>
            <w:shd w:val="clear" w:color="auto" w:fill="auto"/>
          </w:tcPr>
          <w:p w14:paraId="34B62236" w14:textId="5798D70B" w:rsidR="00C40C56" w:rsidRPr="00AF3BE2" w:rsidRDefault="00C40C56" w:rsidP="00C40C56">
            <w:pPr>
              <w:widowControl w:val="0"/>
              <w:tabs>
                <w:tab w:val="left" w:pos="720"/>
              </w:tabs>
            </w:pPr>
            <w:r>
              <w:rPr>
                <w:szCs w:val="22"/>
              </w:rPr>
              <w:t>50006AWAA16</w:t>
            </w:r>
            <w:r w:rsidR="00E15AD8" w:rsidRPr="00C40C56">
              <w:rPr>
                <w:rStyle w:val="FootnoteReference"/>
                <w:sz w:val="20"/>
              </w:rPr>
              <w:footnoteReference w:id="5"/>
            </w:r>
          </w:p>
        </w:tc>
        <w:tc>
          <w:tcPr>
            <w:tcW w:w="1691" w:type="pct"/>
            <w:shd w:val="clear" w:color="C0C0C0" w:fill="auto"/>
          </w:tcPr>
          <w:p w14:paraId="4A4B3833" w14:textId="1FEF73F4" w:rsidR="00C40C56" w:rsidRDefault="00C40C56" w:rsidP="00C40C56">
            <w:pPr>
              <w:widowControl w:val="0"/>
              <w:ind w:left="-43"/>
              <w:rPr>
                <w:szCs w:val="22"/>
              </w:rPr>
            </w:pPr>
            <w:r>
              <w:rPr>
                <w:szCs w:val="22"/>
              </w:rPr>
              <w:t>SprintCom, Inc.</w:t>
            </w:r>
          </w:p>
        </w:tc>
        <w:tc>
          <w:tcPr>
            <w:tcW w:w="1679" w:type="pct"/>
            <w:shd w:val="clear" w:color="C0C0C0" w:fill="auto"/>
          </w:tcPr>
          <w:p w14:paraId="42B7DA6A" w14:textId="76E86DAF" w:rsidR="00C40C56" w:rsidRDefault="00C40C56" w:rsidP="00C40C56">
            <w:pPr>
              <w:widowControl w:val="0"/>
              <w:rPr>
                <w:szCs w:val="22"/>
              </w:rPr>
            </w:pPr>
            <w:r>
              <w:rPr>
                <w:szCs w:val="22"/>
              </w:rPr>
              <w:t>USCOC Nebraska/Kansas, LLC</w:t>
            </w:r>
          </w:p>
        </w:tc>
        <w:tc>
          <w:tcPr>
            <w:tcW w:w="765" w:type="pct"/>
            <w:shd w:val="clear" w:color="C0C0C0" w:fill="auto"/>
          </w:tcPr>
          <w:p w14:paraId="2242DED7" w14:textId="470493FC" w:rsidR="00C40C56" w:rsidRDefault="00E15AD8" w:rsidP="00C40C56">
            <w:pPr>
              <w:widowControl w:val="0"/>
              <w:ind w:hanging="40"/>
              <w:rPr>
                <w:szCs w:val="22"/>
              </w:rPr>
            </w:pPr>
            <w:r>
              <w:rPr>
                <w:szCs w:val="22"/>
              </w:rPr>
              <w:t>WQGD658</w:t>
            </w:r>
          </w:p>
        </w:tc>
      </w:tr>
      <w:tr w:rsidR="00C17FE7" w14:paraId="2712DF72" w14:textId="77777777" w:rsidTr="00984EE5">
        <w:trPr>
          <w:cantSplit/>
          <w:trHeight w:hRule="exact" w:val="144"/>
        </w:trPr>
        <w:tc>
          <w:tcPr>
            <w:tcW w:w="865" w:type="pct"/>
            <w:shd w:val="clear" w:color="auto" w:fill="auto"/>
          </w:tcPr>
          <w:p w14:paraId="0CD0C664" w14:textId="77777777" w:rsidR="00C17FE7" w:rsidRDefault="00C17FE7" w:rsidP="00C17FE7">
            <w:pPr>
              <w:widowControl w:val="0"/>
              <w:tabs>
                <w:tab w:val="left" w:pos="720"/>
              </w:tabs>
            </w:pPr>
          </w:p>
        </w:tc>
        <w:tc>
          <w:tcPr>
            <w:tcW w:w="1691" w:type="pct"/>
            <w:shd w:val="clear" w:color="C0C0C0" w:fill="auto"/>
          </w:tcPr>
          <w:p w14:paraId="40579184" w14:textId="77777777" w:rsidR="00C17FE7" w:rsidRDefault="00C17FE7" w:rsidP="001500CB">
            <w:pPr>
              <w:widowControl w:val="0"/>
              <w:ind w:left="-43"/>
              <w:rPr>
                <w:szCs w:val="22"/>
              </w:rPr>
            </w:pPr>
          </w:p>
        </w:tc>
        <w:tc>
          <w:tcPr>
            <w:tcW w:w="1679" w:type="pct"/>
            <w:shd w:val="clear" w:color="C0C0C0" w:fill="auto"/>
          </w:tcPr>
          <w:p w14:paraId="7A764EB7" w14:textId="77777777" w:rsidR="00C17FE7" w:rsidRDefault="00C17FE7" w:rsidP="001500CB">
            <w:pPr>
              <w:widowControl w:val="0"/>
              <w:rPr>
                <w:szCs w:val="22"/>
              </w:rPr>
            </w:pPr>
          </w:p>
        </w:tc>
        <w:tc>
          <w:tcPr>
            <w:tcW w:w="765" w:type="pct"/>
            <w:shd w:val="clear" w:color="C0C0C0" w:fill="auto"/>
          </w:tcPr>
          <w:p w14:paraId="27B6B38D" w14:textId="77777777" w:rsidR="00C17FE7" w:rsidRDefault="00C17FE7" w:rsidP="00C17FE7">
            <w:pPr>
              <w:widowControl w:val="0"/>
              <w:ind w:hanging="40"/>
              <w:rPr>
                <w:szCs w:val="22"/>
              </w:rPr>
            </w:pPr>
          </w:p>
        </w:tc>
      </w:tr>
      <w:tr w:rsidR="00C63A9B" w14:paraId="4DCBDF1E" w14:textId="77777777" w:rsidTr="00984EE5">
        <w:trPr>
          <w:cantSplit/>
          <w:trHeight w:val="152"/>
        </w:trPr>
        <w:tc>
          <w:tcPr>
            <w:tcW w:w="865" w:type="pct"/>
            <w:shd w:val="clear" w:color="auto" w:fill="auto"/>
          </w:tcPr>
          <w:p w14:paraId="1A12ED3C" w14:textId="01BC974D" w:rsidR="00C63A9B" w:rsidRPr="009F4951" w:rsidRDefault="00C63A9B" w:rsidP="00C63A9B">
            <w:pPr>
              <w:widowControl w:val="0"/>
              <w:tabs>
                <w:tab w:val="left" w:pos="720"/>
              </w:tabs>
            </w:pPr>
            <w:r>
              <w:rPr>
                <w:szCs w:val="22"/>
              </w:rPr>
              <w:t>50007AWAA16</w:t>
            </w:r>
            <w:r w:rsidRPr="00C40C56">
              <w:rPr>
                <w:rStyle w:val="FootnoteReference"/>
                <w:sz w:val="20"/>
              </w:rPr>
              <w:footnoteReference w:id="6"/>
            </w:r>
          </w:p>
        </w:tc>
        <w:tc>
          <w:tcPr>
            <w:tcW w:w="1691" w:type="pct"/>
            <w:shd w:val="clear" w:color="C0C0C0" w:fill="auto"/>
          </w:tcPr>
          <w:p w14:paraId="6323E1F3" w14:textId="03D75A01" w:rsidR="00C63A9B" w:rsidRDefault="00C63A9B" w:rsidP="00C63A9B">
            <w:pPr>
              <w:widowControl w:val="0"/>
              <w:ind w:left="-43"/>
              <w:rPr>
                <w:szCs w:val="22"/>
              </w:rPr>
            </w:pPr>
            <w:r>
              <w:rPr>
                <w:szCs w:val="22"/>
              </w:rPr>
              <w:t>SprintCom, Inc.</w:t>
            </w:r>
          </w:p>
        </w:tc>
        <w:tc>
          <w:tcPr>
            <w:tcW w:w="1679" w:type="pct"/>
            <w:shd w:val="clear" w:color="C0C0C0" w:fill="auto"/>
          </w:tcPr>
          <w:p w14:paraId="72A0083B" w14:textId="7DC971F5" w:rsidR="00C63A9B" w:rsidRDefault="00C63A9B" w:rsidP="00C63A9B">
            <w:pPr>
              <w:widowControl w:val="0"/>
              <w:rPr>
                <w:szCs w:val="22"/>
              </w:rPr>
            </w:pPr>
            <w:r>
              <w:rPr>
                <w:szCs w:val="22"/>
              </w:rPr>
              <w:t>United States Cellular Operating Company of Chicago, LLC</w:t>
            </w:r>
          </w:p>
        </w:tc>
        <w:tc>
          <w:tcPr>
            <w:tcW w:w="765" w:type="pct"/>
            <w:shd w:val="clear" w:color="C0C0C0" w:fill="auto"/>
          </w:tcPr>
          <w:p w14:paraId="0068C14A" w14:textId="4AFB0832" w:rsidR="00C63A9B" w:rsidRDefault="00C63A9B" w:rsidP="00C63A9B">
            <w:pPr>
              <w:widowControl w:val="0"/>
              <w:ind w:hanging="40"/>
              <w:rPr>
                <w:szCs w:val="22"/>
              </w:rPr>
            </w:pPr>
            <w:r>
              <w:rPr>
                <w:szCs w:val="22"/>
              </w:rPr>
              <w:t>WQGD653</w:t>
            </w:r>
          </w:p>
        </w:tc>
      </w:tr>
    </w:tbl>
    <w:p w14:paraId="3B4FBF59"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7D6C9411"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7"/>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8"/>
      </w:r>
    </w:p>
    <w:p w14:paraId="49794F1B"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9"/>
      </w:r>
      <w:r w:rsidRPr="00144BD1">
        <w:rPr>
          <w:rStyle w:val="Normal10"/>
          <w:sz w:val="22"/>
          <w:szCs w:val="22"/>
        </w:rPr>
        <w:t xml:space="preserve">  More than a one- or two-sentence description of the </w:t>
      </w:r>
      <w:r w:rsidRPr="00144BD1">
        <w:rPr>
          <w:rStyle w:val="Normal10"/>
          <w:sz w:val="22"/>
          <w:szCs w:val="22"/>
        </w:rPr>
        <w:lastRenderedPageBreak/>
        <w:t>views and arguments presented is generally required.</w:t>
      </w:r>
      <w:r w:rsidRPr="006C4A65">
        <w:rPr>
          <w:rStyle w:val="FootnoteReference"/>
          <w:sz w:val="20"/>
        </w:rPr>
        <w:footnoteReference w:id="10"/>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11"/>
      </w:r>
    </w:p>
    <w:p w14:paraId="4DDC8D42" w14:textId="77777777" w:rsidR="00144BD1" w:rsidRDefault="00144BD1" w:rsidP="00144BD1">
      <w:pPr>
        <w:keepNext/>
        <w:spacing w:after="120"/>
        <w:outlineLvl w:val="0"/>
        <w:rPr>
          <w:b/>
          <w:szCs w:val="22"/>
        </w:rPr>
      </w:pPr>
      <w:r>
        <w:rPr>
          <w:b/>
          <w:szCs w:val="22"/>
        </w:rPr>
        <w:t>IV.</w:t>
      </w:r>
      <w:r>
        <w:rPr>
          <w:b/>
          <w:szCs w:val="22"/>
        </w:rPr>
        <w:tab/>
        <w:t>GENERAL INFORMATION</w:t>
      </w:r>
    </w:p>
    <w:p w14:paraId="2123FDA3" w14:textId="77777777" w:rsidR="00144BD1" w:rsidRDefault="00144BD1" w:rsidP="00CF1545">
      <w:pPr>
        <w:spacing w:after="120"/>
        <w:ind w:firstLine="720"/>
        <w:rPr>
          <w:szCs w:val="22"/>
        </w:rPr>
      </w:pPr>
      <w:r>
        <w:rPr>
          <w:szCs w:val="22"/>
        </w:rPr>
        <w:t>The assignment application</w:t>
      </w:r>
      <w:r w:rsidR="00494CFB">
        <w:rPr>
          <w:szCs w:val="22"/>
        </w:rPr>
        <w:t>s have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14:paraId="7CC615D3" w14:textId="0DF7BC03" w:rsidR="00144BD1" w:rsidRDefault="00144BD1" w:rsidP="00CF1545">
      <w:pPr>
        <w:spacing w:after="120"/>
        <w:ind w:firstLine="720"/>
        <w:rPr>
          <w:b/>
          <w:szCs w:val="22"/>
        </w:rPr>
      </w:pPr>
      <w:r>
        <w:rPr>
          <w:szCs w:val="22"/>
        </w:rPr>
        <w:t xml:space="preserve">Interested parties must file petitions to deny no later than </w:t>
      </w:r>
      <w:r w:rsidR="00C8253D">
        <w:rPr>
          <w:b/>
          <w:spacing w:val="-2"/>
          <w:szCs w:val="22"/>
        </w:rPr>
        <w:t>July 28</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C8253D">
        <w:rPr>
          <w:b/>
          <w:spacing w:val="-2"/>
          <w:szCs w:val="22"/>
        </w:rPr>
        <w:t>August 4</w:t>
      </w:r>
      <w:r>
        <w:rPr>
          <w:b/>
          <w:spacing w:val="-2"/>
          <w:szCs w:val="22"/>
        </w:rPr>
        <w:t>, 2016</w:t>
      </w:r>
      <w:r>
        <w:rPr>
          <w:szCs w:val="22"/>
        </w:rPr>
        <w:t xml:space="preserve">.  Replies to such pleadings must be filed no later than </w:t>
      </w:r>
      <w:r w:rsidR="00C8253D">
        <w:rPr>
          <w:b/>
          <w:spacing w:val="-2"/>
          <w:szCs w:val="22"/>
        </w:rPr>
        <w:t>August 11</w:t>
      </w:r>
      <w:r>
        <w:rPr>
          <w:b/>
          <w:szCs w:val="22"/>
        </w:rPr>
        <w:t>, 2016</w:t>
      </w:r>
      <w:r>
        <w:rPr>
          <w:szCs w:val="22"/>
        </w:rPr>
        <w:t xml:space="preserve">.  </w:t>
      </w:r>
      <w:r w:rsidR="005265A2">
        <w:rPr>
          <w:szCs w:val="22"/>
        </w:rPr>
        <w:t>All filings concerning matters referenced in this Public Notice should refer to WT Docket No. 16-</w:t>
      </w:r>
      <w:r w:rsidR="00587EB1">
        <w:rPr>
          <w:szCs w:val="22"/>
        </w:rPr>
        <w:t>179</w:t>
      </w:r>
      <w:r w:rsidRPr="006C4A65">
        <w:rPr>
          <w:szCs w:val="22"/>
        </w:rPr>
        <w:t>.</w:t>
      </w:r>
    </w:p>
    <w:p w14:paraId="56404805" w14:textId="77777777"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9A1451">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12"/>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7B17D821" w14:textId="299F7AC3"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3"/>
      </w:r>
      <w:r>
        <w:rPr>
          <w:szCs w:val="22"/>
        </w:rPr>
        <w:t xml:space="preserve"> submissions in this matter may be filed electronically through the Commission’s </w:t>
      </w:r>
      <w:r w:rsidR="005265A2">
        <w:rPr>
          <w:szCs w:val="22"/>
        </w:rPr>
        <w:t>Electronic Comment Filing System (ECFS) or by hand delivery to the Commission</w:t>
      </w:r>
      <w:r>
        <w:rPr>
          <w:szCs w:val="22"/>
        </w:rPr>
        <w:t>.</w:t>
      </w:r>
    </w:p>
    <w:p w14:paraId="5CCB74E7" w14:textId="4D630A09" w:rsidR="00B63AD7" w:rsidRDefault="005265A2"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4"/>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001A074C" w:rsidRPr="007D6670">
        <w:rPr>
          <w:szCs w:val="22"/>
        </w:rPr>
        <w:t>.</w:t>
      </w:r>
    </w:p>
    <w:p w14:paraId="0450B922"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27DB0074" w14:textId="47C46330"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w:t>
      </w:r>
      <w:r w:rsidR="00654A36">
        <w:rPr>
          <w:szCs w:val="22"/>
        </w:rPr>
        <w:t xml:space="preserve">(2) Linda Ray, Broadband Division, Wireless Telecommunications Bureau, at </w:t>
      </w:r>
      <w:r w:rsidR="00654A36" w:rsidRPr="004808EC">
        <w:rPr>
          <w:szCs w:val="22"/>
        </w:rPr>
        <w:t>linda.ray@fcc.gov</w:t>
      </w:r>
      <w:r w:rsidR="00654A36">
        <w:rPr>
          <w:szCs w:val="22"/>
        </w:rPr>
        <w:t xml:space="preserve"> or (202</w:t>
      </w:r>
      <w:r w:rsidR="00550770">
        <w:rPr>
          <w:szCs w:val="22"/>
        </w:rPr>
        <w:t>)</w:t>
      </w:r>
      <w:r w:rsidR="00654A36">
        <w:rPr>
          <w:szCs w:val="22"/>
        </w:rPr>
        <w:t xml:space="preserve"> 418-7247</w:t>
      </w:r>
      <w:r w:rsidR="00550770">
        <w:rPr>
          <w:szCs w:val="22"/>
        </w:rPr>
        <w:t xml:space="preserve"> (facsimile)</w:t>
      </w:r>
      <w:r w:rsidR="00654A36">
        <w:rPr>
          <w:szCs w:val="22"/>
        </w:rPr>
        <w:t xml:space="preserve">; </w:t>
      </w:r>
      <w:r>
        <w:rPr>
          <w:szCs w:val="22"/>
        </w:rPr>
        <w:t>(</w:t>
      </w:r>
      <w:r w:rsidR="00654A36">
        <w:rPr>
          <w:szCs w:val="22"/>
        </w:rPr>
        <w:t>3</w:t>
      </w:r>
      <w:r>
        <w:rPr>
          <w:szCs w:val="22"/>
        </w:rPr>
        <w:t>)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w:t>
      </w:r>
      <w:r w:rsidR="00654A36">
        <w:rPr>
          <w:color w:val="000000"/>
          <w:szCs w:val="22"/>
        </w:rPr>
        <w:t>4</w:t>
      </w:r>
      <w:r>
        <w:rPr>
          <w:color w:val="000000"/>
          <w:szCs w:val="22"/>
        </w:rPr>
        <w:t>) Jim Bird, Office of General Counsel, at TransactionTeam@fcc.gov or (202) 418-1234 (facsimile)</w:t>
      </w:r>
      <w:r>
        <w:rPr>
          <w:szCs w:val="22"/>
        </w:rPr>
        <w:t>.</w:t>
      </w:r>
    </w:p>
    <w:p w14:paraId="17AD3756" w14:textId="77777777" w:rsidR="00BF7452" w:rsidRDefault="00BF7452" w:rsidP="00CF1545">
      <w:pPr>
        <w:spacing w:after="120"/>
        <w:ind w:firstLine="720"/>
      </w:pPr>
      <w:r>
        <w:rPr>
          <w:color w:val="000000"/>
          <w:szCs w:val="22"/>
        </w:rPr>
        <w:t>The application</w:t>
      </w:r>
      <w:r w:rsidR="009A1451">
        <w:rPr>
          <w:color w:val="000000"/>
          <w:szCs w:val="22"/>
        </w:rPr>
        <w:t>s</w:t>
      </w:r>
      <w:r>
        <w:rPr>
          <w:color w:val="000000"/>
          <w:szCs w:val="22"/>
        </w:rPr>
        <w:t xml:space="preserve">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w:t>
      </w:r>
      <w:r w:rsidR="009A1451">
        <w:rPr>
          <w:color w:val="000000"/>
          <w:szCs w:val="22"/>
        </w:rPr>
        <w:t>s</w:t>
      </w:r>
      <w:r>
        <w:rPr>
          <w:color w:val="000000"/>
          <w:szCs w:val="22"/>
        </w:rPr>
        <w:t xml:space="preserve"> also </w:t>
      </w:r>
      <w:r w:rsidR="009A1451">
        <w:rPr>
          <w:color w:val="000000"/>
          <w:szCs w:val="22"/>
        </w:rPr>
        <w:t>are</w:t>
      </w:r>
      <w:r>
        <w:rPr>
          <w:color w:val="000000"/>
          <w:szCs w:val="22"/>
        </w:rPr>
        <w:t xml:space="preserve">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6B30A5DF" w14:textId="77777777" w:rsidR="00BF7452" w:rsidRDefault="00BF7452" w:rsidP="004A1024">
      <w:pPr>
        <w:keepNext/>
        <w:keepLines/>
        <w:spacing w:after="120"/>
        <w:ind w:firstLine="720"/>
        <w:rPr>
          <w:szCs w:val="22"/>
        </w:rPr>
      </w:pPr>
      <w:r>
        <w:rPr>
          <w:szCs w:val="22"/>
        </w:rPr>
        <w:t xml:space="preserve">For further information, contact </w:t>
      </w:r>
      <w:r>
        <w:rPr>
          <w:rFonts w:cs="TmsRmn"/>
          <w:szCs w:val="22"/>
        </w:rPr>
        <w:t xml:space="preserve">Scott Patrick, </w:t>
      </w:r>
      <w:r>
        <w:rPr>
          <w:szCs w:val="22"/>
        </w:rPr>
        <w:t>Mobility Division, Wireless Telecommunications Bureau, at (202) 418-2853, or Kate Matraves, Competition and Infrastructure Policy Division, Wireless Telecommunications Bureau, at (202) 391-6272.</w:t>
      </w:r>
    </w:p>
    <w:p w14:paraId="44584EBA"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84454" w14:textId="77777777" w:rsidR="007665F9" w:rsidRDefault="007665F9">
      <w:r>
        <w:separator/>
      </w:r>
    </w:p>
  </w:endnote>
  <w:endnote w:type="continuationSeparator" w:id="0">
    <w:p w14:paraId="69D289C3" w14:textId="77777777"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45A1" w14:textId="77777777" w:rsidR="000123AB" w:rsidRDefault="00012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D87C1" w14:textId="77777777" w:rsidR="006C79CB" w:rsidRDefault="006C79CB" w:rsidP="006C79CB">
    <w:pPr>
      <w:pStyle w:val="Footer"/>
      <w:jc w:val="center"/>
    </w:pPr>
    <w:r>
      <w:fldChar w:fldCharType="begin"/>
    </w:r>
    <w:r>
      <w:instrText xml:space="preserve"> PAGE   \* MERGEFORMAT </w:instrText>
    </w:r>
    <w:r>
      <w:fldChar w:fldCharType="separate"/>
    </w:r>
    <w:r w:rsidR="00C65D3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96C8" w14:textId="77777777" w:rsidR="000123AB" w:rsidRDefault="0001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9A63" w14:textId="77777777" w:rsidR="007665F9" w:rsidRDefault="007665F9">
      <w:r>
        <w:separator/>
      </w:r>
    </w:p>
  </w:footnote>
  <w:footnote w:type="continuationSeparator" w:id="0">
    <w:p w14:paraId="1DC2E0B9" w14:textId="77777777" w:rsidR="007665F9" w:rsidRDefault="007665F9">
      <w:r>
        <w:continuationSeparator/>
      </w:r>
    </w:p>
  </w:footnote>
  <w:footnote w:id="1">
    <w:p w14:paraId="16696732" w14:textId="77777777" w:rsidR="007A67C8" w:rsidRDefault="007A67C8" w:rsidP="007A67C8">
      <w:pPr>
        <w:pStyle w:val="FootnoteText"/>
      </w:pPr>
      <w:r>
        <w:rPr>
          <w:rStyle w:val="FootnoteReference"/>
        </w:rPr>
        <w:footnoteRef/>
      </w:r>
      <w:r>
        <w:t xml:space="preserve"> 47 U.S.C. § 310(d).  </w:t>
      </w:r>
    </w:p>
  </w:footnote>
  <w:footnote w:id="2">
    <w:p w14:paraId="64A8990B" w14:textId="1DE35513" w:rsidR="002A4341" w:rsidRDefault="002A4341">
      <w:pPr>
        <w:pStyle w:val="FootnoteText"/>
      </w:pPr>
      <w:r>
        <w:rPr>
          <w:rStyle w:val="FootnoteReference"/>
        </w:rPr>
        <w:footnoteRef/>
      </w:r>
      <w:r>
        <w:t xml:space="preserve"> </w:t>
      </w:r>
      <w:r w:rsidR="00203F37">
        <w:t xml:space="preserve">The Sprint subsidiaries are:  </w:t>
      </w:r>
      <w:r w:rsidR="00A16F84">
        <w:rPr>
          <w:szCs w:val="22"/>
        </w:rPr>
        <w:t>SprintCom, Inc.</w:t>
      </w:r>
      <w:r w:rsidR="00203F37">
        <w:rPr>
          <w:szCs w:val="22"/>
        </w:rPr>
        <w:t xml:space="preserve"> and Wirelessco, LLC.  The </w:t>
      </w:r>
      <w:r w:rsidR="00A16F84">
        <w:rPr>
          <w:szCs w:val="22"/>
        </w:rPr>
        <w:t>USCC</w:t>
      </w:r>
      <w:r w:rsidR="00203F37">
        <w:rPr>
          <w:szCs w:val="22"/>
        </w:rPr>
        <w:t xml:space="preserve"> subsidiaries are:  </w:t>
      </w:r>
      <w:r w:rsidR="00702C25">
        <w:rPr>
          <w:szCs w:val="22"/>
        </w:rPr>
        <w:t>McDaniel Ce</w:t>
      </w:r>
      <w:r w:rsidR="006416E4">
        <w:rPr>
          <w:szCs w:val="22"/>
        </w:rPr>
        <w:t>llular Telephone Company</w:t>
      </w:r>
      <w:r w:rsidR="00702C25">
        <w:rPr>
          <w:szCs w:val="22"/>
        </w:rPr>
        <w:t xml:space="preserve">; United States Cellular Operating Company of Chicago, LLC; </w:t>
      </w:r>
      <w:r w:rsidR="00F23CED">
        <w:rPr>
          <w:szCs w:val="22"/>
        </w:rPr>
        <w:t>USCOC Nebraska/Kansas, LLC; and USCOC of Central Illinois, LLC</w:t>
      </w:r>
      <w:r>
        <w:t>.</w:t>
      </w:r>
    </w:p>
  </w:footnote>
  <w:footnote w:id="3">
    <w:p w14:paraId="33041775" w14:textId="77777777" w:rsidR="00166A9B" w:rsidRDefault="00166A9B" w:rsidP="00166A9B">
      <w:pPr>
        <w:pStyle w:val="FootnoteText"/>
      </w:pPr>
      <w:r>
        <w:rPr>
          <w:rStyle w:val="FootnoteReference"/>
        </w:rPr>
        <w:footnoteRef/>
      </w:r>
      <w:r w:rsidR="001F1582">
        <w:t xml:space="preserve"> The Applicants</w:t>
      </w:r>
      <w:r>
        <w:t xml:space="preserve"> have designated this the lead application.</w:t>
      </w:r>
    </w:p>
  </w:footnote>
  <w:footnote w:id="4">
    <w:p w14:paraId="2E6A7BBB" w14:textId="3E1DAA83" w:rsidR="00C40C56" w:rsidRDefault="00C40C56">
      <w:pPr>
        <w:pStyle w:val="FootnoteText"/>
      </w:pPr>
      <w:r>
        <w:rPr>
          <w:rStyle w:val="FootnoteReference"/>
        </w:rPr>
        <w:footnoteRef/>
      </w:r>
      <w:r>
        <w:t xml:space="preserve"> The Applicants filed this application by paper because, at the time of filing, the associated license was licensed to another party and was being assigned to SprintCom, Inc.  This application is now available electronically.</w:t>
      </w:r>
    </w:p>
  </w:footnote>
  <w:footnote w:id="5">
    <w:p w14:paraId="1D7EAADF" w14:textId="77777777" w:rsidR="00E15AD8" w:rsidRDefault="00E15AD8" w:rsidP="00E15AD8">
      <w:pPr>
        <w:pStyle w:val="FootnoteText"/>
      </w:pPr>
      <w:r>
        <w:rPr>
          <w:rStyle w:val="FootnoteReference"/>
        </w:rPr>
        <w:footnoteRef/>
      </w:r>
      <w:r>
        <w:t xml:space="preserve"> The Applicants filed this application by paper because, at the time of filing, the associated license was licensed to another party and was being assigned to SprintCom, Inc.  This application is now available electronically.</w:t>
      </w:r>
    </w:p>
  </w:footnote>
  <w:footnote w:id="6">
    <w:p w14:paraId="3B05197F" w14:textId="77777777" w:rsidR="00C63A9B" w:rsidRDefault="00C63A9B" w:rsidP="00C63A9B">
      <w:pPr>
        <w:pStyle w:val="FootnoteText"/>
      </w:pPr>
      <w:r>
        <w:rPr>
          <w:rStyle w:val="FootnoteReference"/>
        </w:rPr>
        <w:footnoteRef/>
      </w:r>
      <w:r>
        <w:t xml:space="preserve"> The Applicants filed this application by paper because, at the time of filing, the associated license was licensed to another party and was being assigned to SprintCom, Inc.  This application is now available electronically.</w:t>
      </w:r>
    </w:p>
  </w:footnote>
  <w:footnote w:id="7">
    <w:p w14:paraId="2D59CAE1" w14:textId="77777777"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8">
    <w:p w14:paraId="68C8DD52" w14:textId="77777777" w:rsidR="00144BD1" w:rsidRDefault="00144BD1" w:rsidP="00144BD1">
      <w:pPr>
        <w:pStyle w:val="FootnoteText"/>
      </w:pPr>
      <w:r>
        <w:rPr>
          <w:rStyle w:val="FootnoteReference"/>
        </w:rPr>
        <w:footnoteRef/>
      </w:r>
      <w:r>
        <w:t xml:space="preserve"> 47 C.F.R. § 1.1206.</w:t>
      </w:r>
    </w:p>
  </w:footnote>
  <w:footnote w:id="9">
    <w:p w14:paraId="7CDF8CD8" w14:textId="77777777" w:rsidR="00144BD1" w:rsidRDefault="00144BD1" w:rsidP="00144BD1">
      <w:pPr>
        <w:pStyle w:val="FootnoteText"/>
      </w:pPr>
      <w:r>
        <w:rPr>
          <w:rStyle w:val="FootnoteReference"/>
        </w:rPr>
        <w:footnoteRef/>
      </w:r>
      <w:r>
        <w:t xml:space="preserve"> 47 C.F.R. § 1.1206(b)(1).</w:t>
      </w:r>
    </w:p>
  </w:footnote>
  <w:footnote w:id="10">
    <w:p w14:paraId="272B368D"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11">
    <w:p w14:paraId="3FD89145" w14:textId="77777777" w:rsidR="00144BD1" w:rsidRDefault="00144BD1" w:rsidP="00144BD1">
      <w:pPr>
        <w:pStyle w:val="FootnoteText"/>
      </w:pPr>
      <w:r>
        <w:rPr>
          <w:rStyle w:val="FootnoteReference"/>
        </w:rPr>
        <w:footnoteRef/>
      </w:r>
      <w:r>
        <w:t xml:space="preserve"> </w:t>
      </w:r>
      <w:r w:rsidRPr="00984C82">
        <w:t>47</w:t>
      </w:r>
      <w:r>
        <w:t xml:space="preserve"> C.F.R. § 1.1206(b).</w:t>
      </w:r>
    </w:p>
  </w:footnote>
  <w:footnote w:id="12">
    <w:p w14:paraId="7249D9EE" w14:textId="77777777" w:rsidR="00144BD1" w:rsidRDefault="00144BD1" w:rsidP="00144BD1">
      <w:pPr>
        <w:pStyle w:val="FootnoteText"/>
      </w:pPr>
      <w:r>
        <w:rPr>
          <w:rStyle w:val="FootnoteReference"/>
        </w:rPr>
        <w:footnoteRef/>
      </w:r>
      <w:r>
        <w:t xml:space="preserve"> 47 C.F.R. § 1.45(c).</w:t>
      </w:r>
    </w:p>
  </w:footnote>
  <w:footnote w:id="13">
    <w:p w14:paraId="163A85CF"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4">
    <w:p w14:paraId="6B84D8A1" w14:textId="77777777" w:rsidR="005265A2" w:rsidRDefault="005265A2" w:rsidP="005265A2">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E20A" w14:textId="77777777" w:rsidR="000123AB" w:rsidRDefault="00012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B8BD8" w14:textId="77777777" w:rsidR="000123AB" w:rsidRDefault="00012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5A14"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006AE764" wp14:editId="203B9E07">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4A471" w14:textId="77777777" w:rsidR="00602577" w:rsidRDefault="00602577">
                          <w:pPr>
                            <w:rPr>
                              <w:rFonts w:ascii="Arial" w:hAnsi="Arial"/>
                              <w:b/>
                            </w:rPr>
                          </w:pPr>
                          <w:r>
                            <w:rPr>
                              <w:rFonts w:ascii="Arial" w:hAnsi="Arial"/>
                              <w:b/>
                            </w:rPr>
                            <w:t>Federal Communications Commission</w:t>
                          </w:r>
                        </w:p>
                        <w:p w14:paraId="2C853AF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E33431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2A2A3CF3" wp14:editId="3171036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272663D8"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579CE67D" wp14:editId="39433DF6">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C4033" w14:textId="77777777" w:rsidR="00602577" w:rsidRDefault="00602577">
                          <w:pPr>
                            <w:spacing w:before="40"/>
                            <w:jc w:val="right"/>
                            <w:rPr>
                              <w:rFonts w:ascii="Arial" w:hAnsi="Arial"/>
                              <w:b/>
                              <w:sz w:val="16"/>
                            </w:rPr>
                          </w:pPr>
                          <w:r>
                            <w:rPr>
                              <w:rFonts w:ascii="Arial" w:hAnsi="Arial"/>
                              <w:b/>
                              <w:sz w:val="16"/>
                            </w:rPr>
                            <w:t>News Media Information 202 / 418-0500</w:t>
                          </w:r>
                        </w:p>
                        <w:p w14:paraId="5577C6AF"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F0DFF76" w14:textId="77777777" w:rsidR="00602577" w:rsidRDefault="00602577">
                          <w:pPr>
                            <w:jc w:val="right"/>
                            <w:rPr>
                              <w:rFonts w:ascii="Arial" w:hAnsi="Arial"/>
                              <w:b/>
                              <w:sz w:val="16"/>
                            </w:rPr>
                          </w:pPr>
                          <w:r>
                            <w:rPr>
                              <w:rFonts w:ascii="Arial" w:hAnsi="Arial"/>
                              <w:b/>
                              <w:sz w:val="16"/>
                            </w:rPr>
                            <w:t>TTY: 1-888-835-5322</w:t>
                          </w:r>
                        </w:p>
                        <w:p w14:paraId="070E548C"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63ACE1C7" wp14:editId="7A5E8035">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06D12040"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23AB"/>
    <w:rsid w:val="000177BF"/>
    <w:rsid w:val="000265AE"/>
    <w:rsid w:val="0006603C"/>
    <w:rsid w:val="00075DF4"/>
    <w:rsid w:val="000B654E"/>
    <w:rsid w:val="000D3979"/>
    <w:rsid w:val="000D5731"/>
    <w:rsid w:val="00112BBE"/>
    <w:rsid w:val="001370AC"/>
    <w:rsid w:val="00144BD1"/>
    <w:rsid w:val="00147D83"/>
    <w:rsid w:val="001500CB"/>
    <w:rsid w:val="0016457A"/>
    <w:rsid w:val="00164B87"/>
    <w:rsid w:val="001662AA"/>
    <w:rsid w:val="00166A9B"/>
    <w:rsid w:val="0017015E"/>
    <w:rsid w:val="001A074C"/>
    <w:rsid w:val="001A70D6"/>
    <w:rsid w:val="001B0E38"/>
    <w:rsid w:val="001B353C"/>
    <w:rsid w:val="001D2E9E"/>
    <w:rsid w:val="001D3300"/>
    <w:rsid w:val="001F1582"/>
    <w:rsid w:val="001F3955"/>
    <w:rsid w:val="00203F37"/>
    <w:rsid w:val="00227843"/>
    <w:rsid w:val="0023014C"/>
    <w:rsid w:val="00235C25"/>
    <w:rsid w:val="00255744"/>
    <w:rsid w:val="00266D2F"/>
    <w:rsid w:val="002A4341"/>
    <w:rsid w:val="002B6478"/>
    <w:rsid w:val="002B77E1"/>
    <w:rsid w:val="002C22BA"/>
    <w:rsid w:val="002C54C3"/>
    <w:rsid w:val="002C6DD4"/>
    <w:rsid w:val="002D65DD"/>
    <w:rsid w:val="002E1372"/>
    <w:rsid w:val="002E1A82"/>
    <w:rsid w:val="002F3095"/>
    <w:rsid w:val="002F3210"/>
    <w:rsid w:val="002F4605"/>
    <w:rsid w:val="00310E62"/>
    <w:rsid w:val="00322A90"/>
    <w:rsid w:val="0032401F"/>
    <w:rsid w:val="00336875"/>
    <w:rsid w:val="003378B4"/>
    <w:rsid w:val="00350752"/>
    <w:rsid w:val="003546AB"/>
    <w:rsid w:val="00354A0A"/>
    <w:rsid w:val="003556E3"/>
    <w:rsid w:val="00373E87"/>
    <w:rsid w:val="003938C6"/>
    <w:rsid w:val="003C5B79"/>
    <w:rsid w:val="003E39BE"/>
    <w:rsid w:val="003E7E52"/>
    <w:rsid w:val="00401BE2"/>
    <w:rsid w:val="0040764C"/>
    <w:rsid w:val="00413631"/>
    <w:rsid w:val="00424A28"/>
    <w:rsid w:val="00446812"/>
    <w:rsid w:val="00463258"/>
    <w:rsid w:val="00475E25"/>
    <w:rsid w:val="004773CD"/>
    <w:rsid w:val="004808EC"/>
    <w:rsid w:val="004859D7"/>
    <w:rsid w:val="00494CFB"/>
    <w:rsid w:val="004967B3"/>
    <w:rsid w:val="004977F5"/>
    <w:rsid w:val="004A1024"/>
    <w:rsid w:val="004A4D87"/>
    <w:rsid w:val="004A5B3B"/>
    <w:rsid w:val="004B4442"/>
    <w:rsid w:val="004C7188"/>
    <w:rsid w:val="004E0875"/>
    <w:rsid w:val="00507FC2"/>
    <w:rsid w:val="00517D1E"/>
    <w:rsid w:val="00523E3A"/>
    <w:rsid w:val="005265A2"/>
    <w:rsid w:val="005377B1"/>
    <w:rsid w:val="00543F3A"/>
    <w:rsid w:val="00550770"/>
    <w:rsid w:val="005524C4"/>
    <w:rsid w:val="005618BE"/>
    <w:rsid w:val="00587EB1"/>
    <w:rsid w:val="005960AD"/>
    <w:rsid w:val="00596439"/>
    <w:rsid w:val="005C657D"/>
    <w:rsid w:val="005D5192"/>
    <w:rsid w:val="005D7355"/>
    <w:rsid w:val="005D73A0"/>
    <w:rsid w:val="005F3C33"/>
    <w:rsid w:val="00602577"/>
    <w:rsid w:val="00602DD9"/>
    <w:rsid w:val="00606F7B"/>
    <w:rsid w:val="006416E4"/>
    <w:rsid w:val="00654A36"/>
    <w:rsid w:val="00672CE0"/>
    <w:rsid w:val="0068533A"/>
    <w:rsid w:val="00695AA3"/>
    <w:rsid w:val="006B0B8D"/>
    <w:rsid w:val="006C4A65"/>
    <w:rsid w:val="006C79CB"/>
    <w:rsid w:val="006E2927"/>
    <w:rsid w:val="006E5293"/>
    <w:rsid w:val="00700489"/>
    <w:rsid w:val="00701D32"/>
    <w:rsid w:val="00702C25"/>
    <w:rsid w:val="00740E3F"/>
    <w:rsid w:val="00746982"/>
    <w:rsid w:val="007641DD"/>
    <w:rsid w:val="007665F9"/>
    <w:rsid w:val="007670E9"/>
    <w:rsid w:val="00787A9A"/>
    <w:rsid w:val="007A59DA"/>
    <w:rsid w:val="007A67C8"/>
    <w:rsid w:val="007B00E4"/>
    <w:rsid w:val="007B3539"/>
    <w:rsid w:val="007B6C44"/>
    <w:rsid w:val="007B79E1"/>
    <w:rsid w:val="007D275D"/>
    <w:rsid w:val="007E4D75"/>
    <w:rsid w:val="0081025A"/>
    <w:rsid w:val="008169DB"/>
    <w:rsid w:val="00857A3A"/>
    <w:rsid w:val="008979AB"/>
    <w:rsid w:val="008A129E"/>
    <w:rsid w:val="008C0C9F"/>
    <w:rsid w:val="008C4A47"/>
    <w:rsid w:val="008D1CA6"/>
    <w:rsid w:val="00923A25"/>
    <w:rsid w:val="00946884"/>
    <w:rsid w:val="009659BE"/>
    <w:rsid w:val="00970F96"/>
    <w:rsid w:val="009759FE"/>
    <w:rsid w:val="00984EE5"/>
    <w:rsid w:val="00985E51"/>
    <w:rsid w:val="00992CE8"/>
    <w:rsid w:val="009A1451"/>
    <w:rsid w:val="009B35EB"/>
    <w:rsid w:val="009B3B3C"/>
    <w:rsid w:val="009F22C4"/>
    <w:rsid w:val="009F23A9"/>
    <w:rsid w:val="009F4951"/>
    <w:rsid w:val="00A06599"/>
    <w:rsid w:val="00A07469"/>
    <w:rsid w:val="00A12BAB"/>
    <w:rsid w:val="00A16F84"/>
    <w:rsid w:val="00A24006"/>
    <w:rsid w:val="00A3339D"/>
    <w:rsid w:val="00A3716E"/>
    <w:rsid w:val="00A576F0"/>
    <w:rsid w:val="00A71501"/>
    <w:rsid w:val="00A81D20"/>
    <w:rsid w:val="00A830C2"/>
    <w:rsid w:val="00AE289F"/>
    <w:rsid w:val="00AE3030"/>
    <w:rsid w:val="00AF167D"/>
    <w:rsid w:val="00AF3BE2"/>
    <w:rsid w:val="00B04555"/>
    <w:rsid w:val="00B04944"/>
    <w:rsid w:val="00B10477"/>
    <w:rsid w:val="00B17FC3"/>
    <w:rsid w:val="00B2625B"/>
    <w:rsid w:val="00B34F5B"/>
    <w:rsid w:val="00B5085D"/>
    <w:rsid w:val="00B63AD7"/>
    <w:rsid w:val="00B70214"/>
    <w:rsid w:val="00B80094"/>
    <w:rsid w:val="00BB2BCC"/>
    <w:rsid w:val="00BB36ED"/>
    <w:rsid w:val="00BB493B"/>
    <w:rsid w:val="00BC47CF"/>
    <w:rsid w:val="00BF7452"/>
    <w:rsid w:val="00C10403"/>
    <w:rsid w:val="00C11519"/>
    <w:rsid w:val="00C14A30"/>
    <w:rsid w:val="00C17FE7"/>
    <w:rsid w:val="00C244DD"/>
    <w:rsid w:val="00C25018"/>
    <w:rsid w:val="00C259C9"/>
    <w:rsid w:val="00C40C56"/>
    <w:rsid w:val="00C63A9B"/>
    <w:rsid w:val="00C65D31"/>
    <w:rsid w:val="00C67D0B"/>
    <w:rsid w:val="00C8253D"/>
    <w:rsid w:val="00CB3591"/>
    <w:rsid w:val="00CC5B1E"/>
    <w:rsid w:val="00CD20F2"/>
    <w:rsid w:val="00CD643A"/>
    <w:rsid w:val="00CF1545"/>
    <w:rsid w:val="00D07B74"/>
    <w:rsid w:val="00D17DC0"/>
    <w:rsid w:val="00D27721"/>
    <w:rsid w:val="00D41A8B"/>
    <w:rsid w:val="00D47AAE"/>
    <w:rsid w:val="00D60EFF"/>
    <w:rsid w:val="00D64966"/>
    <w:rsid w:val="00D7175C"/>
    <w:rsid w:val="00DA14B4"/>
    <w:rsid w:val="00DB1EFC"/>
    <w:rsid w:val="00DC0EEB"/>
    <w:rsid w:val="00DD5170"/>
    <w:rsid w:val="00DD62EB"/>
    <w:rsid w:val="00E0560A"/>
    <w:rsid w:val="00E15AD8"/>
    <w:rsid w:val="00E347B2"/>
    <w:rsid w:val="00E72D84"/>
    <w:rsid w:val="00E779F0"/>
    <w:rsid w:val="00E85F2E"/>
    <w:rsid w:val="00E86F74"/>
    <w:rsid w:val="00E91B28"/>
    <w:rsid w:val="00EA506D"/>
    <w:rsid w:val="00EA60FB"/>
    <w:rsid w:val="00EC2E50"/>
    <w:rsid w:val="00EC3058"/>
    <w:rsid w:val="00EC3E86"/>
    <w:rsid w:val="00ED3A7C"/>
    <w:rsid w:val="00EE70F7"/>
    <w:rsid w:val="00F00C1B"/>
    <w:rsid w:val="00F161F4"/>
    <w:rsid w:val="00F23CED"/>
    <w:rsid w:val="00F24B92"/>
    <w:rsid w:val="00F254BC"/>
    <w:rsid w:val="00F43D72"/>
    <w:rsid w:val="00F54F2E"/>
    <w:rsid w:val="00F56EF9"/>
    <w:rsid w:val="00F61DE1"/>
    <w:rsid w:val="00F74333"/>
    <w:rsid w:val="00F8410B"/>
    <w:rsid w:val="00FB028C"/>
    <w:rsid w:val="00FC100B"/>
    <w:rsid w:val="00FC6563"/>
    <w:rsid w:val="00FE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C06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2E1A82"/>
    <w:rPr>
      <w:sz w:val="16"/>
      <w:szCs w:val="16"/>
    </w:rPr>
  </w:style>
  <w:style w:type="paragraph" w:styleId="CommentText">
    <w:name w:val="annotation text"/>
    <w:basedOn w:val="Normal"/>
    <w:link w:val="CommentTextChar"/>
    <w:uiPriority w:val="99"/>
    <w:semiHidden/>
    <w:unhideWhenUsed/>
    <w:rsid w:val="002E1A82"/>
    <w:rPr>
      <w:sz w:val="20"/>
    </w:rPr>
  </w:style>
  <w:style w:type="character" w:customStyle="1" w:styleId="CommentTextChar">
    <w:name w:val="Comment Text Char"/>
    <w:basedOn w:val="DefaultParagraphFont"/>
    <w:link w:val="CommentText"/>
    <w:uiPriority w:val="99"/>
    <w:semiHidden/>
    <w:rsid w:val="002E1A82"/>
  </w:style>
  <w:style w:type="paragraph" w:styleId="CommentSubject">
    <w:name w:val="annotation subject"/>
    <w:basedOn w:val="CommentText"/>
    <w:next w:val="CommentText"/>
    <w:link w:val="CommentSubjectChar"/>
    <w:uiPriority w:val="99"/>
    <w:semiHidden/>
    <w:unhideWhenUsed/>
    <w:rsid w:val="002E1A82"/>
    <w:rPr>
      <w:b/>
      <w:bCs/>
    </w:rPr>
  </w:style>
  <w:style w:type="character" w:customStyle="1" w:styleId="CommentSubjectChar">
    <w:name w:val="Comment Subject Char"/>
    <w:basedOn w:val="CommentTextChar"/>
    <w:link w:val="CommentSubject"/>
    <w:uiPriority w:val="99"/>
    <w:semiHidden/>
    <w:rsid w:val="002E1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2E1A82"/>
    <w:rPr>
      <w:sz w:val="16"/>
      <w:szCs w:val="16"/>
    </w:rPr>
  </w:style>
  <w:style w:type="paragraph" w:styleId="CommentText">
    <w:name w:val="annotation text"/>
    <w:basedOn w:val="Normal"/>
    <w:link w:val="CommentTextChar"/>
    <w:uiPriority w:val="99"/>
    <w:semiHidden/>
    <w:unhideWhenUsed/>
    <w:rsid w:val="002E1A82"/>
    <w:rPr>
      <w:sz w:val="20"/>
    </w:rPr>
  </w:style>
  <w:style w:type="character" w:customStyle="1" w:styleId="CommentTextChar">
    <w:name w:val="Comment Text Char"/>
    <w:basedOn w:val="DefaultParagraphFont"/>
    <w:link w:val="CommentText"/>
    <w:uiPriority w:val="99"/>
    <w:semiHidden/>
    <w:rsid w:val="002E1A82"/>
  </w:style>
  <w:style w:type="paragraph" w:styleId="CommentSubject">
    <w:name w:val="annotation subject"/>
    <w:basedOn w:val="CommentText"/>
    <w:next w:val="CommentText"/>
    <w:link w:val="CommentSubjectChar"/>
    <w:uiPriority w:val="99"/>
    <w:semiHidden/>
    <w:unhideWhenUsed/>
    <w:rsid w:val="002E1A82"/>
    <w:rPr>
      <w:b/>
      <w:bCs/>
    </w:rPr>
  </w:style>
  <w:style w:type="character" w:customStyle="1" w:styleId="CommentSubjectChar">
    <w:name w:val="Comment Subject Char"/>
    <w:basedOn w:val="CommentTextChar"/>
    <w:link w:val="CommentSubject"/>
    <w:uiPriority w:val="99"/>
    <w:semiHidden/>
    <w:rsid w:val="002E1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1405</Words>
  <Characters>8220</Characters>
  <Application>Microsoft Office Word</Application>
  <DocSecurity>0</DocSecurity>
  <Lines>180</Lines>
  <Paragraphs>66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9601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2016-05-20T15:26:00Z</cp:lastPrinted>
  <dcterms:created xsi:type="dcterms:W3CDTF">2016-07-07T16:52:00Z</dcterms:created>
  <dcterms:modified xsi:type="dcterms:W3CDTF">2016-07-07T16:52:00Z</dcterms:modified>
  <cp:category> </cp:category>
  <cp:contentStatus> </cp:contentStatus>
</cp:coreProperties>
</file>