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06" w:rsidRDefault="00302F7F">
      <w:pPr>
        <w:jc w:val="center"/>
        <w:rPr>
          <w:b/>
          <w:szCs w:val="22"/>
        </w:rPr>
      </w:pPr>
      <w:bookmarkStart w:id="0" w:name="_GoBack"/>
      <w:bookmarkEnd w:id="0"/>
      <w:r>
        <w:rPr>
          <w:b/>
          <w:szCs w:val="22"/>
        </w:rPr>
        <w:t>B</w:t>
      </w:r>
      <w:r w:rsidR="00CF236D">
        <w:rPr>
          <w:b/>
          <w:szCs w:val="22"/>
        </w:rPr>
        <w:t>efore the</w:t>
      </w:r>
    </w:p>
    <w:p w:rsidR="006C1806" w:rsidRDefault="00CF236D">
      <w:pPr>
        <w:jc w:val="center"/>
        <w:rPr>
          <w:b/>
          <w:szCs w:val="22"/>
        </w:rPr>
      </w:pPr>
      <w:r>
        <w:rPr>
          <w:b/>
          <w:szCs w:val="22"/>
        </w:rPr>
        <w:t>Federal Communications Commission</w:t>
      </w:r>
    </w:p>
    <w:p w:rsidR="006C1806" w:rsidRDefault="00CF236D">
      <w:pPr>
        <w:jc w:val="center"/>
        <w:rPr>
          <w:b/>
          <w:szCs w:val="22"/>
        </w:rPr>
      </w:pPr>
      <w:r>
        <w:rPr>
          <w:b/>
          <w:szCs w:val="22"/>
        </w:rPr>
        <w:t>Washington, D.C. 20554</w:t>
      </w:r>
    </w:p>
    <w:p w:rsidR="006C1806" w:rsidRDefault="006C1806">
      <w:pPr>
        <w:rPr>
          <w:szCs w:val="22"/>
        </w:rPr>
      </w:pPr>
    </w:p>
    <w:tbl>
      <w:tblPr>
        <w:tblW w:w="9648" w:type="dxa"/>
        <w:tblLayout w:type="fixed"/>
        <w:tblLook w:val="0000" w:firstRow="0" w:lastRow="0" w:firstColumn="0" w:lastColumn="0" w:noHBand="0" w:noVBand="0"/>
      </w:tblPr>
      <w:tblGrid>
        <w:gridCol w:w="4698"/>
        <w:gridCol w:w="720"/>
        <w:gridCol w:w="4230"/>
      </w:tblGrid>
      <w:tr w:rsidR="006C1806">
        <w:tc>
          <w:tcPr>
            <w:tcW w:w="4698" w:type="dxa"/>
          </w:tcPr>
          <w:p w:rsidR="006C1806" w:rsidRDefault="00CF236D">
            <w:pPr>
              <w:ind w:right="-18"/>
              <w:rPr>
                <w:szCs w:val="22"/>
              </w:rPr>
            </w:pPr>
            <w:r>
              <w:rPr>
                <w:szCs w:val="22"/>
              </w:rPr>
              <w:t xml:space="preserve">In re Application of  </w:t>
            </w:r>
          </w:p>
          <w:p w:rsidR="006C1806" w:rsidRDefault="006C1806">
            <w:pPr>
              <w:ind w:right="-18"/>
              <w:rPr>
                <w:szCs w:val="22"/>
              </w:rPr>
            </w:pPr>
          </w:p>
          <w:p w:rsidR="006C1806" w:rsidRDefault="00B905CB">
            <w:pPr>
              <w:tabs>
                <w:tab w:val="left" w:pos="0"/>
              </w:tabs>
              <w:suppressAutoHyphens/>
              <w:ind w:left="5040" w:hanging="5040"/>
              <w:rPr>
                <w:b/>
                <w:szCs w:val="22"/>
              </w:rPr>
            </w:pPr>
            <w:r>
              <w:rPr>
                <w:b/>
                <w:szCs w:val="22"/>
              </w:rPr>
              <w:t xml:space="preserve">LAKE COUNTY COMMUNITY RADIO </w:t>
            </w:r>
          </w:p>
          <w:p w:rsidR="00B905CB" w:rsidRDefault="00B905CB">
            <w:pPr>
              <w:tabs>
                <w:tab w:val="left" w:pos="0"/>
              </w:tabs>
              <w:suppressAutoHyphens/>
              <w:ind w:left="5040" w:hanging="5040"/>
              <w:rPr>
                <w:b/>
                <w:szCs w:val="22"/>
              </w:rPr>
            </w:pPr>
          </w:p>
          <w:p w:rsidR="006C1806" w:rsidRDefault="00CF236D">
            <w:pPr>
              <w:ind w:right="-18"/>
              <w:rPr>
                <w:szCs w:val="22"/>
              </w:rPr>
            </w:pPr>
            <w:r>
              <w:rPr>
                <w:szCs w:val="22"/>
              </w:rPr>
              <w:t>For Renewal of License for</w:t>
            </w:r>
          </w:p>
          <w:p w:rsidR="006C1806" w:rsidRDefault="00CF236D">
            <w:pPr>
              <w:ind w:right="-18"/>
              <w:rPr>
                <w:b/>
                <w:szCs w:val="22"/>
              </w:rPr>
            </w:pPr>
            <w:r>
              <w:rPr>
                <w:szCs w:val="22"/>
              </w:rPr>
              <w:t>Station</w:t>
            </w:r>
            <w:r w:rsidR="00B905CB">
              <w:rPr>
                <w:szCs w:val="22"/>
              </w:rPr>
              <w:t xml:space="preserve"> KPFZ</w:t>
            </w:r>
            <w:r w:rsidR="00DA4EB8">
              <w:rPr>
                <w:szCs w:val="22"/>
              </w:rPr>
              <w:t>-</w:t>
            </w:r>
            <w:r w:rsidR="006015C5">
              <w:rPr>
                <w:szCs w:val="22"/>
              </w:rPr>
              <w:t>FM</w:t>
            </w:r>
            <w:r>
              <w:rPr>
                <w:b/>
                <w:szCs w:val="22"/>
              </w:rPr>
              <w:t xml:space="preserve"> </w:t>
            </w:r>
          </w:p>
          <w:p w:rsidR="006C1806" w:rsidRDefault="00B905CB" w:rsidP="00B905CB">
            <w:pPr>
              <w:ind w:right="-18"/>
              <w:rPr>
                <w:szCs w:val="22"/>
              </w:rPr>
            </w:pPr>
            <w:r>
              <w:rPr>
                <w:szCs w:val="22"/>
              </w:rPr>
              <w:t>Lakeport, California</w:t>
            </w:r>
          </w:p>
        </w:tc>
        <w:tc>
          <w:tcPr>
            <w:tcW w:w="720" w:type="dxa"/>
          </w:tcPr>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p w:rsidR="006C1806" w:rsidRDefault="00CF236D">
            <w:pPr>
              <w:rPr>
                <w:b/>
                <w:szCs w:val="22"/>
              </w:rPr>
            </w:pPr>
            <w:r>
              <w:rPr>
                <w:b/>
                <w:szCs w:val="22"/>
              </w:rPr>
              <w:t>)</w:t>
            </w:r>
          </w:p>
        </w:tc>
        <w:tc>
          <w:tcPr>
            <w:tcW w:w="4230" w:type="dxa"/>
          </w:tcPr>
          <w:p w:rsidR="006C1806" w:rsidRDefault="006C1806">
            <w:pPr>
              <w:rPr>
                <w:szCs w:val="22"/>
              </w:rPr>
            </w:pPr>
          </w:p>
          <w:p w:rsidR="006C1806" w:rsidRDefault="006C1806">
            <w:pPr>
              <w:rPr>
                <w:szCs w:val="22"/>
              </w:rPr>
            </w:pPr>
          </w:p>
          <w:p w:rsidR="006C1806" w:rsidRDefault="00CF236D">
            <w:pPr>
              <w:rPr>
                <w:szCs w:val="22"/>
              </w:rPr>
            </w:pPr>
            <w:r>
              <w:rPr>
                <w:szCs w:val="22"/>
              </w:rPr>
              <w:t xml:space="preserve">Facility ID No. </w:t>
            </w:r>
            <w:r w:rsidR="00B905CB">
              <w:rPr>
                <w:szCs w:val="22"/>
              </w:rPr>
              <w:t>90952</w:t>
            </w:r>
          </w:p>
          <w:p w:rsidR="006C1806" w:rsidRDefault="00D36061">
            <w:pPr>
              <w:rPr>
                <w:szCs w:val="22"/>
              </w:rPr>
            </w:pPr>
            <w:r>
              <w:rPr>
                <w:szCs w:val="22"/>
              </w:rPr>
              <w:t>NAL/Acct. No. MB-</w:t>
            </w:r>
            <w:r w:rsidR="000A1F29" w:rsidRPr="000A1F29">
              <w:rPr>
                <w:szCs w:val="22"/>
              </w:rPr>
              <w:t>201641410010</w:t>
            </w:r>
          </w:p>
          <w:p w:rsidR="006C1806" w:rsidRDefault="00CF236D">
            <w:pPr>
              <w:rPr>
                <w:szCs w:val="22"/>
              </w:rPr>
            </w:pPr>
            <w:r>
              <w:rPr>
                <w:szCs w:val="22"/>
              </w:rPr>
              <w:t>FRN:</w:t>
            </w:r>
            <w:r w:rsidR="000A1F29">
              <w:rPr>
                <w:szCs w:val="22"/>
              </w:rPr>
              <w:t xml:space="preserve"> </w:t>
            </w:r>
            <w:r>
              <w:rPr>
                <w:szCs w:val="22"/>
              </w:rPr>
              <w:t xml:space="preserve"> </w:t>
            </w:r>
            <w:r w:rsidR="000A1F29" w:rsidRPr="000A1F29">
              <w:rPr>
                <w:szCs w:val="22"/>
              </w:rPr>
              <w:t>0017356817</w:t>
            </w:r>
          </w:p>
          <w:p w:rsidR="006C1806" w:rsidRDefault="00CF236D" w:rsidP="00B905CB">
            <w:pPr>
              <w:rPr>
                <w:szCs w:val="22"/>
              </w:rPr>
            </w:pPr>
            <w:r>
              <w:rPr>
                <w:szCs w:val="22"/>
              </w:rPr>
              <w:t xml:space="preserve">File No. </w:t>
            </w:r>
            <w:r w:rsidR="000A1F29" w:rsidRPr="000A1F29">
              <w:rPr>
                <w:szCs w:val="22"/>
              </w:rPr>
              <w:t>BRED-20130916AAA</w:t>
            </w:r>
          </w:p>
        </w:tc>
      </w:tr>
    </w:tbl>
    <w:p w:rsidR="006C1806" w:rsidRDefault="006C1806">
      <w:pPr>
        <w:rPr>
          <w:szCs w:val="22"/>
        </w:rPr>
      </w:pPr>
    </w:p>
    <w:p w:rsidR="006C1806" w:rsidRDefault="00710968">
      <w:pPr>
        <w:jc w:val="center"/>
        <w:rPr>
          <w:b/>
          <w:szCs w:val="22"/>
        </w:rPr>
      </w:pPr>
      <w:r>
        <w:rPr>
          <w:b/>
          <w:spacing w:val="-2"/>
          <w:szCs w:val="22"/>
        </w:rPr>
        <w:t>FORFEITURE ORDER</w:t>
      </w:r>
    </w:p>
    <w:p w:rsidR="006C1806" w:rsidRDefault="006C1806">
      <w:pPr>
        <w:tabs>
          <w:tab w:val="left" w:pos="5760"/>
        </w:tabs>
        <w:rPr>
          <w:szCs w:val="22"/>
        </w:rPr>
      </w:pPr>
    </w:p>
    <w:p w:rsidR="006C1806" w:rsidRDefault="00CF236D">
      <w:pPr>
        <w:tabs>
          <w:tab w:val="left" w:pos="5760"/>
        </w:tabs>
        <w:rPr>
          <w:b/>
          <w:szCs w:val="22"/>
        </w:rPr>
      </w:pPr>
      <w:r>
        <w:rPr>
          <w:b/>
          <w:szCs w:val="22"/>
        </w:rPr>
        <w:t>Adopted:</w:t>
      </w:r>
      <w:r w:rsidR="00B6404A">
        <w:rPr>
          <w:b/>
          <w:szCs w:val="22"/>
        </w:rPr>
        <w:t xml:space="preserve">  </w:t>
      </w:r>
      <w:r w:rsidR="00A42C9C">
        <w:rPr>
          <w:b/>
          <w:szCs w:val="22"/>
        </w:rPr>
        <w:t>July 15, 2016</w:t>
      </w:r>
      <w:r>
        <w:rPr>
          <w:b/>
          <w:szCs w:val="22"/>
        </w:rPr>
        <w:tab/>
        <w:t>Released:</w:t>
      </w:r>
      <w:r w:rsidR="007D7E21">
        <w:rPr>
          <w:b/>
          <w:szCs w:val="22"/>
        </w:rPr>
        <w:t xml:space="preserve"> </w:t>
      </w:r>
      <w:r w:rsidR="00B905CB">
        <w:rPr>
          <w:b/>
          <w:szCs w:val="22"/>
        </w:rPr>
        <w:t xml:space="preserve"> </w:t>
      </w:r>
      <w:r w:rsidR="00A42C9C">
        <w:rPr>
          <w:b/>
          <w:szCs w:val="22"/>
        </w:rPr>
        <w:t>July 15, 2016</w:t>
      </w:r>
    </w:p>
    <w:p w:rsidR="006C1806" w:rsidRDefault="006C1806">
      <w:pPr>
        <w:tabs>
          <w:tab w:val="left" w:pos="5760"/>
        </w:tabs>
        <w:rPr>
          <w:b/>
          <w:szCs w:val="22"/>
        </w:rPr>
      </w:pPr>
    </w:p>
    <w:p w:rsidR="006C1806" w:rsidRDefault="00CF236D">
      <w:pPr>
        <w:tabs>
          <w:tab w:val="left" w:pos="5760"/>
        </w:tabs>
        <w:rPr>
          <w:spacing w:val="-2"/>
          <w:szCs w:val="22"/>
        </w:rPr>
      </w:pPr>
      <w:r>
        <w:rPr>
          <w:szCs w:val="22"/>
        </w:rPr>
        <w:t>By the Chief, Audio Division, Media Bureau</w:t>
      </w:r>
      <w:r>
        <w:rPr>
          <w:spacing w:val="-2"/>
          <w:szCs w:val="22"/>
        </w:rPr>
        <w:t>:</w:t>
      </w:r>
    </w:p>
    <w:p w:rsidR="00E056D5" w:rsidRDefault="00E056D5" w:rsidP="00E056D5">
      <w:pPr>
        <w:tabs>
          <w:tab w:val="left" w:pos="5760"/>
        </w:tabs>
        <w:rPr>
          <w:szCs w:val="22"/>
        </w:rPr>
      </w:pPr>
    </w:p>
    <w:p w:rsidR="00E056D5" w:rsidRPr="009861AA" w:rsidRDefault="009861AA" w:rsidP="009861AA">
      <w:pPr>
        <w:tabs>
          <w:tab w:val="left" w:pos="5760"/>
        </w:tabs>
        <w:rPr>
          <w:b/>
          <w:szCs w:val="22"/>
        </w:rPr>
      </w:pPr>
      <w:r>
        <w:rPr>
          <w:b/>
          <w:szCs w:val="22"/>
        </w:rPr>
        <w:t xml:space="preserve">I.           </w:t>
      </w:r>
      <w:r w:rsidRPr="009861AA">
        <w:rPr>
          <w:b/>
          <w:szCs w:val="22"/>
        </w:rPr>
        <w:t>I</w:t>
      </w:r>
      <w:r w:rsidR="00CF236D" w:rsidRPr="009861AA">
        <w:rPr>
          <w:b/>
          <w:szCs w:val="22"/>
        </w:rPr>
        <w:t>NTRODUCTION</w:t>
      </w:r>
    </w:p>
    <w:p w:rsidR="00E056D5" w:rsidRPr="00E056D5" w:rsidRDefault="00E056D5" w:rsidP="00E056D5">
      <w:pPr>
        <w:pStyle w:val="ListParagraph"/>
        <w:tabs>
          <w:tab w:val="left" w:pos="5760"/>
        </w:tabs>
        <w:ind w:left="1110"/>
        <w:jc w:val="both"/>
        <w:rPr>
          <w:b/>
          <w:szCs w:val="22"/>
        </w:rPr>
      </w:pPr>
    </w:p>
    <w:p w:rsidR="00B4782F" w:rsidRDefault="00482328" w:rsidP="00E056D5">
      <w:pPr>
        <w:pStyle w:val="ParaNum"/>
        <w:tabs>
          <w:tab w:val="num" w:pos="1440"/>
        </w:tabs>
        <w:jc w:val="left"/>
      </w:pPr>
      <w:r>
        <w:t>In this Forfeiture Order (</w:t>
      </w:r>
      <w:r w:rsidR="00B4782F">
        <w:t>Order), we issue a monetary forfeiture in the amo</w:t>
      </w:r>
      <w:r w:rsidR="000A1F29">
        <w:t xml:space="preserve">unt of </w:t>
      </w:r>
      <w:r w:rsidR="006F2D68">
        <w:t>one</w:t>
      </w:r>
      <w:r w:rsidR="000A1F29">
        <w:t xml:space="preserve"> thousand</w:t>
      </w:r>
      <w:r w:rsidR="006F2D68">
        <w:t xml:space="preserve"> five hundred</w:t>
      </w:r>
      <w:r w:rsidR="000A1F29">
        <w:t xml:space="preserve"> dollars ($1</w:t>
      </w:r>
      <w:r w:rsidR="008A18B0">
        <w:t>,5</w:t>
      </w:r>
      <w:r w:rsidR="00B4782F">
        <w:t xml:space="preserve">00) to </w:t>
      </w:r>
      <w:r w:rsidR="000A1F29">
        <w:rPr>
          <w:szCs w:val="22"/>
        </w:rPr>
        <w:t>Lake County Community Radio</w:t>
      </w:r>
      <w:r w:rsidR="00B4782F">
        <w:rPr>
          <w:szCs w:val="22"/>
        </w:rPr>
        <w:t xml:space="preserve"> (Licensee), licensee of Station </w:t>
      </w:r>
      <w:r w:rsidR="000A1F29">
        <w:rPr>
          <w:szCs w:val="22"/>
        </w:rPr>
        <w:t>KPFZ</w:t>
      </w:r>
      <w:r w:rsidR="00DA4EB8">
        <w:rPr>
          <w:szCs w:val="22"/>
        </w:rPr>
        <w:t>-</w:t>
      </w:r>
      <w:r w:rsidR="00B4782F">
        <w:rPr>
          <w:szCs w:val="22"/>
        </w:rPr>
        <w:t xml:space="preserve">FM, </w:t>
      </w:r>
      <w:r w:rsidR="000A1F29">
        <w:rPr>
          <w:szCs w:val="22"/>
        </w:rPr>
        <w:t xml:space="preserve">Lakeport, California </w:t>
      </w:r>
      <w:r>
        <w:t>(</w:t>
      </w:r>
      <w:r w:rsidR="00B4782F">
        <w:t>Station), for willful</w:t>
      </w:r>
      <w:r w:rsidR="00272726">
        <w:t>ly</w:t>
      </w:r>
      <w:r w:rsidR="00B4782F">
        <w:t xml:space="preserve"> viola</w:t>
      </w:r>
      <w:r w:rsidR="00272726">
        <w:t>ting</w:t>
      </w:r>
      <w:r w:rsidR="000A1F29">
        <w:t xml:space="preserve"> of Section 73.3539</w:t>
      </w:r>
      <w:r w:rsidR="00B4782F">
        <w:t xml:space="preserve"> of the FCC Rules (</w:t>
      </w:r>
      <w:r>
        <w:t>Rules</w:t>
      </w:r>
      <w:r w:rsidR="00B4782F">
        <w:t>)</w:t>
      </w:r>
      <w:r w:rsidR="00B4782F">
        <w:rPr>
          <w:rStyle w:val="FootnoteReference"/>
        </w:rPr>
        <w:footnoteReference w:id="1"/>
      </w:r>
      <w:r w:rsidR="00B4782F">
        <w:t xml:space="preserve"> by failing to </w:t>
      </w:r>
      <w:r w:rsidR="008A18B0">
        <w:t>timely</w:t>
      </w:r>
      <w:r w:rsidR="00B4782F">
        <w:t xml:space="preserve"> file </w:t>
      </w:r>
      <w:r w:rsidR="008A18B0">
        <w:t xml:space="preserve">its license renewal application </w:t>
      </w:r>
      <w:r w:rsidR="00B4782F">
        <w:t xml:space="preserve">for the Station.  </w:t>
      </w:r>
    </w:p>
    <w:p w:rsidR="006C1806" w:rsidRDefault="00CF236D" w:rsidP="00E056D5">
      <w:pPr>
        <w:rPr>
          <w:b/>
          <w:szCs w:val="22"/>
        </w:rPr>
      </w:pPr>
      <w:r>
        <w:rPr>
          <w:b/>
          <w:szCs w:val="22"/>
        </w:rPr>
        <w:t>II.         BACKGROUND</w:t>
      </w:r>
    </w:p>
    <w:p w:rsidR="006C1806" w:rsidRDefault="006C1806">
      <w:pPr>
        <w:rPr>
          <w:b/>
          <w:szCs w:val="22"/>
        </w:rPr>
      </w:pPr>
    </w:p>
    <w:p w:rsidR="006F2D68" w:rsidRPr="007236B7" w:rsidRDefault="009B74E0" w:rsidP="007236B7">
      <w:pPr>
        <w:pStyle w:val="ParaNum"/>
        <w:widowControl/>
        <w:jc w:val="left"/>
        <w:rPr>
          <w:b/>
          <w:szCs w:val="22"/>
        </w:rPr>
      </w:pPr>
      <w:r>
        <w:rPr>
          <w:szCs w:val="22"/>
        </w:rPr>
        <w:t xml:space="preserve">On May 27, 2016, the Media Bureau (Bureau) issued a </w:t>
      </w:r>
      <w:r w:rsidR="007236B7">
        <w:rPr>
          <w:i/>
          <w:szCs w:val="22"/>
        </w:rPr>
        <w:t xml:space="preserve">Memorandum Opinion and Order and </w:t>
      </w:r>
      <w:r w:rsidRPr="009B74E0">
        <w:rPr>
          <w:i/>
          <w:szCs w:val="22"/>
        </w:rPr>
        <w:t>Notice of Apparent Liability for Forfeiture</w:t>
      </w:r>
      <w:r w:rsidRPr="009B74E0">
        <w:rPr>
          <w:szCs w:val="22"/>
        </w:rPr>
        <w:t xml:space="preserve"> in the amount of </w:t>
      </w:r>
      <w:r>
        <w:rPr>
          <w:szCs w:val="22"/>
        </w:rPr>
        <w:t>one</w:t>
      </w:r>
      <w:r w:rsidRPr="009B74E0">
        <w:rPr>
          <w:szCs w:val="22"/>
        </w:rPr>
        <w:t xml:space="preserve"> thousand </w:t>
      </w:r>
      <w:r>
        <w:rPr>
          <w:szCs w:val="22"/>
        </w:rPr>
        <w:t xml:space="preserve">five hundred </w:t>
      </w:r>
      <w:r w:rsidRPr="009B74E0">
        <w:rPr>
          <w:szCs w:val="22"/>
        </w:rPr>
        <w:t>dollar</w:t>
      </w:r>
      <w:r>
        <w:rPr>
          <w:szCs w:val="22"/>
        </w:rPr>
        <w:t>s</w:t>
      </w:r>
      <w:r w:rsidR="00B23FA3">
        <w:rPr>
          <w:szCs w:val="22"/>
        </w:rPr>
        <w:t xml:space="preserve"> ($1,500)</w:t>
      </w:r>
      <w:r>
        <w:rPr>
          <w:szCs w:val="22"/>
        </w:rPr>
        <w:t xml:space="preserve"> to Licensee for </w:t>
      </w:r>
      <w:r w:rsidR="00B23FA3">
        <w:rPr>
          <w:szCs w:val="22"/>
        </w:rPr>
        <w:t xml:space="preserve">its </w:t>
      </w:r>
      <w:r w:rsidR="007236B7">
        <w:rPr>
          <w:szCs w:val="22"/>
        </w:rPr>
        <w:t>failure to timely file the Station’s renewal application</w:t>
      </w:r>
      <w:r>
        <w:rPr>
          <w:szCs w:val="22"/>
        </w:rPr>
        <w:t>.</w:t>
      </w:r>
      <w:r>
        <w:rPr>
          <w:rStyle w:val="FootnoteReference"/>
          <w:szCs w:val="22"/>
        </w:rPr>
        <w:footnoteReference w:id="2"/>
      </w:r>
      <w:r>
        <w:rPr>
          <w:szCs w:val="22"/>
        </w:rPr>
        <w:t xml:space="preserve">  </w:t>
      </w:r>
      <w:r w:rsidR="001809B9" w:rsidRPr="007236B7">
        <w:rPr>
          <w:szCs w:val="22"/>
        </w:rPr>
        <w:t>As noted i</w:t>
      </w:r>
      <w:r w:rsidR="00254822" w:rsidRPr="007236B7">
        <w:rPr>
          <w:szCs w:val="22"/>
        </w:rPr>
        <w:t>n the</w:t>
      </w:r>
      <w:r w:rsidRPr="007236B7">
        <w:rPr>
          <w:szCs w:val="22"/>
        </w:rPr>
        <w:t xml:space="preserve"> </w:t>
      </w:r>
      <w:r w:rsidRPr="007236B7">
        <w:rPr>
          <w:i/>
          <w:szCs w:val="22"/>
        </w:rPr>
        <w:t>NAL</w:t>
      </w:r>
      <w:r w:rsidR="00C92620" w:rsidRPr="007236B7">
        <w:rPr>
          <w:szCs w:val="22"/>
        </w:rPr>
        <w:t>, Licensee’s renewal application was due on August 1, 2013, four months prior to the expiration date of the license</w:t>
      </w:r>
      <w:r w:rsidR="001809B9" w:rsidRPr="007236B7">
        <w:rPr>
          <w:szCs w:val="22"/>
        </w:rPr>
        <w:t>.</w:t>
      </w:r>
      <w:r w:rsidR="008B1488">
        <w:rPr>
          <w:rStyle w:val="FootnoteReference"/>
          <w:szCs w:val="22"/>
        </w:rPr>
        <w:footnoteReference w:id="3"/>
      </w:r>
      <w:r w:rsidR="001809B9" w:rsidRPr="007236B7">
        <w:rPr>
          <w:szCs w:val="22"/>
        </w:rPr>
        <w:t xml:space="preserve">  </w:t>
      </w:r>
      <w:r w:rsidRPr="007236B7">
        <w:rPr>
          <w:szCs w:val="22"/>
        </w:rPr>
        <w:t xml:space="preserve">Licensee </w:t>
      </w:r>
      <w:r w:rsidR="00C92620" w:rsidRPr="007236B7">
        <w:rPr>
          <w:szCs w:val="22"/>
        </w:rPr>
        <w:t>did not file the application until September 16, 2013</w:t>
      </w:r>
      <w:r w:rsidR="006F2D68" w:rsidRPr="007236B7">
        <w:rPr>
          <w:szCs w:val="22"/>
        </w:rPr>
        <w:t>, and failed to provide an expla</w:t>
      </w:r>
      <w:r w:rsidR="00A403D9">
        <w:rPr>
          <w:szCs w:val="22"/>
        </w:rPr>
        <w:t xml:space="preserve">nation for the untimely filing.  </w:t>
      </w:r>
      <w:r w:rsidR="00DD3441" w:rsidRPr="007236B7">
        <w:rPr>
          <w:szCs w:val="22"/>
        </w:rPr>
        <w:t xml:space="preserve">The </w:t>
      </w:r>
      <w:r w:rsidR="00C02EF7">
        <w:rPr>
          <w:i/>
          <w:szCs w:val="22"/>
        </w:rPr>
        <w:t>NAL</w:t>
      </w:r>
      <w:r w:rsidR="00C02EF7">
        <w:rPr>
          <w:szCs w:val="22"/>
        </w:rPr>
        <w:t xml:space="preserve"> further</w:t>
      </w:r>
      <w:r w:rsidR="00DD3441" w:rsidRPr="007236B7">
        <w:rPr>
          <w:szCs w:val="22"/>
        </w:rPr>
        <w:t xml:space="preserve"> noted that the Commission </w:t>
      </w:r>
      <w:r w:rsidR="008B1488" w:rsidRPr="007236B7">
        <w:rPr>
          <w:szCs w:val="22"/>
        </w:rPr>
        <w:t>would</w:t>
      </w:r>
      <w:r w:rsidR="00DD3441" w:rsidRPr="007236B7">
        <w:rPr>
          <w:szCs w:val="22"/>
        </w:rPr>
        <w:t xml:space="preserve"> not consider </w:t>
      </w:r>
      <w:r w:rsidR="00272726">
        <w:rPr>
          <w:szCs w:val="22"/>
        </w:rPr>
        <w:t xml:space="preserve">further reducing or canceling the </w:t>
      </w:r>
      <w:r w:rsidR="00DD3441" w:rsidRPr="007236B7">
        <w:rPr>
          <w:szCs w:val="22"/>
        </w:rPr>
        <w:t xml:space="preserve">forfeiture in response to a claim of inability to pay unless the respondent </w:t>
      </w:r>
      <w:r w:rsidR="008B1488" w:rsidRPr="007236B7">
        <w:rPr>
          <w:szCs w:val="22"/>
        </w:rPr>
        <w:t xml:space="preserve">submitted </w:t>
      </w:r>
      <w:r w:rsidR="00A403D9">
        <w:rPr>
          <w:szCs w:val="22"/>
        </w:rPr>
        <w:t xml:space="preserve">financial </w:t>
      </w:r>
      <w:r w:rsidR="008B1488" w:rsidRPr="007236B7">
        <w:rPr>
          <w:szCs w:val="22"/>
        </w:rPr>
        <w:t>documentation</w:t>
      </w:r>
      <w:r w:rsidR="00A403D9">
        <w:rPr>
          <w:szCs w:val="22"/>
        </w:rPr>
        <w:t xml:space="preserve"> supporting its claim.</w:t>
      </w:r>
      <w:r w:rsidR="008B1488">
        <w:rPr>
          <w:rStyle w:val="FootnoteReference"/>
          <w:szCs w:val="22"/>
        </w:rPr>
        <w:footnoteReference w:id="4"/>
      </w:r>
      <w:r w:rsidR="008B1488" w:rsidRPr="007236B7">
        <w:rPr>
          <w:szCs w:val="22"/>
        </w:rPr>
        <w:t xml:space="preserve"> </w:t>
      </w:r>
    </w:p>
    <w:p w:rsidR="00871855" w:rsidRPr="007236B7" w:rsidRDefault="007236B7" w:rsidP="007236B7">
      <w:pPr>
        <w:pStyle w:val="ParaNum"/>
        <w:widowControl/>
        <w:jc w:val="left"/>
        <w:rPr>
          <w:b/>
          <w:szCs w:val="22"/>
        </w:rPr>
      </w:pPr>
      <w:r>
        <w:rPr>
          <w:szCs w:val="22"/>
        </w:rPr>
        <w:t xml:space="preserve">Licensee filed a </w:t>
      </w:r>
      <w:r w:rsidRPr="008B1488">
        <w:rPr>
          <w:szCs w:val="22"/>
        </w:rPr>
        <w:t xml:space="preserve">response to the </w:t>
      </w:r>
      <w:r w:rsidRPr="008B1488">
        <w:rPr>
          <w:i/>
          <w:szCs w:val="22"/>
        </w:rPr>
        <w:t>NAL</w:t>
      </w:r>
      <w:r w:rsidRPr="008B1488">
        <w:rPr>
          <w:i/>
          <w:szCs w:val="22"/>
          <w:vertAlign w:val="superscript"/>
        </w:rPr>
        <w:footnoteReference w:id="5"/>
      </w:r>
      <w:r w:rsidRPr="008B1488">
        <w:rPr>
          <w:szCs w:val="22"/>
        </w:rPr>
        <w:t xml:space="preserve"> (Response)</w:t>
      </w:r>
      <w:r>
        <w:rPr>
          <w:szCs w:val="22"/>
        </w:rPr>
        <w:t xml:space="preserve"> on June 22, 2016.  </w:t>
      </w:r>
      <w:r w:rsidR="00F7018A">
        <w:t>In the Response</w:t>
      </w:r>
      <w:r w:rsidR="00DA4EB8">
        <w:t>,</w:t>
      </w:r>
      <w:r w:rsidR="00871855">
        <w:t xml:space="preserve"> Licensee </w:t>
      </w:r>
      <w:r w:rsidR="00EC4350">
        <w:t>explains</w:t>
      </w:r>
      <w:r w:rsidR="00094F4C">
        <w:t xml:space="preserve"> that</w:t>
      </w:r>
      <w:r w:rsidR="00F7018A">
        <w:t xml:space="preserve"> </w:t>
      </w:r>
      <w:r w:rsidR="000D30B1">
        <w:t>“</w:t>
      </w:r>
      <w:r w:rsidR="00EC4350">
        <w:t>a few weeks</w:t>
      </w:r>
      <w:r w:rsidR="000D30B1">
        <w:t>”</w:t>
      </w:r>
      <w:r w:rsidR="00EC4350">
        <w:t xml:space="preserve"> after </w:t>
      </w:r>
      <w:r w:rsidR="00664B72">
        <w:t>submitting</w:t>
      </w:r>
      <w:r w:rsidR="00EC4350">
        <w:t xml:space="preserve"> what it thought was a completed and timely license renewal application, “[it] received a call from </w:t>
      </w:r>
      <w:r w:rsidR="00F67EB4">
        <w:t>[</w:t>
      </w:r>
      <w:r w:rsidR="00EC4350">
        <w:t>Bureau</w:t>
      </w:r>
      <w:r w:rsidR="00F67EB4">
        <w:t>]</w:t>
      </w:r>
      <w:r w:rsidR="00EC4350">
        <w:t xml:space="preserve"> staff indicating additional information was needed on the application.</w:t>
      </w:r>
      <w:r w:rsidR="00450A81">
        <w:t>”</w:t>
      </w:r>
      <w:r w:rsidR="00A403D9">
        <w:rPr>
          <w:rStyle w:val="FootnoteReference"/>
        </w:rPr>
        <w:footnoteReference w:id="6"/>
      </w:r>
      <w:r w:rsidR="00450A81">
        <w:t xml:space="preserve">  </w:t>
      </w:r>
      <w:r w:rsidR="000D30B1" w:rsidRPr="000D30B1">
        <w:t>According to Licensee</w:t>
      </w:r>
      <w:r w:rsidR="00F67EB4">
        <w:t>,</w:t>
      </w:r>
      <w:r w:rsidR="000D30B1" w:rsidRPr="000D30B1">
        <w:t xml:space="preserve"> September 16, 2013 “is about the time [it was] contacted by </w:t>
      </w:r>
      <w:r w:rsidR="00F67EB4">
        <w:lastRenderedPageBreak/>
        <w:t>[</w:t>
      </w:r>
      <w:r w:rsidR="000D30B1" w:rsidRPr="000D30B1">
        <w:t>Bureau</w:t>
      </w:r>
      <w:r w:rsidR="00F67EB4">
        <w:t>]</w:t>
      </w:r>
      <w:r w:rsidR="000D30B1" w:rsidRPr="000D30B1">
        <w:t xml:space="preserve"> personnel, not the actual date of [its] submittal.”</w:t>
      </w:r>
      <w:r w:rsidR="00A403D9">
        <w:rPr>
          <w:rStyle w:val="FootnoteReference"/>
        </w:rPr>
        <w:footnoteReference w:id="7"/>
      </w:r>
      <w:r w:rsidR="000D30B1">
        <w:t xml:space="preserve">  </w:t>
      </w:r>
      <w:r w:rsidR="00664B72">
        <w:t xml:space="preserve">Licensee </w:t>
      </w:r>
      <w:r w:rsidR="000D30B1">
        <w:t>claims that after receiving and following the advice of various Commission staffers, it “assumed everything was in order.”</w:t>
      </w:r>
      <w:r w:rsidR="00A403D9">
        <w:rPr>
          <w:rStyle w:val="FootnoteReference"/>
        </w:rPr>
        <w:footnoteReference w:id="8"/>
      </w:r>
      <w:r w:rsidR="000D30B1">
        <w:t xml:space="preserve"> </w:t>
      </w:r>
      <w:r w:rsidR="00664B72">
        <w:t xml:space="preserve"> </w:t>
      </w:r>
      <w:r w:rsidR="00A22163">
        <w:t xml:space="preserve">Licensee indicates that the Station is </w:t>
      </w:r>
      <w:r w:rsidR="00450A81">
        <w:t>in “one of the poorest counties in California” and relies entirely on local funding.</w:t>
      </w:r>
      <w:r w:rsidR="00A403D9">
        <w:rPr>
          <w:rStyle w:val="FootnoteReference"/>
        </w:rPr>
        <w:footnoteReference w:id="9"/>
      </w:r>
      <w:r w:rsidR="00450A81">
        <w:t xml:space="preserve">  </w:t>
      </w:r>
      <w:r w:rsidR="0011505B">
        <w:t xml:space="preserve">The Licensee explains </w:t>
      </w:r>
      <w:r w:rsidR="003F688E">
        <w:t xml:space="preserve">that </w:t>
      </w:r>
      <w:r w:rsidR="0011505B">
        <w:t>“reaching into [its] additional funds in the current economic climate</w:t>
      </w:r>
      <w:r w:rsidR="00450A81">
        <w:t xml:space="preserve"> would be an unfortunate burden,</w:t>
      </w:r>
      <w:r w:rsidR="0011505B">
        <w:t xml:space="preserve">” </w:t>
      </w:r>
      <w:r w:rsidR="00450A81">
        <w:t xml:space="preserve">and </w:t>
      </w:r>
      <w:r w:rsidR="003F688E">
        <w:t xml:space="preserve">it </w:t>
      </w:r>
      <w:r w:rsidR="00450A81" w:rsidRPr="00450A81">
        <w:t xml:space="preserve">cannot rely on additional funding from its supporters </w:t>
      </w:r>
      <w:r w:rsidR="00450A81">
        <w:t>b</w:t>
      </w:r>
      <w:r w:rsidR="000D30B1">
        <w:t>ecause many public donations are going towards a recent wildfire emergenc</w:t>
      </w:r>
      <w:r w:rsidR="00450A81">
        <w:t>y.</w:t>
      </w:r>
      <w:r w:rsidR="00A403D9">
        <w:rPr>
          <w:rStyle w:val="FootnoteReference"/>
        </w:rPr>
        <w:footnoteReference w:id="10"/>
      </w:r>
      <w:r w:rsidR="00450A81">
        <w:t xml:space="preserve"> </w:t>
      </w:r>
      <w:r w:rsidR="000D30B1">
        <w:t xml:space="preserve"> </w:t>
      </w:r>
      <w:r w:rsidR="00450A81">
        <w:t xml:space="preserve">In light of this, </w:t>
      </w:r>
      <w:r w:rsidR="005674CE">
        <w:t>Licensee requests that the Commission</w:t>
      </w:r>
      <w:r w:rsidR="00450A81">
        <w:t xml:space="preserve"> reduce or cancel the proposed </w:t>
      </w:r>
      <w:r w:rsidR="003F688E">
        <w:t>forfeiture</w:t>
      </w:r>
      <w:r w:rsidR="00450A81">
        <w:t>.</w:t>
      </w:r>
    </w:p>
    <w:p w:rsidR="00FC595C" w:rsidRPr="002F168E" w:rsidRDefault="00FC595C" w:rsidP="002F168E">
      <w:pPr>
        <w:pStyle w:val="ParaNum"/>
        <w:numPr>
          <w:ilvl w:val="0"/>
          <w:numId w:val="0"/>
        </w:numPr>
        <w:jc w:val="left"/>
        <w:rPr>
          <w:b/>
          <w:szCs w:val="22"/>
        </w:rPr>
      </w:pPr>
      <w:r w:rsidRPr="00FC595C">
        <w:rPr>
          <w:b/>
        </w:rPr>
        <w:t xml:space="preserve">III.       </w:t>
      </w:r>
      <w:r w:rsidRPr="002F168E">
        <w:rPr>
          <w:b/>
          <w:szCs w:val="22"/>
        </w:rPr>
        <w:t>DISCUSSION</w:t>
      </w:r>
    </w:p>
    <w:p w:rsidR="00FC595C" w:rsidRPr="002F168E" w:rsidRDefault="00FC595C" w:rsidP="002F168E">
      <w:pPr>
        <w:pStyle w:val="ParaNum"/>
        <w:jc w:val="left"/>
        <w:rPr>
          <w:szCs w:val="22"/>
        </w:rPr>
      </w:pPr>
      <w:r w:rsidRPr="002F168E">
        <w:rPr>
          <w:szCs w:val="22"/>
        </w:rPr>
        <w:t>The forfeiture amount proposed in this case was assessed in accordance with Section 503(b) of the Communication</w:t>
      </w:r>
      <w:r w:rsidR="00A30B1C">
        <w:rPr>
          <w:szCs w:val="22"/>
        </w:rPr>
        <w:t xml:space="preserve">s Act of 1934, as amended (the </w:t>
      </w:r>
      <w:r w:rsidRPr="002F168E">
        <w:rPr>
          <w:szCs w:val="22"/>
        </w:rPr>
        <w:t>Act),</w:t>
      </w:r>
      <w:r w:rsidRPr="002F168E">
        <w:rPr>
          <w:rStyle w:val="FootnoteReference"/>
          <w:szCs w:val="22"/>
        </w:rPr>
        <w:footnoteReference w:id="11"/>
      </w:r>
      <w:r w:rsidRPr="002F168E">
        <w:rPr>
          <w:szCs w:val="22"/>
        </w:rPr>
        <w:t xml:space="preserve"> Section 1.80 of the Rules,</w:t>
      </w:r>
      <w:r w:rsidRPr="002F168E">
        <w:rPr>
          <w:rStyle w:val="FootnoteReference"/>
          <w:szCs w:val="22"/>
        </w:rPr>
        <w:footnoteReference w:id="12"/>
      </w:r>
      <w:r w:rsidRPr="002F168E">
        <w:rPr>
          <w:szCs w:val="22"/>
        </w:rPr>
        <w:t xml:space="preserve"> and the Commission’s </w:t>
      </w:r>
      <w:r w:rsidRPr="002F168E">
        <w:rPr>
          <w:i/>
          <w:szCs w:val="22"/>
        </w:rPr>
        <w:t>Forfeiture Policy Statement</w:t>
      </w:r>
      <w:r w:rsidRPr="002F168E">
        <w:rPr>
          <w:szCs w:val="22"/>
        </w:rPr>
        <w:t>, which establish</w:t>
      </w:r>
      <w:r w:rsidR="00450A81">
        <w:rPr>
          <w:szCs w:val="22"/>
        </w:rPr>
        <w:t xml:space="preserve"> a base forfeiture amount of $3</w:t>
      </w:r>
      <w:r w:rsidRPr="002F168E">
        <w:rPr>
          <w:szCs w:val="22"/>
        </w:rPr>
        <w:t xml:space="preserve">,000 for </w:t>
      </w:r>
      <w:r w:rsidR="00450A81">
        <w:rPr>
          <w:szCs w:val="22"/>
        </w:rPr>
        <w:t>the failure to file a required form</w:t>
      </w:r>
      <w:r w:rsidRPr="002F168E">
        <w:rPr>
          <w:szCs w:val="22"/>
        </w:rPr>
        <w:t>.</w:t>
      </w:r>
      <w:r w:rsidRPr="002F168E">
        <w:rPr>
          <w:rStyle w:val="FootnoteReference"/>
          <w:szCs w:val="22"/>
        </w:rPr>
        <w:footnoteReference w:id="13"/>
      </w:r>
      <w:r w:rsidRPr="002F168E">
        <w:rPr>
          <w:szCs w:val="22"/>
        </w:rPr>
        <w:t xml:space="preserve">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Pr="002F168E">
        <w:rPr>
          <w:szCs w:val="22"/>
          <w:vertAlign w:val="superscript"/>
        </w:rPr>
        <w:footnoteReference w:id="14"/>
      </w:r>
      <w:r w:rsidR="002F168E">
        <w:rPr>
          <w:szCs w:val="22"/>
        </w:rPr>
        <w:t xml:space="preserve">  </w:t>
      </w:r>
    </w:p>
    <w:p w:rsidR="00A76753" w:rsidRDefault="006A4FD2" w:rsidP="00BB4C72">
      <w:pPr>
        <w:pStyle w:val="ParaNum"/>
        <w:jc w:val="left"/>
      </w:pPr>
      <w:r>
        <w:t xml:space="preserve">Licensee </w:t>
      </w:r>
      <w:r w:rsidR="00F75F3C">
        <w:t>asserts that it submitted “what [it] thought was a completed and timely license renewal application” prior to September 16, 2013.</w:t>
      </w:r>
      <w:r w:rsidR="00F75F3C">
        <w:rPr>
          <w:rStyle w:val="FootnoteReference"/>
        </w:rPr>
        <w:footnoteReference w:id="15"/>
      </w:r>
      <w:r w:rsidR="00F75F3C">
        <w:t xml:space="preserve"> </w:t>
      </w:r>
      <w:r>
        <w:t xml:space="preserve"> </w:t>
      </w:r>
      <w:r w:rsidR="002D196B">
        <w:t xml:space="preserve">The staff has reviewed the Licensee’s account </w:t>
      </w:r>
      <w:r w:rsidR="00005FAA">
        <w:t xml:space="preserve">in the Commission’s database, CDBS, </w:t>
      </w:r>
      <w:r w:rsidR="002D196B">
        <w:t>and determine</w:t>
      </w:r>
      <w:r w:rsidR="00931152">
        <w:t>d</w:t>
      </w:r>
      <w:r w:rsidR="002D196B">
        <w:t xml:space="preserve"> that two separate renewal applications were begun on August 27, 2013, but neither was filed</w:t>
      </w:r>
      <w:r w:rsidR="00F67EB4">
        <w:t>—one application is in “Valid” status and the other is in “Pending” status</w:t>
      </w:r>
      <w:r w:rsidR="002D196B">
        <w:t>.  The renewal application that was actually submitted was begun on Friday, September 13, 2013 and filed</w:t>
      </w:r>
      <w:r w:rsidR="00442B7A">
        <w:t xml:space="preserve"> on Monday, September 16, 2013.</w:t>
      </w:r>
      <w:r w:rsidR="00782381">
        <w:t xml:space="preserve">  </w:t>
      </w:r>
      <w:r w:rsidR="00442B7A">
        <w:t>Based on the explanation provided in its Response and our review of CDBS, it appears that Licensee misunderstood our electronic filing procedures and erroneously assumed that it submitted a timely filed renewal application when it began the renewal</w:t>
      </w:r>
      <w:r w:rsidR="003E5642">
        <w:t xml:space="preserve"> applications on August 27, 2013</w:t>
      </w:r>
      <w:r w:rsidR="00442B7A">
        <w:t xml:space="preserve">.  </w:t>
      </w:r>
      <w:r w:rsidR="003E5642" w:rsidRPr="003E5642">
        <w:t>Therefore, the failure to timely file the renewal application was due to Licensee’s own error.</w:t>
      </w:r>
      <w:r w:rsidR="003F3752">
        <w:rPr>
          <w:rStyle w:val="FootnoteReference"/>
        </w:rPr>
        <w:footnoteReference w:id="16"/>
      </w:r>
      <w:r w:rsidR="003E5642" w:rsidRPr="003E5642">
        <w:t xml:space="preserve"> </w:t>
      </w:r>
      <w:r w:rsidR="003E5642">
        <w:t xml:space="preserve">   </w:t>
      </w:r>
    </w:p>
    <w:p w:rsidR="004A5F29" w:rsidRDefault="004A5F29" w:rsidP="004A5F29">
      <w:pPr>
        <w:pStyle w:val="ParaNum"/>
        <w:jc w:val="left"/>
      </w:pPr>
      <w:r w:rsidRPr="00442B7A">
        <w:t>As the Commission has held, violations resulting from inadvertent error or failure to become familiar with the FCC's requirements are willful violations.</w:t>
      </w:r>
      <w:r>
        <w:rPr>
          <w:rStyle w:val="FootnoteReference"/>
        </w:rPr>
        <w:footnoteReference w:id="17"/>
      </w:r>
      <w:r w:rsidRPr="00442B7A">
        <w:t xml:space="preserve"> </w:t>
      </w:r>
      <w:r>
        <w:t xml:space="preserve"> </w:t>
      </w:r>
      <w:r w:rsidRPr="00442B7A">
        <w:t xml:space="preserve">Moreover, the Commission has </w:t>
      </w:r>
      <w:r w:rsidRPr="00442B7A">
        <w:lastRenderedPageBreak/>
        <w:t xml:space="preserve">specifically ruled that confusion or difficulties with the Commission's electronic filing system are not grounds for reduction </w:t>
      </w:r>
      <w:r>
        <w:t>or cancellation of a forfeiture.</w:t>
      </w:r>
      <w:r>
        <w:rPr>
          <w:rStyle w:val="FootnoteReference"/>
        </w:rPr>
        <w:footnoteReference w:id="18"/>
      </w:r>
      <w:r>
        <w:t xml:space="preserve">  </w:t>
      </w:r>
      <w:r w:rsidRPr="00442B7A">
        <w:t>Accordingly, we find this argument without merit.</w:t>
      </w:r>
    </w:p>
    <w:p w:rsidR="003E5642" w:rsidRDefault="003E5642" w:rsidP="00BB4C72">
      <w:pPr>
        <w:pStyle w:val="ParaNum"/>
        <w:jc w:val="left"/>
      </w:pPr>
      <w:r>
        <w:t xml:space="preserve">Licensee next argues that the </w:t>
      </w:r>
      <w:r w:rsidRPr="003E5642">
        <w:t xml:space="preserve">forfeiture </w:t>
      </w:r>
      <w:r>
        <w:t xml:space="preserve">amount </w:t>
      </w:r>
      <w:r w:rsidRPr="003E5642">
        <w:t xml:space="preserve">should be reduced or cancelled </w:t>
      </w:r>
      <w:r w:rsidR="00F75F3C">
        <w:t>because it sought and acted in accordance with advice of Commission staff.</w:t>
      </w:r>
      <w:r w:rsidR="004A5F29">
        <w:rPr>
          <w:rStyle w:val="FootnoteReference"/>
        </w:rPr>
        <w:footnoteReference w:id="19"/>
      </w:r>
      <w:r w:rsidR="00F75F3C">
        <w:t xml:space="preserve">  According to Licensee, </w:t>
      </w:r>
      <w:r w:rsidR="0040369E">
        <w:t xml:space="preserve">it </w:t>
      </w:r>
      <w:r w:rsidR="004A5F29" w:rsidRPr="004A5F29">
        <w:t>“</w:t>
      </w:r>
      <w:r w:rsidR="004A5F29">
        <w:t xml:space="preserve">assumed everything was in order,” because it </w:t>
      </w:r>
      <w:r w:rsidR="0040369E">
        <w:t>promptly complied when the Bureau staff requested that it provide additional information for the application on September 16, 2013</w:t>
      </w:r>
      <w:r w:rsidR="004A5F29">
        <w:t>,</w:t>
      </w:r>
      <w:r w:rsidR="0040369E">
        <w:t xml:space="preserve"> and again sometime in May of 2014</w:t>
      </w:r>
      <w:r w:rsidR="004A5F29">
        <w:t>.</w:t>
      </w:r>
      <w:r w:rsidR="004A5F29">
        <w:rPr>
          <w:rStyle w:val="FootnoteReference"/>
        </w:rPr>
        <w:footnoteReference w:id="20"/>
      </w:r>
      <w:r w:rsidR="0040369E">
        <w:t xml:space="preserve">  </w:t>
      </w:r>
      <w:r w:rsidR="00115748">
        <w:t xml:space="preserve">However, </w:t>
      </w:r>
      <w:r w:rsidR="0040369E" w:rsidRPr="0040369E">
        <w:t>Commission precedent has established that parties relying on informal discussions with Commissio</w:t>
      </w:r>
      <w:r w:rsidR="0040369E">
        <w:t>n staff do so at their own risk</w:t>
      </w:r>
      <w:r w:rsidR="005841B0">
        <w:t>,</w:t>
      </w:r>
      <w:r w:rsidR="0040369E" w:rsidRPr="0040369E">
        <w:t xml:space="preserve"> and reliance on such advice will n</w:t>
      </w:r>
      <w:r w:rsidR="0040369E">
        <w:t>ot reduce the forfeiture amount.</w:t>
      </w:r>
      <w:r w:rsidR="0040369E">
        <w:rPr>
          <w:rStyle w:val="FootnoteReference"/>
        </w:rPr>
        <w:footnoteReference w:id="21"/>
      </w:r>
      <w:r w:rsidR="0040369E" w:rsidRPr="0040369E">
        <w:t xml:space="preserve"> </w:t>
      </w:r>
      <w:r w:rsidR="0040369E">
        <w:t xml:space="preserve"> </w:t>
      </w:r>
      <w:r w:rsidR="0040369E" w:rsidRPr="0040369E">
        <w:t>Accordingly, we decline to reduce the forfeiture amount on this basis.</w:t>
      </w:r>
      <w:r w:rsidR="0040369E">
        <w:t xml:space="preserve">   </w:t>
      </w:r>
    </w:p>
    <w:p w:rsidR="00FC595C" w:rsidRPr="0040369E" w:rsidRDefault="00FC595C" w:rsidP="001831FA">
      <w:pPr>
        <w:pStyle w:val="ParaNum"/>
        <w:widowControl/>
        <w:jc w:val="left"/>
      </w:pPr>
      <w:r w:rsidRPr="002F168E">
        <w:t xml:space="preserve">Licensee </w:t>
      </w:r>
      <w:r w:rsidR="0040369E">
        <w:t xml:space="preserve">makes </w:t>
      </w:r>
      <w:r w:rsidRPr="002F168E">
        <w:t xml:space="preserve">several arguments as to why </w:t>
      </w:r>
      <w:r w:rsidRPr="002F168E">
        <w:rPr>
          <w:rStyle w:val="documentbody1"/>
          <w:rFonts w:ascii="Times New Roman" w:hAnsi="Times New Roman"/>
          <w:color w:val="000000"/>
          <w:sz w:val="22"/>
          <w:szCs w:val="22"/>
        </w:rPr>
        <w:t>the forfeiture should be cancelled or reduced</w:t>
      </w:r>
      <w:r w:rsidR="00510C46">
        <w:rPr>
          <w:rStyle w:val="documentbody1"/>
          <w:rFonts w:ascii="Times New Roman" w:hAnsi="Times New Roman"/>
          <w:color w:val="000000"/>
          <w:sz w:val="22"/>
          <w:szCs w:val="22"/>
        </w:rPr>
        <w:t xml:space="preserve"> based on financ</w:t>
      </w:r>
      <w:r w:rsidR="00C1394B">
        <w:rPr>
          <w:rStyle w:val="documentbody1"/>
          <w:rFonts w:ascii="Times New Roman" w:hAnsi="Times New Roman"/>
          <w:color w:val="000000"/>
          <w:sz w:val="22"/>
          <w:szCs w:val="22"/>
        </w:rPr>
        <w:t>ial hardship to the Station</w:t>
      </w:r>
      <w:r w:rsidRPr="002F168E">
        <w:rPr>
          <w:rStyle w:val="documentbody1"/>
          <w:rFonts w:ascii="Times New Roman" w:hAnsi="Times New Roman"/>
          <w:color w:val="000000"/>
          <w:sz w:val="22"/>
          <w:szCs w:val="22"/>
        </w:rPr>
        <w:t xml:space="preserve">.  </w:t>
      </w:r>
      <w:r w:rsidR="00BB4C72">
        <w:rPr>
          <w:rStyle w:val="documentbody1"/>
          <w:rFonts w:ascii="Times New Roman" w:hAnsi="Times New Roman"/>
          <w:color w:val="000000"/>
          <w:sz w:val="22"/>
          <w:szCs w:val="22"/>
        </w:rPr>
        <w:t>We</w:t>
      </w:r>
      <w:r w:rsidR="000348BE">
        <w:rPr>
          <w:rStyle w:val="documentbody1"/>
          <w:rFonts w:ascii="Times New Roman" w:hAnsi="Times New Roman"/>
          <w:color w:val="000000"/>
          <w:sz w:val="22"/>
          <w:szCs w:val="22"/>
        </w:rPr>
        <w:t xml:space="preserve"> reject </w:t>
      </w:r>
      <w:r w:rsidR="00C1394B">
        <w:rPr>
          <w:rStyle w:val="documentbody1"/>
          <w:rFonts w:ascii="Times New Roman" w:hAnsi="Times New Roman"/>
          <w:color w:val="000000"/>
          <w:sz w:val="22"/>
          <w:szCs w:val="22"/>
        </w:rPr>
        <w:t xml:space="preserve">the </w:t>
      </w:r>
      <w:r w:rsidR="000348BE">
        <w:t>claim of financial hardship</w:t>
      </w:r>
      <w:r w:rsidR="00C1394B">
        <w:t xml:space="preserve"> due to Licensee’s failure to document that claim</w:t>
      </w:r>
      <w:r w:rsidR="000348BE">
        <w:t>.</w:t>
      </w:r>
      <w:r w:rsidR="000348BE">
        <w:rPr>
          <w:rStyle w:val="FootnoteReference"/>
        </w:rPr>
        <w:footnoteReference w:id="22"/>
      </w:r>
      <w:r w:rsidR="000348BE">
        <w:t xml:space="preserve">  The Commission will not consider reducing or canceling a forfeiture in response to financial hardship unless the licensee submits:  (1) federal tax returns for the most recent three-year period; (2) financial statements prepared according to generally </w:t>
      </w:r>
      <w:r w:rsidR="006F0BA6">
        <w:t>accepted accounting practices;</w:t>
      </w:r>
      <w:r w:rsidR="000348BE">
        <w:t xml:space="preserve"> or (3) some other reliable and objective documentation that accurately reflect the licensee's current financial status</w:t>
      </w:r>
      <w:r w:rsidR="000348BE">
        <w:rPr>
          <w:rStyle w:val="documentbody5"/>
          <w:color w:val="000000"/>
          <w:szCs w:val="22"/>
        </w:rPr>
        <w:t>.</w:t>
      </w:r>
      <w:r w:rsidR="000348BE">
        <w:rPr>
          <w:rStyle w:val="FootnoteReference"/>
          <w:color w:val="000000"/>
          <w:szCs w:val="22"/>
        </w:rPr>
        <w:footnoteReference w:id="23"/>
      </w:r>
      <w:r w:rsidR="000348BE">
        <w:rPr>
          <w:rStyle w:val="documentbody5"/>
          <w:color w:val="000000"/>
          <w:szCs w:val="22"/>
        </w:rPr>
        <w:t xml:space="preserve">  </w:t>
      </w:r>
      <w:r w:rsidR="00C1394B" w:rsidRPr="00C1394B">
        <w:rPr>
          <w:rStyle w:val="documentbody5"/>
          <w:rFonts w:ascii="Times New Roman" w:hAnsi="Times New Roman"/>
          <w:color w:val="000000"/>
          <w:sz w:val="22"/>
          <w:szCs w:val="22"/>
        </w:rPr>
        <w:t xml:space="preserve">In this case, the </w:t>
      </w:r>
      <w:r w:rsidR="00C1394B" w:rsidRPr="00C1394B">
        <w:rPr>
          <w:rStyle w:val="documentbody5"/>
          <w:rFonts w:ascii="Times New Roman" w:hAnsi="Times New Roman"/>
          <w:i/>
          <w:color w:val="000000"/>
          <w:sz w:val="22"/>
          <w:szCs w:val="22"/>
        </w:rPr>
        <w:t xml:space="preserve">NAL </w:t>
      </w:r>
      <w:r w:rsidR="00C1394B" w:rsidRPr="00C1394B">
        <w:rPr>
          <w:rStyle w:val="documentbody5"/>
          <w:rFonts w:ascii="Times New Roman" w:hAnsi="Times New Roman"/>
          <w:color w:val="000000"/>
          <w:sz w:val="22"/>
          <w:szCs w:val="22"/>
        </w:rPr>
        <w:t>plainly described the type of documentation needed to support a claim of financial hardship.</w:t>
      </w:r>
      <w:r w:rsidR="00C1394B" w:rsidRPr="00C1394B">
        <w:rPr>
          <w:rStyle w:val="FootnoteReference"/>
          <w:color w:val="000000"/>
          <w:szCs w:val="22"/>
        </w:rPr>
        <w:footnoteReference w:id="24"/>
      </w:r>
      <w:r w:rsidR="00C1394B" w:rsidRPr="00C1394B">
        <w:rPr>
          <w:rStyle w:val="documentbody5"/>
          <w:rFonts w:ascii="Times New Roman" w:hAnsi="Times New Roman"/>
          <w:color w:val="000000"/>
          <w:sz w:val="22"/>
          <w:szCs w:val="22"/>
        </w:rPr>
        <w:t xml:space="preserve">  </w:t>
      </w:r>
      <w:r w:rsidR="00C1394B" w:rsidRPr="0040369E">
        <w:rPr>
          <w:szCs w:val="22"/>
        </w:rPr>
        <w:t xml:space="preserve">We </w:t>
      </w:r>
      <w:r w:rsidR="007314C0">
        <w:rPr>
          <w:szCs w:val="22"/>
        </w:rPr>
        <w:t xml:space="preserve">also </w:t>
      </w:r>
      <w:r w:rsidR="00C1394B" w:rsidRPr="0040369E">
        <w:rPr>
          <w:szCs w:val="22"/>
        </w:rPr>
        <w:t xml:space="preserve">note that the staff contacted Licensee’s </w:t>
      </w:r>
      <w:r w:rsidR="00F07EAD" w:rsidRPr="004E624D">
        <w:rPr>
          <w:szCs w:val="22"/>
        </w:rPr>
        <w:t>board members</w:t>
      </w:r>
      <w:r w:rsidR="00F75A61">
        <w:rPr>
          <w:szCs w:val="22"/>
        </w:rPr>
        <w:t xml:space="preserve"> </w:t>
      </w:r>
      <w:r w:rsidR="00C1394B" w:rsidRPr="0040369E">
        <w:rPr>
          <w:szCs w:val="22"/>
        </w:rPr>
        <w:t xml:space="preserve">by e-mail on </w:t>
      </w:r>
      <w:r w:rsidR="007236B7">
        <w:rPr>
          <w:szCs w:val="22"/>
        </w:rPr>
        <w:t>two</w:t>
      </w:r>
      <w:r w:rsidR="00C1394B" w:rsidRPr="0040369E">
        <w:rPr>
          <w:szCs w:val="22"/>
        </w:rPr>
        <w:t xml:space="preserve"> separate occasions</w:t>
      </w:r>
      <w:r w:rsidR="007314C0">
        <w:rPr>
          <w:szCs w:val="22"/>
        </w:rPr>
        <w:t>—</w:t>
      </w:r>
      <w:r w:rsidR="007236B7">
        <w:rPr>
          <w:szCs w:val="22"/>
        </w:rPr>
        <w:t>June 22, 2016</w:t>
      </w:r>
      <w:r w:rsidR="00C1394B" w:rsidRPr="0040369E">
        <w:rPr>
          <w:szCs w:val="22"/>
        </w:rPr>
        <w:t xml:space="preserve">, and </w:t>
      </w:r>
      <w:r w:rsidR="007236B7">
        <w:rPr>
          <w:szCs w:val="22"/>
        </w:rPr>
        <w:t>June 30, 2016</w:t>
      </w:r>
      <w:r w:rsidR="007314C0">
        <w:rPr>
          <w:szCs w:val="22"/>
        </w:rPr>
        <w:t>—</w:t>
      </w:r>
      <w:r w:rsidR="00C1394B" w:rsidRPr="0040369E">
        <w:rPr>
          <w:szCs w:val="22"/>
        </w:rPr>
        <w:t>requesting that Licensee provide documentation supporting its claim of financial hardship, but received no response.</w:t>
      </w:r>
      <w:r w:rsidR="007314C0">
        <w:rPr>
          <w:rStyle w:val="FootnoteReference"/>
          <w:szCs w:val="22"/>
        </w:rPr>
        <w:footnoteReference w:id="25"/>
      </w:r>
      <w:r w:rsidR="00C1394B" w:rsidRPr="0040369E">
        <w:rPr>
          <w:szCs w:val="22"/>
        </w:rPr>
        <w:t xml:space="preserve">  </w:t>
      </w:r>
      <w:r w:rsidR="006B3427" w:rsidRPr="0040369E">
        <w:rPr>
          <w:szCs w:val="22"/>
        </w:rPr>
        <w:t xml:space="preserve">Because </w:t>
      </w:r>
      <w:r w:rsidR="000348BE" w:rsidRPr="0040369E">
        <w:rPr>
          <w:szCs w:val="22"/>
        </w:rPr>
        <w:t>Licensee</w:t>
      </w:r>
      <w:r w:rsidR="000348BE" w:rsidRPr="0040369E">
        <w:t xml:space="preserve"> has not provided any such documentation</w:t>
      </w:r>
      <w:r w:rsidR="006B3427" w:rsidRPr="0040369E">
        <w:t xml:space="preserve">, </w:t>
      </w:r>
      <w:r w:rsidR="000348BE" w:rsidRPr="0040369E">
        <w:t>we will not reduce the forfeiture based on financial hardship.</w:t>
      </w:r>
      <w:r w:rsidR="000348BE" w:rsidRPr="0040369E">
        <w:rPr>
          <w:rStyle w:val="FootnoteReference"/>
        </w:rPr>
        <w:footnoteReference w:id="26"/>
      </w:r>
    </w:p>
    <w:p w:rsidR="00E056D5" w:rsidRDefault="00E056D5" w:rsidP="00E056D5">
      <w:pPr>
        <w:pStyle w:val="ParaNum"/>
        <w:tabs>
          <w:tab w:val="clear" w:pos="1440"/>
          <w:tab w:val="num" w:pos="0"/>
        </w:tabs>
        <w:ind w:firstLine="630"/>
        <w:jc w:val="left"/>
        <w:rPr>
          <w:szCs w:val="22"/>
        </w:rPr>
      </w:pPr>
      <w:r w:rsidRPr="00E056D5">
        <w:rPr>
          <w:szCs w:val="22"/>
        </w:rPr>
        <w:t xml:space="preserve">We have considered the Licensee’s response to the </w:t>
      </w:r>
      <w:r w:rsidRPr="00E056D5">
        <w:rPr>
          <w:i/>
          <w:szCs w:val="22"/>
        </w:rPr>
        <w:t>NAL</w:t>
      </w:r>
      <w:r w:rsidRPr="00E056D5">
        <w:rPr>
          <w:szCs w:val="22"/>
        </w:rPr>
        <w:t xml:space="preserve"> in light of the above statutory factors, our Rules, and the </w:t>
      </w:r>
      <w:r w:rsidRPr="00E056D5">
        <w:rPr>
          <w:i/>
          <w:szCs w:val="22"/>
        </w:rPr>
        <w:t>Forfeiture Policy Statement</w:t>
      </w:r>
      <w:r w:rsidRPr="00E056D5">
        <w:rPr>
          <w:szCs w:val="22"/>
        </w:rPr>
        <w:t xml:space="preserve">.  We conclude that the Licensee willfully </w:t>
      </w:r>
      <w:r w:rsidR="00BB4C72">
        <w:rPr>
          <w:szCs w:val="22"/>
        </w:rPr>
        <w:t>violated Section 73.</w:t>
      </w:r>
      <w:r w:rsidR="00BB4C72">
        <w:t xml:space="preserve">3539 </w:t>
      </w:r>
      <w:r w:rsidR="001E7457">
        <w:rPr>
          <w:szCs w:val="22"/>
        </w:rPr>
        <w:t>of the Rules, and we</w:t>
      </w:r>
      <w:r w:rsidRPr="00E056D5">
        <w:rPr>
          <w:rStyle w:val="documentbody1"/>
          <w:rFonts w:ascii="Times New Roman" w:hAnsi="Times New Roman"/>
          <w:color w:val="000000"/>
          <w:sz w:val="22"/>
          <w:szCs w:val="22"/>
        </w:rPr>
        <w:t xml:space="preserve"> find that there is no basis for reduction of the proposed monetary forfeiture.</w:t>
      </w:r>
      <w:r w:rsidRPr="00E056D5">
        <w:rPr>
          <w:szCs w:val="22"/>
        </w:rPr>
        <w:t xml:space="preserve">    </w:t>
      </w:r>
    </w:p>
    <w:p w:rsidR="007314C0" w:rsidRPr="007314C0" w:rsidRDefault="007314C0" w:rsidP="00E056D5">
      <w:pPr>
        <w:pStyle w:val="ParaNum"/>
        <w:tabs>
          <w:tab w:val="clear" w:pos="1440"/>
          <w:tab w:val="num" w:pos="0"/>
        </w:tabs>
        <w:ind w:firstLine="630"/>
        <w:jc w:val="left"/>
        <w:rPr>
          <w:szCs w:val="22"/>
        </w:rPr>
      </w:pPr>
      <w:r w:rsidRPr="007314C0">
        <w:rPr>
          <w:color w:val="212121"/>
          <w:szCs w:val="22"/>
        </w:rPr>
        <w:t>We will grant the captioned application for renewal of the Station's license by separate action upon the conclusion of this forfeiture proceeding if there are no issues other than the violations discussed here that would preclude grant of the application.</w:t>
      </w:r>
    </w:p>
    <w:p w:rsidR="00E056D5" w:rsidRPr="00E056D5" w:rsidRDefault="00F9150A" w:rsidP="00F9150A">
      <w:pPr>
        <w:pStyle w:val="Heading1"/>
        <w:numPr>
          <w:ilvl w:val="0"/>
          <w:numId w:val="0"/>
        </w:numPr>
        <w:ind w:left="720" w:hanging="720"/>
        <w:jc w:val="left"/>
        <w:rPr>
          <w:szCs w:val="22"/>
        </w:rPr>
      </w:pPr>
      <w:r>
        <w:rPr>
          <w:szCs w:val="22"/>
        </w:rPr>
        <w:t xml:space="preserve">IV.      </w:t>
      </w:r>
      <w:r w:rsidR="00E056D5" w:rsidRPr="00E056D5">
        <w:rPr>
          <w:szCs w:val="22"/>
        </w:rPr>
        <w:t>ORDERING CLAUSES</w:t>
      </w:r>
    </w:p>
    <w:p w:rsidR="00E056D5" w:rsidRPr="00E056D5" w:rsidRDefault="00E056D5" w:rsidP="00E056D5">
      <w:pPr>
        <w:pStyle w:val="ParaNum"/>
        <w:tabs>
          <w:tab w:val="clear" w:pos="1440"/>
          <w:tab w:val="num" w:pos="0"/>
        </w:tabs>
        <w:ind w:firstLine="630"/>
        <w:jc w:val="left"/>
        <w:rPr>
          <w:szCs w:val="22"/>
        </w:rPr>
      </w:pPr>
      <w:r w:rsidRPr="00E056D5">
        <w:rPr>
          <w:szCs w:val="22"/>
        </w:rPr>
        <w:t xml:space="preserve">Accordingly, IT IS ORDERED, pursuant to Section 503(b) of the Communications Act of 1934, as amended, and Sections 0.283 and 1.80 of the </w:t>
      </w:r>
      <w:r w:rsidR="000C3960">
        <w:rPr>
          <w:szCs w:val="22"/>
        </w:rPr>
        <w:t>FCC</w:t>
      </w:r>
      <w:r w:rsidRPr="00E056D5">
        <w:rPr>
          <w:szCs w:val="22"/>
        </w:rPr>
        <w:t>’s Rules,</w:t>
      </w:r>
      <w:r w:rsidRPr="00E056D5">
        <w:rPr>
          <w:rStyle w:val="FootnoteReference"/>
          <w:szCs w:val="22"/>
        </w:rPr>
        <w:footnoteReference w:id="27"/>
      </w:r>
      <w:r w:rsidRPr="00E056D5">
        <w:rPr>
          <w:szCs w:val="22"/>
        </w:rPr>
        <w:t xml:space="preserve"> that </w:t>
      </w:r>
      <w:r w:rsidR="00782381">
        <w:rPr>
          <w:szCs w:val="22"/>
        </w:rPr>
        <w:t>Lake County Community Radio</w:t>
      </w:r>
      <w:r>
        <w:rPr>
          <w:szCs w:val="22"/>
        </w:rPr>
        <w:t xml:space="preserve"> </w:t>
      </w:r>
      <w:r w:rsidRPr="00E056D5">
        <w:rPr>
          <w:szCs w:val="22"/>
        </w:rPr>
        <w:t xml:space="preserve">SHALL FORFEIT to the United States the </w:t>
      </w:r>
      <w:r w:rsidR="00782381">
        <w:rPr>
          <w:szCs w:val="22"/>
        </w:rPr>
        <w:t xml:space="preserve">sum of </w:t>
      </w:r>
      <w:r w:rsidR="00F75A61">
        <w:rPr>
          <w:szCs w:val="22"/>
        </w:rPr>
        <w:t xml:space="preserve">one </w:t>
      </w:r>
      <w:r w:rsidR="00782381">
        <w:rPr>
          <w:szCs w:val="22"/>
        </w:rPr>
        <w:t xml:space="preserve">thousand </w:t>
      </w:r>
      <w:r w:rsidR="00F75A61">
        <w:rPr>
          <w:szCs w:val="22"/>
        </w:rPr>
        <w:t xml:space="preserve">five hundred </w:t>
      </w:r>
      <w:r w:rsidR="00782381">
        <w:rPr>
          <w:szCs w:val="22"/>
        </w:rPr>
        <w:t xml:space="preserve">dollars ($1,500) for willfully </w:t>
      </w:r>
      <w:r w:rsidRPr="00E056D5">
        <w:rPr>
          <w:szCs w:val="22"/>
        </w:rPr>
        <w:t>violating Section 73.</w:t>
      </w:r>
      <w:r w:rsidR="00782381" w:rsidRPr="00782381">
        <w:rPr>
          <w:szCs w:val="22"/>
        </w:rPr>
        <w:t xml:space="preserve">3539 </w:t>
      </w:r>
      <w:r w:rsidRPr="00E056D5">
        <w:rPr>
          <w:szCs w:val="22"/>
        </w:rPr>
        <w:t xml:space="preserve">of the </w:t>
      </w:r>
      <w:r w:rsidR="000C3960">
        <w:rPr>
          <w:szCs w:val="22"/>
        </w:rPr>
        <w:t>FCC</w:t>
      </w:r>
      <w:r w:rsidRPr="00E056D5">
        <w:rPr>
          <w:szCs w:val="22"/>
        </w:rPr>
        <w:t>’s Rules.</w:t>
      </w:r>
    </w:p>
    <w:p w:rsidR="000C3960" w:rsidRPr="000C3960" w:rsidRDefault="000C3960" w:rsidP="000C3960">
      <w:pPr>
        <w:pStyle w:val="ParaNum"/>
        <w:tabs>
          <w:tab w:val="clear" w:pos="1440"/>
          <w:tab w:val="num" w:pos="0"/>
        </w:tabs>
        <w:ind w:firstLine="630"/>
        <w:jc w:val="left"/>
        <w:rPr>
          <w:szCs w:val="22"/>
        </w:rPr>
      </w:pPr>
      <w:bookmarkStart w:id="1" w:name="sp_1511_259"/>
      <w:bookmarkStart w:id="2" w:name="SDU_259"/>
      <w:bookmarkStart w:id="3" w:name="citeas((Cite_as:_22_F.C.C.R._256,_*259_("/>
      <w:bookmarkEnd w:id="1"/>
      <w:bookmarkEnd w:id="2"/>
      <w:bookmarkEnd w:id="3"/>
      <w:r>
        <w:t xml:space="preserve">Payment of the proposed forfeiture must be made by a check or similar instrument, wire transfer or credit card and include the Account Number and FRN referenced in the caption above.  Regardless of the form of payment, a completed FCC Form 159 (Remittance Advice) must be submitted.  When completing the FCC Form 159, enter the Account Number in block number 23A (callsign/other ID) and enter the letters “FORF” in block number 24A (payment type code).  Licensee will also send electronic notification on the date said payment is made to Penelope Dade at </w:t>
      </w:r>
      <w:r w:rsidRPr="00FC3993">
        <w:t>Penelope.Dade@fcc.gov</w:t>
      </w:r>
      <w:r>
        <w:t xml:space="preserve"> and </w:t>
      </w:r>
      <w:r w:rsidR="00A426BD">
        <w:t>Alexander Sanjenis</w:t>
      </w:r>
      <w:r>
        <w:t xml:space="preserve"> at </w:t>
      </w:r>
      <w:r w:rsidR="007314C0">
        <w:rPr>
          <w:szCs w:val="22"/>
        </w:rPr>
        <w:t>Alexander.Sanjenis</w:t>
      </w:r>
      <w:r w:rsidRPr="00FC3993">
        <w:rPr>
          <w:szCs w:val="22"/>
        </w:rPr>
        <w:t>@fcc.gov</w:t>
      </w:r>
      <w:r>
        <w:t xml:space="preserve">.  Below are additional instructions that should be followed based on the form of payment selected: </w:t>
      </w:r>
    </w:p>
    <w:p w:rsidR="000C3960" w:rsidRDefault="000C3960" w:rsidP="000C3960">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0C3960" w:rsidRDefault="000C3960" w:rsidP="000C3960">
      <w:pPr>
        <w:spacing w:before="16" w:line="220" w:lineRule="exact"/>
      </w:pPr>
    </w:p>
    <w:p w:rsidR="000C3960" w:rsidRDefault="000C3960" w:rsidP="000C3960">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ent by</w:t>
      </w:r>
      <w:r>
        <w:rPr>
          <w:spacing w:val="-1"/>
        </w:rPr>
        <w:t xml:space="preserve"> w</w:t>
      </w:r>
      <w:r>
        <w:rPr>
          <w:spacing w:val="1"/>
        </w:rPr>
        <w:t>ir</w:t>
      </w:r>
      <w:r>
        <w:t xml:space="preserve">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be </w:t>
      </w:r>
      <w:r>
        <w:rPr>
          <w:spacing w:val="-4"/>
        </w:rPr>
        <w:t>m</w:t>
      </w:r>
      <w:r>
        <w:t xml:space="preserve">ade </w:t>
      </w:r>
      <w:r>
        <w:rPr>
          <w:spacing w:val="-1"/>
        </w:rPr>
        <w:t>t</w:t>
      </w:r>
      <w:r>
        <w:t xml:space="preserve">o </w:t>
      </w:r>
      <w:r>
        <w:rPr>
          <w:spacing w:val="-1"/>
        </w:rPr>
        <w:t>AB</w:t>
      </w:r>
      <w:r>
        <w:t xml:space="preserve">A </w:t>
      </w:r>
      <w:r>
        <w:rPr>
          <w:spacing w:val="-1"/>
        </w:rPr>
        <w:t>N</w:t>
      </w:r>
      <w:r>
        <w:t>u</w:t>
      </w:r>
      <w:r>
        <w:rPr>
          <w:spacing w:val="-4"/>
        </w:rPr>
        <w:t>m</w:t>
      </w:r>
      <w:r>
        <w:t>ber 02103000</w:t>
      </w:r>
      <w:r>
        <w:rPr>
          <w:spacing w:val="-2"/>
        </w:rPr>
        <w:t>4</w:t>
      </w:r>
      <w:r>
        <w:t xml:space="preserve">, </w:t>
      </w:r>
      <w:r>
        <w:rPr>
          <w:spacing w:val="-2"/>
        </w:rPr>
        <w:t>r</w:t>
      </w:r>
      <w:r>
        <w:t>ec</w:t>
      </w:r>
      <w:r>
        <w:rPr>
          <w:spacing w:val="-2"/>
        </w:rPr>
        <w:t>e</w:t>
      </w:r>
      <w:r>
        <w:rPr>
          <w:spacing w:val="1"/>
        </w:rPr>
        <w:t>i</w:t>
      </w:r>
      <w:r>
        <w:rPr>
          <w:spacing w:val="-2"/>
        </w:rPr>
        <w:t>v</w:t>
      </w:r>
      <w:r>
        <w:rPr>
          <w:spacing w:val="1"/>
        </w:rPr>
        <w:t>i</w:t>
      </w:r>
      <w:r>
        <w:t xml:space="preserve">ng 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0C3960" w:rsidRDefault="000C3960" w:rsidP="000C3960">
      <w:pPr>
        <w:spacing w:before="2" w:line="240" w:lineRule="exact"/>
        <w:rPr>
          <w:sz w:val="24"/>
          <w:szCs w:val="24"/>
        </w:rPr>
      </w:pPr>
    </w:p>
    <w:p w:rsidR="00693B18" w:rsidRDefault="000C3960" w:rsidP="00693B18">
      <w:pPr>
        <w:tabs>
          <w:tab w:val="left" w:pos="1180"/>
        </w:tabs>
        <w:spacing w:line="239" w:lineRule="auto"/>
        <w:ind w:left="1180" w:right="60" w:hanging="36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rsidR="00F07EAD">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sidR="00792A95">
        <w:rPr>
          <w:spacing w:val="-1"/>
        </w:rPr>
        <w:t>B</w:t>
      </w:r>
      <w:r w:rsidR="00792A95">
        <w:t xml:space="preserve">ox </w:t>
      </w:r>
      <w:r w:rsidR="00792A95">
        <w:rPr>
          <w:spacing w:val="27"/>
        </w:rPr>
        <w:t>979088</w:t>
      </w:r>
      <w:r>
        <w:t xml:space="preserve">,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sidR="00792A95">
        <w:rPr>
          <w:spacing w:val="1"/>
        </w:rPr>
        <w:t>t</w:t>
      </w:r>
      <w:r w:rsidR="00792A95">
        <w:t xml:space="preserve">o </w:t>
      </w:r>
      <w:r w:rsidR="00792A95">
        <w:rPr>
          <w:spacing w:val="27"/>
        </w:rPr>
        <w:t>U.S</w:t>
      </w:r>
      <w:r>
        <w:t xml:space="preserve">. </w:t>
      </w:r>
      <w:r>
        <w:rPr>
          <w:spacing w:val="26"/>
        </w:rPr>
        <w:t xml:space="preserve"> </w:t>
      </w:r>
      <w:r>
        <w:rPr>
          <w:spacing w:val="-1"/>
        </w:rPr>
        <w:t>B</w:t>
      </w:r>
      <w:r w:rsidR="00D03B04">
        <w:t>ank</w:t>
      </w:r>
      <w:r>
        <w:t>–</w:t>
      </w:r>
      <w:r w:rsidR="00792A95">
        <w:rPr>
          <w:spacing w:val="-1"/>
        </w:rPr>
        <w:t>G</w:t>
      </w:r>
      <w:r w:rsidR="00792A95">
        <w:t>o</w:t>
      </w:r>
      <w:r w:rsidR="00792A95">
        <w:rPr>
          <w:spacing w:val="-2"/>
        </w:rPr>
        <w:t>v</w:t>
      </w:r>
      <w:r w:rsidR="00792A95">
        <w:t>e</w:t>
      </w:r>
      <w:r w:rsidR="00792A95">
        <w:rPr>
          <w:spacing w:val="1"/>
        </w:rPr>
        <w:t>r</w:t>
      </w:r>
      <w:r w:rsidR="00792A95">
        <w:t>n</w:t>
      </w:r>
      <w:r w:rsidR="00792A95">
        <w:rPr>
          <w:spacing w:val="-4"/>
        </w:rPr>
        <w:t>m</w:t>
      </w:r>
      <w:r w:rsidR="00792A95">
        <w:t xml:space="preserve">ent </w:t>
      </w:r>
      <w:r w:rsidR="00792A95">
        <w:rPr>
          <w:spacing w:val="1"/>
        </w:rPr>
        <w:t>Lockbox</w:t>
      </w:r>
      <w:r w:rsidR="00792A95">
        <w:t xml:space="preserve"> #</w:t>
      </w:r>
      <w:r>
        <w:t>9</w:t>
      </w:r>
      <w:r>
        <w:rPr>
          <w:spacing w:val="-2"/>
        </w:rPr>
        <w:t>7</w:t>
      </w:r>
      <w:r>
        <w:t>9088</w:t>
      </w:r>
      <w:r w:rsidR="00792A95">
        <w:t>,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a</w:t>
      </w:r>
      <w:r w:rsidR="00792A95">
        <w:t xml:space="preserve">, </w:t>
      </w:r>
      <w:r w:rsidR="00792A95">
        <w:rPr>
          <w:spacing w:val="1"/>
        </w:rPr>
        <w:t>St</w:t>
      </w:r>
      <w:r>
        <w:t>.</w:t>
      </w:r>
      <w:r>
        <w:rPr>
          <w:spacing w:val="53"/>
        </w:rPr>
        <w:t xml:space="preserve"> </w:t>
      </w:r>
      <w:r>
        <w:t>Loui</w:t>
      </w:r>
      <w:r>
        <w:rPr>
          <w:spacing w:val="1"/>
        </w:rPr>
        <w:t>s</w:t>
      </w:r>
      <w:r>
        <w:t>,</w:t>
      </w:r>
      <w:r>
        <w:rPr>
          <w:spacing w:val="53"/>
        </w:rPr>
        <w:t xml:space="preserve"> </w:t>
      </w:r>
      <w:r>
        <w:t>MO 63101.</w:t>
      </w:r>
    </w:p>
    <w:p w:rsidR="006C2EB6" w:rsidRDefault="006C2EB6">
      <w:r>
        <w:br w:type="page"/>
      </w:r>
    </w:p>
    <w:p w:rsidR="000C3960" w:rsidRDefault="00693B18" w:rsidP="000F1DF5">
      <w:pPr>
        <w:tabs>
          <w:tab w:val="left" w:pos="1180"/>
        </w:tabs>
        <w:spacing w:after="240" w:line="239" w:lineRule="auto"/>
        <w:ind w:right="60"/>
        <w:rPr>
          <w:szCs w:val="22"/>
        </w:rPr>
      </w:pPr>
      <w:r>
        <w:rPr>
          <w:szCs w:val="22"/>
        </w:rPr>
        <w:t>Requests for payment of the full amount of the forfeiture under an installment plan should be sent to:  Associate Managing Director-Financial Operations, Room 1-A625, 445 12</w:t>
      </w:r>
      <w:r w:rsidRPr="00693B18">
        <w:rPr>
          <w:szCs w:val="22"/>
          <w:vertAlign w:val="superscript"/>
        </w:rPr>
        <w:t>th</w:t>
      </w:r>
      <w:r>
        <w:rPr>
          <w:szCs w:val="22"/>
        </w:rPr>
        <w:t xml:space="preserve"> Street, S.W., Washington, DC 20554.</w:t>
      </w:r>
      <w:r>
        <w:rPr>
          <w:rStyle w:val="FootnoteReference"/>
          <w:szCs w:val="22"/>
        </w:rPr>
        <w:footnoteReference w:id="28"/>
      </w:r>
    </w:p>
    <w:p w:rsidR="00E056D5" w:rsidRPr="00E056D5" w:rsidRDefault="00E056D5" w:rsidP="00E056D5">
      <w:pPr>
        <w:pStyle w:val="ParaNum"/>
        <w:tabs>
          <w:tab w:val="clear" w:pos="1440"/>
          <w:tab w:val="num" w:pos="0"/>
        </w:tabs>
        <w:ind w:firstLine="630"/>
        <w:jc w:val="left"/>
        <w:rPr>
          <w:szCs w:val="22"/>
        </w:rPr>
      </w:pPr>
      <w:r w:rsidRPr="00E056D5">
        <w:rPr>
          <w:szCs w:val="22"/>
        </w:rPr>
        <w:t xml:space="preserve">IT IS FURTHER ORDERED, that copies of this Forfeiture Order shall be sent by Certified Mail Return Receipt Requested and by First Class Mail, to </w:t>
      </w:r>
      <w:r w:rsidR="00782381">
        <w:rPr>
          <w:szCs w:val="22"/>
        </w:rPr>
        <w:t>Ms. Chloe Karl</w:t>
      </w:r>
      <w:r w:rsidR="00601A9E">
        <w:rPr>
          <w:szCs w:val="22"/>
        </w:rPr>
        <w:t xml:space="preserve">, </w:t>
      </w:r>
      <w:r w:rsidR="00782381">
        <w:rPr>
          <w:szCs w:val="22"/>
        </w:rPr>
        <w:t>Lake County Community Radio</w:t>
      </w:r>
      <w:r w:rsidR="00601A9E">
        <w:rPr>
          <w:szCs w:val="22"/>
        </w:rPr>
        <w:t xml:space="preserve">, P.O. Box </w:t>
      </w:r>
      <w:r w:rsidR="00782381">
        <w:rPr>
          <w:szCs w:val="22"/>
        </w:rPr>
        <w:t>446</w:t>
      </w:r>
      <w:r w:rsidR="00601A9E">
        <w:rPr>
          <w:szCs w:val="22"/>
        </w:rPr>
        <w:t xml:space="preserve">, </w:t>
      </w:r>
      <w:r w:rsidR="00782381">
        <w:rPr>
          <w:szCs w:val="22"/>
        </w:rPr>
        <w:t>Lakeport</w:t>
      </w:r>
      <w:r w:rsidR="00601A9E">
        <w:rPr>
          <w:szCs w:val="22"/>
        </w:rPr>
        <w:t xml:space="preserve">, </w:t>
      </w:r>
      <w:r w:rsidR="00782381">
        <w:rPr>
          <w:szCs w:val="22"/>
        </w:rPr>
        <w:t>CA</w:t>
      </w:r>
      <w:r w:rsidR="00601A9E">
        <w:rPr>
          <w:szCs w:val="22"/>
        </w:rPr>
        <w:t xml:space="preserve"> </w:t>
      </w:r>
      <w:r w:rsidR="00782381">
        <w:rPr>
          <w:szCs w:val="22"/>
        </w:rPr>
        <w:t>95453</w:t>
      </w:r>
      <w:r w:rsidR="00601A9E">
        <w:rPr>
          <w:szCs w:val="22"/>
        </w:rPr>
        <w:t>.</w:t>
      </w:r>
    </w:p>
    <w:p w:rsidR="00E056D5" w:rsidRPr="00E056D5" w:rsidRDefault="00E056D5" w:rsidP="00E056D5">
      <w:pPr>
        <w:tabs>
          <w:tab w:val="num" w:pos="0"/>
        </w:tabs>
        <w:ind w:firstLine="630"/>
        <w:rPr>
          <w:szCs w:val="22"/>
        </w:rPr>
      </w:pPr>
      <w:r w:rsidRPr="00E056D5">
        <w:rPr>
          <w:szCs w:val="22"/>
        </w:rPr>
        <w:tab/>
      </w:r>
      <w:r w:rsidRPr="00E056D5">
        <w:rPr>
          <w:szCs w:val="22"/>
        </w:rPr>
        <w:tab/>
      </w:r>
      <w:r w:rsidRPr="00E056D5">
        <w:rPr>
          <w:szCs w:val="22"/>
        </w:rPr>
        <w:tab/>
      </w:r>
      <w:r w:rsidRPr="00E056D5">
        <w:rPr>
          <w:szCs w:val="22"/>
        </w:rPr>
        <w:tab/>
      </w:r>
      <w:r w:rsidRPr="00E056D5">
        <w:rPr>
          <w:szCs w:val="22"/>
        </w:rPr>
        <w:tab/>
      </w:r>
      <w:r w:rsidRPr="00E056D5">
        <w:rPr>
          <w:szCs w:val="22"/>
        </w:rPr>
        <w:tab/>
        <w:t>FEDERAL COMMUNICATIONS COMMISSION</w:t>
      </w:r>
    </w:p>
    <w:p w:rsidR="00E056D5" w:rsidRPr="00E056D5" w:rsidRDefault="00E056D5" w:rsidP="00E056D5">
      <w:pPr>
        <w:tabs>
          <w:tab w:val="num" w:pos="0"/>
        </w:tabs>
        <w:ind w:firstLine="630"/>
        <w:rPr>
          <w:szCs w:val="22"/>
        </w:rPr>
      </w:pPr>
    </w:p>
    <w:p w:rsidR="00E056D5" w:rsidRPr="00E056D5" w:rsidRDefault="00E056D5" w:rsidP="00E056D5">
      <w:pPr>
        <w:tabs>
          <w:tab w:val="num" w:pos="0"/>
          <w:tab w:val="left" w:pos="2880"/>
        </w:tabs>
        <w:suppressAutoHyphens/>
        <w:ind w:firstLine="630"/>
        <w:rPr>
          <w:szCs w:val="22"/>
        </w:rPr>
      </w:pPr>
      <w:r w:rsidRPr="00E056D5">
        <w:rPr>
          <w:szCs w:val="22"/>
        </w:rPr>
        <w:tab/>
      </w:r>
      <w:r w:rsidRPr="00E056D5">
        <w:rPr>
          <w:szCs w:val="22"/>
        </w:rPr>
        <w:tab/>
      </w:r>
      <w:r w:rsidRPr="00E056D5">
        <w:rPr>
          <w:szCs w:val="22"/>
        </w:rPr>
        <w:tab/>
      </w:r>
    </w:p>
    <w:p w:rsidR="00E056D5" w:rsidRPr="00E056D5" w:rsidRDefault="00E056D5" w:rsidP="00E056D5">
      <w:pPr>
        <w:tabs>
          <w:tab w:val="num" w:pos="0"/>
          <w:tab w:val="left" w:pos="2880"/>
        </w:tabs>
        <w:suppressAutoHyphens/>
        <w:ind w:firstLine="630"/>
        <w:rPr>
          <w:szCs w:val="22"/>
        </w:rPr>
      </w:pPr>
      <w:r w:rsidRPr="00E056D5">
        <w:rPr>
          <w:szCs w:val="22"/>
        </w:rPr>
        <w:tab/>
      </w:r>
      <w:r w:rsidRPr="00E056D5">
        <w:rPr>
          <w:szCs w:val="22"/>
        </w:rPr>
        <w:tab/>
      </w:r>
      <w:r w:rsidRPr="00E056D5">
        <w:rPr>
          <w:szCs w:val="22"/>
        </w:rPr>
        <w:tab/>
        <w:t>Peter H. Doyle</w:t>
      </w:r>
    </w:p>
    <w:p w:rsidR="00E056D5" w:rsidRPr="00E056D5" w:rsidRDefault="00E056D5" w:rsidP="00E056D5">
      <w:pPr>
        <w:tabs>
          <w:tab w:val="num" w:pos="0"/>
          <w:tab w:val="left" w:pos="2880"/>
        </w:tabs>
        <w:suppressAutoHyphens/>
        <w:ind w:firstLine="630"/>
        <w:rPr>
          <w:szCs w:val="22"/>
        </w:rPr>
      </w:pPr>
      <w:r w:rsidRPr="00E056D5">
        <w:rPr>
          <w:szCs w:val="22"/>
        </w:rPr>
        <w:tab/>
      </w:r>
      <w:r w:rsidRPr="00E056D5">
        <w:rPr>
          <w:szCs w:val="22"/>
        </w:rPr>
        <w:tab/>
      </w:r>
      <w:r w:rsidRPr="00E056D5">
        <w:rPr>
          <w:szCs w:val="22"/>
        </w:rPr>
        <w:tab/>
        <w:t xml:space="preserve">Chief, Audio Division </w:t>
      </w:r>
    </w:p>
    <w:p w:rsidR="006C1806" w:rsidRPr="00E056D5" w:rsidRDefault="00E056D5" w:rsidP="00710722">
      <w:pPr>
        <w:tabs>
          <w:tab w:val="num" w:pos="0"/>
        </w:tabs>
        <w:ind w:firstLine="630"/>
        <w:rPr>
          <w:szCs w:val="22"/>
        </w:rPr>
      </w:pPr>
      <w:r w:rsidRPr="00E056D5">
        <w:rPr>
          <w:szCs w:val="22"/>
        </w:rPr>
        <w:tab/>
      </w:r>
      <w:r w:rsidRPr="00E056D5">
        <w:rPr>
          <w:szCs w:val="22"/>
        </w:rPr>
        <w:tab/>
      </w:r>
      <w:r w:rsidRPr="00E056D5">
        <w:rPr>
          <w:szCs w:val="22"/>
        </w:rPr>
        <w:tab/>
      </w:r>
      <w:r w:rsidRPr="00E056D5">
        <w:rPr>
          <w:szCs w:val="22"/>
        </w:rPr>
        <w:tab/>
      </w:r>
      <w:r w:rsidRPr="00E056D5">
        <w:rPr>
          <w:szCs w:val="22"/>
        </w:rPr>
        <w:tab/>
      </w:r>
      <w:r w:rsidRPr="00E056D5">
        <w:rPr>
          <w:szCs w:val="22"/>
        </w:rPr>
        <w:tab/>
        <w:t>Media Bureau</w:t>
      </w:r>
    </w:p>
    <w:sectPr w:rsidR="006C1806" w:rsidRPr="00E056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24" w:rsidRDefault="002B0D24">
      <w:r>
        <w:separator/>
      </w:r>
    </w:p>
  </w:endnote>
  <w:endnote w:type="continuationSeparator" w:id="0">
    <w:p w:rsidR="002B0D24" w:rsidRDefault="002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806" w:rsidRDefault="006C18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A7D">
      <w:rPr>
        <w:rStyle w:val="PageNumber"/>
        <w:noProof/>
      </w:rPr>
      <w:t>2</w:t>
    </w:r>
    <w:r>
      <w:rPr>
        <w:rStyle w:val="PageNumber"/>
      </w:rPr>
      <w:fldChar w:fldCharType="end"/>
    </w:r>
  </w:p>
  <w:p w:rsidR="006C1806" w:rsidRDefault="006C1806">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6C180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24" w:rsidRDefault="002B0D24">
      <w:r>
        <w:separator/>
      </w:r>
    </w:p>
  </w:footnote>
  <w:footnote w:type="continuationSeparator" w:id="0">
    <w:p w:rsidR="002B0D24" w:rsidRDefault="002B0D24">
      <w:r>
        <w:continuationSeparator/>
      </w:r>
    </w:p>
  </w:footnote>
  <w:footnote w:id="1">
    <w:p w:rsidR="00B4782F" w:rsidRPr="005674CE" w:rsidRDefault="00B4782F" w:rsidP="007E15D9">
      <w:pPr>
        <w:pStyle w:val="FootnoteText"/>
        <w:jc w:val="left"/>
        <w:rPr>
          <w:sz w:val="20"/>
        </w:rPr>
      </w:pPr>
      <w:r w:rsidRPr="005674CE">
        <w:rPr>
          <w:rStyle w:val="FootnoteReference"/>
          <w:sz w:val="20"/>
        </w:rPr>
        <w:footnoteRef/>
      </w:r>
      <w:r w:rsidR="000A1F29">
        <w:rPr>
          <w:sz w:val="20"/>
        </w:rPr>
        <w:t xml:space="preserve"> 47 CFR § 73.3539</w:t>
      </w:r>
      <w:r w:rsidRPr="005674CE">
        <w:rPr>
          <w:sz w:val="20"/>
        </w:rPr>
        <w:t>.</w:t>
      </w:r>
    </w:p>
  </w:footnote>
  <w:footnote w:id="2">
    <w:p w:rsidR="009B74E0" w:rsidRPr="009B74E0" w:rsidRDefault="009B74E0" w:rsidP="007E15D9">
      <w:pPr>
        <w:pStyle w:val="FootnoteText"/>
        <w:jc w:val="left"/>
        <w:rPr>
          <w:sz w:val="20"/>
        </w:rPr>
      </w:pPr>
      <w:r w:rsidRPr="009B74E0">
        <w:rPr>
          <w:rStyle w:val="FootnoteReference"/>
          <w:sz w:val="20"/>
        </w:rPr>
        <w:footnoteRef/>
      </w:r>
      <w:r w:rsidRPr="009B74E0">
        <w:rPr>
          <w:sz w:val="20"/>
        </w:rPr>
        <w:t xml:space="preserve"> </w:t>
      </w:r>
      <w:r w:rsidRPr="009B74E0">
        <w:rPr>
          <w:i/>
          <w:sz w:val="20"/>
        </w:rPr>
        <w:t>Lake County C</w:t>
      </w:r>
      <w:r w:rsidR="003F3752">
        <w:rPr>
          <w:i/>
          <w:sz w:val="20"/>
        </w:rPr>
        <w:t>m</w:t>
      </w:r>
      <w:r w:rsidRPr="009B74E0">
        <w:rPr>
          <w:i/>
          <w:sz w:val="20"/>
        </w:rPr>
        <w:t>ty</w:t>
      </w:r>
      <w:r w:rsidR="003F3752">
        <w:rPr>
          <w:i/>
          <w:sz w:val="20"/>
        </w:rPr>
        <w:t>.</w:t>
      </w:r>
      <w:r w:rsidRPr="009B74E0">
        <w:rPr>
          <w:i/>
          <w:sz w:val="20"/>
        </w:rPr>
        <w:t xml:space="preserve"> Radio</w:t>
      </w:r>
      <w:r w:rsidRPr="009B74E0">
        <w:rPr>
          <w:sz w:val="20"/>
        </w:rPr>
        <w:t>, Memorandum Opinion and Order and Notice of Apparent Liability for Forfeiture</w:t>
      </w:r>
      <w:r>
        <w:rPr>
          <w:sz w:val="20"/>
        </w:rPr>
        <w:t xml:space="preserve">, </w:t>
      </w:r>
      <w:r w:rsidR="00152097" w:rsidRPr="00152097">
        <w:rPr>
          <w:sz w:val="20"/>
        </w:rPr>
        <w:t>DA 16-595</w:t>
      </w:r>
      <w:r w:rsidR="00152097">
        <w:rPr>
          <w:sz w:val="20"/>
        </w:rPr>
        <w:t xml:space="preserve"> (MB May 27, 2016)</w:t>
      </w:r>
      <w:r w:rsidR="00C02EF7">
        <w:rPr>
          <w:sz w:val="20"/>
        </w:rPr>
        <w:t xml:space="preserve"> (</w:t>
      </w:r>
      <w:r w:rsidR="00C02EF7">
        <w:rPr>
          <w:i/>
          <w:sz w:val="20"/>
        </w:rPr>
        <w:t>NAL</w:t>
      </w:r>
      <w:r w:rsidR="00C02EF7">
        <w:rPr>
          <w:sz w:val="20"/>
        </w:rPr>
        <w:t>)</w:t>
      </w:r>
      <w:r w:rsidR="004E624D">
        <w:rPr>
          <w:sz w:val="20"/>
        </w:rPr>
        <w:t>.</w:t>
      </w:r>
    </w:p>
  </w:footnote>
  <w:footnote w:id="3">
    <w:p w:rsidR="008B1488" w:rsidRPr="007236B7" w:rsidRDefault="008B1488" w:rsidP="007E15D9">
      <w:pPr>
        <w:pStyle w:val="FootnoteText"/>
        <w:jc w:val="left"/>
        <w:rPr>
          <w:sz w:val="20"/>
        </w:rPr>
      </w:pPr>
      <w:r w:rsidRPr="007236B7">
        <w:rPr>
          <w:rStyle w:val="FootnoteReference"/>
          <w:sz w:val="20"/>
        </w:rPr>
        <w:footnoteRef/>
      </w:r>
      <w:r w:rsidRPr="007236B7">
        <w:rPr>
          <w:sz w:val="20"/>
        </w:rPr>
        <w:t xml:space="preserve"> </w:t>
      </w:r>
      <w:r w:rsidR="007236B7" w:rsidRPr="007236B7">
        <w:rPr>
          <w:i/>
          <w:iCs/>
          <w:sz w:val="20"/>
        </w:rPr>
        <w:t>See</w:t>
      </w:r>
      <w:r w:rsidR="007236B7" w:rsidRPr="007236B7">
        <w:rPr>
          <w:sz w:val="20"/>
        </w:rPr>
        <w:t xml:space="preserve"> </w:t>
      </w:r>
      <w:hyperlink r:id="rId1" w:history="1">
        <w:r w:rsidR="000343D3">
          <w:rPr>
            <w:rStyle w:val="Hyperlink"/>
            <w:color w:val="auto"/>
            <w:sz w:val="20"/>
            <w:u w:val="none"/>
          </w:rPr>
          <w:t>47 CF</w:t>
        </w:r>
        <w:r w:rsidR="007236B7" w:rsidRPr="007236B7">
          <w:rPr>
            <w:rStyle w:val="Hyperlink"/>
            <w:color w:val="auto"/>
            <w:sz w:val="20"/>
            <w:u w:val="none"/>
          </w:rPr>
          <w:t>R. §§ 73.1020</w:t>
        </w:r>
      </w:hyperlink>
      <w:r w:rsidR="007236B7" w:rsidRPr="007236B7">
        <w:rPr>
          <w:sz w:val="20"/>
        </w:rPr>
        <w:t xml:space="preserve">, </w:t>
      </w:r>
      <w:hyperlink r:id="rId2" w:anchor="co_pp_8b3b0000958a4" w:history="1">
        <w:r w:rsidR="007236B7" w:rsidRPr="007236B7">
          <w:rPr>
            <w:rStyle w:val="Hyperlink"/>
            <w:color w:val="auto"/>
            <w:sz w:val="20"/>
            <w:u w:val="none"/>
          </w:rPr>
          <w:t>73.3539(a)</w:t>
        </w:r>
      </w:hyperlink>
      <w:r w:rsidR="007236B7" w:rsidRPr="007236B7">
        <w:rPr>
          <w:sz w:val="20"/>
        </w:rPr>
        <w:t>.</w:t>
      </w:r>
    </w:p>
  </w:footnote>
  <w:footnote w:id="4">
    <w:p w:rsidR="008B1488" w:rsidRPr="00DA4EB8" w:rsidRDefault="008B1488" w:rsidP="007E15D9">
      <w:pPr>
        <w:pStyle w:val="FootnoteText"/>
        <w:jc w:val="left"/>
      </w:pPr>
      <w:r>
        <w:rPr>
          <w:rStyle w:val="FootnoteReference"/>
        </w:rPr>
        <w:footnoteRef/>
      </w:r>
      <w:r>
        <w:t xml:space="preserve"> </w:t>
      </w:r>
      <w:r w:rsidRPr="008B1488">
        <w:rPr>
          <w:sz w:val="20"/>
        </w:rPr>
        <w:t>The Bureau specifically requested: “(1) federal tax returns for the most recent three-year period; (2) financial statements prepared according to generally accepted accounting practices (“GAAP”); or (3) some other reliable and objective documentation that accurately reflects the respondent's current financial status.”</w:t>
      </w:r>
      <w:r w:rsidR="00DA4EB8">
        <w:rPr>
          <w:sz w:val="20"/>
        </w:rPr>
        <w:t xml:space="preserve">  </w:t>
      </w:r>
      <w:r w:rsidR="00DA4EB8">
        <w:rPr>
          <w:i/>
          <w:sz w:val="20"/>
        </w:rPr>
        <w:t>NAL</w:t>
      </w:r>
      <w:r w:rsidR="00DA4EB8">
        <w:rPr>
          <w:sz w:val="20"/>
        </w:rPr>
        <w:t xml:space="preserve"> at </w:t>
      </w:r>
      <w:r w:rsidR="00F75A61" w:rsidRPr="00C138B0">
        <w:rPr>
          <w:sz w:val="20"/>
        </w:rPr>
        <w:t>3</w:t>
      </w:r>
      <w:r w:rsidR="00DA4EB8" w:rsidRPr="00F75A61">
        <w:rPr>
          <w:sz w:val="20"/>
        </w:rPr>
        <w:t xml:space="preserve">, para. </w:t>
      </w:r>
      <w:r w:rsidR="00F75A61" w:rsidRPr="00C138B0">
        <w:rPr>
          <w:sz w:val="20"/>
        </w:rPr>
        <w:t>13</w:t>
      </w:r>
      <w:r w:rsidR="00DA4EB8">
        <w:rPr>
          <w:sz w:val="20"/>
        </w:rPr>
        <w:t xml:space="preserve">. </w:t>
      </w:r>
    </w:p>
  </w:footnote>
  <w:footnote w:id="5">
    <w:p w:rsidR="007236B7" w:rsidRPr="00D140F0" w:rsidRDefault="007236B7" w:rsidP="007E15D9">
      <w:pPr>
        <w:pStyle w:val="FootnoteText"/>
        <w:jc w:val="left"/>
        <w:rPr>
          <w:sz w:val="20"/>
        </w:rPr>
      </w:pPr>
      <w:r w:rsidRPr="00A403D9">
        <w:rPr>
          <w:rStyle w:val="FootnoteReference"/>
          <w:sz w:val="20"/>
        </w:rPr>
        <w:footnoteRef/>
      </w:r>
      <w:r w:rsidRPr="00A403D9">
        <w:rPr>
          <w:sz w:val="20"/>
        </w:rPr>
        <w:t xml:space="preserve"> </w:t>
      </w:r>
      <w:r w:rsidR="00D140F0">
        <w:rPr>
          <w:i/>
          <w:sz w:val="20"/>
        </w:rPr>
        <w:t xml:space="preserve">See </w:t>
      </w:r>
      <w:r w:rsidR="00782381">
        <w:rPr>
          <w:sz w:val="20"/>
        </w:rPr>
        <w:t>Letter from Chloe Karl, President LCCR Board of Directors, Lake County Community Radio, to Peter H. Doyle, Chief, Audio Division, Media Bureau</w:t>
      </w:r>
      <w:r w:rsidR="00DA4EB8">
        <w:rPr>
          <w:sz w:val="20"/>
        </w:rPr>
        <w:t xml:space="preserve"> (</w:t>
      </w:r>
      <w:r w:rsidR="00782381">
        <w:rPr>
          <w:sz w:val="20"/>
        </w:rPr>
        <w:t>June 22, 2015</w:t>
      </w:r>
      <w:r w:rsidR="00DA4EB8">
        <w:rPr>
          <w:sz w:val="20"/>
        </w:rPr>
        <w:t>)</w:t>
      </w:r>
      <w:r w:rsidR="00782381">
        <w:rPr>
          <w:sz w:val="20"/>
        </w:rPr>
        <w:t xml:space="preserve"> (Response). </w:t>
      </w:r>
    </w:p>
  </w:footnote>
  <w:footnote w:id="6">
    <w:p w:rsidR="00A403D9" w:rsidRPr="00A403D9" w:rsidRDefault="00A403D9" w:rsidP="007E15D9">
      <w:pPr>
        <w:pStyle w:val="FootnoteText"/>
        <w:jc w:val="left"/>
        <w:rPr>
          <w:sz w:val="20"/>
        </w:rPr>
      </w:pPr>
      <w:r w:rsidRPr="00A403D9">
        <w:rPr>
          <w:rStyle w:val="FootnoteReference"/>
          <w:sz w:val="20"/>
        </w:rPr>
        <w:footnoteRef/>
      </w:r>
      <w:r w:rsidRPr="00A403D9">
        <w:rPr>
          <w:sz w:val="20"/>
        </w:rPr>
        <w:t xml:space="preserve"> Response at 1. </w:t>
      </w:r>
    </w:p>
  </w:footnote>
  <w:footnote w:id="7">
    <w:p w:rsidR="00A403D9" w:rsidRPr="00A403D9" w:rsidRDefault="00A403D9" w:rsidP="007E15D9">
      <w:pPr>
        <w:pStyle w:val="FootnoteText"/>
        <w:jc w:val="left"/>
        <w:rPr>
          <w:sz w:val="20"/>
        </w:rPr>
      </w:pPr>
      <w:r w:rsidRPr="00A403D9">
        <w:rPr>
          <w:rStyle w:val="FootnoteReference"/>
          <w:sz w:val="20"/>
        </w:rPr>
        <w:footnoteRef/>
      </w:r>
      <w:r w:rsidRPr="00A403D9">
        <w:rPr>
          <w:sz w:val="20"/>
        </w:rPr>
        <w:t xml:space="preserve"> </w:t>
      </w:r>
      <w:r w:rsidRPr="00A403D9">
        <w:rPr>
          <w:i/>
          <w:sz w:val="20"/>
        </w:rPr>
        <w:t>Id.</w:t>
      </w:r>
      <w:r w:rsidRPr="00A403D9">
        <w:rPr>
          <w:sz w:val="20"/>
        </w:rPr>
        <w:t xml:space="preserve">. </w:t>
      </w:r>
    </w:p>
  </w:footnote>
  <w:footnote w:id="8">
    <w:p w:rsidR="00A403D9" w:rsidRPr="00A403D9" w:rsidRDefault="00A403D9" w:rsidP="007E15D9">
      <w:pPr>
        <w:pStyle w:val="FootnoteText"/>
        <w:jc w:val="left"/>
        <w:rPr>
          <w:sz w:val="20"/>
        </w:rPr>
      </w:pPr>
      <w:r w:rsidRPr="00A403D9">
        <w:rPr>
          <w:rStyle w:val="FootnoteReference"/>
          <w:sz w:val="20"/>
        </w:rPr>
        <w:footnoteRef/>
      </w:r>
      <w:r w:rsidRPr="00A403D9">
        <w:rPr>
          <w:sz w:val="20"/>
        </w:rPr>
        <w:t xml:space="preserve"> </w:t>
      </w:r>
      <w:r w:rsidRPr="00A403D9">
        <w:rPr>
          <w:i/>
          <w:sz w:val="20"/>
        </w:rPr>
        <w:t>Id.</w:t>
      </w:r>
      <w:r w:rsidRPr="00A403D9">
        <w:rPr>
          <w:sz w:val="20"/>
        </w:rPr>
        <w:t xml:space="preserve">. </w:t>
      </w:r>
    </w:p>
  </w:footnote>
  <w:footnote w:id="9">
    <w:p w:rsidR="00A403D9" w:rsidRPr="00A403D9" w:rsidRDefault="00A403D9" w:rsidP="007E15D9">
      <w:pPr>
        <w:pStyle w:val="FootnoteText"/>
        <w:jc w:val="left"/>
        <w:rPr>
          <w:sz w:val="20"/>
        </w:rPr>
      </w:pPr>
      <w:r w:rsidRPr="00A403D9">
        <w:rPr>
          <w:rStyle w:val="FootnoteReference"/>
          <w:sz w:val="20"/>
        </w:rPr>
        <w:footnoteRef/>
      </w:r>
      <w:r w:rsidRPr="00A403D9">
        <w:rPr>
          <w:sz w:val="20"/>
        </w:rPr>
        <w:t xml:space="preserve"> </w:t>
      </w:r>
      <w:r w:rsidRPr="00A403D9">
        <w:rPr>
          <w:i/>
          <w:sz w:val="20"/>
        </w:rPr>
        <w:t>Id.</w:t>
      </w:r>
      <w:r w:rsidRPr="00A403D9">
        <w:rPr>
          <w:sz w:val="20"/>
        </w:rPr>
        <w:t>.</w:t>
      </w:r>
    </w:p>
  </w:footnote>
  <w:footnote w:id="10">
    <w:p w:rsidR="00A403D9" w:rsidRPr="00A403D9" w:rsidRDefault="00A403D9" w:rsidP="007E15D9">
      <w:pPr>
        <w:pStyle w:val="FootnoteText"/>
        <w:jc w:val="left"/>
        <w:rPr>
          <w:sz w:val="20"/>
        </w:rPr>
      </w:pPr>
      <w:r w:rsidRPr="00A403D9">
        <w:rPr>
          <w:rStyle w:val="FootnoteReference"/>
          <w:sz w:val="20"/>
        </w:rPr>
        <w:footnoteRef/>
      </w:r>
      <w:r w:rsidRPr="00A403D9">
        <w:rPr>
          <w:sz w:val="20"/>
        </w:rPr>
        <w:t xml:space="preserve"> </w:t>
      </w:r>
      <w:r w:rsidRPr="00A403D9">
        <w:rPr>
          <w:i/>
          <w:sz w:val="20"/>
        </w:rPr>
        <w:t>Id.</w:t>
      </w:r>
    </w:p>
  </w:footnote>
  <w:footnote w:id="11">
    <w:p w:rsidR="00FC595C" w:rsidRPr="00A403D9" w:rsidRDefault="00FC595C" w:rsidP="007E15D9">
      <w:pPr>
        <w:pStyle w:val="FootnoteText"/>
        <w:jc w:val="left"/>
        <w:rPr>
          <w:sz w:val="20"/>
        </w:rPr>
      </w:pPr>
      <w:r w:rsidRPr="00A403D9">
        <w:rPr>
          <w:rStyle w:val="FootnoteReference"/>
          <w:sz w:val="20"/>
        </w:rPr>
        <w:footnoteRef/>
      </w:r>
      <w:r w:rsidRPr="00A403D9">
        <w:rPr>
          <w:sz w:val="20"/>
        </w:rPr>
        <w:t xml:space="preserve"> 47 U.S.C. § 503(b).</w:t>
      </w:r>
    </w:p>
  </w:footnote>
  <w:footnote w:id="12">
    <w:p w:rsidR="00FC595C" w:rsidRPr="00A403D9" w:rsidRDefault="00FC595C" w:rsidP="007E15D9">
      <w:pPr>
        <w:pStyle w:val="FootnoteText"/>
        <w:jc w:val="left"/>
        <w:rPr>
          <w:sz w:val="20"/>
        </w:rPr>
      </w:pPr>
      <w:r w:rsidRPr="00A403D9">
        <w:rPr>
          <w:rStyle w:val="FootnoteReference"/>
          <w:sz w:val="20"/>
        </w:rPr>
        <w:footnoteRef/>
      </w:r>
      <w:r w:rsidR="00A30B1C" w:rsidRPr="00A403D9">
        <w:rPr>
          <w:sz w:val="20"/>
        </w:rPr>
        <w:t xml:space="preserve"> 47 CF</w:t>
      </w:r>
      <w:r w:rsidRPr="00A403D9">
        <w:rPr>
          <w:sz w:val="20"/>
        </w:rPr>
        <w:t xml:space="preserve">R § 1.80. </w:t>
      </w:r>
    </w:p>
  </w:footnote>
  <w:footnote w:id="13">
    <w:p w:rsidR="00FC595C" w:rsidRPr="00A403D9" w:rsidRDefault="00FC595C" w:rsidP="007E15D9">
      <w:pPr>
        <w:pStyle w:val="FootnoteText"/>
        <w:jc w:val="left"/>
        <w:rPr>
          <w:sz w:val="20"/>
        </w:rPr>
      </w:pPr>
      <w:r w:rsidRPr="00A403D9">
        <w:rPr>
          <w:rStyle w:val="FootnoteReference"/>
          <w:sz w:val="20"/>
        </w:rPr>
        <w:footnoteRef/>
      </w:r>
      <w:r w:rsidRPr="00A403D9">
        <w:rPr>
          <w:sz w:val="20"/>
        </w:rPr>
        <w:t xml:space="preserve"> </w:t>
      </w:r>
      <w:r w:rsidRPr="00A403D9">
        <w:rPr>
          <w:i/>
          <w:sz w:val="20"/>
        </w:rPr>
        <w:t>The Commission’s Forfeiture Policy Statement and Amendment of Section 1.80 of the Rules to Incorporate the Forfeiture Guidelines</w:t>
      </w:r>
      <w:r w:rsidRPr="00A403D9">
        <w:rPr>
          <w:sz w:val="20"/>
        </w:rPr>
        <w:t xml:space="preserve">, Report and Order, 12 FCC Rcd 17087 (1997), </w:t>
      </w:r>
      <w:r w:rsidRPr="00A403D9">
        <w:rPr>
          <w:i/>
          <w:sz w:val="20"/>
        </w:rPr>
        <w:t>recon. denied</w:t>
      </w:r>
      <w:r w:rsidRPr="00A403D9">
        <w:rPr>
          <w:sz w:val="20"/>
        </w:rPr>
        <w:t>, 15 FCC Rcd 303 (1999).  (</w:t>
      </w:r>
      <w:r w:rsidRPr="00A403D9">
        <w:rPr>
          <w:i/>
          <w:sz w:val="20"/>
        </w:rPr>
        <w:t>Forfeiture Policy Statement</w:t>
      </w:r>
      <w:r w:rsidRPr="00A403D9">
        <w:rPr>
          <w:sz w:val="20"/>
        </w:rPr>
        <w:t xml:space="preserve">).  </w:t>
      </w:r>
    </w:p>
  </w:footnote>
  <w:footnote w:id="14">
    <w:p w:rsidR="00FC595C" w:rsidRPr="00A403D9" w:rsidRDefault="00FC595C" w:rsidP="007E15D9">
      <w:pPr>
        <w:pStyle w:val="FootnoteText"/>
        <w:jc w:val="left"/>
        <w:rPr>
          <w:sz w:val="20"/>
        </w:rPr>
      </w:pPr>
      <w:r w:rsidRPr="00A403D9">
        <w:rPr>
          <w:rStyle w:val="FootnoteReference"/>
          <w:sz w:val="20"/>
        </w:rPr>
        <w:footnoteRef/>
      </w:r>
      <w:r w:rsidRPr="00A403D9">
        <w:rPr>
          <w:sz w:val="20"/>
        </w:rPr>
        <w:t xml:space="preserve"> 47 U.S.C. § 503(b)(2)(E).</w:t>
      </w:r>
    </w:p>
  </w:footnote>
  <w:footnote w:id="15">
    <w:p w:rsidR="00F75F3C" w:rsidRPr="00A403D9" w:rsidRDefault="00F75F3C" w:rsidP="007E15D9">
      <w:pPr>
        <w:pStyle w:val="FootnoteText"/>
        <w:jc w:val="left"/>
        <w:rPr>
          <w:sz w:val="20"/>
        </w:rPr>
      </w:pPr>
      <w:r w:rsidRPr="00A403D9">
        <w:rPr>
          <w:rStyle w:val="FootnoteReference"/>
          <w:sz w:val="20"/>
        </w:rPr>
        <w:footnoteRef/>
      </w:r>
      <w:r w:rsidRPr="00A403D9">
        <w:rPr>
          <w:sz w:val="20"/>
        </w:rPr>
        <w:t xml:space="preserve"> </w:t>
      </w:r>
      <w:r w:rsidR="00A403D9" w:rsidRPr="00A403D9">
        <w:rPr>
          <w:sz w:val="20"/>
        </w:rPr>
        <w:t>Response at</w:t>
      </w:r>
      <w:r w:rsidR="004A5F29">
        <w:rPr>
          <w:sz w:val="20"/>
        </w:rPr>
        <w:t xml:space="preserve"> 1</w:t>
      </w:r>
      <w:r w:rsidR="00A403D9" w:rsidRPr="00A403D9">
        <w:rPr>
          <w:sz w:val="20"/>
        </w:rPr>
        <w:t xml:space="preserve">. </w:t>
      </w:r>
    </w:p>
  </w:footnote>
  <w:footnote w:id="16">
    <w:p w:rsidR="003F3752" w:rsidRDefault="003F3752" w:rsidP="007E15D9">
      <w:pPr>
        <w:pStyle w:val="FootnoteText"/>
        <w:jc w:val="left"/>
      </w:pPr>
      <w:r>
        <w:rPr>
          <w:rStyle w:val="FootnoteReference"/>
        </w:rPr>
        <w:footnoteRef/>
      </w:r>
      <w:r>
        <w:t xml:space="preserve"> </w:t>
      </w:r>
      <w:r w:rsidRPr="00F75A61">
        <w:rPr>
          <w:sz w:val="20"/>
        </w:rPr>
        <w:t>We note that even if the renewal application was completed and properly filed on August 27, 2016, the application would</w:t>
      </w:r>
      <w:r w:rsidR="00C02EF7">
        <w:rPr>
          <w:sz w:val="20"/>
        </w:rPr>
        <w:t xml:space="preserve"> have</w:t>
      </w:r>
      <w:r w:rsidRPr="00F75A61">
        <w:rPr>
          <w:sz w:val="20"/>
        </w:rPr>
        <w:t xml:space="preserve"> still be</w:t>
      </w:r>
      <w:r w:rsidR="00C02EF7">
        <w:rPr>
          <w:sz w:val="20"/>
        </w:rPr>
        <w:t>en</w:t>
      </w:r>
      <w:r w:rsidRPr="00F75A61">
        <w:rPr>
          <w:sz w:val="20"/>
        </w:rPr>
        <w:t xml:space="preserve"> untimely.</w:t>
      </w:r>
    </w:p>
  </w:footnote>
  <w:footnote w:id="17">
    <w:p w:rsidR="004A5F29" w:rsidRPr="004A5F29" w:rsidRDefault="004A5F29" w:rsidP="007E15D9">
      <w:pPr>
        <w:pStyle w:val="FootnoteText"/>
        <w:jc w:val="left"/>
        <w:rPr>
          <w:sz w:val="20"/>
        </w:rPr>
      </w:pPr>
      <w:r w:rsidRPr="004A5F29">
        <w:rPr>
          <w:rStyle w:val="FootnoteReference"/>
          <w:sz w:val="20"/>
        </w:rPr>
        <w:footnoteRef/>
      </w:r>
      <w:r w:rsidRPr="004A5F29">
        <w:rPr>
          <w:sz w:val="20"/>
        </w:rPr>
        <w:t xml:space="preserve"> </w:t>
      </w:r>
      <w:r w:rsidRPr="004A5F29">
        <w:rPr>
          <w:i/>
          <w:sz w:val="20"/>
        </w:rPr>
        <w:t xml:space="preserve">See </w:t>
      </w:r>
      <w:r w:rsidRPr="004A5F29">
        <w:rPr>
          <w:i/>
          <w:iCs/>
          <w:sz w:val="20"/>
        </w:rPr>
        <w:t>S</w:t>
      </w:r>
      <w:r w:rsidR="003F3752">
        <w:rPr>
          <w:i/>
          <w:iCs/>
          <w:sz w:val="20"/>
        </w:rPr>
        <w:t>.</w:t>
      </w:r>
      <w:r w:rsidRPr="004A5F29">
        <w:rPr>
          <w:i/>
          <w:iCs/>
          <w:sz w:val="20"/>
        </w:rPr>
        <w:t xml:space="preserve"> California Broad</w:t>
      </w:r>
      <w:r w:rsidR="003F3752">
        <w:rPr>
          <w:i/>
          <w:iCs/>
          <w:sz w:val="20"/>
        </w:rPr>
        <w:t>.</w:t>
      </w:r>
      <w:r w:rsidRPr="004A5F29">
        <w:rPr>
          <w:i/>
          <w:iCs/>
          <w:sz w:val="20"/>
        </w:rPr>
        <w:t xml:space="preserve"> Co.,</w:t>
      </w:r>
      <w:r w:rsidRPr="004A5F29">
        <w:rPr>
          <w:sz w:val="20"/>
        </w:rPr>
        <w:t xml:space="preserve"> Memorandum Opinion and Order, </w:t>
      </w:r>
      <w:hyperlink r:id="rId3" w:history="1">
        <w:r w:rsidRPr="004A5F29">
          <w:rPr>
            <w:rStyle w:val="Hyperlink"/>
            <w:color w:val="auto"/>
            <w:sz w:val="20"/>
            <w:u w:val="none"/>
          </w:rPr>
          <w:t>6 FCC Rcd 4387, 4387 (1991)</w:t>
        </w:r>
      </w:hyperlink>
      <w:r w:rsidRPr="004A5F29">
        <w:rPr>
          <w:sz w:val="20"/>
        </w:rPr>
        <w:t xml:space="preserve">, </w:t>
      </w:r>
      <w:r w:rsidRPr="004A5F29">
        <w:rPr>
          <w:i/>
          <w:iCs/>
          <w:sz w:val="20"/>
        </w:rPr>
        <w:t>recon. denied,</w:t>
      </w:r>
      <w:r w:rsidRPr="004A5F29">
        <w:rPr>
          <w:sz w:val="20"/>
        </w:rPr>
        <w:t xml:space="preserve"> </w:t>
      </w:r>
      <w:hyperlink r:id="rId4" w:history="1">
        <w:r w:rsidRPr="004A5F29">
          <w:rPr>
            <w:rStyle w:val="Hyperlink"/>
            <w:color w:val="auto"/>
            <w:sz w:val="20"/>
            <w:u w:val="none"/>
          </w:rPr>
          <w:t>7 FCC Rcd 3454 (1992)</w:t>
        </w:r>
      </w:hyperlink>
      <w:r w:rsidRPr="004A5F29">
        <w:rPr>
          <w:sz w:val="20"/>
        </w:rPr>
        <w:t xml:space="preserve"> (stating that “inadvertence ... is at best, ignorance of the law, which the Commission does not consider a mitigating circumstance”); </w:t>
      </w:r>
      <w:r w:rsidRPr="004A5F29">
        <w:rPr>
          <w:i/>
          <w:iCs/>
          <w:sz w:val="20"/>
        </w:rPr>
        <w:t xml:space="preserve">Standard </w:t>
      </w:r>
      <w:r w:rsidR="000343D3" w:rsidRPr="000343D3">
        <w:rPr>
          <w:i/>
          <w:iCs/>
          <w:sz w:val="20"/>
        </w:rPr>
        <w:t>Comm’cns</w:t>
      </w:r>
      <w:r w:rsidR="000343D3">
        <w:rPr>
          <w:i/>
          <w:iCs/>
          <w:sz w:val="20"/>
        </w:rPr>
        <w:t xml:space="preserve"> </w:t>
      </w:r>
      <w:r w:rsidRPr="004A5F29">
        <w:rPr>
          <w:i/>
          <w:iCs/>
          <w:sz w:val="20"/>
        </w:rPr>
        <w:t>Corp.,</w:t>
      </w:r>
      <w:r w:rsidRPr="004A5F29">
        <w:rPr>
          <w:sz w:val="20"/>
        </w:rPr>
        <w:t xml:space="preserve"> Memorandum Opinion and Order, </w:t>
      </w:r>
      <w:hyperlink r:id="rId5" w:history="1">
        <w:r w:rsidRPr="004A5F29">
          <w:rPr>
            <w:rStyle w:val="Hyperlink"/>
            <w:color w:val="auto"/>
            <w:sz w:val="20"/>
            <w:u w:val="none"/>
          </w:rPr>
          <w:t>1 FCC Rcd 358, 358 (1986)</w:t>
        </w:r>
      </w:hyperlink>
      <w:r w:rsidRPr="004A5F29">
        <w:rPr>
          <w:sz w:val="20"/>
        </w:rPr>
        <w:t xml:space="preserve"> (stating that “employee acts or omissions, such as clerical errors in failing to file required forms, do not excuse violations”).</w:t>
      </w:r>
    </w:p>
  </w:footnote>
  <w:footnote w:id="18">
    <w:p w:rsidR="004A5F29" w:rsidRPr="004A5F29" w:rsidRDefault="004A5F29" w:rsidP="007E15D9">
      <w:pPr>
        <w:pStyle w:val="FootnoteText"/>
        <w:jc w:val="left"/>
        <w:rPr>
          <w:sz w:val="20"/>
        </w:rPr>
      </w:pPr>
      <w:r w:rsidRPr="004A5F29">
        <w:rPr>
          <w:rStyle w:val="FootnoteReference"/>
          <w:sz w:val="20"/>
        </w:rPr>
        <w:footnoteRef/>
      </w:r>
      <w:r w:rsidRPr="004A5F29">
        <w:rPr>
          <w:sz w:val="20"/>
        </w:rPr>
        <w:t xml:space="preserve"> </w:t>
      </w:r>
      <w:r w:rsidRPr="004A5F29">
        <w:rPr>
          <w:i/>
          <w:iCs/>
          <w:sz w:val="20"/>
        </w:rPr>
        <w:t xml:space="preserve">See </w:t>
      </w:r>
      <w:r w:rsidR="005B1900">
        <w:rPr>
          <w:i/>
          <w:sz w:val="20"/>
        </w:rPr>
        <w:t>Ritenour Consol</w:t>
      </w:r>
      <w:r w:rsidR="00C02EF7">
        <w:rPr>
          <w:i/>
          <w:sz w:val="20"/>
        </w:rPr>
        <w:t>.</w:t>
      </w:r>
      <w:r w:rsidR="005B1900">
        <w:rPr>
          <w:i/>
          <w:sz w:val="20"/>
        </w:rPr>
        <w:t xml:space="preserve"> School Dist</w:t>
      </w:r>
      <w:r w:rsidR="00C02EF7">
        <w:rPr>
          <w:i/>
          <w:sz w:val="20"/>
        </w:rPr>
        <w:t>.</w:t>
      </w:r>
      <w:r w:rsidR="005B1900" w:rsidRPr="004A5F29">
        <w:rPr>
          <w:sz w:val="20"/>
        </w:rPr>
        <w:t xml:space="preserve">, Forfeiture Order, 25 FCC Rcd </w:t>
      </w:r>
      <w:r w:rsidR="005B1900">
        <w:rPr>
          <w:sz w:val="20"/>
        </w:rPr>
        <w:t>3266</w:t>
      </w:r>
      <w:r w:rsidR="005B1900" w:rsidRPr="004A5F29">
        <w:rPr>
          <w:sz w:val="20"/>
        </w:rPr>
        <w:t xml:space="preserve">, </w:t>
      </w:r>
      <w:r w:rsidR="005B1900">
        <w:rPr>
          <w:sz w:val="20"/>
        </w:rPr>
        <w:t>3267, para. 5</w:t>
      </w:r>
      <w:r w:rsidR="005B1900" w:rsidRPr="004A5F29">
        <w:rPr>
          <w:sz w:val="20"/>
        </w:rPr>
        <w:t xml:space="preserve"> (MB 2010)</w:t>
      </w:r>
      <w:r w:rsidR="005B1900">
        <w:rPr>
          <w:sz w:val="20"/>
        </w:rPr>
        <w:t xml:space="preserve"> (</w:t>
      </w:r>
      <w:r w:rsidR="005B1900" w:rsidRPr="00782381">
        <w:rPr>
          <w:i/>
          <w:sz w:val="20"/>
        </w:rPr>
        <w:t>Ritenour</w:t>
      </w:r>
      <w:r w:rsidR="005B1900" w:rsidRPr="00365913">
        <w:rPr>
          <w:sz w:val="20"/>
        </w:rPr>
        <w:t>)</w:t>
      </w:r>
      <w:r w:rsidR="005B1900">
        <w:rPr>
          <w:i/>
          <w:sz w:val="20"/>
        </w:rPr>
        <w:t xml:space="preserve"> </w:t>
      </w:r>
      <w:r w:rsidR="005B1900">
        <w:rPr>
          <w:sz w:val="20"/>
        </w:rPr>
        <w:t>(rejecting applicant’s argument that it thought renewal application was timely filed beca</w:t>
      </w:r>
      <w:r w:rsidR="007E15D9">
        <w:rPr>
          <w:sz w:val="20"/>
        </w:rPr>
        <w:t>use it was in “pending” status)</w:t>
      </w:r>
      <w:r w:rsidR="005B1900">
        <w:rPr>
          <w:sz w:val="20"/>
        </w:rPr>
        <w:t xml:space="preserve">; </w:t>
      </w:r>
      <w:hyperlink r:id="rId6" w:anchor="co_pp_sp_4493_11242" w:history="1">
        <w:r w:rsidRPr="004A5F29">
          <w:rPr>
            <w:rStyle w:val="Hyperlink"/>
            <w:i/>
            <w:iCs/>
            <w:color w:val="auto"/>
            <w:sz w:val="20"/>
            <w:u w:val="none"/>
          </w:rPr>
          <w:t xml:space="preserve">Muskegon Training and </w:t>
        </w:r>
        <w:r w:rsidR="003F3752" w:rsidRPr="004A5F29">
          <w:rPr>
            <w:rStyle w:val="Hyperlink"/>
            <w:i/>
            <w:iCs/>
            <w:color w:val="auto"/>
            <w:sz w:val="20"/>
            <w:u w:val="none"/>
          </w:rPr>
          <w:t>Educ</w:t>
        </w:r>
        <w:r w:rsidR="003F3752">
          <w:rPr>
            <w:rStyle w:val="Hyperlink"/>
            <w:i/>
            <w:iCs/>
            <w:color w:val="auto"/>
            <w:sz w:val="20"/>
            <w:u w:val="none"/>
          </w:rPr>
          <w:t>.</w:t>
        </w:r>
        <w:r w:rsidR="003F3752" w:rsidRPr="004A5F29">
          <w:rPr>
            <w:rStyle w:val="Hyperlink"/>
            <w:i/>
            <w:iCs/>
            <w:color w:val="auto"/>
            <w:sz w:val="20"/>
            <w:u w:val="none"/>
          </w:rPr>
          <w:t xml:space="preserve"> </w:t>
        </w:r>
        <w:r w:rsidRPr="004A5F29">
          <w:rPr>
            <w:rStyle w:val="Hyperlink"/>
            <w:i/>
            <w:iCs/>
            <w:color w:val="auto"/>
            <w:sz w:val="20"/>
            <w:u w:val="none"/>
          </w:rPr>
          <w:t>Center,</w:t>
        </w:r>
        <w:r w:rsidRPr="004A5F29">
          <w:rPr>
            <w:rStyle w:val="Hyperlink"/>
            <w:color w:val="auto"/>
            <w:sz w:val="20"/>
            <w:u w:val="none"/>
          </w:rPr>
          <w:t xml:space="preserve"> Forfeiture Order, 23 FCC Rcd 11241, 11242-43</w:t>
        </w:r>
        <w:r w:rsidR="005B1900">
          <w:rPr>
            <w:rStyle w:val="Hyperlink"/>
            <w:color w:val="auto"/>
            <w:sz w:val="20"/>
            <w:u w:val="none"/>
          </w:rPr>
          <w:t>, para. 6</w:t>
        </w:r>
        <w:r w:rsidRPr="004A5F29">
          <w:rPr>
            <w:rStyle w:val="Hyperlink"/>
            <w:color w:val="auto"/>
            <w:sz w:val="20"/>
            <w:u w:val="none"/>
          </w:rPr>
          <w:t xml:space="preserve"> (MB 2008)</w:t>
        </w:r>
      </w:hyperlink>
      <w:r w:rsidR="005B1900">
        <w:rPr>
          <w:rStyle w:val="Hyperlink"/>
          <w:color w:val="auto"/>
          <w:sz w:val="20"/>
          <w:u w:val="none"/>
        </w:rPr>
        <w:t xml:space="preserve"> (same)</w:t>
      </w:r>
      <w:r w:rsidRPr="004A5F29">
        <w:rPr>
          <w:sz w:val="20"/>
        </w:rPr>
        <w:t>.</w:t>
      </w:r>
    </w:p>
  </w:footnote>
  <w:footnote w:id="19">
    <w:p w:rsidR="004A5F29" w:rsidRPr="004A5F29" w:rsidRDefault="004A5F29" w:rsidP="007E15D9">
      <w:pPr>
        <w:pStyle w:val="FootnoteText"/>
        <w:jc w:val="left"/>
        <w:rPr>
          <w:sz w:val="20"/>
        </w:rPr>
      </w:pPr>
      <w:r w:rsidRPr="004A5F29">
        <w:rPr>
          <w:rStyle w:val="FootnoteReference"/>
          <w:sz w:val="20"/>
        </w:rPr>
        <w:footnoteRef/>
      </w:r>
      <w:r w:rsidRPr="004A5F29">
        <w:rPr>
          <w:sz w:val="20"/>
        </w:rPr>
        <w:t xml:space="preserve"> Response at 1. </w:t>
      </w:r>
    </w:p>
  </w:footnote>
  <w:footnote w:id="20">
    <w:p w:rsidR="004A5F29" w:rsidRPr="004A5F29" w:rsidRDefault="004A5F29" w:rsidP="007E15D9">
      <w:pPr>
        <w:pStyle w:val="FootnoteText"/>
        <w:jc w:val="left"/>
        <w:rPr>
          <w:i/>
          <w:sz w:val="20"/>
        </w:rPr>
      </w:pPr>
      <w:r w:rsidRPr="004A5F29">
        <w:rPr>
          <w:rStyle w:val="FootnoteReference"/>
          <w:sz w:val="20"/>
        </w:rPr>
        <w:footnoteRef/>
      </w:r>
      <w:r w:rsidRPr="004A5F29">
        <w:rPr>
          <w:sz w:val="20"/>
        </w:rPr>
        <w:t xml:space="preserve"> </w:t>
      </w:r>
      <w:r>
        <w:rPr>
          <w:i/>
          <w:sz w:val="20"/>
        </w:rPr>
        <w:t>Id.</w:t>
      </w:r>
    </w:p>
  </w:footnote>
  <w:footnote w:id="21">
    <w:p w:rsidR="0040369E" w:rsidRPr="004A5F29" w:rsidRDefault="0040369E" w:rsidP="007E15D9">
      <w:pPr>
        <w:pStyle w:val="FootnoteText"/>
        <w:jc w:val="left"/>
        <w:rPr>
          <w:sz w:val="20"/>
        </w:rPr>
      </w:pPr>
      <w:r w:rsidRPr="004A5F29">
        <w:rPr>
          <w:rStyle w:val="FootnoteReference"/>
          <w:sz w:val="20"/>
        </w:rPr>
        <w:footnoteRef/>
      </w:r>
      <w:r w:rsidRPr="004A5F29">
        <w:rPr>
          <w:sz w:val="20"/>
        </w:rPr>
        <w:t xml:space="preserve"> </w:t>
      </w:r>
      <w:r w:rsidR="00136027" w:rsidRPr="00782381">
        <w:rPr>
          <w:i/>
          <w:sz w:val="20"/>
        </w:rPr>
        <w:t>Ritenour</w:t>
      </w:r>
      <w:r w:rsidR="00136027">
        <w:rPr>
          <w:i/>
          <w:sz w:val="20"/>
        </w:rPr>
        <w:t xml:space="preserve"> </w:t>
      </w:r>
      <w:r w:rsidR="00136027">
        <w:rPr>
          <w:sz w:val="20"/>
        </w:rPr>
        <w:t>at 3268</w:t>
      </w:r>
      <w:r w:rsidR="00115748">
        <w:rPr>
          <w:sz w:val="20"/>
        </w:rPr>
        <w:t>, para. 6</w:t>
      </w:r>
      <w:r w:rsidR="00136027">
        <w:rPr>
          <w:sz w:val="20"/>
        </w:rPr>
        <w:t>.</w:t>
      </w:r>
    </w:p>
  </w:footnote>
  <w:footnote w:id="22">
    <w:p w:rsidR="000348BE" w:rsidRPr="004A5F29" w:rsidRDefault="000348BE" w:rsidP="007E15D9">
      <w:pPr>
        <w:pStyle w:val="FootnoteText"/>
        <w:jc w:val="left"/>
        <w:rPr>
          <w:i/>
          <w:sz w:val="20"/>
        </w:rPr>
      </w:pPr>
      <w:r w:rsidRPr="004A5F29">
        <w:rPr>
          <w:rStyle w:val="FootnoteReference"/>
          <w:sz w:val="20"/>
        </w:rPr>
        <w:footnoteRef/>
      </w:r>
      <w:r w:rsidRPr="004A5F29">
        <w:rPr>
          <w:sz w:val="20"/>
        </w:rPr>
        <w:t xml:space="preserve"> </w:t>
      </w:r>
      <w:r w:rsidRPr="004A5F29">
        <w:rPr>
          <w:i/>
          <w:sz w:val="20"/>
        </w:rPr>
        <w:t>See</w:t>
      </w:r>
      <w:r w:rsidR="001C1126">
        <w:rPr>
          <w:i/>
          <w:sz w:val="20"/>
        </w:rPr>
        <w:t>, e.g.,</w:t>
      </w:r>
      <w:r w:rsidRPr="004A5F29">
        <w:rPr>
          <w:i/>
          <w:sz w:val="20"/>
        </w:rPr>
        <w:t xml:space="preserve"> </w:t>
      </w:r>
      <w:r w:rsidR="00AA2B5C">
        <w:rPr>
          <w:i/>
          <w:sz w:val="20"/>
        </w:rPr>
        <w:t>Peconic Public Broad.</w:t>
      </w:r>
      <w:r w:rsidR="00AA2B5C">
        <w:rPr>
          <w:sz w:val="20"/>
        </w:rPr>
        <w:t>, Forfeiture Order, 31 FCC Rcd 1904, 1906, para. 5 (MB March 7, 2016)</w:t>
      </w:r>
      <w:r w:rsidR="001C1126">
        <w:rPr>
          <w:sz w:val="20"/>
        </w:rPr>
        <w:t xml:space="preserve"> (</w:t>
      </w:r>
      <w:r w:rsidR="001C1126" w:rsidRPr="001C1126">
        <w:rPr>
          <w:sz w:val="20"/>
        </w:rPr>
        <w:t>forfeiture not reduced where licensee provided no documentation regarding its ability to pay</w:t>
      </w:r>
      <w:r w:rsidR="001C1126">
        <w:rPr>
          <w:sz w:val="20"/>
        </w:rPr>
        <w:t>)</w:t>
      </w:r>
      <w:r w:rsidR="004E624D">
        <w:rPr>
          <w:sz w:val="20"/>
        </w:rPr>
        <w:t xml:space="preserve">, </w:t>
      </w:r>
      <w:r w:rsidR="004E624D">
        <w:rPr>
          <w:i/>
          <w:sz w:val="20"/>
        </w:rPr>
        <w:t>aff’d Peconic Public Broad.</w:t>
      </w:r>
      <w:r w:rsidR="004E624D">
        <w:rPr>
          <w:sz w:val="20"/>
        </w:rPr>
        <w:t xml:space="preserve">, Memorandum Opinion and Order, DA 16-716 (MB June 23, 2016); </w:t>
      </w:r>
      <w:r w:rsidRPr="004A5F29">
        <w:rPr>
          <w:i/>
          <w:sz w:val="20"/>
        </w:rPr>
        <w:t xml:space="preserve">Paulino Bernal Evangelism, </w:t>
      </w:r>
      <w:r w:rsidRPr="004A5F29">
        <w:rPr>
          <w:sz w:val="20"/>
        </w:rPr>
        <w:t>Memorandum Opinion and Order</w:t>
      </w:r>
      <w:r w:rsidRPr="004A5F29">
        <w:rPr>
          <w:i/>
          <w:sz w:val="20"/>
        </w:rPr>
        <w:t xml:space="preserve">, </w:t>
      </w:r>
      <w:r w:rsidRPr="004A5F29">
        <w:rPr>
          <w:sz w:val="20"/>
        </w:rPr>
        <w:t>21 FCC Rcd 9532, 9536</w:t>
      </w:r>
      <w:r w:rsidR="007E7E67" w:rsidRPr="004A5F29">
        <w:rPr>
          <w:sz w:val="20"/>
        </w:rPr>
        <w:t>, para. 15</w:t>
      </w:r>
      <w:r w:rsidRPr="004A5F29">
        <w:rPr>
          <w:sz w:val="20"/>
        </w:rPr>
        <w:t xml:space="preserve"> (EB 2006) (</w:t>
      </w:r>
      <w:r w:rsidR="007E7E67" w:rsidRPr="004A5F29">
        <w:rPr>
          <w:sz w:val="20"/>
        </w:rPr>
        <w:t>holding that “the argument that payment of a forfeiture would limit Evangelism's ‘ability to generate programming in the public interest’ is, in effect, a claim of financial hardship for which licensee had not provided the required documentation”</w:t>
      </w:r>
      <w:r w:rsidRPr="004A5F29">
        <w:rPr>
          <w:sz w:val="20"/>
        </w:rPr>
        <w:t xml:space="preserve">), </w:t>
      </w:r>
      <w:r w:rsidRPr="004A5F29">
        <w:rPr>
          <w:i/>
          <w:sz w:val="20"/>
        </w:rPr>
        <w:t>modified</w:t>
      </w:r>
      <w:r w:rsidRPr="004A5F29">
        <w:rPr>
          <w:sz w:val="20"/>
        </w:rPr>
        <w:t>, 23 FCC Rcd 15959 (2008).</w:t>
      </w:r>
    </w:p>
  </w:footnote>
  <w:footnote w:id="23">
    <w:p w:rsidR="000348BE" w:rsidRPr="004A5F29" w:rsidRDefault="000348BE" w:rsidP="007E15D9">
      <w:pPr>
        <w:pStyle w:val="FootnoteText"/>
        <w:jc w:val="left"/>
        <w:rPr>
          <w:sz w:val="20"/>
        </w:rPr>
      </w:pPr>
      <w:r w:rsidRPr="004A5F29">
        <w:rPr>
          <w:rStyle w:val="FootnoteReference"/>
          <w:sz w:val="20"/>
        </w:rPr>
        <w:footnoteRef/>
      </w:r>
      <w:r w:rsidRPr="004A5F29">
        <w:rPr>
          <w:i/>
          <w:sz w:val="20"/>
        </w:rPr>
        <w:t xml:space="preserve"> See Discussion Radio, Inc., </w:t>
      </w:r>
      <w:r w:rsidRPr="004A5F29">
        <w:rPr>
          <w:sz w:val="20"/>
        </w:rPr>
        <w:t>Memorandum Opinion and Order and Notice of Apparent Liability, 19 FCC Rcd 7433, 7441</w:t>
      </w:r>
      <w:r w:rsidR="007F4C84" w:rsidRPr="004A5F29">
        <w:rPr>
          <w:sz w:val="20"/>
        </w:rPr>
        <w:t>, para. 28</w:t>
      </w:r>
      <w:r w:rsidRPr="004A5F29">
        <w:rPr>
          <w:sz w:val="20"/>
        </w:rPr>
        <w:t xml:space="preserve"> (2004), </w:t>
      </w:r>
      <w:r w:rsidRPr="004A5F29">
        <w:rPr>
          <w:i/>
          <w:sz w:val="20"/>
        </w:rPr>
        <w:t>modified</w:t>
      </w:r>
      <w:r w:rsidRPr="004A5F29">
        <w:rPr>
          <w:sz w:val="20"/>
        </w:rPr>
        <w:t>, Memorandum Opinion and Forfeiture Order, 24 FCC Rcd 2206 (MB 2009) (reducing forfeiture amount based on financial hardship).</w:t>
      </w:r>
      <w:r w:rsidR="0073087A" w:rsidRPr="004A5F29">
        <w:rPr>
          <w:sz w:val="20"/>
        </w:rPr>
        <w:t xml:space="preserve">  </w:t>
      </w:r>
    </w:p>
  </w:footnote>
  <w:footnote w:id="24">
    <w:p w:rsidR="00C1394B" w:rsidRPr="005841B0" w:rsidRDefault="00C1394B" w:rsidP="007E15D9">
      <w:pPr>
        <w:pStyle w:val="FootnoteText"/>
        <w:jc w:val="left"/>
        <w:rPr>
          <w:sz w:val="20"/>
        </w:rPr>
      </w:pPr>
      <w:r w:rsidRPr="004A5F29">
        <w:rPr>
          <w:rStyle w:val="FootnoteReference"/>
          <w:sz w:val="20"/>
        </w:rPr>
        <w:footnoteRef/>
      </w:r>
      <w:r w:rsidRPr="004A5F29">
        <w:rPr>
          <w:sz w:val="20"/>
        </w:rPr>
        <w:t xml:space="preserve"> </w:t>
      </w:r>
      <w:r w:rsidRPr="004A5F29">
        <w:rPr>
          <w:i/>
          <w:sz w:val="20"/>
        </w:rPr>
        <w:t xml:space="preserve">See </w:t>
      </w:r>
      <w:r w:rsidR="005841B0">
        <w:rPr>
          <w:i/>
          <w:sz w:val="20"/>
        </w:rPr>
        <w:t xml:space="preserve">NAL </w:t>
      </w:r>
      <w:r w:rsidR="005841B0">
        <w:rPr>
          <w:sz w:val="20"/>
        </w:rPr>
        <w:t xml:space="preserve">at 3, para. 13. </w:t>
      </w:r>
    </w:p>
  </w:footnote>
  <w:footnote w:id="25">
    <w:p w:rsidR="007314C0" w:rsidRPr="004E624D" w:rsidRDefault="007314C0" w:rsidP="007E15D9">
      <w:pPr>
        <w:pStyle w:val="FootnoteText"/>
        <w:jc w:val="left"/>
        <w:rPr>
          <w:sz w:val="20"/>
        </w:rPr>
      </w:pPr>
      <w:r w:rsidRPr="004E624D">
        <w:rPr>
          <w:rStyle w:val="FootnoteReference"/>
          <w:sz w:val="20"/>
        </w:rPr>
        <w:footnoteRef/>
      </w:r>
      <w:r w:rsidR="00A426BD">
        <w:rPr>
          <w:sz w:val="20"/>
        </w:rPr>
        <w:t xml:space="preserve"> </w:t>
      </w:r>
      <w:r w:rsidR="00F75A61" w:rsidRPr="004E624D">
        <w:rPr>
          <w:sz w:val="20"/>
        </w:rPr>
        <w:t xml:space="preserve">E-mail from Alexander Sanjenis, </w:t>
      </w:r>
      <w:r w:rsidR="00A426BD" w:rsidRPr="004E624D">
        <w:rPr>
          <w:sz w:val="20"/>
        </w:rPr>
        <w:t xml:space="preserve">Attorney Advisor, Audio Division, Media Bureau, FCC to </w:t>
      </w:r>
      <w:r w:rsidR="00A426BD" w:rsidRPr="00A426BD">
        <w:rPr>
          <w:sz w:val="20"/>
        </w:rPr>
        <w:t>Chloe Karl, President LCCR Board of Directors, Lake County Community Radio</w:t>
      </w:r>
      <w:r w:rsidR="00A426BD">
        <w:rPr>
          <w:sz w:val="20"/>
        </w:rPr>
        <w:t xml:space="preserve"> (June 22, 2016, 17:32 EDT)</w:t>
      </w:r>
      <w:r w:rsidR="00AA2B5C">
        <w:rPr>
          <w:sz w:val="20"/>
        </w:rPr>
        <w:t xml:space="preserve">; </w:t>
      </w:r>
      <w:r w:rsidR="00AA2B5C" w:rsidRPr="004A24CC">
        <w:rPr>
          <w:sz w:val="20"/>
        </w:rPr>
        <w:t xml:space="preserve">E-mail from Alexander Sanjenis, Attorney Advisor, Audio Division, Media Bureau, FCC to </w:t>
      </w:r>
      <w:r w:rsidR="00AA2B5C" w:rsidRPr="00A426BD">
        <w:rPr>
          <w:sz w:val="20"/>
        </w:rPr>
        <w:t>Chloe Karl, President LCCR Board of Directors, Lake County Community Radio</w:t>
      </w:r>
      <w:r w:rsidR="00AA2B5C">
        <w:rPr>
          <w:sz w:val="20"/>
        </w:rPr>
        <w:t xml:space="preserve"> (</w:t>
      </w:r>
      <w:r w:rsidR="00AA2B5C" w:rsidRPr="00AA2B5C">
        <w:rPr>
          <w:sz w:val="20"/>
        </w:rPr>
        <w:t>June 30, 2016 8:21</w:t>
      </w:r>
      <w:r w:rsidR="00AA2B5C">
        <w:rPr>
          <w:sz w:val="20"/>
        </w:rPr>
        <w:t xml:space="preserve"> EDT). </w:t>
      </w:r>
    </w:p>
  </w:footnote>
  <w:footnote w:id="26">
    <w:p w:rsidR="000348BE" w:rsidRPr="001E7457" w:rsidRDefault="000348BE" w:rsidP="007E15D9">
      <w:pPr>
        <w:pStyle w:val="FootnoteText"/>
        <w:jc w:val="left"/>
        <w:rPr>
          <w:sz w:val="20"/>
        </w:rPr>
      </w:pPr>
      <w:r w:rsidRPr="00C1394B">
        <w:rPr>
          <w:rStyle w:val="FootnoteReference"/>
          <w:sz w:val="20"/>
        </w:rPr>
        <w:footnoteRef/>
      </w:r>
      <w:r w:rsidRPr="00C1394B">
        <w:rPr>
          <w:sz w:val="20"/>
        </w:rPr>
        <w:t xml:space="preserve"> </w:t>
      </w:r>
      <w:r w:rsidRPr="00C1394B">
        <w:rPr>
          <w:i/>
          <w:sz w:val="20"/>
        </w:rPr>
        <w:t>See, e.g., Westport Board of Educ</w:t>
      </w:r>
      <w:r w:rsidR="003F3752">
        <w:rPr>
          <w:i/>
          <w:sz w:val="20"/>
        </w:rPr>
        <w:t>.</w:t>
      </w:r>
      <w:r w:rsidRPr="00C1394B">
        <w:rPr>
          <w:i/>
          <w:sz w:val="20"/>
        </w:rPr>
        <w:t xml:space="preserve">, </w:t>
      </w:r>
      <w:r w:rsidRPr="00C1394B">
        <w:rPr>
          <w:sz w:val="20"/>
        </w:rPr>
        <w:t>Forfeiture Order, 26 FCC Rcd 1088</w:t>
      </w:r>
      <w:r w:rsidR="00F07EAD">
        <w:rPr>
          <w:sz w:val="20"/>
        </w:rPr>
        <w:t>, 1089-90, para. 6</w:t>
      </w:r>
      <w:r w:rsidRPr="00C1394B">
        <w:rPr>
          <w:sz w:val="20"/>
        </w:rPr>
        <w:t xml:space="preserve"> (MB 2011) (</w:t>
      </w:r>
      <w:r w:rsidR="003F3752">
        <w:rPr>
          <w:sz w:val="20"/>
        </w:rPr>
        <w:t xml:space="preserve">proposed </w:t>
      </w:r>
      <w:r w:rsidRPr="00C1394B">
        <w:rPr>
          <w:sz w:val="20"/>
        </w:rPr>
        <w:t xml:space="preserve">forfeiture not reduced </w:t>
      </w:r>
      <w:r w:rsidRPr="00792A95">
        <w:rPr>
          <w:sz w:val="20"/>
        </w:rPr>
        <w:t>where licensee provided</w:t>
      </w:r>
      <w:r w:rsidRPr="001E7457">
        <w:rPr>
          <w:sz w:val="20"/>
        </w:rPr>
        <w:t xml:space="preserve"> no documentation regarding its ability to pay).</w:t>
      </w:r>
    </w:p>
  </w:footnote>
  <w:footnote w:id="27">
    <w:p w:rsidR="00E056D5" w:rsidRPr="001E7457" w:rsidRDefault="00E056D5" w:rsidP="007E15D9">
      <w:pPr>
        <w:pStyle w:val="FootnoteText"/>
        <w:spacing w:after="80"/>
        <w:jc w:val="left"/>
        <w:rPr>
          <w:sz w:val="20"/>
        </w:rPr>
      </w:pPr>
      <w:r w:rsidRPr="001E7457">
        <w:rPr>
          <w:rStyle w:val="FootnoteReference"/>
          <w:sz w:val="20"/>
        </w:rPr>
        <w:footnoteRef/>
      </w:r>
      <w:r w:rsidR="00A30B1C">
        <w:rPr>
          <w:sz w:val="20"/>
        </w:rPr>
        <w:t xml:space="preserve"> 47 U.S.C. § 503(b); 47 CF</w:t>
      </w:r>
      <w:r w:rsidRPr="001E7457">
        <w:rPr>
          <w:sz w:val="20"/>
        </w:rPr>
        <w:t>R §§ 0.283, 1.80.</w:t>
      </w:r>
    </w:p>
  </w:footnote>
  <w:footnote w:id="28">
    <w:p w:rsidR="00693B18" w:rsidRDefault="00693B18" w:rsidP="007E15D9">
      <w:pPr>
        <w:pStyle w:val="FootnoteText"/>
        <w:jc w:val="left"/>
      </w:pPr>
      <w:r>
        <w:rPr>
          <w:rStyle w:val="FootnoteReference"/>
        </w:rPr>
        <w:footnoteRef/>
      </w:r>
      <w:r>
        <w:t xml:space="preserve"> </w:t>
      </w:r>
      <w:r w:rsidRPr="00295B61">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FF" w:rsidRDefault="006B0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7D7E21" w:rsidRPr="007D7E21">
      <w:rPr>
        <w:b/>
        <w:szCs w:val="22"/>
      </w:rPr>
      <w:t>1</w:t>
    </w:r>
    <w:r w:rsidR="00710968">
      <w:rPr>
        <w:b/>
        <w:szCs w:val="22"/>
      </w:rPr>
      <w:t>6</w:t>
    </w:r>
    <w:r w:rsidR="007D7E21" w:rsidRPr="007D7E21">
      <w:rPr>
        <w:b/>
        <w:szCs w:val="22"/>
      </w:rPr>
      <w:t>-</w:t>
    </w:r>
    <w:r w:rsidR="00A42C9C">
      <w:rPr>
        <w:b/>
        <w:szCs w:val="22"/>
      </w:rPr>
      <w:t>801</w:t>
    </w:r>
  </w:p>
  <w:p w:rsidR="006C1806" w:rsidRDefault="00387E9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3B75335" wp14:editId="0B0016F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8AE2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06" w:rsidRDefault="00CF236D">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w:t>
    </w:r>
    <w:r w:rsidR="00CF7851">
      <w:rPr>
        <w:b/>
        <w:szCs w:val="22"/>
      </w:rPr>
      <w:t>1</w:t>
    </w:r>
    <w:r w:rsidR="00710968">
      <w:rPr>
        <w:b/>
        <w:szCs w:val="22"/>
      </w:rPr>
      <w:t>6</w:t>
    </w:r>
    <w:r w:rsidR="007D7E21" w:rsidRPr="007D7E21">
      <w:rPr>
        <w:b/>
        <w:szCs w:val="22"/>
      </w:rPr>
      <w:t>-</w:t>
    </w:r>
    <w:r w:rsidR="00A42C9C">
      <w:rPr>
        <w:b/>
        <w:szCs w:val="22"/>
      </w:rPr>
      <w:t>801</w:t>
    </w:r>
  </w:p>
  <w:p w:rsidR="006C1806" w:rsidRDefault="00387E93">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14:anchorId="1D7D94C4" wp14:editId="75C0DBEC">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CA43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6C1806" w:rsidRDefault="006C18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734A"/>
    <w:multiLevelType w:val="hybridMultilevel"/>
    <w:tmpl w:val="4956E95A"/>
    <w:lvl w:ilvl="0" w:tplc="8B26C5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59316D"/>
    <w:multiLevelType w:val="hybridMultilevel"/>
    <w:tmpl w:val="6D5E12AE"/>
    <w:lvl w:ilvl="0" w:tplc="10D28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22583"/>
    <w:multiLevelType w:val="hybridMultilevel"/>
    <w:tmpl w:val="A11A115E"/>
    <w:lvl w:ilvl="0" w:tplc="C3DA0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466B8"/>
    <w:multiLevelType w:val="hybridMultilevel"/>
    <w:tmpl w:val="C66A6B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A5250"/>
    <w:multiLevelType w:val="hybridMultilevel"/>
    <w:tmpl w:val="C228231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F01520C"/>
    <w:multiLevelType w:val="hybridMultilevel"/>
    <w:tmpl w:val="DECA6A70"/>
    <w:lvl w:ilvl="0" w:tplc="23FCD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A17FF"/>
    <w:multiLevelType w:val="hybridMultilevel"/>
    <w:tmpl w:val="E09E96FE"/>
    <w:lvl w:ilvl="0" w:tplc="941099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B627F"/>
    <w:multiLevelType w:val="hybridMultilevel"/>
    <w:tmpl w:val="81749D3E"/>
    <w:lvl w:ilvl="0" w:tplc="E7345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61182925"/>
    <w:multiLevelType w:val="singleLevel"/>
    <w:tmpl w:val="5D584E86"/>
    <w:lvl w:ilvl="0">
      <w:start w:val="1"/>
      <w:numFmt w:val="decimal"/>
      <w:lvlText w:val="%1."/>
      <w:lvlJc w:val="left"/>
      <w:pPr>
        <w:tabs>
          <w:tab w:val="num" w:pos="1080"/>
        </w:tabs>
        <w:ind w:left="0" w:firstLine="720"/>
      </w:pPr>
      <w:rPr>
        <w:b w:val="0"/>
      </w:rPr>
    </w:lvl>
  </w:abstractNum>
  <w:abstractNum w:abstractNumId="1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6F7A67A0"/>
    <w:multiLevelType w:val="hybridMultilevel"/>
    <w:tmpl w:val="DD6AAD0E"/>
    <w:lvl w:ilvl="0" w:tplc="941099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52748"/>
    <w:multiLevelType w:val="hybridMultilevel"/>
    <w:tmpl w:val="BFAE2848"/>
    <w:lvl w:ilvl="0" w:tplc="4A481C8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24014"/>
    <w:multiLevelType w:val="hybridMultilevel"/>
    <w:tmpl w:val="7F60175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A1923"/>
    <w:multiLevelType w:val="hybridMultilevel"/>
    <w:tmpl w:val="A648C2E2"/>
    <w:lvl w:ilvl="0" w:tplc="1D243542">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00B30"/>
    <w:multiLevelType w:val="hybridMultilevel"/>
    <w:tmpl w:val="0590A02A"/>
    <w:lvl w:ilvl="0" w:tplc="685E6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6"/>
    <w:lvlOverride w:ilvl="0">
      <w:startOverride w:val="1"/>
    </w:lvlOverride>
  </w:num>
  <w:num w:numId="4">
    <w:abstractNumId w:val="6"/>
    <w:lvlOverride w:ilvl="0">
      <w:startOverride w:val="1"/>
    </w:lvlOverride>
  </w:num>
  <w:num w:numId="5">
    <w:abstractNumId w:val="1"/>
  </w:num>
  <w:num w:numId="6">
    <w:abstractNumId w:val="11"/>
  </w:num>
  <w:num w:numId="7">
    <w:abstractNumId w:val="10"/>
  </w:num>
  <w:num w:numId="8">
    <w:abstractNumId w:val="0"/>
  </w:num>
  <w:num w:numId="9">
    <w:abstractNumId w:val="14"/>
  </w:num>
  <w:num w:numId="10">
    <w:abstractNumId w:val="8"/>
  </w:num>
  <w:num w:numId="11">
    <w:abstractNumId w:val="16"/>
  </w:num>
  <w:num w:numId="12">
    <w:abstractNumId w:val="15"/>
  </w:num>
  <w:num w:numId="13">
    <w:abstractNumId w:val="2"/>
  </w:num>
  <w:num w:numId="14">
    <w:abstractNumId w:val="9"/>
  </w:num>
  <w:num w:numId="15">
    <w:abstractNumId w:val="4"/>
  </w:num>
  <w:num w:numId="16">
    <w:abstractNumId w:val="5"/>
  </w:num>
  <w:num w:numId="17">
    <w:abstractNumId w:val="7"/>
  </w:num>
  <w:num w:numId="18">
    <w:abstractNumId w:val="13"/>
  </w:num>
  <w:num w:numId="19">
    <w:abstractNumId w:val="3"/>
  </w:num>
  <w:num w:numId="20">
    <w:abstractNumId w:val="17"/>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3"/>
    <w:rsid w:val="00005FAA"/>
    <w:rsid w:val="000160DE"/>
    <w:rsid w:val="00020051"/>
    <w:rsid w:val="00032CB2"/>
    <w:rsid w:val="00033C5E"/>
    <w:rsid w:val="000343D3"/>
    <w:rsid w:val="000348BE"/>
    <w:rsid w:val="00037B89"/>
    <w:rsid w:val="00082F10"/>
    <w:rsid w:val="00094F4C"/>
    <w:rsid w:val="000A0223"/>
    <w:rsid w:val="000A1F29"/>
    <w:rsid w:val="000A5964"/>
    <w:rsid w:val="000C3960"/>
    <w:rsid w:val="000C75FE"/>
    <w:rsid w:val="000D30B1"/>
    <w:rsid w:val="000E2414"/>
    <w:rsid w:val="000E3FB6"/>
    <w:rsid w:val="000F1DF5"/>
    <w:rsid w:val="00110108"/>
    <w:rsid w:val="00111CDB"/>
    <w:rsid w:val="0011505B"/>
    <w:rsid w:val="00115748"/>
    <w:rsid w:val="001208B0"/>
    <w:rsid w:val="00133EA8"/>
    <w:rsid w:val="00136027"/>
    <w:rsid w:val="00152097"/>
    <w:rsid w:val="00173E98"/>
    <w:rsid w:val="00174881"/>
    <w:rsid w:val="001809B9"/>
    <w:rsid w:val="001831FA"/>
    <w:rsid w:val="00190988"/>
    <w:rsid w:val="001B4B13"/>
    <w:rsid w:val="001C1126"/>
    <w:rsid w:val="001E7457"/>
    <w:rsid w:val="002128B7"/>
    <w:rsid w:val="00227030"/>
    <w:rsid w:val="00254822"/>
    <w:rsid w:val="00272726"/>
    <w:rsid w:val="00276D49"/>
    <w:rsid w:val="00295B61"/>
    <w:rsid w:val="002B0D24"/>
    <w:rsid w:val="002D196B"/>
    <w:rsid w:val="002F168E"/>
    <w:rsid w:val="00302F7F"/>
    <w:rsid w:val="00305CBC"/>
    <w:rsid w:val="003137F9"/>
    <w:rsid w:val="003172E8"/>
    <w:rsid w:val="0035129B"/>
    <w:rsid w:val="003656C5"/>
    <w:rsid w:val="00365858"/>
    <w:rsid w:val="00382D0E"/>
    <w:rsid w:val="00387E93"/>
    <w:rsid w:val="003A65F7"/>
    <w:rsid w:val="003B5587"/>
    <w:rsid w:val="003D373B"/>
    <w:rsid w:val="003E5642"/>
    <w:rsid w:val="003E6521"/>
    <w:rsid w:val="003F3752"/>
    <w:rsid w:val="003F688E"/>
    <w:rsid w:val="0040369E"/>
    <w:rsid w:val="004063D2"/>
    <w:rsid w:val="00442B7A"/>
    <w:rsid w:val="00450A81"/>
    <w:rsid w:val="0046508D"/>
    <w:rsid w:val="00482328"/>
    <w:rsid w:val="004A5C7A"/>
    <w:rsid w:val="004A5F29"/>
    <w:rsid w:val="004D5532"/>
    <w:rsid w:val="004E624D"/>
    <w:rsid w:val="00510C46"/>
    <w:rsid w:val="00530A7F"/>
    <w:rsid w:val="00564CB7"/>
    <w:rsid w:val="005674CE"/>
    <w:rsid w:val="005841B0"/>
    <w:rsid w:val="005903E7"/>
    <w:rsid w:val="005B1900"/>
    <w:rsid w:val="005C0326"/>
    <w:rsid w:val="005E624C"/>
    <w:rsid w:val="005F799D"/>
    <w:rsid w:val="006015C5"/>
    <w:rsid w:val="00601A9E"/>
    <w:rsid w:val="00632A18"/>
    <w:rsid w:val="006356F9"/>
    <w:rsid w:val="00644195"/>
    <w:rsid w:val="00650057"/>
    <w:rsid w:val="00653378"/>
    <w:rsid w:val="006620B7"/>
    <w:rsid w:val="006628FF"/>
    <w:rsid w:val="00664B72"/>
    <w:rsid w:val="00676218"/>
    <w:rsid w:val="00693B18"/>
    <w:rsid w:val="00694FC0"/>
    <w:rsid w:val="006A4FD2"/>
    <w:rsid w:val="006B03FF"/>
    <w:rsid w:val="006B3427"/>
    <w:rsid w:val="006C1806"/>
    <w:rsid w:val="006C2EB6"/>
    <w:rsid w:val="006F0BA6"/>
    <w:rsid w:val="006F2D68"/>
    <w:rsid w:val="006F38B6"/>
    <w:rsid w:val="00702B1A"/>
    <w:rsid w:val="00704471"/>
    <w:rsid w:val="00710722"/>
    <w:rsid w:val="00710968"/>
    <w:rsid w:val="007236B7"/>
    <w:rsid w:val="00724704"/>
    <w:rsid w:val="00726F37"/>
    <w:rsid w:val="0073087A"/>
    <w:rsid w:val="007314C0"/>
    <w:rsid w:val="00736FD3"/>
    <w:rsid w:val="007669FA"/>
    <w:rsid w:val="00782381"/>
    <w:rsid w:val="00792A95"/>
    <w:rsid w:val="007D7E21"/>
    <w:rsid w:val="007E15D9"/>
    <w:rsid w:val="007E7E67"/>
    <w:rsid w:val="007F4C84"/>
    <w:rsid w:val="008036E7"/>
    <w:rsid w:val="0084323D"/>
    <w:rsid w:val="0085639A"/>
    <w:rsid w:val="008611EB"/>
    <w:rsid w:val="00871855"/>
    <w:rsid w:val="00873376"/>
    <w:rsid w:val="00887B7A"/>
    <w:rsid w:val="008965C0"/>
    <w:rsid w:val="008A1820"/>
    <w:rsid w:val="008A18B0"/>
    <w:rsid w:val="008B1488"/>
    <w:rsid w:val="008C2F7E"/>
    <w:rsid w:val="008D46B0"/>
    <w:rsid w:val="008D7AD0"/>
    <w:rsid w:val="00912F8F"/>
    <w:rsid w:val="00931152"/>
    <w:rsid w:val="00934B3B"/>
    <w:rsid w:val="009360B2"/>
    <w:rsid w:val="00975E52"/>
    <w:rsid w:val="009861AA"/>
    <w:rsid w:val="009A4EC0"/>
    <w:rsid w:val="009B74E0"/>
    <w:rsid w:val="00A06B51"/>
    <w:rsid w:val="00A22163"/>
    <w:rsid w:val="00A23165"/>
    <w:rsid w:val="00A30B1C"/>
    <w:rsid w:val="00A403D9"/>
    <w:rsid w:val="00A426BD"/>
    <w:rsid w:val="00A42C9C"/>
    <w:rsid w:val="00A506BB"/>
    <w:rsid w:val="00A63012"/>
    <w:rsid w:val="00A76753"/>
    <w:rsid w:val="00A90AE3"/>
    <w:rsid w:val="00AA2B5C"/>
    <w:rsid w:val="00AD7F76"/>
    <w:rsid w:val="00AF7539"/>
    <w:rsid w:val="00B23FA3"/>
    <w:rsid w:val="00B27180"/>
    <w:rsid w:val="00B353FB"/>
    <w:rsid w:val="00B4782F"/>
    <w:rsid w:val="00B57A7D"/>
    <w:rsid w:val="00B6404A"/>
    <w:rsid w:val="00B905CB"/>
    <w:rsid w:val="00B9366D"/>
    <w:rsid w:val="00BB4C72"/>
    <w:rsid w:val="00BB704C"/>
    <w:rsid w:val="00BC5507"/>
    <w:rsid w:val="00C02EF7"/>
    <w:rsid w:val="00C138B0"/>
    <w:rsid w:val="00C1394B"/>
    <w:rsid w:val="00C37A34"/>
    <w:rsid w:val="00C41531"/>
    <w:rsid w:val="00C437CF"/>
    <w:rsid w:val="00C74BDB"/>
    <w:rsid w:val="00C92620"/>
    <w:rsid w:val="00CB6096"/>
    <w:rsid w:val="00CD5C3A"/>
    <w:rsid w:val="00CE3F8B"/>
    <w:rsid w:val="00CF236D"/>
    <w:rsid w:val="00CF7851"/>
    <w:rsid w:val="00D03B04"/>
    <w:rsid w:val="00D04A5D"/>
    <w:rsid w:val="00D140F0"/>
    <w:rsid w:val="00D141A1"/>
    <w:rsid w:val="00D36061"/>
    <w:rsid w:val="00D45F87"/>
    <w:rsid w:val="00D56DBC"/>
    <w:rsid w:val="00D97258"/>
    <w:rsid w:val="00DA4EB8"/>
    <w:rsid w:val="00DA5F96"/>
    <w:rsid w:val="00DC134A"/>
    <w:rsid w:val="00DC1755"/>
    <w:rsid w:val="00DD3441"/>
    <w:rsid w:val="00DE114D"/>
    <w:rsid w:val="00E039DE"/>
    <w:rsid w:val="00E056D5"/>
    <w:rsid w:val="00E6027C"/>
    <w:rsid w:val="00E7504D"/>
    <w:rsid w:val="00EC4350"/>
    <w:rsid w:val="00EF030A"/>
    <w:rsid w:val="00F07EAD"/>
    <w:rsid w:val="00F26824"/>
    <w:rsid w:val="00F67EB4"/>
    <w:rsid w:val="00F7018A"/>
    <w:rsid w:val="00F75A61"/>
    <w:rsid w:val="00F75F3C"/>
    <w:rsid w:val="00F9150A"/>
    <w:rsid w:val="00FA4F39"/>
    <w:rsid w:val="00FC3993"/>
    <w:rsid w:val="00FC595C"/>
    <w:rsid w:val="00FD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rsid w:val="00E056D5"/>
    <w:pPr>
      <w:keepNext/>
      <w:widowControl w:val="0"/>
      <w:numPr>
        <w:numId w:val="7"/>
      </w:numPr>
      <w:suppressAutoHyphens/>
      <w:spacing w:after="220"/>
      <w:jc w:val="both"/>
      <w:outlineLvl w:val="0"/>
    </w:pPr>
    <w:rPr>
      <w:b/>
      <w:caps/>
    </w:rPr>
  </w:style>
  <w:style w:type="paragraph" w:styleId="Heading2">
    <w:name w:val="heading 2"/>
    <w:basedOn w:val="Normal"/>
    <w:next w:val="ParaNum"/>
    <w:link w:val="Heading2Char"/>
    <w:qFormat/>
    <w:rsid w:val="00E056D5"/>
    <w:pPr>
      <w:keepNext/>
      <w:widowControl w:val="0"/>
      <w:numPr>
        <w:ilvl w:val="1"/>
        <w:numId w:val="7"/>
      </w:numPr>
      <w:spacing w:after="220"/>
      <w:jc w:val="both"/>
      <w:outlineLvl w:val="1"/>
    </w:pPr>
    <w:rPr>
      <w:b/>
    </w:rPr>
  </w:style>
  <w:style w:type="paragraph" w:styleId="Heading3">
    <w:name w:val="heading 3"/>
    <w:basedOn w:val="Normal"/>
    <w:next w:val="ParaNum"/>
    <w:link w:val="Heading3Char"/>
    <w:qFormat/>
    <w:rsid w:val="00E056D5"/>
    <w:pPr>
      <w:keepNext/>
      <w:widowControl w:val="0"/>
      <w:numPr>
        <w:ilvl w:val="2"/>
        <w:numId w:val="7"/>
      </w:numPr>
      <w:spacing w:after="220"/>
      <w:jc w:val="both"/>
      <w:outlineLvl w:val="2"/>
    </w:pPr>
    <w:rPr>
      <w:b/>
    </w:rPr>
  </w:style>
  <w:style w:type="paragraph" w:styleId="Heading4">
    <w:name w:val="heading 4"/>
    <w:basedOn w:val="Normal"/>
    <w:next w:val="ParaNum"/>
    <w:link w:val="Heading4Char"/>
    <w:qFormat/>
    <w:rsid w:val="00E056D5"/>
    <w:pPr>
      <w:keepNext/>
      <w:widowControl w:val="0"/>
      <w:numPr>
        <w:ilvl w:val="3"/>
        <w:numId w:val="7"/>
      </w:numPr>
      <w:spacing w:after="220"/>
      <w:jc w:val="both"/>
      <w:outlineLvl w:val="3"/>
    </w:pPr>
    <w:rPr>
      <w:b/>
    </w:rPr>
  </w:style>
  <w:style w:type="paragraph" w:styleId="Heading5">
    <w:name w:val="heading 5"/>
    <w:basedOn w:val="Normal"/>
    <w:next w:val="ParaNum"/>
    <w:link w:val="Heading5Char"/>
    <w:qFormat/>
    <w:rsid w:val="00E056D5"/>
    <w:pPr>
      <w:keepNext/>
      <w:widowControl w:val="0"/>
      <w:numPr>
        <w:ilvl w:val="4"/>
        <w:numId w:val="7"/>
      </w:numPr>
      <w:suppressAutoHyphens/>
      <w:spacing w:after="220"/>
      <w:jc w:val="both"/>
      <w:outlineLvl w:val="4"/>
    </w:pPr>
    <w:rPr>
      <w:b/>
    </w:rPr>
  </w:style>
  <w:style w:type="paragraph" w:styleId="Heading6">
    <w:name w:val="heading 6"/>
    <w:basedOn w:val="Normal"/>
    <w:next w:val="ParaNum"/>
    <w:link w:val="Heading6Char"/>
    <w:qFormat/>
    <w:rsid w:val="00E056D5"/>
    <w:pPr>
      <w:widowControl w:val="0"/>
      <w:numPr>
        <w:ilvl w:val="5"/>
        <w:numId w:val="7"/>
      </w:numPr>
      <w:spacing w:after="220"/>
      <w:jc w:val="both"/>
      <w:outlineLvl w:val="5"/>
    </w:pPr>
    <w:rPr>
      <w:b/>
    </w:rPr>
  </w:style>
  <w:style w:type="paragraph" w:styleId="Heading7">
    <w:name w:val="heading 7"/>
    <w:basedOn w:val="Normal"/>
    <w:next w:val="ParaNum"/>
    <w:link w:val="Heading7Char"/>
    <w:qFormat/>
    <w:rsid w:val="00E056D5"/>
    <w:pPr>
      <w:widowControl w:val="0"/>
      <w:numPr>
        <w:ilvl w:val="6"/>
        <w:numId w:val="7"/>
      </w:numPr>
      <w:spacing w:after="220"/>
      <w:jc w:val="both"/>
      <w:outlineLvl w:val="6"/>
    </w:pPr>
    <w:rPr>
      <w:b/>
    </w:rPr>
  </w:style>
  <w:style w:type="paragraph" w:styleId="Heading8">
    <w:name w:val="heading 8"/>
    <w:basedOn w:val="Normal"/>
    <w:next w:val="ParaNum"/>
    <w:link w:val="Heading8Char"/>
    <w:qFormat/>
    <w:rsid w:val="00E056D5"/>
    <w:pPr>
      <w:widowControl w:val="0"/>
      <w:numPr>
        <w:ilvl w:val="7"/>
        <w:numId w:val="7"/>
      </w:numPr>
      <w:spacing w:after="220"/>
      <w:jc w:val="both"/>
      <w:outlineLvl w:val="7"/>
    </w:pPr>
    <w:rPr>
      <w:b/>
    </w:rPr>
  </w:style>
  <w:style w:type="paragraph" w:styleId="Heading9">
    <w:name w:val="heading 9"/>
    <w:basedOn w:val="Normal"/>
    <w:next w:val="ParaNum"/>
    <w:link w:val="Heading9Char"/>
    <w:qFormat/>
    <w:rsid w:val="00E056D5"/>
    <w:pPr>
      <w:widowControl w:val="0"/>
      <w:numPr>
        <w:ilvl w:val="8"/>
        <w:numId w:val="7"/>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 w:type="paragraph" w:styleId="Caption">
    <w:name w:val="caption"/>
    <w:basedOn w:val="Normal"/>
    <w:next w:val="Normal"/>
    <w:qFormat/>
    <w:rsid w:val="00FC595C"/>
    <w:pPr>
      <w:spacing w:before="120" w:after="120"/>
    </w:pPr>
    <w:rPr>
      <w:b/>
    </w:rPr>
  </w:style>
  <w:style w:type="character" w:customStyle="1" w:styleId="documentbody1">
    <w:name w:val="documentbody1"/>
    <w:basedOn w:val="DefaultParagraphFont"/>
    <w:rsid w:val="00FC595C"/>
    <w:rPr>
      <w:rFonts w:ascii="Verdana" w:hAnsi="Verdana" w:hint="default"/>
      <w:sz w:val="19"/>
      <w:szCs w:val="19"/>
    </w:rPr>
  </w:style>
  <w:style w:type="character" w:customStyle="1" w:styleId="documentbody">
    <w:name w:val="documentbody"/>
    <w:basedOn w:val="DefaultParagraphFont"/>
    <w:rsid w:val="00D141A1"/>
  </w:style>
  <w:style w:type="character" w:customStyle="1" w:styleId="bestsection">
    <w:name w:val="bestsection"/>
    <w:basedOn w:val="DefaultParagraphFont"/>
    <w:rsid w:val="00D141A1"/>
  </w:style>
  <w:style w:type="character" w:customStyle="1" w:styleId="ParaNumChar">
    <w:name w:val="ParaNum Char"/>
    <w:basedOn w:val="DefaultParagraphFont"/>
    <w:link w:val="ParaNum"/>
    <w:locked/>
    <w:rsid w:val="000348BE"/>
    <w:rPr>
      <w:sz w:val="22"/>
    </w:rPr>
  </w:style>
  <w:style w:type="character" w:customStyle="1" w:styleId="documentbody5">
    <w:name w:val="documentbody5"/>
    <w:basedOn w:val="DefaultParagraphFont"/>
    <w:rsid w:val="000348BE"/>
    <w:rPr>
      <w:rFonts w:ascii="Verdana" w:hAnsi="Verdana" w:hint="default"/>
      <w:sz w:val="19"/>
      <w:szCs w:val="19"/>
    </w:rPr>
  </w:style>
  <w:style w:type="character" w:customStyle="1" w:styleId="Heading1Char">
    <w:name w:val="Heading 1 Char"/>
    <w:basedOn w:val="DefaultParagraphFont"/>
    <w:link w:val="Heading1"/>
    <w:rsid w:val="00E056D5"/>
    <w:rPr>
      <w:b/>
      <w:caps/>
      <w:sz w:val="22"/>
    </w:rPr>
  </w:style>
  <w:style w:type="character" w:customStyle="1" w:styleId="Heading2Char">
    <w:name w:val="Heading 2 Char"/>
    <w:basedOn w:val="DefaultParagraphFont"/>
    <w:link w:val="Heading2"/>
    <w:rsid w:val="00E056D5"/>
    <w:rPr>
      <w:b/>
      <w:sz w:val="22"/>
    </w:rPr>
  </w:style>
  <w:style w:type="character" w:customStyle="1" w:styleId="Heading3Char">
    <w:name w:val="Heading 3 Char"/>
    <w:basedOn w:val="DefaultParagraphFont"/>
    <w:link w:val="Heading3"/>
    <w:rsid w:val="00E056D5"/>
    <w:rPr>
      <w:b/>
      <w:sz w:val="22"/>
    </w:rPr>
  </w:style>
  <w:style w:type="character" w:customStyle="1" w:styleId="Heading4Char">
    <w:name w:val="Heading 4 Char"/>
    <w:basedOn w:val="DefaultParagraphFont"/>
    <w:link w:val="Heading4"/>
    <w:rsid w:val="00E056D5"/>
    <w:rPr>
      <w:b/>
      <w:sz w:val="22"/>
    </w:rPr>
  </w:style>
  <w:style w:type="character" w:customStyle="1" w:styleId="Heading5Char">
    <w:name w:val="Heading 5 Char"/>
    <w:basedOn w:val="DefaultParagraphFont"/>
    <w:link w:val="Heading5"/>
    <w:rsid w:val="00E056D5"/>
    <w:rPr>
      <w:b/>
      <w:sz w:val="22"/>
    </w:rPr>
  </w:style>
  <w:style w:type="character" w:customStyle="1" w:styleId="Heading6Char">
    <w:name w:val="Heading 6 Char"/>
    <w:basedOn w:val="DefaultParagraphFont"/>
    <w:link w:val="Heading6"/>
    <w:rsid w:val="00E056D5"/>
    <w:rPr>
      <w:b/>
      <w:sz w:val="22"/>
    </w:rPr>
  </w:style>
  <w:style w:type="character" w:customStyle="1" w:styleId="Heading7Char">
    <w:name w:val="Heading 7 Char"/>
    <w:basedOn w:val="DefaultParagraphFont"/>
    <w:link w:val="Heading7"/>
    <w:rsid w:val="00E056D5"/>
    <w:rPr>
      <w:b/>
      <w:sz w:val="22"/>
    </w:rPr>
  </w:style>
  <w:style w:type="character" w:customStyle="1" w:styleId="Heading8Char">
    <w:name w:val="Heading 8 Char"/>
    <w:basedOn w:val="DefaultParagraphFont"/>
    <w:link w:val="Heading8"/>
    <w:rsid w:val="00E056D5"/>
    <w:rPr>
      <w:b/>
      <w:sz w:val="22"/>
    </w:rPr>
  </w:style>
  <w:style w:type="character" w:customStyle="1" w:styleId="Heading9Char">
    <w:name w:val="Heading 9 Char"/>
    <w:basedOn w:val="DefaultParagraphFont"/>
    <w:link w:val="Heading9"/>
    <w:rsid w:val="00E056D5"/>
    <w:rPr>
      <w:b/>
      <w:sz w:val="22"/>
    </w:rPr>
  </w:style>
  <w:style w:type="paragraph" w:styleId="ListParagraph">
    <w:name w:val="List Paragraph"/>
    <w:basedOn w:val="Normal"/>
    <w:uiPriority w:val="34"/>
    <w:qFormat/>
    <w:rsid w:val="00E05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qFormat/>
    <w:rsid w:val="00E056D5"/>
    <w:pPr>
      <w:keepNext/>
      <w:widowControl w:val="0"/>
      <w:numPr>
        <w:numId w:val="7"/>
      </w:numPr>
      <w:suppressAutoHyphens/>
      <w:spacing w:after="220"/>
      <w:jc w:val="both"/>
      <w:outlineLvl w:val="0"/>
    </w:pPr>
    <w:rPr>
      <w:b/>
      <w:caps/>
    </w:rPr>
  </w:style>
  <w:style w:type="paragraph" w:styleId="Heading2">
    <w:name w:val="heading 2"/>
    <w:basedOn w:val="Normal"/>
    <w:next w:val="ParaNum"/>
    <w:link w:val="Heading2Char"/>
    <w:qFormat/>
    <w:rsid w:val="00E056D5"/>
    <w:pPr>
      <w:keepNext/>
      <w:widowControl w:val="0"/>
      <w:numPr>
        <w:ilvl w:val="1"/>
        <w:numId w:val="7"/>
      </w:numPr>
      <w:spacing w:after="220"/>
      <w:jc w:val="both"/>
      <w:outlineLvl w:val="1"/>
    </w:pPr>
    <w:rPr>
      <w:b/>
    </w:rPr>
  </w:style>
  <w:style w:type="paragraph" w:styleId="Heading3">
    <w:name w:val="heading 3"/>
    <w:basedOn w:val="Normal"/>
    <w:next w:val="ParaNum"/>
    <w:link w:val="Heading3Char"/>
    <w:qFormat/>
    <w:rsid w:val="00E056D5"/>
    <w:pPr>
      <w:keepNext/>
      <w:widowControl w:val="0"/>
      <w:numPr>
        <w:ilvl w:val="2"/>
        <w:numId w:val="7"/>
      </w:numPr>
      <w:spacing w:after="220"/>
      <w:jc w:val="both"/>
      <w:outlineLvl w:val="2"/>
    </w:pPr>
    <w:rPr>
      <w:b/>
    </w:rPr>
  </w:style>
  <w:style w:type="paragraph" w:styleId="Heading4">
    <w:name w:val="heading 4"/>
    <w:basedOn w:val="Normal"/>
    <w:next w:val="ParaNum"/>
    <w:link w:val="Heading4Char"/>
    <w:qFormat/>
    <w:rsid w:val="00E056D5"/>
    <w:pPr>
      <w:keepNext/>
      <w:widowControl w:val="0"/>
      <w:numPr>
        <w:ilvl w:val="3"/>
        <w:numId w:val="7"/>
      </w:numPr>
      <w:spacing w:after="220"/>
      <w:jc w:val="both"/>
      <w:outlineLvl w:val="3"/>
    </w:pPr>
    <w:rPr>
      <w:b/>
    </w:rPr>
  </w:style>
  <w:style w:type="paragraph" w:styleId="Heading5">
    <w:name w:val="heading 5"/>
    <w:basedOn w:val="Normal"/>
    <w:next w:val="ParaNum"/>
    <w:link w:val="Heading5Char"/>
    <w:qFormat/>
    <w:rsid w:val="00E056D5"/>
    <w:pPr>
      <w:keepNext/>
      <w:widowControl w:val="0"/>
      <w:numPr>
        <w:ilvl w:val="4"/>
        <w:numId w:val="7"/>
      </w:numPr>
      <w:suppressAutoHyphens/>
      <w:spacing w:after="220"/>
      <w:jc w:val="both"/>
      <w:outlineLvl w:val="4"/>
    </w:pPr>
    <w:rPr>
      <w:b/>
    </w:rPr>
  </w:style>
  <w:style w:type="paragraph" w:styleId="Heading6">
    <w:name w:val="heading 6"/>
    <w:basedOn w:val="Normal"/>
    <w:next w:val="ParaNum"/>
    <w:link w:val="Heading6Char"/>
    <w:qFormat/>
    <w:rsid w:val="00E056D5"/>
    <w:pPr>
      <w:widowControl w:val="0"/>
      <w:numPr>
        <w:ilvl w:val="5"/>
        <w:numId w:val="7"/>
      </w:numPr>
      <w:spacing w:after="220"/>
      <w:jc w:val="both"/>
      <w:outlineLvl w:val="5"/>
    </w:pPr>
    <w:rPr>
      <w:b/>
    </w:rPr>
  </w:style>
  <w:style w:type="paragraph" w:styleId="Heading7">
    <w:name w:val="heading 7"/>
    <w:basedOn w:val="Normal"/>
    <w:next w:val="ParaNum"/>
    <w:link w:val="Heading7Char"/>
    <w:qFormat/>
    <w:rsid w:val="00E056D5"/>
    <w:pPr>
      <w:widowControl w:val="0"/>
      <w:numPr>
        <w:ilvl w:val="6"/>
        <w:numId w:val="7"/>
      </w:numPr>
      <w:spacing w:after="220"/>
      <w:jc w:val="both"/>
      <w:outlineLvl w:val="6"/>
    </w:pPr>
    <w:rPr>
      <w:b/>
    </w:rPr>
  </w:style>
  <w:style w:type="paragraph" w:styleId="Heading8">
    <w:name w:val="heading 8"/>
    <w:basedOn w:val="Normal"/>
    <w:next w:val="ParaNum"/>
    <w:link w:val="Heading8Char"/>
    <w:qFormat/>
    <w:rsid w:val="00E056D5"/>
    <w:pPr>
      <w:widowControl w:val="0"/>
      <w:numPr>
        <w:ilvl w:val="7"/>
        <w:numId w:val="7"/>
      </w:numPr>
      <w:spacing w:after="220"/>
      <w:jc w:val="both"/>
      <w:outlineLvl w:val="7"/>
    </w:pPr>
    <w:rPr>
      <w:b/>
    </w:rPr>
  </w:style>
  <w:style w:type="paragraph" w:styleId="Heading9">
    <w:name w:val="heading 9"/>
    <w:basedOn w:val="Normal"/>
    <w:next w:val="ParaNum"/>
    <w:link w:val="Heading9Char"/>
    <w:qFormat/>
    <w:rsid w:val="00E056D5"/>
    <w:pPr>
      <w:widowControl w:val="0"/>
      <w:numPr>
        <w:ilvl w:val="8"/>
        <w:numId w:val="7"/>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widowControl w:val="0"/>
      <w:numPr>
        <w:numId w:val="1"/>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rPr>
      <w:sz w:val="22"/>
      <w:lang w:val="en-US" w:eastAsia="en-US" w:bidi="ar-SA"/>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pple-converted-space">
    <w:name w:val="apple-converted-space"/>
    <w:basedOn w:val="DefaultParagraphFont"/>
    <w:rsid w:val="00133EA8"/>
  </w:style>
  <w:style w:type="character" w:customStyle="1" w:styleId="searchterm">
    <w:name w:val="searchterm"/>
    <w:basedOn w:val="DefaultParagraphFont"/>
    <w:rsid w:val="00133EA8"/>
  </w:style>
  <w:style w:type="paragraph" w:styleId="Caption">
    <w:name w:val="caption"/>
    <w:basedOn w:val="Normal"/>
    <w:next w:val="Normal"/>
    <w:qFormat/>
    <w:rsid w:val="00FC595C"/>
    <w:pPr>
      <w:spacing w:before="120" w:after="120"/>
    </w:pPr>
    <w:rPr>
      <w:b/>
    </w:rPr>
  </w:style>
  <w:style w:type="character" w:customStyle="1" w:styleId="documentbody1">
    <w:name w:val="documentbody1"/>
    <w:basedOn w:val="DefaultParagraphFont"/>
    <w:rsid w:val="00FC595C"/>
    <w:rPr>
      <w:rFonts w:ascii="Verdana" w:hAnsi="Verdana" w:hint="default"/>
      <w:sz w:val="19"/>
      <w:szCs w:val="19"/>
    </w:rPr>
  </w:style>
  <w:style w:type="character" w:customStyle="1" w:styleId="documentbody">
    <w:name w:val="documentbody"/>
    <w:basedOn w:val="DefaultParagraphFont"/>
    <w:rsid w:val="00D141A1"/>
  </w:style>
  <w:style w:type="character" w:customStyle="1" w:styleId="bestsection">
    <w:name w:val="bestsection"/>
    <w:basedOn w:val="DefaultParagraphFont"/>
    <w:rsid w:val="00D141A1"/>
  </w:style>
  <w:style w:type="character" w:customStyle="1" w:styleId="ParaNumChar">
    <w:name w:val="ParaNum Char"/>
    <w:basedOn w:val="DefaultParagraphFont"/>
    <w:link w:val="ParaNum"/>
    <w:locked/>
    <w:rsid w:val="000348BE"/>
    <w:rPr>
      <w:sz w:val="22"/>
    </w:rPr>
  </w:style>
  <w:style w:type="character" w:customStyle="1" w:styleId="documentbody5">
    <w:name w:val="documentbody5"/>
    <w:basedOn w:val="DefaultParagraphFont"/>
    <w:rsid w:val="000348BE"/>
    <w:rPr>
      <w:rFonts w:ascii="Verdana" w:hAnsi="Verdana" w:hint="default"/>
      <w:sz w:val="19"/>
      <w:szCs w:val="19"/>
    </w:rPr>
  </w:style>
  <w:style w:type="character" w:customStyle="1" w:styleId="Heading1Char">
    <w:name w:val="Heading 1 Char"/>
    <w:basedOn w:val="DefaultParagraphFont"/>
    <w:link w:val="Heading1"/>
    <w:rsid w:val="00E056D5"/>
    <w:rPr>
      <w:b/>
      <w:caps/>
      <w:sz w:val="22"/>
    </w:rPr>
  </w:style>
  <w:style w:type="character" w:customStyle="1" w:styleId="Heading2Char">
    <w:name w:val="Heading 2 Char"/>
    <w:basedOn w:val="DefaultParagraphFont"/>
    <w:link w:val="Heading2"/>
    <w:rsid w:val="00E056D5"/>
    <w:rPr>
      <w:b/>
      <w:sz w:val="22"/>
    </w:rPr>
  </w:style>
  <w:style w:type="character" w:customStyle="1" w:styleId="Heading3Char">
    <w:name w:val="Heading 3 Char"/>
    <w:basedOn w:val="DefaultParagraphFont"/>
    <w:link w:val="Heading3"/>
    <w:rsid w:val="00E056D5"/>
    <w:rPr>
      <w:b/>
      <w:sz w:val="22"/>
    </w:rPr>
  </w:style>
  <w:style w:type="character" w:customStyle="1" w:styleId="Heading4Char">
    <w:name w:val="Heading 4 Char"/>
    <w:basedOn w:val="DefaultParagraphFont"/>
    <w:link w:val="Heading4"/>
    <w:rsid w:val="00E056D5"/>
    <w:rPr>
      <w:b/>
      <w:sz w:val="22"/>
    </w:rPr>
  </w:style>
  <w:style w:type="character" w:customStyle="1" w:styleId="Heading5Char">
    <w:name w:val="Heading 5 Char"/>
    <w:basedOn w:val="DefaultParagraphFont"/>
    <w:link w:val="Heading5"/>
    <w:rsid w:val="00E056D5"/>
    <w:rPr>
      <w:b/>
      <w:sz w:val="22"/>
    </w:rPr>
  </w:style>
  <w:style w:type="character" w:customStyle="1" w:styleId="Heading6Char">
    <w:name w:val="Heading 6 Char"/>
    <w:basedOn w:val="DefaultParagraphFont"/>
    <w:link w:val="Heading6"/>
    <w:rsid w:val="00E056D5"/>
    <w:rPr>
      <w:b/>
      <w:sz w:val="22"/>
    </w:rPr>
  </w:style>
  <w:style w:type="character" w:customStyle="1" w:styleId="Heading7Char">
    <w:name w:val="Heading 7 Char"/>
    <w:basedOn w:val="DefaultParagraphFont"/>
    <w:link w:val="Heading7"/>
    <w:rsid w:val="00E056D5"/>
    <w:rPr>
      <w:b/>
      <w:sz w:val="22"/>
    </w:rPr>
  </w:style>
  <w:style w:type="character" w:customStyle="1" w:styleId="Heading8Char">
    <w:name w:val="Heading 8 Char"/>
    <w:basedOn w:val="DefaultParagraphFont"/>
    <w:link w:val="Heading8"/>
    <w:rsid w:val="00E056D5"/>
    <w:rPr>
      <w:b/>
      <w:sz w:val="22"/>
    </w:rPr>
  </w:style>
  <w:style w:type="character" w:customStyle="1" w:styleId="Heading9Char">
    <w:name w:val="Heading 9 Char"/>
    <w:basedOn w:val="DefaultParagraphFont"/>
    <w:link w:val="Heading9"/>
    <w:rsid w:val="00E056D5"/>
    <w:rPr>
      <w:b/>
      <w:sz w:val="22"/>
    </w:rPr>
  </w:style>
  <w:style w:type="paragraph" w:styleId="ListParagraph">
    <w:name w:val="List Paragraph"/>
    <w:basedOn w:val="Normal"/>
    <w:uiPriority w:val="34"/>
    <w:qFormat/>
    <w:rsid w:val="00E0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920">
      <w:bodyDiv w:val="1"/>
      <w:marLeft w:val="0"/>
      <w:marRight w:val="0"/>
      <w:marTop w:val="0"/>
      <w:marBottom w:val="0"/>
      <w:divBdr>
        <w:top w:val="none" w:sz="0" w:space="0" w:color="auto"/>
        <w:left w:val="none" w:sz="0" w:space="0" w:color="auto"/>
        <w:bottom w:val="none" w:sz="0" w:space="0" w:color="auto"/>
        <w:right w:val="none" w:sz="0" w:space="0" w:color="auto"/>
      </w:divBdr>
    </w:div>
    <w:div w:id="345912131">
      <w:bodyDiv w:val="1"/>
      <w:marLeft w:val="0"/>
      <w:marRight w:val="0"/>
      <w:marTop w:val="0"/>
      <w:marBottom w:val="0"/>
      <w:divBdr>
        <w:top w:val="none" w:sz="0" w:space="0" w:color="auto"/>
        <w:left w:val="none" w:sz="0" w:space="0" w:color="auto"/>
        <w:bottom w:val="none" w:sz="0" w:space="0" w:color="auto"/>
        <w:right w:val="none" w:sz="0" w:space="0" w:color="auto"/>
      </w:divBdr>
      <w:divsChild>
        <w:div w:id="953168779">
          <w:marLeft w:val="0"/>
          <w:marRight w:val="0"/>
          <w:marTop w:val="0"/>
          <w:marBottom w:val="0"/>
          <w:divBdr>
            <w:top w:val="none" w:sz="0" w:space="0" w:color="auto"/>
            <w:left w:val="none" w:sz="0" w:space="0" w:color="auto"/>
            <w:bottom w:val="none" w:sz="0" w:space="0" w:color="auto"/>
            <w:right w:val="none" w:sz="0" w:space="0" w:color="auto"/>
          </w:divBdr>
        </w:div>
        <w:div w:id="2124421709">
          <w:marLeft w:val="0"/>
          <w:marRight w:val="0"/>
          <w:marTop w:val="0"/>
          <w:marBottom w:val="0"/>
          <w:divBdr>
            <w:top w:val="none" w:sz="0" w:space="0" w:color="auto"/>
            <w:left w:val="none" w:sz="0" w:space="0" w:color="auto"/>
            <w:bottom w:val="none" w:sz="0" w:space="0" w:color="auto"/>
            <w:right w:val="none" w:sz="0" w:space="0" w:color="auto"/>
          </w:divBdr>
          <w:divsChild>
            <w:div w:id="556554656">
              <w:marLeft w:val="0"/>
              <w:marRight w:val="0"/>
              <w:marTop w:val="0"/>
              <w:marBottom w:val="0"/>
              <w:divBdr>
                <w:top w:val="none" w:sz="0" w:space="0" w:color="auto"/>
                <w:left w:val="none" w:sz="0" w:space="0" w:color="auto"/>
                <w:bottom w:val="none" w:sz="0" w:space="0" w:color="auto"/>
                <w:right w:val="none" w:sz="0" w:space="0" w:color="auto"/>
              </w:divBdr>
              <w:divsChild>
                <w:div w:id="2117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4388">
      <w:bodyDiv w:val="1"/>
      <w:marLeft w:val="0"/>
      <w:marRight w:val="0"/>
      <w:marTop w:val="0"/>
      <w:marBottom w:val="0"/>
      <w:divBdr>
        <w:top w:val="none" w:sz="0" w:space="0" w:color="auto"/>
        <w:left w:val="none" w:sz="0" w:space="0" w:color="auto"/>
        <w:bottom w:val="none" w:sz="0" w:space="0" w:color="auto"/>
        <w:right w:val="none" w:sz="0" w:space="0" w:color="auto"/>
      </w:divBdr>
      <w:divsChild>
        <w:div w:id="1436827874">
          <w:marLeft w:val="0"/>
          <w:marRight w:val="0"/>
          <w:marTop w:val="0"/>
          <w:marBottom w:val="0"/>
          <w:divBdr>
            <w:top w:val="none" w:sz="0" w:space="0" w:color="auto"/>
            <w:left w:val="none" w:sz="0" w:space="0" w:color="auto"/>
            <w:bottom w:val="none" w:sz="0" w:space="0" w:color="auto"/>
            <w:right w:val="none" w:sz="0" w:space="0" w:color="auto"/>
          </w:divBdr>
        </w:div>
        <w:div w:id="97990878">
          <w:marLeft w:val="0"/>
          <w:marRight w:val="0"/>
          <w:marTop w:val="0"/>
          <w:marBottom w:val="0"/>
          <w:divBdr>
            <w:top w:val="none" w:sz="0" w:space="0" w:color="auto"/>
            <w:left w:val="none" w:sz="0" w:space="0" w:color="auto"/>
            <w:bottom w:val="none" w:sz="0" w:space="0" w:color="auto"/>
            <w:right w:val="none" w:sz="0" w:space="0" w:color="auto"/>
          </w:divBdr>
          <w:divsChild>
            <w:div w:id="1899826944">
              <w:marLeft w:val="0"/>
              <w:marRight w:val="0"/>
              <w:marTop w:val="0"/>
              <w:marBottom w:val="0"/>
              <w:divBdr>
                <w:top w:val="none" w:sz="0" w:space="0" w:color="auto"/>
                <w:left w:val="none" w:sz="0" w:space="0" w:color="auto"/>
                <w:bottom w:val="none" w:sz="0" w:space="0" w:color="auto"/>
                <w:right w:val="none" w:sz="0" w:space="0" w:color="auto"/>
              </w:divBdr>
              <w:divsChild>
                <w:div w:id="1190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8479">
      <w:bodyDiv w:val="1"/>
      <w:marLeft w:val="0"/>
      <w:marRight w:val="0"/>
      <w:marTop w:val="0"/>
      <w:marBottom w:val="0"/>
      <w:divBdr>
        <w:top w:val="none" w:sz="0" w:space="0" w:color="auto"/>
        <w:left w:val="none" w:sz="0" w:space="0" w:color="auto"/>
        <w:bottom w:val="none" w:sz="0" w:space="0" w:color="auto"/>
        <w:right w:val="none" w:sz="0" w:space="0" w:color="auto"/>
      </w:divBdr>
      <w:divsChild>
        <w:div w:id="521359526">
          <w:marLeft w:val="0"/>
          <w:marRight w:val="0"/>
          <w:marTop w:val="0"/>
          <w:marBottom w:val="0"/>
          <w:divBdr>
            <w:top w:val="none" w:sz="0" w:space="0" w:color="auto"/>
            <w:left w:val="none" w:sz="0" w:space="0" w:color="auto"/>
            <w:bottom w:val="none" w:sz="0" w:space="0" w:color="auto"/>
            <w:right w:val="none" w:sz="0" w:space="0" w:color="auto"/>
          </w:divBdr>
        </w:div>
        <w:div w:id="1581258679">
          <w:marLeft w:val="0"/>
          <w:marRight w:val="0"/>
          <w:marTop w:val="0"/>
          <w:marBottom w:val="0"/>
          <w:divBdr>
            <w:top w:val="none" w:sz="0" w:space="0" w:color="auto"/>
            <w:left w:val="none" w:sz="0" w:space="0" w:color="auto"/>
            <w:bottom w:val="none" w:sz="0" w:space="0" w:color="auto"/>
            <w:right w:val="none" w:sz="0" w:space="0" w:color="auto"/>
          </w:divBdr>
          <w:divsChild>
            <w:div w:id="886381866">
              <w:marLeft w:val="0"/>
              <w:marRight w:val="0"/>
              <w:marTop w:val="0"/>
              <w:marBottom w:val="0"/>
              <w:divBdr>
                <w:top w:val="none" w:sz="0" w:space="0" w:color="auto"/>
                <w:left w:val="none" w:sz="0" w:space="0" w:color="auto"/>
                <w:bottom w:val="none" w:sz="0" w:space="0" w:color="auto"/>
                <w:right w:val="none" w:sz="0" w:space="0" w:color="auto"/>
              </w:divBdr>
              <w:divsChild>
                <w:div w:id="5411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1991224243&amp;pubNum=4493&amp;originatingDoc=I7e7638a1772011df8e45a3b5a338fda3&amp;refType=CA&amp;originationContext=document&amp;transitionType=DocumentItem&amp;contextData=%28sc.Folder*cid.b1ec5e959e9f485ebc0a5918e1078591*oc.Search%29" TargetMode="External"/><Relationship Id="rId2" Type="http://schemas.openxmlformats.org/officeDocument/2006/relationships/hyperlink" Target="https://1.next.westlaw.com/Link/Document/FullText?findType=L&amp;pubNum=1000547&amp;cite=47CFRS73.3539&amp;originatingDoc=I643a8b4885d911df8e45a3b5a338fda3&amp;refType=RB&amp;originationContext=document&amp;transitionType=DocumentItem&amp;contextData=%28sc.Folder*cid.5031befcd641464b96c911ffc57f1a9d*oc.DocLink%29" TargetMode="External"/><Relationship Id="rId1" Type="http://schemas.openxmlformats.org/officeDocument/2006/relationships/hyperlink" Target="https://1.next.westlaw.com/Link/Document/FullText?findType=L&amp;pubNum=1000547&amp;cite=47CFRS73.1020&amp;originatingDoc=I643a8b4885d911df8e45a3b5a338fda3&amp;refType=LQ&amp;originationContext=document&amp;transitionType=DocumentItem&amp;contextData=%28sc.Folder*cid.5031befcd641464b96c911ffc57f1a9d*oc.DocLink%29" TargetMode="External"/><Relationship Id="rId6" Type="http://schemas.openxmlformats.org/officeDocument/2006/relationships/hyperlink" Target="https://1.next.westlaw.com/Link/Document/FullText?findType=Y&amp;serNum=2016621972&amp;pubNum=4493&amp;originatingDoc=I7e7638a1772011df8e45a3b5a338fda3&amp;refType=CA&amp;fi=co_pp_sp_4493_11242&amp;originationContext=document&amp;transitionType=DocumentItem&amp;contextData=%28sc.Folder*cid.b1ec5e959e9f485ebc0a5918e1078591*oc.Search%29" TargetMode="External"/><Relationship Id="rId5" Type="http://schemas.openxmlformats.org/officeDocument/2006/relationships/hyperlink" Target="https://1.next.westlaw.com/Link/Document/FullText?findType=Y&amp;serNum=1986029091&amp;pubNum=4493&amp;originatingDoc=I7e7638a1772011df8e45a3b5a338fda3&amp;refType=CA&amp;originationContext=document&amp;transitionType=DocumentItem&amp;contextData=%28sc.Folder*cid.b1ec5e959e9f485ebc0a5918e1078591*oc.Search%29" TargetMode="External"/><Relationship Id="rId4" Type="http://schemas.openxmlformats.org/officeDocument/2006/relationships/hyperlink" Target="https://1.next.westlaw.com/Link/Document/FullText?findType=Y&amp;serNum=1992237816&amp;pubNum=4493&amp;originatingDoc=I7e7638a1772011df8e45a3b5a338fda3&amp;refType=CA&amp;originationContext=document&amp;transitionType=DocumentItem&amp;contextData=%28sc.Folder*cid.b1ec5e959e9f485ebc0a5918e1078591*o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8229</Characters>
  <Application>Microsoft Office Word</Application>
  <DocSecurity>0</DocSecurity>
  <Lines>149</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9819</CharactersWithSpaces>
  <SharedDoc>false</SharedDoc>
  <HyperlinkBase> </HyperlinkBase>
  <HLinks>
    <vt:vector size="6" baseType="variant">
      <vt:variant>
        <vt:i4>1900604</vt:i4>
      </vt:variant>
      <vt:variant>
        <vt:i4>0</vt:i4>
      </vt:variant>
      <vt:variant>
        <vt:i4>0</vt:i4>
      </vt:variant>
      <vt:variant>
        <vt:i4>5</vt:i4>
      </vt:variant>
      <vt:variant>
        <vt:lpwstr>http://web2.westlaw.com/find/default.wl?mt=Westlaw&amp;db=0004493&amp;tc=-1&amp;rp=%2ffind%2fdefault.wl&amp;findtype=Y&amp;ordoc=2025084498&amp;serialnum=2009641649&amp;vr=2.0&amp;fn=_top&amp;sv=Split&amp;tf=-1&amp;pbc=3149B64E&amp;rs=WLW12.07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2012-09-04T14:20:00Z</cp:lastPrinted>
  <dcterms:created xsi:type="dcterms:W3CDTF">2016-07-15T15:46:00Z</dcterms:created>
  <dcterms:modified xsi:type="dcterms:W3CDTF">2016-07-15T15:46:00Z</dcterms:modified>
  <cp:category> </cp:category>
  <cp:contentStatus> </cp:contentStatus>
</cp:coreProperties>
</file>