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EF" w:rsidRPr="00A81848" w:rsidRDefault="00F845EF" w:rsidP="00C5386D">
      <w:pPr>
        <w:jc w:val="center"/>
        <w:rPr>
          <w:b/>
          <w:szCs w:val="24"/>
        </w:rPr>
      </w:pPr>
      <w:bookmarkStart w:id="0" w:name="_GoBack"/>
      <w:bookmarkEnd w:id="0"/>
      <w:r w:rsidRPr="00A81848">
        <w:rPr>
          <w:b/>
          <w:szCs w:val="24"/>
        </w:rPr>
        <w:t>Before the</w:t>
      </w:r>
    </w:p>
    <w:p w:rsidR="00F845EF" w:rsidRPr="00A81848" w:rsidRDefault="00F845EF" w:rsidP="00C5386D">
      <w:pPr>
        <w:jc w:val="center"/>
        <w:rPr>
          <w:b/>
          <w:szCs w:val="24"/>
        </w:rPr>
      </w:pPr>
      <w:r w:rsidRPr="00A81848">
        <w:rPr>
          <w:b/>
          <w:szCs w:val="24"/>
        </w:rPr>
        <w:t>Federal Communications Commission</w:t>
      </w:r>
    </w:p>
    <w:p w:rsidR="00F845EF" w:rsidRPr="00A81848" w:rsidRDefault="00F845EF">
      <w:pPr>
        <w:jc w:val="center"/>
        <w:rPr>
          <w:b/>
          <w:szCs w:val="24"/>
        </w:rPr>
      </w:pPr>
      <w:smartTag w:uri="urn:schemas-microsoft-com:office:smarttags" w:element="PersonName">
        <w:smartTag w:uri="urn:schemas-microsoft-com:office:smarttags" w:element="City">
          <w:r w:rsidRPr="00A81848">
            <w:rPr>
              <w:b/>
              <w:szCs w:val="24"/>
            </w:rPr>
            <w:t>Washington</w:t>
          </w:r>
        </w:smartTag>
        <w:r w:rsidRPr="00A81848">
          <w:rPr>
            <w:b/>
            <w:szCs w:val="24"/>
          </w:rPr>
          <w:t xml:space="preserve">, </w:t>
        </w:r>
        <w:smartTag w:uri="urn:schemas-microsoft-com:office:smarttags" w:element="State">
          <w:r w:rsidRPr="00A81848">
            <w:rPr>
              <w:b/>
              <w:szCs w:val="24"/>
            </w:rPr>
            <w:t>D.C.</w:t>
          </w:r>
        </w:smartTag>
        <w:r w:rsidRPr="00A81848">
          <w:rPr>
            <w:b/>
            <w:szCs w:val="24"/>
          </w:rPr>
          <w:t xml:space="preserve"> </w:t>
        </w:r>
        <w:smartTag w:uri="urn:schemas-microsoft-com:office:smarttags" w:element="PostalCode">
          <w:r w:rsidRPr="00A81848">
            <w:rPr>
              <w:b/>
              <w:szCs w:val="24"/>
            </w:rPr>
            <w:t>20554</w:t>
          </w:r>
        </w:smartTag>
      </w:smartTag>
    </w:p>
    <w:p w:rsidR="00F845EF" w:rsidRPr="00A81848" w:rsidRDefault="00F845EF" w:rsidP="00C4032E">
      <w:pPr>
        <w:rPr>
          <w:szCs w:val="24"/>
        </w:rPr>
      </w:pPr>
    </w:p>
    <w:p w:rsidR="000D4F64" w:rsidRPr="001106B2" w:rsidRDefault="000D4F64" w:rsidP="000D4F64"/>
    <w:tbl>
      <w:tblPr>
        <w:tblW w:w="20754" w:type="dxa"/>
        <w:tblLayout w:type="fixed"/>
        <w:tblLook w:val="0000" w:firstRow="0" w:lastRow="0" w:firstColumn="0" w:lastColumn="0" w:noHBand="0" w:noVBand="0"/>
      </w:tblPr>
      <w:tblGrid>
        <w:gridCol w:w="4698"/>
        <w:gridCol w:w="810"/>
        <w:gridCol w:w="5850"/>
        <w:gridCol w:w="4698"/>
        <w:gridCol w:w="4698"/>
      </w:tblGrid>
      <w:tr w:rsidR="000D4F64" w:rsidRPr="001106B2" w:rsidTr="000565A4">
        <w:tc>
          <w:tcPr>
            <w:tcW w:w="4698" w:type="dxa"/>
          </w:tcPr>
          <w:p w:rsidR="000D4F64" w:rsidRDefault="000D4F64" w:rsidP="00DA0BDA">
            <w:pPr>
              <w:tabs>
                <w:tab w:val="center" w:pos="4680"/>
              </w:tabs>
              <w:suppressAutoHyphens/>
              <w:rPr>
                <w:spacing w:val="-2"/>
                <w:szCs w:val="22"/>
              </w:rPr>
            </w:pPr>
            <w:r>
              <w:rPr>
                <w:spacing w:val="-2"/>
                <w:szCs w:val="22"/>
              </w:rPr>
              <w:t>In the Matter of</w:t>
            </w:r>
          </w:p>
          <w:p w:rsidR="000D4F64" w:rsidRDefault="000D4F64" w:rsidP="00DA0BDA">
            <w:pPr>
              <w:tabs>
                <w:tab w:val="center" w:pos="4680"/>
              </w:tabs>
              <w:suppressAutoHyphens/>
              <w:rPr>
                <w:spacing w:val="-2"/>
                <w:szCs w:val="22"/>
              </w:rPr>
            </w:pPr>
          </w:p>
          <w:p w:rsidR="000D4F64" w:rsidRDefault="000D4F64" w:rsidP="00DA0BDA">
            <w:pPr>
              <w:tabs>
                <w:tab w:val="center" w:pos="4680"/>
              </w:tabs>
              <w:suppressAutoHyphens/>
              <w:rPr>
                <w:spacing w:val="-2"/>
                <w:szCs w:val="22"/>
              </w:rPr>
            </w:pPr>
            <w:r>
              <w:rPr>
                <w:spacing w:val="-2"/>
                <w:szCs w:val="22"/>
              </w:rPr>
              <w:t>Pacific Bell Telephone Company</w:t>
            </w:r>
          </w:p>
          <w:p w:rsidR="000D4F64" w:rsidRDefault="000565A4" w:rsidP="00DA0BDA">
            <w:pPr>
              <w:tabs>
                <w:tab w:val="center" w:pos="4680"/>
              </w:tabs>
              <w:suppressAutoHyphens/>
              <w:rPr>
                <w:spacing w:val="-2"/>
                <w:szCs w:val="22"/>
              </w:rPr>
            </w:pPr>
            <w:r>
              <w:rPr>
                <w:spacing w:val="-2"/>
                <w:szCs w:val="22"/>
              </w:rPr>
              <w:t>T</w:t>
            </w:r>
            <w:r w:rsidR="000D4F64">
              <w:rPr>
                <w:spacing w:val="-2"/>
                <w:szCs w:val="22"/>
              </w:rPr>
              <w:t>ariff F.C.C. No. 1</w:t>
            </w:r>
          </w:p>
          <w:p w:rsidR="000565A4" w:rsidRDefault="000565A4" w:rsidP="00DA0BDA">
            <w:pPr>
              <w:tabs>
                <w:tab w:val="center" w:pos="4680"/>
              </w:tabs>
              <w:suppressAutoHyphens/>
              <w:rPr>
                <w:spacing w:val="-2"/>
                <w:szCs w:val="22"/>
              </w:rPr>
            </w:pPr>
          </w:p>
          <w:p w:rsidR="000565A4" w:rsidRDefault="000565A4" w:rsidP="000565A4">
            <w:pPr>
              <w:rPr>
                <w:szCs w:val="24"/>
              </w:rPr>
            </w:pPr>
            <w:r>
              <w:rPr>
                <w:szCs w:val="24"/>
              </w:rPr>
              <w:t>Southwestern Bell Telephone Company</w:t>
            </w:r>
          </w:p>
          <w:p w:rsidR="000565A4" w:rsidRDefault="000565A4" w:rsidP="000565A4">
            <w:pPr>
              <w:rPr>
                <w:szCs w:val="24"/>
              </w:rPr>
            </w:pPr>
            <w:r>
              <w:rPr>
                <w:szCs w:val="24"/>
              </w:rPr>
              <w:t>Tariff F.C.C. No. 73</w:t>
            </w:r>
          </w:p>
          <w:p w:rsidR="009035F7" w:rsidRDefault="009035F7" w:rsidP="000565A4">
            <w:pPr>
              <w:rPr>
                <w:szCs w:val="24"/>
              </w:rPr>
            </w:pPr>
          </w:p>
          <w:p w:rsidR="009035F7" w:rsidRPr="009035F7" w:rsidRDefault="009035F7" w:rsidP="009035F7">
            <w:pPr>
              <w:widowControl/>
              <w:tabs>
                <w:tab w:val="center" w:pos="4680"/>
              </w:tabs>
              <w:suppressAutoHyphens/>
              <w:rPr>
                <w:rFonts w:eastAsiaTheme="minorHAnsi" w:cs="Calibri"/>
                <w:snapToGrid/>
                <w:spacing w:val="-2"/>
                <w:kern w:val="0"/>
                <w:szCs w:val="22"/>
              </w:rPr>
            </w:pPr>
            <w:r w:rsidRPr="009035F7">
              <w:rPr>
                <w:rFonts w:eastAsiaTheme="minorHAnsi" w:cs="Calibri"/>
                <w:snapToGrid/>
                <w:spacing w:val="-2"/>
                <w:kern w:val="0"/>
                <w:szCs w:val="22"/>
              </w:rPr>
              <w:t>Investigation of Certain Price Cap Local Exchange</w:t>
            </w:r>
          </w:p>
          <w:p w:rsidR="009035F7" w:rsidRPr="009035F7" w:rsidRDefault="009035F7" w:rsidP="009035F7">
            <w:pPr>
              <w:widowControl/>
              <w:tabs>
                <w:tab w:val="center" w:pos="4680"/>
              </w:tabs>
              <w:suppressAutoHyphens/>
              <w:rPr>
                <w:rFonts w:eastAsiaTheme="minorHAnsi" w:cs="Calibri"/>
                <w:snapToGrid/>
                <w:spacing w:val="-2"/>
                <w:kern w:val="0"/>
                <w:szCs w:val="22"/>
              </w:rPr>
            </w:pPr>
            <w:r w:rsidRPr="009035F7">
              <w:rPr>
                <w:rFonts w:eastAsiaTheme="minorHAnsi" w:cs="Calibri"/>
                <w:snapToGrid/>
                <w:spacing w:val="-2"/>
                <w:kern w:val="0"/>
                <w:szCs w:val="22"/>
              </w:rPr>
              <w:t>Carrier Business Data Services Tariff Pricing Plans</w:t>
            </w:r>
          </w:p>
          <w:p w:rsidR="000565A4" w:rsidRDefault="000565A4" w:rsidP="00DA0BDA">
            <w:pPr>
              <w:tabs>
                <w:tab w:val="center" w:pos="4680"/>
              </w:tabs>
              <w:suppressAutoHyphens/>
              <w:rPr>
                <w:spacing w:val="-2"/>
                <w:szCs w:val="22"/>
              </w:rPr>
            </w:pPr>
          </w:p>
        </w:tc>
        <w:tc>
          <w:tcPr>
            <w:tcW w:w="810" w:type="dxa"/>
          </w:tcPr>
          <w:p w:rsidR="000D4F64" w:rsidRDefault="000D4F64" w:rsidP="00DA0BDA">
            <w:pPr>
              <w:tabs>
                <w:tab w:val="center" w:pos="4680"/>
              </w:tabs>
              <w:suppressAutoHyphens/>
              <w:rPr>
                <w:b/>
                <w:spacing w:val="-2"/>
                <w:szCs w:val="22"/>
              </w:rPr>
            </w:pPr>
            <w:r>
              <w:rPr>
                <w:b/>
                <w:spacing w:val="-2"/>
                <w:szCs w:val="22"/>
              </w:rPr>
              <w:t>)</w:t>
            </w:r>
          </w:p>
          <w:p w:rsidR="000D4F64" w:rsidRDefault="000D4F64" w:rsidP="00DA0BDA">
            <w:pPr>
              <w:tabs>
                <w:tab w:val="center" w:pos="4680"/>
              </w:tabs>
              <w:suppressAutoHyphens/>
              <w:rPr>
                <w:b/>
                <w:spacing w:val="-2"/>
                <w:szCs w:val="22"/>
              </w:rPr>
            </w:pPr>
            <w:r>
              <w:rPr>
                <w:b/>
                <w:spacing w:val="-2"/>
                <w:szCs w:val="22"/>
              </w:rPr>
              <w:t>)</w:t>
            </w:r>
          </w:p>
          <w:p w:rsidR="000D4F64" w:rsidRDefault="000D4F64" w:rsidP="00DA0BDA">
            <w:pPr>
              <w:tabs>
                <w:tab w:val="center" w:pos="4680"/>
              </w:tabs>
              <w:suppressAutoHyphens/>
              <w:rPr>
                <w:b/>
                <w:spacing w:val="-2"/>
                <w:szCs w:val="22"/>
              </w:rPr>
            </w:pPr>
            <w:r>
              <w:rPr>
                <w:b/>
                <w:spacing w:val="-2"/>
                <w:szCs w:val="22"/>
              </w:rPr>
              <w:t>)</w:t>
            </w:r>
          </w:p>
          <w:p w:rsidR="000D4F64" w:rsidRDefault="000D4F64" w:rsidP="00DA0BDA">
            <w:pPr>
              <w:tabs>
                <w:tab w:val="center" w:pos="4680"/>
              </w:tabs>
              <w:suppressAutoHyphens/>
              <w:rPr>
                <w:b/>
                <w:spacing w:val="-2"/>
                <w:szCs w:val="22"/>
              </w:rPr>
            </w:pPr>
            <w:r>
              <w:rPr>
                <w:b/>
                <w:spacing w:val="-2"/>
                <w:szCs w:val="22"/>
              </w:rPr>
              <w:t>)</w:t>
            </w:r>
          </w:p>
          <w:p w:rsidR="000D4F64" w:rsidRDefault="000565A4" w:rsidP="00DA0BDA">
            <w:pPr>
              <w:tabs>
                <w:tab w:val="center" w:pos="4680"/>
              </w:tabs>
              <w:suppressAutoHyphens/>
              <w:rPr>
                <w:b/>
                <w:spacing w:val="-2"/>
                <w:szCs w:val="22"/>
              </w:rPr>
            </w:pPr>
            <w:r>
              <w:rPr>
                <w:b/>
                <w:spacing w:val="-2"/>
                <w:szCs w:val="22"/>
              </w:rPr>
              <w:t>)</w:t>
            </w:r>
          </w:p>
          <w:p w:rsidR="000565A4" w:rsidRDefault="000565A4" w:rsidP="00DA0BDA">
            <w:pPr>
              <w:tabs>
                <w:tab w:val="center" w:pos="4680"/>
              </w:tabs>
              <w:suppressAutoHyphens/>
              <w:rPr>
                <w:b/>
                <w:spacing w:val="-2"/>
                <w:szCs w:val="22"/>
              </w:rPr>
            </w:pPr>
            <w:r>
              <w:rPr>
                <w:b/>
                <w:spacing w:val="-2"/>
                <w:szCs w:val="22"/>
              </w:rPr>
              <w:t>)</w:t>
            </w:r>
          </w:p>
          <w:p w:rsidR="000565A4" w:rsidRDefault="000565A4" w:rsidP="00DA0BDA">
            <w:pPr>
              <w:tabs>
                <w:tab w:val="center" w:pos="4680"/>
              </w:tabs>
              <w:suppressAutoHyphens/>
              <w:rPr>
                <w:b/>
                <w:spacing w:val="-2"/>
                <w:szCs w:val="22"/>
              </w:rPr>
            </w:pPr>
            <w:r>
              <w:rPr>
                <w:b/>
                <w:spacing w:val="-2"/>
                <w:szCs w:val="22"/>
              </w:rPr>
              <w:t>)</w:t>
            </w:r>
          </w:p>
          <w:p w:rsidR="000565A4" w:rsidRDefault="000565A4" w:rsidP="00DA0BDA">
            <w:pPr>
              <w:tabs>
                <w:tab w:val="center" w:pos="4680"/>
              </w:tabs>
              <w:suppressAutoHyphens/>
              <w:rPr>
                <w:b/>
                <w:spacing w:val="-2"/>
                <w:szCs w:val="22"/>
              </w:rPr>
            </w:pPr>
            <w:r>
              <w:rPr>
                <w:b/>
                <w:spacing w:val="-2"/>
                <w:szCs w:val="22"/>
              </w:rPr>
              <w:t>)</w:t>
            </w:r>
          </w:p>
          <w:p w:rsidR="000565A4" w:rsidRDefault="000565A4" w:rsidP="00DA0BDA">
            <w:pPr>
              <w:tabs>
                <w:tab w:val="center" w:pos="4680"/>
              </w:tabs>
              <w:suppressAutoHyphens/>
              <w:rPr>
                <w:b/>
                <w:spacing w:val="-2"/>
                <w:szCs w:val="22"/>
              </w:rPr>
            </w:pPr>
            <w:r>
              <w:rPr>
                <w:b/>
                <w:spacing w:val="-2"/>
                <w:szCs w:val="22"/>
              </w:rPr>
              <w:t>)</w:t>
            </w:r>
          </w:p>
          <w:p w:rsidR="009035F7" w:rsidRDefault="009035F7" w:rsidP="00DA0BDA">
            <w:pPr>
              <w:tabs>
                <w:tab w:val="center" w:pos="4680"/>
              </w:tabs>
              <w:suppressAutoHyphens/>
              <w:rPr>
                <w:b/>
                <w:spacing w:val="-2"/>
                <w:szCs w:val="22"/>
              </w:rPr>
            </w:pPr>
            <w:r>
              <w:rPr>
                <w:b/>
                <w:spacing w:val="-2"/>
                <w:szCs w:val="22"/>
              </w:rPr>
              <w:t>)</w:t>
            </w:r>
          </w:p>
        </w:tc>
        <w:tc>
          <w:tcPr>
            <w:tcW w:w="5850" w:type="dxa"/>
          </w:tcPr>
          <w:p w:rsidR="000D4F64" w:rsidRDefault="000D4F64" w:rsidP="00DA0BDA">
            <w:pPr>
              <w:tabs>
                <w:tab w:val="center" w:pos="4680"/>
              </w:tabs>
              <w:suppressAutoHyphens/>
              <w:ind w:left="-108"/>
              <w:rPr>
                <w:spacing w:val="-2"/>
                <w:szCs w:val="22"/>
              </w:rPr>
            </w:pPr>
          </w:p>
          <w:p w:rsidR="000565A4" w:rsidRDefault="000565A4" w:rsidP="00DA0BDA">
            <w:pPr>
              <w:tabs>
                <w:tab w:val="center" w:pos="4680"/>
              </w:tabs>
              <w:suppressAutoHyphens/>
              <w:ind w:left="-108"/>
              <w:rPr>
                <w:spacing w:val="-2"/>
                <w:szCs w:val="22"/>
              </w:rPr>
            </w:pPr>
          </w:p>
          <w:p w:rsidR="000D4F64" w:rsidRDefault="000565A4" w:rsidP="00DA0BDA">
            <w:pPr>
              <w:tabs>
                <w:tab w:val="center" w:pos="4680"/>
              </w:tabs>
              <w:suppressAutoHyphens/>
              <w:ind w:left="-108"/>
              <w:rPr>
                <w:spacing w:val="-2"/>
                <w:szCs w:val="22"/>
              </w:rPr>
            </w:pPr>
            <w:r>
              <w:rPr>
                <w:spacing w:val="-2"/>
                <w:szCs w:val="22"/>
              </w:rPr>
              <w:t>Transmittal No. 539</w:t>
            </w:r>
          </w:p>
          <w:p w:rsidR="000565A4" w:rsidRDefault="000565A4" w:rsidP="00DA0BDA">
            <w:pPr>
              <w:tabs>
                <w:tab w:val="center" w:pos="4680"/>
              </w:tabs>
              <w:suppressAutoHyphens/>
              <w:ind w:left="-108"/>
              <w:rPr>
                <w:spacing w:val="-2"/>
                <w:szCs w:val="22"/>
              </w:rPr>
            </w:pPr>
          </w:p>
          <w:p w:rsidR="000565A4" w:rsidRDefault="000565A4" w:rsidP="00DA0BDA">
            <w:pPr>
              <w:tabs>
                <w:tab w:val="center" w:pos="4680"/>
              </w:tabs>
              <w:suppressAutoHyphens/>
              <w:ind w:left="-108"/>
              <w:rPr>
                <w:spacing w:val="-2"/>
                <w:szCs w:val="22"/>
              </w:rPr>
            </w:pPr>
          </w:p>
          <w:p w:rsidR="000565A4" w:rsidRDefault="000565A4" w:rsidP="00DA0BDA">
            <w:pPr>
              <w:tabs>
                <w:tab w:val="center" w:pos="4680"/>
              </w:tabs>
              <w:suppressAutoHyphens/>
              <w:ind w:left="-108"/>
              <w:rPr>
                <w:spacing w:val="-2"/>
                <w:szCs w:val="22"/>
              </w:rPr>
            </w:pPr>
            <w:r>
              <w:rPr>
                <w:spacing w:val="-2"/>
                <w:szCs w:val="22"/>
              </w:rPr>
              <w:t>Transmittal No. 3428</w:t>
            </w:r>
          </w:p>
          <w:p w:rsidR="009035F7" w:rsidRDefault="009035F7" w:rsidP="00DA0BDA">
            <w:pPr>
              <w:tabs>
                <w:tab w:val="center" w:pos="4680"/>
              </w:tabs>
              <w:suppressAutoHyphens/>
              <w:ind w:left="-108"/>
              <w:rPr>
                <w:spacing w:val="-2"/>
                <w:szCs w:val="22"/>
              </w:rPr>
            </w:pPr>
          </w:p>
          <w:p w:rsidR="009035F7" w:rsidRDefault="009035F7" w:rsidP="00DA0BDA">
            <w:pPr>
              <w:tabs>
                <w:tab w:val="center" w:pos="4680"/>
              </w:tabs>
              <w:suppressAutoHyphens/>
              <w:ind w:left="-108"/>
              <w:rPr>
                <w:spacing w:val="-2"/>
                <w:szCs w:val="22"/>
              </w:rPr>
            </w:pPr>
          </w:p>
          <w:p w:rsidR="009035F7" w:rsidRDefault="009035F7" w:rsidP="006B37B1">
            <w:pPr>
              <w:tabs>
                <w:tab w:val="center" w:pos="4680"/>
              </w:tabs>
              <w:suppressAutoHyphens/>
              <w:ind w:left="-108"/>
              <w:rPr>
                <w:spacing w:val="-2"/>
                <w:szCs w:val="22"/>
              </w:rPr>
            </w:pPr>
            <w:r>
              <w:rPr>
                <w:spacing w:val="-2"/>
                <w:szCs w:val="22"/>
              </w:rPr>
              <w:t>WC Docket No. 1</w:t>
            </w:r>
            <w:r w:rsidR="006B37B1">
              <w:rPr>
                <w:spacing w:val="-2"/>
                <w:szCs w:val="22"/>
              </w:rPr>
              <w:t>5</w:t>
            </w:r>
            <w:r>
              <w:rPr>
                <w:spacing w:val="-2"/>
                <w:szCs w:val="22"/>
              </w:rPr>
              <w:t>-247</w:t>
            </w:r>
          </w:p>
        </w:tc>
        <w:tc>
          <w:tcPr>
            <w:tcW w:w="4698" w:type="dxa"/>
          </w:tcPr>
          <w:p w:rsidR="000D4F64" w:rsidRPr="001106B2" w:rsidRDefault="000D4F64" w:rsidP="00DA0BDA">
            <w:pPr>
              <w:snapToGrid w:val="0"/>
            </w:pPr>
          </w:p>
        </w:tc>
        <w:tc>
          <w:tcPr>
            <w:tcW w:w="4698" w:type="dxa"/>
          </w:tcPr>
          <w:p w:rsidR="000D4F64" w:rsidRPr="001106B2" w:rsidRDefault="000D4F64" w:rsidP="00DA0BDA">
            <w:pPr>
              <w:rPr>
                <w:b/>
              </w:rPr>
            </w:pPr>
          </w:p>
        </w:tc>
      </w:tr>
    </w:tbl>
    <w:p w:rsidR="00F845EF" w:rsidRPr="00A81848" w:rsidRDefault="00F845EF" w:rsidP="000E08A6">
      <w:pPr>
        <w:spacing w:before="120"/>
        <w:jc w:val="center"/>
        <w:rPr>
          <w:b/>
          <w:szCs w:val="24"/>
        </w:rPr>
      </w:pPr>
      <w:r w:rsidRPr="00A81848">
        <w:rPr>
          <w:b/>
          <w:spacing w:val="-2"/>
          <w:szCs w:val="24"/>
        </w:rPr>
        <w:t>ORDER</w:t>
      </w:r>
    </w:p>
    <w:p w:rsidR="00A81848" w:rsidRDefault="00A81848" w:rsidP="00C4032E">
      <w:pPr>
        <w:tabs>
          <w:tab w:val="left" w:pos="5760"/>
        </w:tabs>
        <w:rPr>
          <w:szCs w:val="24"/>
        </w:rPr>
      </w:pPr>
    </w:p>
    <w:p w:rsidR="00F845EF" w:rsidRPr="00A81848" w:rsidRDefault="00F845EF" w:rsidP="002D3727">
      <w:pPr>
        <w:tabs>
          <w:tab w:val="left" w:pos="5760"/>
        </w:tabs>
        <w:rPr>
          <w:b/>
          <w:szCs w:val="24"/>
        </w:rPr>
      </w:pPr>
      <w:r w:rsidRPr="00A81848">
        <w:rPr>
          <w:b/>
          <w:szCs w:val="24"/>
        </w:rPr>
        <w:t xml:space="preserve">Adopted:  </w:t>
      </w:r>
      <w:r w:rsidR="000D4F64">
        <w:rPr>
          <w:b/>
          <w:szCs w:val="24"/>
        </w:rPr>
        <w:t>July 15, 2016</w:t>
      </w:r>
      <w:r w:rsidRPr="00A81848">
        <w:rPr>
          <w:b/>
          <w:szCs w:val="24"/>
        </w:rPr>
        <w:tab/>
      </w:r>
      <w:r w:rsidR="00A81848">
        <w:rPr>
          <w:b/>
          <w:szCs w:val="24"/>
        </w:rPr>
        <w:tab/>
      </w:r>
      <w:r w:rsidRPr="00A81848">
        <w:rPr>
          <w:b/>
          <w:szCs w:val="24"/>
        </w:rPr>
        <w:t xml:space="preserve">Released:  </w:t>
      </w:r>
      <w:r w:rsidR="000D4F64">
        <w:rPr>
          <w:b/>
          <w:szCs w:val="24"/>
        </w:rPr>
        <w:t>July 15, 2016</w:t>
      </w:r>
    </w:p>
    <w:p w:rsidR="00F845EF" w:rsidRPr="00A81848" w:rsidRDefault="00F845EF">
      <w:pPr>
        <w:tabs>
          <w:tab w:val="left" w:pos="5760"/>
        </w:tabs>
        <w:rPr>
          <w:b/>
          <w:szCs w:val="24"/>
        </w:rPr>
      </w:pPr>
    </w:p>
    <w:p w:rsidR="00F845EF" w:rsidRPr="00A81848" w:rsidRDefault="00F845EF">
      <w:pPr>
        <w:tabs>
          <w:tab w:val="left" w:pos="5760"/>
        </w:tabs>
        <w:rPr>
          <w:spacing w:val="-2"/>
          <w:szCs w:val="24"/>
        </w:rPr>
      </w:pPr>
      <w:r w:rsidRPr="00A81848">
        <w:rPr>
          <w:szCs w:val="24"/>
        </w:rPr>
        <w:t xml:space="preserve">By the </w:t>
      </w:r>
      <w:r w:rsidRPr="00A81848">
        <w:rPr>
          <w:spacing w:val="-2"/>
          <w:szCs w:val="24"/>
        </w:rPr>
        <w:t xml:space="preserve">Chief, </w:t>
      </w:r>
      <w:r w:rsidR="0057039C">
        <w:rPr>
          <w:spacing w:val="-2"/>
          <w:szCs w:val="24"/>
        </w:rPr>
        <w:t>Wireline Competition Bureau</w:t>
      </w:r>
      <w:r w:rsidRPr="00A81848">
        <w:rPr>
          <w:spacing w:val="-2"/>
          <w:szCs w:val="24"/>
        </w:rPr>
        <w:t>:</w:t>
      </w:r>
    </w:p>
    <w:p w:rsidR="00F845EF" w:rsidRPr="00A81848" w:rsidRDefault="00F845EF">
      <w:pPr>
        <w:tabs>
          <w:tab w:val="left" w:pos="5760"/>
        </w:tabs>
        <w:rPr>
          <w:spacing w:val="-2"/>
          <w:szCs w:val="24"/>
        </w:rPr>
      </w:pPr>
    </w:p>
    <w:p w:rsidR="00F845EF" w:rsidRPr="00A81848" w:rsidRDefault="00F845EF" w:rsidP="00E8142F">
      <w:pPr>
        <w:pStyle w:val="Heading1"/>
        <w:rPr>
          <w:szCs w:val="24"/>
        </w:rPr>
      </w:pPr>
      <w:r w:rsidRPr="00A81848">
        <w:rPr>
          <w:szCs w:val="24"/>
        </w:rPr>
        <w:t>INTRODUCTION</w:t>
      </w:r>
    </w:p>
    <w:p w:rsidR="00244D48" w:rsidRPr="00CE6374" w:rsidRDefault="00CB24B0" w:rsidP="00C4032E">
      <w:pPr>
        <w:pStyle w:val="ParaNum"/>
        <w:rPr>
          <w:szCs w:val="22"/>
        </w:rPr>
      </w:pPr>
      <w:r w:rsidRPr="006446D7">
        <w:rPr>
          <w:szCs w:val="22"/>
        </w:rPr>
        <w:t xml:space="preserve">On </w:t>
      </w:r>
      <w:r w:rsidR="009D2F93">
        <w:rPr>
          <w:szCs w:val="22"/>
        </w:rPr>
        <w:t>July 1, 2016</w:t>
      </w:r>
      <w:r w:rsidR="00CC190D" w:rsidRPr="006446D7">
        <w:rPr>
          <w:szCs w:val="22"/>
        </w:rPr>
        <w:t xml:space="preserve">, </w:t>
      </w:r>
      <w:r w:rsidR="00BD3854">
        <w:rPr>
          <w:szCs w:val="22"/>
        </w:rPr>
        <w:t xml:space="preserve">Pacific Bell Telephone Company (PBTC), and Southwestern Bell Telephone Company (SWBT) (collectively AT&amp;T) filed </w:t>
      </w:r>
      <w:r w:rsidR="00676FF5">
        <w:rPr>
          <w:szCs w:val="22"/>
        </w:rPr>
        <w:t>Transmittal Nos. 1847, 539, and 3428</w:t>
      </w:r>
      <w:r w:rsidR="00450EBC" w:rsidRPr="006446D7">
        <w:rPr>
          <w:szCs w:val="22"/>
        </w:rPr>
        <w:t xml:space="preserve">, </w:t>
      </w:r>
      <w:r w:rsidR="00BD3854">
        <w:rPr>
          <w:szCs w:val="22"/>
        </w:rPr>
        <w:t xml:space="preserve">respectively, </w:t>
      </w:r>
      <w:r w:rsidR="007D2A0F">
        <w:rPr>
          <w:szCs w:val="22"/>
        </w:rPr>
        <w:t>propos</w:t>
      </w:r>
      <w:r w:rsidR="00676FF5">
        <w:rPr>
          <w:szCs w:val="22"/>
        </w:rPr>
        <w:t>ing</w:t>
      </w:r>
      <w:r w:rsidR="00450EBC" w:rsidRPr="006446D7">
        <w:rPr>
          <w:szCs w:val="22"/>
        </w:rPr>
        <w:t xml:space="preserve"> tariff</w:t>
      </w:r>
      <w:r w:rsidR="005A211E">
        <w:rPr>
          <w:szCs w:val="22"/>
        </w:rPr>
        <w:t xml:space="preserve"> </w:t>
      </w:r>
      <w:r w:rsidR="00676FF5">
        <w:rPr>
          <w:szCs w:val="22"/>
        </w:rPr>
        <w:t>revisions to PBTC’s interstate access Tariff F.C.C. No. 1, and SWBT’s interstate access Tariff F.C.C. No. 73</w:t>
      </w:r>
      <w:r w:rsidR="007D23A3">
        <w:rPr>
          <w:szCs w:val="22"/>
        </w:rPr>
        <w:t>,</w:t>
      </w:r>
      <w:r w:rsidR="005A211E">
        <w:rPr>
          <w:szCs w:val="22"/>
        </w:rPr>
        <w:t xml:space="preserve"> </w:t>
      </w:r>
      <w:r w:rsidR="00546902">
        <w:rPr>
          <w:szCs w:val="22"/>
        </w:rPr>
        <w:t xml:space="preserve">which they assert are </w:t>
      </w:r>
      <w:r w:rsidR="006446D7" w:rsidRPr="006446D7">
        <w:rPr>
          <w:szCs w:val="22"/>
        </w:rPr>
        <w:t>“</w:t>
      </w:r>
      <w:r w:rsidR="005A211E">
        <w:rPr>
          <w:szCs w:val="22"/>
        </w:rPr>
        <w:t>in compliance with the Commission’s rules, F.C.C. Order No. FCC 16-54 (the Order) and the requirements of the Communications Act of 1934, as amended.</w:t>
      </w:r>
      <w:r w:rsidR="006446D7">
        <w:rPr>
          <w:szCs w:val="22"/>
        </w:rPr>
        <w:t>”</w:t>
      </w:r>
      <w:r w:rsidR="006446D7">
        <w:rPr>
          <w:rStyle w:val="FootnoteReference"/>
          <w:szCs w:val="22"/>
        </w:rPr>
        <w:footnoteReference w:id="2"/>
      </w:r>
      <w:r w:rsidR="00450EBC" w:rsidRPr="006446D7">
        <w:rPr>
          <w:szCs w:val="22"/>
        </w:rPr>
        <w:t xml:space="preserve"> </w:t>
      </w:r>
      <w:r w:rsidR="0079699B">
        <w:rPr>
          <w:szCs w:val="22"/>
        </w:rPr>
        <w:t xml:space="preserve"> The proposed transmittals</w:t>
      </w:r>
      <w:r w:rsidR="009D2F93">
        <w:rPr>
          <w:szCs w:val="22"/>
        </w:rPr>
        <w:t xml:space="preserve"> are</w:t>
      </w:r>
      <w:r w:rsidR="009873B1">
        <w:rPr>
          <w:szCs w:val="22"/>
        </w:rPr>
        <w:t xml:space="preserve"> scheduled to becom</w:t>
      </w:r>
      <w:r w:rsidR="009D2F93">
        <w:rPr>
          <w:szCs w:val="22"/>
        </w:rPr>
        <w:t>e effective on July 16, 2016</w:t>
      </w:r>
      <w:r w:rsidR="009873B1">
        <w:rPr>
          <w:szCs w:val="22"/>
        </w:rPr>
        <w:t>.</w:t>
      </w:r>
      <w:r w:rsidR="00EA126B">
        <w:rPr>
          <w:rStyle w:val="FootnoteReference"/>
          <w:szCs w:val="22"/>
        </w:rPr>
        <w:footnoteReference w:id="3"/>
      </w:r>
      <w:r w:rsidR="00D915B6">
        <w:rPr>
          <w:szCs w:val="22"/>
        </w:rPr>
        <w:t xml:space="preserve">  Because </w:t>
      </w:r>
      <w:r w:rsidR="00DD5C6C">
        <w:rPr>
          <w:szCs w:val="22"/>
        </w:rPr>
        <w:t xml:space="preserve">we conclude that </w:t>
      </w:r>
      <w:r w:rsidR="007902E3">
        <w:rPr>
          <w:szCs w:val="22"/>
        </w:rPr>
        <w:t xml:space="preserve">substantial questions of lawfulness exist regarding how AT&amp;T revised the shortfall and early termination penalties contained in the PBTC and SWBT proposed tariff revisions, we suspend </w:t>
      </w:r>
      <w:r w:rsidR="00824171">
        <w:rPr>
          <w:szCs w:val="22"/>
        </w:rPr>
        <w:t>those</w:t>
      </w:r>
      <w:r w:rsidR="00E55FAF">
        <w:rPr>
          <w:szCs w:val="22"/>
        </w:rPr>
        <w:t xml:space="preserve"> </w:t>
      </w:r>
      <w:r w:rsidR="00824171">
        <w:rPr>
          <w:szCs w:val="22"/>
        </w:rPr>
        <w:t xml:space="preserve">provisions </w:t>
      </w:r>
      <w:r w:rsidR="007902E3">
        <w:rPr>
          <w:szCs w:val="22"/>
        </w:rPr>
        <w:t xml:space="preserve">for one day and set for investigation the question of whether AT&amp;T complied with the </w:t>
      </w:r>
      <w:r w:rsidR="0057039C">
        <w:rPr>
          <w:i/>
          <w:szCs w:val="22"/>
        </w:rPr>
        <w:t>Tariff Investigation Order</w:t>
      </w:r>
      <w:r w:rsidR="00FE750F">
        <w:rPr>
          <w:szCs w:val="22"/>
        </w:rPr>
        <w:t>,</w:t>
      </w:r>
      <w:r w:rsidR="00965A3C">
        <w:rPr>
          <w:rStyle w:val="FootnoteReference"/>
          <w:szCs w:val="22"/>
        </w:rPr>
        <w:footnoteReference w:id="4"/>
      </w:r>
      <w:r w:rsidR="00FE750F">
        <w:rPr>
          <w:szCs w:val="22"/>
        </w:rPr>
        <w:t xml:space="preserve"> </w:t>
      </w:r>
      <w:r w:rsidR="007902E3">
        <w:rPr>
          <w:szCs w:val="22"/>
        </w:rPr>
        <w:t>in revising its shortfall and early termination penalties.</w:t>
      </w:r>
      <w:r w:rsidR="007D7783">
        <w:rPr>
          <w:rStyle w:val="FootnoteReference"/>
          <w:szCs w:val="22"/>
        </w:rPr>
        <w:footnoteReference w:id="5"/>
      </w:r>
    </w:p>
    <w:p w:rsidR="00F650AA" w:rsidRDefault="00F650AA" w:rsidP="008116D4">
      <w:pPr>
        <w:pStyle w:val="ParaNum"/>
        <w:keepNext/>
        <w:numPr>
          <w:ilvl w:val="0"/>
          <w:numId w:val="0"/>
        </w:numPr>
        <w:rPr>
          <w:b/>
        </w:rPr>
      </w:pPr>
      <w:r w:rsidRPr="001161FE">
        <w:rPr>
          <w:rFonts w:ascii="Times New Roman Bold" w:hAnsi="Times New Roman Bold"/>
          <w:b/>
          <w:caps/>
          <w:szCs w:val="24"/>
        </w:rPr>
        <w:lastRenderedPageBreak/>
        <w:t>II</w:t>
      </w:r>
      <w:r w:rsidRPr="00F650AA">
        <w:rPr>
          <w:b/>
        </w:rPr>
        <w:t>.          BACKGROUND</w:t>
      </w:r>
    </w:p>
    <w:p w:rsidR="00F15E4D" w:rsidRDefault="00F15E4D" w:rsidP="008116D4">
      <w:pPr>
        <w:pStyle w:val="ParaNum"/>
        <w:keepNext/>
        <w:widowControl/>
      </w:pPr>
      <w:r>
        <w:t xml:space="preserve">In the </w:t>
      </w:r>
      <w:r>
        <w:rPr>
          <w:i/>
        </w:rPr>
        <w:t>Tariff Investigation Order</w:t>
      </w:r>
      <w:r>
        <w:t xml:space="preserve">, the Commission concluded that various incumbent LEC pricing plans were unjust and unreasonable and directed the incumbent LECs at issue, including AT&amp;T, to submit a number of tariff revisions modifying or removing language from those plans.  </w:t>
      </w:r>
      <w:r w:rsidR="007902E3">
        <w:t>Among the modifications required, t</w:t>
      </w:r>
      <w:r w:rsidR="0064506F">
        <w:t xml:space="preserve">he Commission ordered AT&amp;T to remove the shortfall and early termination provisions from the SWBT DS1 </w:t>
      </w:r>
      <w:r w:rsidR="002161F9">
        <w:t>High Capacity Service Portability Commitment</w:t>
      </w:r>
      <w:r w:rsidR="0064506F">
        <w:t xml:space="preserve"> and </w:t>
      </w:r>
      <w:r w:rsidR="002161F9">
        <w:t xml:space="preserve">the </w:t>
      </w:r>
      <w:r w:rsidR="0064506F">
        <w:t xml:space="preserve">PBTC DS1 </w:t>
      </w:r>
      <w:r w:rsidR="002161F9">
        <w:t>High Capacity Service Portability Commitment</w:t>
      </w:r>
      <w:r w:rsidR="0064506F">
        <w:t xml:space="preserve">, but noted that it may elect to file tariff revisions that </w:t>
      </w:r>
      <w:r w:rsidR="00EC617D">
        <w:t>set shortfall and early termination penalties at an amount that is</w:t>
      </w:r>
      <w:r w:rsidR="0064506F">
        <w:t xml:space="preserve"> no greater than the amount of revenue that a customer would have paid had it met its minimum volume or term commitments.</w:t>
      </w:r>
      <w:r w:rsidR="0064506F">
        <w:rPr>
          <w:rStyle w:val="FootnoteReference"/>
        </w:rPr>
        <w:footnoteReference w:id="6"/>
      </w:r>
      <w:r w:rsidR="001161FE">
        <w:t xml:space="preserve"> </w:t>
      </w:r>
      <w:r w:rsidR="006D49C8">
        <w:t xml:space="preserve"> </w:t>
      </w:r>
      <w:r>
        <w:t>The Commission provided sixty (60) days for impacted incumbent LECs to file the tariff revisions, which required the revisions to be filed by July 1, 2016.</w:t>
      </w:r>
      <w:r>
        <w:rPr>
          <w:rStyle w:val="FootnoteReference"/>
        </w:rPr>
        <w:footnoteReference w:id="7"/>
      </w:r>
    </w:p>
    <w:p w:rsidR="0064506F" w:rsidRPr="00E34647" w:rsidRDefault="009035F7" w:rsidP="0064506F">
      <w:pPr>
        <w:pStyle w:val="ParaNum"/>
      </w:pPr>
      <w:r>
        <w:t>AT&amp;T filed</w:t>
      </w:r>
      <w:r w:rsidR="00305222">
        <w:t xml:space="preserve"> </w:t>
      </w:r>
      <w:r>
        <w:t xml:space="preserve">the </w:t>
      </w:r>
      <w:r w:rsidR="00305222">
        <w:t xml:space="preserve">above-referenced </w:t>
      </w:r>
      <w:r w:rsidR="000B37FB">
        <w:t xml:space="preserve">proposed </w:t>
      </w:r>
      <w:r>
        <w:t xml:space="preserve">transmittals </w:t>
      </w:r>
      <w:r w:rsidR="00305222">
        <w:t xml:space="preserve">on </w:t>
      </w:r>
      <w:r>
        <w:t xml:space="preserve">July 1, 2016, </w:t>
      </w:r>
      <w:r w:rsidR="00305222">
        <w:t>to becom</w:t>
      </w:r>
      <w:r>
        <w:t>e effective on July 16, 2016</w:t>
      </w:r>
      <w:r w:rsidR="00305222">
        <w:t>.</w:t>
      </w:r>
      <w:r w:rsidR="00305222" w:rsidRPr="005545CF">
        <w:rPr>
          <w:vertAlign w:val="superscript"/>
        </w:rPr>
        <w:footnoteReference w:id="8"/>
      </w:r>
      <w:r w:rsidR="00650E7A">
        <w:t xml:space="preserve">  To address the </w:t>
      </w:r>
      <w:r w:rsidR="00650E7A" w:rsidRPr="00824171">
        <w:rPr>
          <w:i/>
        </w:rPr>
        <w:t>Tariff Investigation Order</w:t>
      </w:r>
      <w:r w:rsidR="00650E7A">
        <w:t>’s direction on shortfall and early termination penalties, AT&amp;T reduced the fixed per circuit short</w:t>
      </w:r>
      <w:r w:rsidR="00824171">
        <w:t>fall</w:t>
      </w:r>
      <w:r w:rsidR="006A4055">
        <w:t xml:space="preserve"> and early termination liability to the current 2-year Zone 1 Channel Termination rate for the DS1 Term Payment Plan, which is $126 for PBTC and $195.00 for SWBT.</w:t>
      </w:r>
      <w:r w:rsidR="00824171">
        <w:rPr>
          <w:rStyle w:val="FootnoteReference"/>
        </w:rPr>
        <w:footnoteReference w:id="9"/>
      </w:r>
      <w:r w:rsidR="006A4055">
        <w:t xml:space="preserve">  </w:t>
      </w:r>
      <w:r w:rsidR="00305222">
        <w:t xml:space="preserve">On </w:t>
      </w:r>
      <w:r>
        <w:t>July 8, 2016</w:t>
      </w:r>
      <w:r w:rsidR="00305222">
        <w:t xml:space="preserve">, </w:t>
      </w:r>
      <w:r w:rsidR="00A229A8">
        <w:t>three</w:t>
      </w:r>
      <w:r w:rsidR="007B6199">
        <w:t xml:space="preserve"> separate</w:t>
      </w:r>
      <w:r w:rsidR="00A229A8">
        <w:t xml:space="preserve"> petitions were filed</w:t>
      </w:r>
      <w:r w:rsidR="007B6199">
        <w:t xml:space="preserve"> by the following parties</w:t>
      </w:r>
      <w:r w:rsidR="00A229A8">
        <w:t>, all</w:t>
      </w:r>
      <w:r w:rsidR="006D6CFB">
        <w:t xml:space="preserve"> similarly</w:t>
      </w:r>
      <w:r w:rsidR="00A229A8">
        <w:t xml:space="preserve"> asking the Commission to reject, or alternatively suspend</w:t>
      </w:r>
      <w:r w:rsidR="003A36A0">
        <w:t xml:space="preserve"> and investigate</w:t>
      </w:r>
      <w:r w:rsidR="00A229A8">
        <w:t xml:space="preserve">, the </w:t>
      </w:r>
      <w:r w:rsidR="003A36A0">
        <w:t xml:space="preserve">proposed </w:t>
      </w:r>
      <w:r w:rsidR="00A229A8">
        <w:t>AT&amp;T transmittal</w:t>
      </w:r>
      <w:r w:rsidR="003A36A0">
        <w:t>s</w:t>
      </w:r>
      <w:r w:rsidR="00A229A8">
        <w:t xml:space="preserve">:  </w:t>
      </w:r>
      <w:r w:rsidR="007B6199">
        <w:t xml:space="preserve">Windstream Services, LLC; Birch </w:t>
      </w:r>
      <w:r w:rsidR="00305222">
        <w:t>Communications</w:t>
      </w:r>
      <w:r w:rsidR="007B6199">
        <w:t xml:space="preserve">, Inc., EarthLink, Inc., INCOMPAS, Level 3 Communications, LLC, Sprint Corporation, and Windstream Services, LLC </w:t>
      </w:r>
      <w:r w:rsidR="00305222">
        <w:t>(</w:t>
      </w:r>
      <w:r w:rsidR="00A229A8">
        <w:t>collectively “</w:t>
      </w:r>
      <w:r w:rsidR="00FB1385">
        <w:t>Birch</w:t>
      </w:r>
      <w:r w:rsidR="00A229A8">
        <w:t>”)</w:t>
      </w:r>
      <w:r w:rsidR="007B6199">
        <w:t>; and U.S. TelePacific Corp. d/b/a TelePacific Communications and Alpheus Communications, LLC (“Tele</w:t>
      </w:r>
      <w:r w:rsidR="00AB3EC7">
        <w:t>P</w:t>
      </w:r>
      <w:r w:rsidR="007B6199">
        <w:t>acific/Alpheus”).</w:t>
      </w:r>
      <w:r w:rsidR="00305222">
        <w:rPr>
          <w:rStyle w:val="FootnoteReference"/>
        </w:rPr>
        <w:footnoteReference w:id="10"/>
      </w:r>
      <w:r w:rsidR="00D21735">
        <w:t xml:space="preserve">  </w:t>
      </w:r>
    </w:p>
    <w:p w:rsidR="00AE2EDE" w:rsidRPr="001D338C" w:rsidRDefault="00832F88" w:rsidP="00E21789">
      <w:pPr>
        <w:pStyle w:val="ParaNum"/>
      </w:pPr>
      <w:r>
        <w:t xml:space="preserve">The tariff </w:t>
      </w:r>
      <w:r w:rsidR="001D4D18">
        <w:t xml:space="preserve">language </w:t>
      </w:r>
      <w:r>
        <w:t>at issue is contained in PBTC Transmittal No. 539 proposed Sections 7.4.18(E)</w:t>
      </w:r>
      <w:r w:rsidR="00E55FAF">
        <w:t>(4)</w:t>
      </w:r>
      <w:r>
        <w:t>,</w:t>
      </w:r>
      <w:r w:rsidR="00D45CBB">
        <w:rPr>
          <w:rStyle w:val="FootnoteReference"/>
        </w:rPr>
        <w:footnoteReference w:id="11"/>
      </w:r>
      <w:r>
        <w:t xml:space="preserve"> and SWBT Transmittal No. 3428 </w:t>
      </w:r>
      <w:r w:rsidR="00D45CBB">
        <w:t>proposed Section</w:t>
      </w:r>
      <w:r>
        <w:t xml:space="preserve"> 7.2.22(E)</w:t>
      </w:r>
      <w:r w:rsidR="00E55FAF">
        <w:t>(4)</w:t>
      </w:r>
      <w:r w:rsidR="00D45CBB">
        <w:t>.</w:t>
      </w:r>
      <w:r w:rsidR="00D45CBB">
        <w:rPr>
          <w:rStyle w:val="FootnoteReference"/>
        </w:rPr>
        <w:footnoteReference w:id="12"/>
      </w:r>
    </w:p>
    <w:p w:rsidR="00F845EF" w:rsidRDefault="00F650AA">
      <w:pPr>
        <w:pStyle w:val="Heading1"/>
        <w:numPr>
          <w:ilvl w:val="0"/>
          <w:numId w:val="0"/>
        </w:numPr>
        <w:rPr>
          <w:szCs w:val="24"/>
        </w:rPr>
      </w:pPr>
      <w:r>
        <w:rPr>
          <w:szCs w:val="24"/>
        </w:rPr>
        <w:t>III.</w:t>
      </w:r>
      <w:r>
        <w:rPr>
          <w:szCs w:val="24"/>
        </w:rPr>
        <w:tab/>
      </w:r>
      <w:r w:rsidR="00CA7969">
        <w:rPr>
          <w:szCs w:val="24"/>
        </w:rPr>
        <w:t>discussion</w:t>
      </w:r>
    </w:p>
    <w:p w:rsidR="00271795" w:rsidRDefault="00E56B19" w:rsidP="001161FE">
      <w:pPr>
        <w:pStyle w:val="ParaNum"/>
      </w:pPr>
      <w:r>
        <w:t>We find that there are substantial questions regarding the lawfulness of AT&amp;T’s tariff revisions that require further investigation.  The petitions collectively cite a number of concerns about the methodology AT&amp;T utilized i</w:t>
      </w:r>
      <w:r w:rsidR="00824171">
        <w:t>n</w:t>
      </w:r>
      <w:r>
        <w:t xml:space="preserve"> calculati</w:t>
      </w:r>
      <w:r w:rsidR="00824171">
        <w:t>ng</w:t>
      </w:r>
      <w:r>
        <w:t xml:space="preserve"> the revised shortfall and early termination penalties and raise questions about whether the revisions comply with the </w:t>
      </w:r>
      <w:r w:rsidRPr="00E56B19">
        <w:rPr>
          <w:i/>
        </w:rPr>
        <w:t>Tariff Investigation Order</w:t>
      </w:r>
      <w:r>
        <w:t xml:space="preserve">.  For example, Birch argues that AT&amp;T’s methodology “would require that customers pay penalties that in many cases—and possibly all cases—would exceed expectation damages in violation of the </w:t>
      </w:r>
      <w:r w:rsidRPr="00E56B19">
        <w:rPr>
          <w:i/>
        </w:rPr>
        <w:t>Tariff Investigation Order</w:t>
      </w:r>
      <w:r>
        <w:t>.</w:t>
      </w:r>
      <w:r w:rsidR="00FE04E5">
        <w:t>”</w:t>
      </w:r>
      <w:r w:rsidR="00824171">
        <w:rPr>
          <w:rStyle w:val="FootnoteReference"/>
        </w:rPr>
        <w:footnoteReference w:id="13"/>
      </w:r>
      <w:r>
        <w:t xml:space="preserve">  Birch explains that because most or perhaps all customers purchase circuits for terms longer than three years, “all such customers that fall short of their volume commitments and/or disconnect circuits before the end of a term would be liable for shortfall and early termination penalties that exceed expectation </w:t>
      </w:r>
      <w:r>
        <w:lastRenderedPageBreak/>
        <w:t>damages.</w:t>
      </w:r>
      <w:r w:rsidR="00824171">
        <w:t>”</w:t>
      </w:r>
      <w:r w:rsidR="00971234">
        <w:rPr>
          <w:rStyle w:val="FootnoteReference"/>
        </w:rPr>
        <w:footnoteReference w:id="14"/>
      </w:r>
      <w:r>
        <w:t xml:space="preserve">  Similarly, TelePacific/Alpheus argues that the rates AT&amp;T chose were arbitrary and are significantly higher than other rates.</w:t>
      </w:r>
      <w:r w:rsidR="00971234">
        <w:rPr>
          <w:rStyle w:val="FootnoteReference"/>
        </w:rPr>
        <w:footnoteReference w:id="15"/>
      </w:r>
      <w:r>
        <w:t xml:space="preserve">  In response, AT&amp;T argues that the amount it chose was reasonable because the rates chosen are well below what AT&amp;T would actually expect to receive for an average circuit.</w:t>
      </w:r>
      <w:r w:rsidR="00971234">
        <w:rPr>
          <w:rStyle w:val="FootnoteReference"/>
        </w:rPr>
        <w:footnoteReference w:id="16"/>
      </w:r>
      <w:r>
        <w:t xml:space="preserve">    </w:t>
      </w:r>
    </w:p>
    <w:p w:rsidR="00E56B19" w:rsidRDefault="00E56B19" w:rsidP="00E56B19">
      <w:pPr>
        <w:pStyle w:val="ParaNum"/>
      </w:pPr>
      <w:r>
        <w:t xml:space="preserve">In light of the arguments and evidence presented in the Petitions, we conclude that substantial questions of lawfulness of AT&amp;T’s tariff revisions regarding the shortfall and early termination penalties exist that require further investigation, and </w:t>
      </w:r>
      <w:r w:rsidR="003A3E0A">
        <w:t>we suspend those p</w:t>
      </w:r>
      <w:r w:rsidR="00824171">
        <w:t>rovisions</w:t>
      </w:r>
      <w:r w:rsidR="003A3E0A">
        <w:t xml:space="preserve"> of the tariff filings for one day, impose an accounting order, and initiate an investigation into the lawfulness of the shortfall and early termination penalties</w:t>
      </w:r>
      <w:r>
        <w:t>.</w:t>
      </w:r>
      <w:r>
        <w:rPr>
          <w:rStyle w:val="FootnoteReference"/>
        </w:rPr>
        <w:footnoteReference w:id="17"/>
      </w:r>
      <w:r>
        <w:t xml:space="preserve">  The specific issues that will be the subject of the investigation will be identified in an upcoming designation order and may include, but not be limited to, the issues identified in this Order.  We may also, by order, identify discrete issues that do not warrant further investigation. </w:t>
      </w:r>
    </w:p>
    <w:p w:rsidR="003A3E0A" w:rsidRDefault="003A3E0A" w:rsidP="001161FE">
      <w:pPr>
        <w:pStyle w:val="Heading1"/>
        <w:numPr>
          <w:ilvl w:val="0"/>
          <w:numId w:val="0"/>
        </w:numPr>
        <w:rPr>
          <w:szCs w:val="24"/>
        </w:rPr>
      </w:pPr>
      <w:r>
        <w:rPr>
          <w:szCs w:val="24"/>
        </w:rPr>
        <w:t>IV.</w:t>
      </w:r>
      <w:r>
        <w:rPr>
          <w:szCs w:val="24"/>
        </w:rPr>
        <w:tab/>
      </w:r>
      <w:r w:rsidRPr="003A3E0A">
        <w:rPr>
          <w:i/>
          <w:szCs w:val="24"/>
        </w:rPr>
        <w:t>EX PARTE</w:t>
      </w:r>
      <w:r>
        <w:rPr>
          <w:szCs w:val="24"/>
        </w:rPr>
        <w:t xml:space="preserve"> REQUIREMENTS</w:t>
      </w:r>
    </w:p>
    <w:p w:rsidR="003A3E0A" w:rsidRPr="003A3E0A" w:rsidRDefault="003A3E0A" w:rsidP="001161FE">
      <w:pPr>
        <w:pStyle w:val="ParaNum"/>
      </w:pPr>
      <w:r>
        <w:t xml:space="preserve">This </w:t>
      </w:r>
      <w:r w:rsidRPr="00FD0ED4">
        <w:t xml:space="preserve">proceeding shall be treated as a “permit-but-disclose” proceeding in accordance with the Commission’s </w:t>
      </w:r>
      <w:r w:rsidRPr="00265983">
        <w:rPr>
          <w:i/>
          <w:iCs/>
        </w:rPr>
        <w:t xml:space="preserve">ex parte </w:t>
      </w:r>
      <w:r w:rsidRPr="00FD0ED4">
        <w:t>rules.</w:t>
      </w:r>
      <w:r w:rsidRPr="00FD0ED4">
        <w:rPr>
          <w:rStyle w:val="FootnoteReference"/>
          <w:szCs w:val="22"/>
        </w:rPr>
        <w:footnoteReference w:id="18"/>
      </w:r>
      <w:r w:rsidRPr="00FD0ED4">
        <w:t xml:space="preserve">  Persons making </w:t>
      </w:r>
      <w:r w:rsidRPr="00265983">
        <w:rPr>
          <w:i/>
        </w:rPr>
        <w:t xml:space="preserve">ex parte </w:t>
      </w:r>
      <w:r w:rsidRPr="00FD0ED4">
        <w:t xml:space="preserve">presentations must file </w:t>
      </w:r>
      <w:r w:rsidR="00EC617D">
        <w:t xml:space="preserve">in WC Docket No. 15-247 </w:t>
      </w:r>
      <w:r w:rsidRPr="00FD0ED4">
        <w:t xml:space="preserve">a copy of any written presentation or a memorandum summarizing any oral presentation within two business days after the presentation (unless a different deadline applicable to the Sunshine period applies).  Persons making oral </w:t>
      </w:r>
      <w:r w:rsidRPr="00265983">
        <w:rPr>
          <w:i/>
          <w:iCs/>
        </w:rPr>
        <w:t xml:space="preserve">ex parte </w:t>
      </w:r>
      <w:r w:rsidRPr="00FD0ED4">
        <w:t xml:space="preserve">presentations are reminded that memoranda summarizing the presentation must (1) list all persons attending or otherwise participating in the meeting at which the </w:t>
      </w:r>
      <w:r w:rsidRPr="00265983">
        <w:rPr>
          <w:i/>
          <w:iCs/>
        </w:rPr>
        <w:t xml:space="preserve">ex parte </w:t>
      </w:r>
      <w:r w:rsidRPr="00FD0ED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65983">
        <w:rPr>
          <w:i/>
          <w:iCs/>
        </w:rPr>
        <w:t xml:space="preserve">ex parte </w:t>
      </w:r>
      <w:r w:rsidRPr="00FD0ED4">
        <w:t xml:space="preserve">meetings are deemed to be written </w:t>
      </w:r>
      <w:r w:rsidRPr="00265983">
        <w:rPr>
          <w:i/>
          <w:iCs/>
        </w:rPr>
        <w:t>ex parte</w:t>
      </w:r>
      <w:r w:rsidRPr="00FD0ED4">
        <w:t xml:space="preserve"> presentations and must be filed consistent with rule 1.1206(b).  In proceedings governed by rule 1.49(f) or for which the Commission has made available a method of electronic filing, written </w:t>
      </w:r>
      <w:r w:rsidRPr="00265983">
        <w:rPr>
          <w:i/>
          <w:iCs/>
        </w:rPr>
        <w:t xml:space="preserve">ex parte </w:t>
      </w:r>
      <w:r w:rsidRPr="00FD0ED4">
        <w:t xml:space="preserve">presentations and memoranda summarizing oral </w:t>
      </w:r>
      <w:r w:rsidRPr="00265983">
        <w:rPr>
          <w:i/>
          <w:iCs/>
        </w:rPr>
        <w:t xml:space="preserve">ex parte </w:t>
      </w:r>
      <w:r w:rsidRPr="00FD0ED4">
        <w:t>presentations, and all attachments thereto, must be filed through the electronic comment filing system available for that proceeding, and must be filed in their native format (</w:t>
      </w:r>
      <w:r w:rsidRPr="00265983">
        <w:rPr>
          <w:i/>
          <w:iCs/>
        </w:rPr>
        <w:t>e.g.</w:t>
      </w:r>
      <w:r w:rsidRPr="00FD0ED4">
        <w:t xml:space="preserve">, .doc, .xml, .ppt, searchable .pdf).  Participants in this proceeding should familiarize themselves with the Commission’s </w:t>
      </w:r>
      <w:r w:rsidRPr="00265983">
        <w:rPr>
          <w:i/>
          <w:iCs/>
        </w:rPr>
        <w:t>ex parte</w:t>
      </w:r>
      <w:r>
        <w:rPr>
          <w:iCs/>
        </w:rPr>
        <w:t xml:space="preserve"> rules.</w:t>
      </w:r>
    </w:p>
    <w:p w:rsidR="00F845EF" w:rsidRPr="00A81848" w:rsidRDefault="001A04DB">
      <w:pPr>
        <w:pStyle w:val="Heading1"/>
        <w:numPr>
          <w:ilvl w:val="0"/>
          <w:numId w:val="0"/>
        </w:numPr>
        <w:rPr>
          <w:szCs w:val="24"/>
        </w:rPr>
      </w:pPr>
      <w:r>
        <w:rPr>
          <w:szCs w:val="24"/>
        </w:rPr>
        <w:t>V.</w:t>
      </w:r>
      <w:r>
        <w:rPr>
          <w:szCs w:val="24"/>
        </w:rPr>
        <w:tab/>
      </w:r>
      <w:r w:rsidR="00F845EF" w:rsidRPr="00A81848">
        <w:rPr>
          <w:szCs w:val="24"/>
        </w:rPr>
        <w:t>ORDERING CLAUSES</w:t>
      </w:r>
      <w:r w:rsidR="007B01DA">
        <w:rPr>
          <w:szCs w:val="24"/>
        </w:rPr>
        <w:t xml:space="preserve"> </w:t>
      </w:r>
    </w:p>
    <w:p w:rsidR="001D2F5A" w:rsidRDefault="001802B5" w:rsidP="001458B3">
      <w:pPr>
        <w:pStyle w:val="ParaNum"/>
        <w:widowControl/>
        <w:rPr>
          <w:szCs w:val="24"/>
        </w:rPr>
      </w:pPr>
      <w:r w:rsidRPr="00A81848">
        <w:rPr>
          <w:szCs w:val="24"/>
        </w:rPr>
        <w:t xml:space="preserve">Accordingly, IT IS ORDERED that, pursuant to section 204(a) of the Communications Act of 1934, as amended, 47 U.S.C. § 204(a), and through the authority delegated pursuant to sections 0.91 and 0.291 of the Commission’s rules, 47 C.F.R. §§ 0.91 and 0.291, </w:t>
      </w:r>
      <w:r w:rsidRPr="001802B5">
        <w:rPr>
          <w:szCs w:val="24"/>
        </w:rPr>
        <w:t>t</w:t>
      </w:r>
      <w:r>
        <w:rPr>
          <w:szCs w:val="24"/>
        </w:rPr>
        <w:t xml:space="preserve">he shortfall and early termination penalty provisions of the </w:t>
      </w:r>
      <w:r w:rsidR="00B43E28">
        <w:rPr>
          <w:szCs w:val="22"/>
        </w:rPr>
        <w:t xml:space="preserve">Pacific Bell Telephone Company Tariff F.C.C. No. 1 contained in Transmittal No. 539; and Southwestern Bell Telephone Company Tariff F.C.C. No. 73 </w:t>
      </w:r>
      <w:r w:rsidR="001D2F5A">
        <w:rPr>
          <w:szCs w:val="24"/>
        </w:rPr>
        <w:t>contained in Transmittal No.</w:t>
      </w:r>
      <w:r w:rsidR="001E6F20">
        <w:rPr>
          <w:szCs w:val="24"/>
        </w:rPr>
        <w:t xml:space="preserve"> </w:t>
      </w:r>
      <w:r w:rsidR="00B43E28">
        <w:rPr>
          <w:szCs w:val="24"/>
        </w:rPr>
        <w:t>3428</w:t>
      </w:r>
      <w:r w:rsidR="001D2F5A">
        <w:rPr>
          <w:szCs w:val="24"/>
        </w:rPr>
        <w:t xml:space="preserve"> </w:t>
      </w:r>
      <w:r w:rsidRPr="00A81848">
        <w:rPr>
          <w:szCs w:val="24"/>
        </w:rPr>
        <w:t xml:space="preserve">ARE SUSPENDED for </w:t>
      </w:r>
      <w:r>
        <w:rPr>
          <w:szCs w:val="24"/>
        </w:rPr>
        <w:t>one day</w:t>
      </w:r>
      <w:r w:rsidRPr="00A81848">
        <w:rPr>
          <w:szCs w:val="24"/>
        </w:rPr>
        <w:t xml:space="preserve"> and an investigation</w:t>
      </w:r>
      <w:r>
        <w:rPr>
          <w:szCs w:val="24"/>
        </w:rPr>
        <w:t xml:space="preserve"> </w:t>
      </w:r>
      <w:r w:rsidRPr="00A81848">
        <w:rPr>
          <w:szCs w:val="24"/>
        </w:rPr>
        <w:t>IS INSTITUTED.</w:t>
      </w:r>
    </w:p>
    <w:p w:rsidR="001802B5" w:rsidRPr="00283FC2" w:rsidRDefault="001802B5" w:rsidP="001458B3">
      <w:pPr>
        <w:pStyle w:val="ParaNum"/>
        <w:widowControl/>
      </w:pPr>
      <w:r w:rsidRPr="00283FC2">
        <w:t xml:space="preserve">IT IS FURTHER ORDERED that </w:t>
      </w:r>
      <w:r>
        <w:t>Pacific Bell Telephone Company and Southwestern Bell Telephone Company SHALL</w:t>
      </w:r>
      <w:r w:rsidRPr="00283FC2">
        <w:t xml:space="preserve"> FILE a supplement advancing the currently scheduled effective date to Ju</w:t>
      </w:r>
      <w:r>
        <w:t>ly 15</w:t>
      </w:r>
      <w:r w:rsidRPr="00283FC2">
        <w:t>, 20</w:t>
      </w:r>
      <w:r>
        <w:t>16</w:t>
      </w:r>
      <w:r w:rsidRPr="00283FC2">
        <w:t xml:space="preserve">, and then SUSPEND its tariff revision for one day, until </w:t>
      </w:r>
      <w:r>
        <w:t>July 16, 2016</w:t>
      </w:r>
      <w:r w:rsidRPr="00283FC2">
        <w:t>.  For this purpose, we waive sections 61.58</w:t>
      </w:r>
      <w:r>
        <w:t>,</w:t>
      </w:r>
      <w:r w:rsidRPr="00283FC2">
        <w:t xml:space="preserve"> 61.59</w:t>
      </w:r>
      <w:r>
        <w:t>, and 61.86</w:t>
      </w:r>
      <w:r w:rsidRPr="00283FC2">
        <w:t xml:space="preserve"> of the Commission’s rules, 47 C.F.R. §§ 61.58, 61.59</w:t>
      </w:r>
      <w:r>
        <w:t>, 61.86</w:t>
      </w:r>
      <w:r w:rsidRPr="00283FC2">
        <w:t>.</w:t>
      </w:r>
    </w:p>
    <w:p w:rsidR="001802B5" w:rsidRDefault="001802B5" w:rsidP="001458B3">
      <w:pPr>
        <w:pStyle w:val="ParaNum"/>
        <w:widowControl/>
      </w:pPr>
      <w:r w:rsidRPr="00A81848">
        <w:t xml:space="preserve">IT IS FURTHER ORDERED that </w:t>
      </w:r>
      <w:r>
        <w:t xml:space="preserve">Pacific Bell Telephone Company and Southwestern Bell Telephone Company SHALL FILE a supplement within five business days from the release date of this order reflecting the suspension.  </w:t>
      </w:r>
      <w:r w:rsidR="00824171">
        <w:t xml:space="preserve">Pacific Bell Telephone Company and Southwestern Bell Telephone Company </w:t>
      </w:r>
      <w:r>
        <w:t>should cite the “DA” number on the instant order as the authority for the filing.</w:t>
      </w:r>
    </w:p>
    <w:p w:rsidR="001802B5" w:rsidRPr="00D12B10" w:rsidRDefault="001802B5" w:rsidP="001802B5">
      <w:pPr>
        <w:pStyle w:val="ParaNum"/>
      </w:pPr>
      <w:r w:rsidRPr="00D12B10">
        <w:t xml:space="preserve">IT IS FURTHER ORDERED that, pursuant to sections 4(i) and 204(a) of the Communications Act of 1934, as amended, 47 U.S.C. §§ 154(i) and 204(a), and pursuant to the authority delegated by sections 0.91 and 0.291 of the Commission’s rules, 47 C.F.R. §§ 0.91 and 0.291, </w:t>
      </w:r>
      <w:r>
        <w:t xml:space="preserve">Pacific Bell Telephone Company and Southwestern Bell Telephone Company </w:t>
      </w:r>
      <w:r w:rsidRPr="00D12B10">
        <w:t xml:space="preserve">SHALL KEEP ACCURATE ACCOUNT of all amounts received that are associated with the </w:t>
      </w:r>
      <w:r>
        <w:t>penalties</w:t>
      </w:r>
      <w:r w:rsidRPr="00D12B10">
        <w:t xml:space="preserve"> that are subject to this investigation.</w:t>
      </w:r>
    </w:p>
    <w:p w:rsidR="006E1C7D" w:rsidRPr="0047732B" w:rsidRDefault="006E1C7D" w:rsidP="00CA2B7B">
      <w:pPr>
        <w:pStyle w:val="ParaNum"/>
        <w:rPr>
          <w:szCs w:val="24"/>
        </w:rPr>
      </w:pPr>
      <w:r>
        <w:t>IT IS FURTHER ORDERED that the Petition</w:t>
      </w:r>
      <w:r w:rsidR="00185095">
        <w:t xml:space="preserve">s of Windstream Services, LLC; Birch Communications, Inc., EarthLink, Inc., INCOMPAS, Level 3 Communications, LLC, Sprint Corporation, and Windstream Services, LLC; and U.S. TelePacific Corp. d/b/a TelePacific Communications and Alpheus Communications, LLC </w:t>
      </w:r>
      <w:r>
        <w:t>to Reject or Suspend and Investigate</w:t>
      </w:r>
      <w:r w:rsidR="00A83AC9">
        <w:t xml:space="preserve"> the </w:t>
      </w:r>
      <w:r w:rsidR="00A159A8">
        <w:t>proposed</w:t>
      </w:r>
      <w:r w:rsidR="00B921B3">
        <w:t xml:space="preserve"> </w:t>
      </w:r>
      <w:r w:rsidR="00A159A8">
        <w:t xml:space="preserve">tariff revisions contained in </w:t>
      </w:r>
      <w:r w:rsidR="00A159A8" w:rsidRPr="0047732B">
        <w:rPr>
          <w:szCs w:val="22"/>
        </w:rPr>
        <w:t>Pacific Bell Telephone Company Transmittal No. 539, and Southwestern Bell Telephone Company</w:t>
      </w:r>
      <w:r w:rsidR="00A159A8" w:rsidRPr="0047732B">
        <w:rPr>
          <w:szCs w:val="24"/>
        </w:rPr>
        <w:t xml:space="preserve"> Transmittal No. 3428</w:t>
      </w:r>
      <w:r w:rsidR="00A159A8">
        <w:t xml:space="preserve"> are</w:t>
      </w:r>
      <w:r w:rsidR="00A83AC9">
        <w:t xml:space="preserve"> GRANTED </w:t>
      </w:r>
      <w:r w:rsidR="00A159A8">
        <w:t xml:space="preserve">to the extent </w:t>
      </w:r>
      <w:r w:rsidR="00A83AC9">
        <w:t>indicated herein.</w:t>
      </w:r>
    </w:p>
    <w:p w:rsidR="006E1C7D" w:rsidRDefault="006E1C7D">
      <w:pPr>
        <w:pStyle w:val="ParaNum"/>
        <w:numPr>
          <w:ilvl w:val="0"/>
          <w:numId w:val="0"/>
        </w:numPr>
        <w:ind w:left="720"/>
        <w:rPr>
          <w:szCs w:val="24"/>
        </w:rPr>
      </w:pPr>
    </w:p>
    <w:p w:rsidR="00C35AB5" w:rsidRDefault="00C35AB5">
      <w:pPr>
        <w:pStyle w:val="ParaNum"/>
        <w:numPr>
          <w:ilvl w:val="0"/>
          <w:numId w:val="0"/>
        </w:numPr>
        <w:rPr>
          <w:szCs w:val="24"/>
        </w:rPr>
      </w:pPr>
    </w:p>
    <w:p w:rsidR="00F845EF" w:rsidRPr="00A81848" w:rsidRDefault="00F845EF">
      <w:pPr>
        <w:pStyle w:val="ParaNum"/>
        <w:numPr>
          <w:ilvl w:val="0"/>
          <w:numId w:val="0"/>
        </w:numPr>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t>FEDERAL COMMUNICATIONS COMMISSION</w:t>
      </w:r>
      <w:r w:rsidRPr="00A81848">
        <w:rPr>
          <w:szCs w:val="24"/>
        </w:rPr>
        <w:tab/>
      </w:r>
    </w:p>
    <w:p w:rsidR="00F845EF" w:rsidRDefault="00F845EF">
      <w:pPr>
        <w:pStyle w:val="ParaNum"/>
        <w:numPr>
          <w:ilvl w:val="0"/>
          <w:numId w:val="0"/>
        </w:numPr>
        <w:spacing w:after="0"/>
        <w:rPr>
          <w:szCs w:val="24"/>
        </w:rPr>
      </w:pPr>
      <w:r w:rsidRPr="00A81848">
        <w:rPr>
          <w:szCs w:val="24"/>
        </w:rPr>
        <w:tab/>
      </w:r>
      <w:r w:rsidRPr="00A81848">
        <w:rPr>
          <w:szCs w:val="24"/>
        </w:rPr>
        <w:tab/>
      </w:r>
    </w:p>
    <w:p w:rsidR="00B461A5" w:rsidRPr="00A81848" w:rsidRDefault="00B461A5">
      <w:pPr>
        <w:pStyle w:val="ParaNum"/>
        <w:numPr>
          <w:ilvl w:val="0"/>
          <w:numId w:val="0"/>
        </w:numPr>
        <w:spacing w:after="0"/>
        <w:rPr>
          <w:szCs w:val="24"/>
        </w:rPr>
      </w:pPr>
    </w:p>
    <w:p w:rsidR="00B461A5" w:rsidRDefault="00B461A5">
      <w:pPr>
        <w:pStyle w:val="ParaNum"/>
        <w:numPr>
          <w:ilvl w:val="0"/>
          <w:numId w:val="0"/>
        </w:numPr>
        <w:spacing w:after="0"/>
        <w:rPr>
          <w:szCs w:val="24"/>
        </w:rPr>
      </w:pPr>
    </w:p>
    <w:p w:rsidR="008116D4" w:rsidRDefault="008116D4">
      <w:pPr>
        <w:pStyle w:val="ParaNum"/>
        <w:numPr>
          <w:ilvl w:val="0"/>
          <w:numId w:val="0"/>
        </w:numPr>
        <w:spacing w:after="0"/>
        <w:rPr>
          <w:szCs w:val="24"/>
        </w:rPr>
      </w:pPr>
    </w:p>
    <w:p w:rsidR="00F845EF" w:rsidRDefault="00F845EF">
      <w:pPr>
        <w:pStyle w:val="ParaNum"/>
        <w:numPr>
          <w:ilvl w:val="0"/>
          <w:numId w:val="0"/>
        </w:numPr>
        <w:spacing w:after="0"/>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r>
      <w:r w:rsidR="0057039C">
        <w:rPr>
          <w:szCs w:val="24"/>
        </w:rPr>
        <w:t>Matthew S. DelNero</w:t>
      </w:r>
    </w:p>
    <w:p w:rsidR="00F845EF" w:rsidRPr="00A81848" w:rsidRDefault="00F845EF">
      <w:pPr>
        <w:pStyle w:val="ParaNum"/>
        <w:numPr>
          <w:ilvl w:val="0"/>
          <w:numId w:val="0"/>
        </w:numPr>
        <w:spacing w:after="0"/>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r>
      <w:r w:rsidR="00763032">
        <w:rPr>
          <w:szCs w:val="24"/>
        </w:rPr>
        <w:t>Chief,</w:t>
      </w:r>
      <w:r w:rsidR="0057039C">
        <w:rPr>
          <w:szCs w:val="24"/>
        </w:rPr>
        <w:t xml:space="preserve"> </w:t>
      </w:r>
      <w:r w:rsidRPr="00A81848">
        <w:rPr>
          <w:szCs w:val="24"/>
        </w:rPr>
        <w:t>Wireline Competition Bureau</w:t>
      </w:r>
    </w:p>
    <w:p w:rsidR="00701A97" w:rsidRPr="00A81848" w:rsidRDefault="00701A97"/>
    <w:sectPr w:rsidR="00701A97" w:rsidRPr="00A818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64" w:rsidRDefault="00F17564">
      <w:r>
        <w:separator/>
      </w:r>
    </w:p>
  </w:endnote>
  <w:endnote w:type="continuationSeparator" w:id="0">
    <w:p w:rsidR="00F17564" w:rsidRDefault="00F17564">
      <w:r>
        <w:continuationSeparator/>
      </w:r>
    </w:p>
  </w:endnote>
  <w:endnote w:type="continuationNotice" w:id="1">
    <w:p w:rsidR="00F17564" w:rsidRDefault="00F17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9A" w:rsidRDefault="001C1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CD" w:rsidRDefault="006E1ECD">
    <w:pPr>
      <w:pStyle w:val="Footer"/>
      <w:jc w:val="center"/>
    </w:pPr>
    <w:r>
      <w:rPr>
        <w:rStyle w:val="PageNumber"/>
      </w:rPr>
      <w:fldChar w:fldCharType="begin"/>
    </w:r>
    <w:r>
      <w:rPr>
        <w:rStyle w:val="PageNumber"/>
      </w:rPr>
      <w:instrText xml:space="preserve"> PAGE </w:instrText>
    </w:r>
    <w:r>
      <w:rPr>
        <w:rStyle w:val="PageNumber"/>
      </w:rPr>
      <w:fldChar w:fldCharType="separate"/>
    </w:r>
    <w:r w:rsidR="003B41F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9A" w:rsidRDefault="001C1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64" w:rsidRDefault="00F17564">
      <w:r>
        <w:separator/>
      </w:r>
    </w:p>
  </w:footnote>
  <w:footnote w:type="continuationSeparator" w:id="0">
    <w:p w:rsidR="00F17564" w:rsidRDefault="00F17564">
      <w:pPr>
        <w:rPr>
          <w:sz w:val="20"/>
        </w:rPr>
      </w:pPr>
      <w:r>
        <w:rPr>
          <w:sz w:val="20"/>
        </w:rPr>
        <w:t>______________________________</w:t>
      </w:r>
    </w:p>
    <w:p w:rsidR="00F17564" w:rsidRPr="00325FE7" w:rsidRDefault="00F17564">
      <w:pPr>
        <w:rPr>
          <w:sz w:val="20"/>
        </w:rPr>
      </w:pPr>
      <w:r w:rsidRPr="00325FE7">
        <w:rPr>
          <w:sz w:val="20"/>
        </w:rPr>
        <w:t>(continued from previous page . . . )</w:t>
      </w:r>
    </w:p>
  </w:footnote>
  <w:footnote w:type="continuationNotice" w:id="1">
    <w:p w:rsidR="00F17564" w:rsidRDefault="00F17564" w:rsidP="00325FE7">
      <w:pPr>
        <w:jc w:val="right"/>
      </w:pPr>
      <w:r>
        <w:t>(</w:t>
      </w:r>
      <w:r w:rsidRPr="00325FE7">
        <w:rPr>
          <w:sz w:val="20"/>
        </w:rPr>
        <w:t>continued . . .</w:t>
      </w:r>
      <w:r>
        <w:t xml:space="preserve"> )</w:t>
      </w:r>
    </w:p>
  </w:footnote>
  <w:footnote w:id="2">
    <w:p w:rsidR="006446D7" w:rsidRPr="006446D7" w:rsidRDefault="006446D7" w:rsidP="00C4032E">
      <w:pPr>
        <w:pStyle w:val="FootnoteText"/>
      </w:pPr>
      <w:r>
        <w:rPr>
          <w:rStyle w:val="FootnoteReference"/>
        </w:rPr>
        <w:footnoteRef/>
      </w:r>
      <w:r>
        <w:t xml:space="preserve"> </w:t>
      </w:r>
      <w:r w:rsidR="00BD3854">
        <w:t>Pacific Bell Telephone Company Tariff F.C.C. No. 1</w:t>
      </w:r>
      <w:r w:rsidR="00035027">
        <w:t>;</w:t>
      </w:r>
      <w:r w:rsidR="00BD3854">
        <w:t xml:space="preserve"> Southwestern Bell Telephone Company Tariff F.C.C. No. 73 </w:t>
      </w:r>
      <w:r w:rsidR="009873B1">
        <w:t xml:space="preserve">(filed </w:t>
      </w:r>
      <w:r w:rsidR="00BD3854">
        <w:t>July 1, 2016</w:t>
      </w:r>
      <w:r w:rsidR="009873B1">
        <w:t>)</w:t>
      </w:r>
      <w:r>
        <w:t xml:space="preserve">; </w:t>
      </w:r>
      <w:r>
        <w:rPr>
          <w:i/>
        </w:rPr>
        <w:t>see</w:t>
      </w:r>
      <w:r w:rsidR="00035027">
        <w:t xml:space="preserve"> Letter from Kristin Shore, Executive-Director, Regulatory, to Marlene H. Dortch, Secretary, Federal Communications Commission, Transmittal No. 539 (filed July 1, 2016) (Pacific Bell Telephone Company Transmittal Letter); Letter from Kristin Shore, Executive-Director, Regulatory, to Marlene H. Dortch, Secretary, Federal Communications Commission, Transmittal No. 3428 (filed July 1, 2016) (Southwestern Bell Telephone Company Transmittal Letter)</w:t>
      </w:r>
      <w:r w:rsidR="00FE750F">
        <w:t xml:space="preserve"> (collectively Transmittal Letters)</w:t>
      </w:r>
      <w:r w:rsidR="00035027">
        <w:t>.</w:t>
      </w:r>
    </w:p>
  </w:footnote>
  <w:footnote w:id="3">
    <w:p w:rsidR="00EA126B" w:rsidRDefault="00EA126B" w:rsidP="002D3727">
      <w:pPr>
        <w:pStyle w:val="FootnoteText"/>
      </w:pPr>
      <w:r>
        <w:rPr>
          <w:rStyle w:val="FootnoteReference"/>
        </w:rPr>
        <w:footnoteRef/>
      </w:r>
      <w:r>
        <w:t xml:space="preserve"> </w:t>
      </w:r>
      <w:r w:rsidR="00FE750F">
        <w:rPr>
          <w:i/>
        </w:rPr>
        <w:t xml:space="preserve">See </w:t>
      </w:r>
      <w:r w:rsidR="00FE750F">
        <w:t>Transmittal Letters at 1.</w:t>
      </w:r>
    </w:p>
  </w:footnote>
  <w:footnote w:id="4">
    <w:p w:rsidR="00965A3C" w:rsidRDefault="00965A3C" w:rsidP="007D7783">
      <w:pPr>
        <w:pStyle w:val="FootnoteText"/>
      </w:pPr>
      <w:r>
        <w:rPr>
          <w:rStyle w:val="FootnoteReference"/>
        </w:rPr>
        <w:footnoteRef/>
      </w:r>
      <w:r>
        <w:t xml:space="preserve"> </w:t>
      </w:r>
      <w:r>
        <w:rPr>
          <w:i/>
        </w:rPr>
        <w:t xml:space="preserve">See </w:t>
      </w:r>
      <w:r w:rsidRPr="00641C6B">
        <w:rPr>
          <w:i/>
        </w:rPr>
        <w:t>Investigation of Certain Price Cap Local Exchange Carrier Business Data Services Tariff Pricing Plans</w:t>
      </w:r>
      <w:r>
        <w:t>, WC Docket No. 15-247, Tariff Investigation Order, FCC 16-54, 31 FCC Rcd 4723 (rel. May 2, 2016) (</w:t>
      </w:r>
      <w:r w:rsidRPr="00F67538">
        <w:rPr>
          <w:i/>
        </w:rPr>
        <w:t>Tariff Investigation Order</w:t>
      </w:r>
      <w:r>
        <w:t xml:space="preserve">). </w:t>
      </w:r>
    </w:p>
  </w:footnote>
  <w:footnote w:id="5">
    <w:p w:rsidR="007D7783" w:rsidRPr="007D7783" w:rsidRDefault="007D7783">
      <w:pPr>
        <w:pStyle w:val="FootnoteText"/>
      </w:pPr>
      <w:r>
        <w:rPr>
          <w:rStyle w:val="FootnoteReference"/>
        </w:rPr>
        <w:footnoteRef/>
      </w:r>
      <w:r w:rsidR="00EF79AA">
        <w:rPr>
          <w:color w:val="1F497D"/>
        </w:rPr>
        <w:t xml:space="preserve"> </w:t>
      </w:r>
      <w:r w:rsidR="00EF79AA" w:rsidRPr="00EF79AA">
        <w:t>The Bureau is concurrently releasing an Order rejecting the proposed grandfathering language submitted in the PBTC and SWBT transmittals, as well as the simultaneously filed proposed grandfathering language submitted by Ameritech Operating Companies for Tariff F.C.C. No. 2 in Transmittal No. 3428</w:t>
      </w:r>
      <w:r w:rsidR="00EF79AA">
        <w:rPr>
          <w:color w:val="1F497D"/>
        </w:rPr>
        <w:t>. </w:t>
      </w:r>
    </w:p>
  </w:footnote>
  <w:footnote w:id="6">
    <w:p w:rsidR="0064506F" w:rsidRDefault="0064506F">
      <w:pPr>
        <w:pStyle w:val="FootnoteText"/>
      </w:pPr>
      <w:r>
        <w:rPr>
          <w:rStyle w:val="FootnoteReference"/>
        </w:rPr>
        <w:footnoteRef/>
      </w:r>
      <w:r>
        <w:t xml:space="preserve"> </w:t>
      </w:r>
      <w:r w:rsidR="001458B3" w:rsidRPr="00F67538">
        <w:rPr>
          <w:i/>
        </w:rPr>
        <w:t>Tariff Investigation Order</w:t>
      </w:r>
      <w:r w:rsidR="000E1F58">
        <w:t>, 31 FCC Rcd</w:t>
      </w:r>
      <w:r w:rsidR="001458B3">
        <w:t xml:space="preserve"> </w:t>
      </w:r>
      <w:r>
        <w:t xml:space="preserve">at </w:t>
      </w:r>
      <w:r w:rsidR="000E1F58">
        <w:t xml:space="preserve">4784, 4788, 4790, </w:t>
      </w:r>
      <w:r>
        <w:t>paras. 140, 152, 158.</w:t>
      </w:r>
    </w:p>
  </w:footnote>
  <w:footnote w:id="7">
    <w:p w:rsidR="00F15E4D" w:rsidRDefault="00F15E4D" w:rsidP="00F15E4D">
      <w:pPr>
        <w:pStyle w:val="FootnoteText"/>
      </w:pPr>
      <w:r>
        <w:rPr>
          <w:rStyle w:val="FootnoteReference"/>
        </w:rPr>
        <w:footnoteRef/>
      </w:r>
      <w:r>
        <w:t xml:space="preserve"> </w:t>
      </w:r>
      <w:r w:rsidRPr="00F67538">
        <w:rPr>
          <w:i/>
        </w:rPr>
        <w:t>Id.</w:t>
      </w:r>
      <w:r>
        <w:t xml:space="preserve"> at </w:t>
      </w:r>
      <w:r w:rsidR="000E1F58">
        <w:t xml:space="preserve">4772, </w:t>
      </w:r>
      <w:r>
        <w:t>para. 110.</w:t>
      </w:r>
    </w:p>
  </w:footnote>
  <w:footnote w:id="8">
    <w:p w:rsidR="00305222" w:rsidRDefault="00305222" w:rsidP="009775E5">
      <w:pPr>
        <w:pStyle w:val="FootnoteText"/>
      </w:pPr>
      <w:r>
        <w:rPr>
          <w:rStyle w:val="FootnoteReference"/>
        </w:rPr>
        <w:footnoteRef/>
      </w:r>
      <w:r>
        <w:t xml:space="preserve"> </w:t>
      </w:r>
      <w:r w:rsidR="009035F7">
        <w:rPr>
          <w:i/>
        </w:rPr>
        <w:t xml:space="preserve">See </w:t>
      </w:r>
      <w:r>
        <w:t>Transmittal Letter</w:t>
      </w:r>
      <w:r w:rsidR="009035F7">
        <w:t>s</w:t>
      </w:r>
      <w:r>
        <w:t>.</w:t>
      </w:r>
    </w:p>
  </w:footnote>
  <w:footnote w:id="9">
    <w:p w:rsidR="00824171" w:rsidRDefault="00824171">
      <w:pPr>
        <w:pStyle w:val="FootnoteText"/>
      </w:pPr>
      <w:r>
        <w:rPr>
          <w:rStyle w:val="FootnoteReference"/>
        </w:rPr>
        <w:footnoteRef/>
      </w:r>
      <w:r>
        <w:t xml:space="preserve"> </w:t>
      </w:r>
      <w:r w:rsidRPr="00824171">
        <w:rPr>
          <w:i/>
        </w:rPr>
        <w:t>See</w:t>
      </w:r>
      <w:r>
        <w:t xml:space="preserve"> PBTC Description and Justification at 5; SWBT Description and Justification at 5.</w:t>
      </w:r>
    </w:p>
  </w:footnote>
  <w:footnote w:id="10">
    <w:p w:rsidR="00305222" w:rsidRDefault="00305222" w:rsidP="009775E5">
      <w:pPr>
        <w:pStyle w:val="FootnoteText"/>
      </w:pPr>
      <w:r>
        <w:rPr>
          <w:rStyle w:val="FootnoteReference"/>
        </w:rPr>
        <w:footnoteRef/>
      </w:r>
      <w:r>
        <w:t xml:space="preserve"> </w:t>
      </w:r>
      <w:r w:rsidR="001161FE">
        <w:rPr>
          <w:i/>
        </w:rPr>
        <w:t xml:space="preserve">See </w:t>
      </w:r>
      <w:r w:rsidR="001161FE">
        <w:t>Petition of Windstream Services, LLC to Reject or Suspend and Investigate (filed July 8, 2016); Petition of Birch Communications, Inc., EarthLink, Inc., INCOMPAS, Level 3 Communications, LLC, Sprint Corporation, and Windstream Services, LLC to Reject or Suspend and Investigate (filed July 8, 2016); Petition of U.S. TelePacfiic d/b/a TelePacific Communications and Alpheus Communications LLC to Reject or Suspend and Investigate (filed July 8, 2016).</w:t>
      </w:r>
    </w:p>
  </w:footnote>
  <w:footnote w:id="11">
    <w:p w:rsidR="00D45CBB" w:rsidRDefault="00D45CBB">
      <w:pPr>
        <w:pStyle w:val="FootnoteText"/>
      </w:pPr>
      <w:r>
        <w:rPr>
          <w:rStyle w:val="FootnoteReference"/>
        </w:rPr>
        <w:footnoteRef/>
      </w:r>
      <w:r>
        <w:t xml:space="preserve"> </w:t>
      </w:r>
      <w:r>
        <w:rPr>
          <w:i/>
        </w:rPr>
        <w:t xml:space="preserve">See </w:t>
      </w:r>
      <w:r w:rsidR="00E55FAF">
        <w:t xml:space="preserve">PBTC Tariff F.C.C. No. 1 at </w:t>
      </w:r>
      <w:r>
        <w:t>Section 7.4.18(</w:t>
      </w:r>
      <w:r w:rsidR="00E55FAF">
        <w:t>E</w:t>
      </w:r>
      <w:r>
        <w:t>)</w:t>
      </w:r>
      <w:r w:rsidR="00E55FAF">
        <w:t>(4).</w:t>
      </w:r>
      <w:r>
        <w:t xml:space="preserve"> </w:t>
      </w:r>
    </w:p>
  </w:footnote>
  <w:footnote w:id="12">
    <w:p w:rsidR="00D45CBB" w:rsidRDefault="00D45CBB">
      <w:pPr>
        <w:pStyle w:val="FootnoteText"/>
      </w:pPr>
      <w:r>
        <w:rPr>
          <w:rStyle w:val="FootnoteReference"/>
        </w:rPr>
        <w:footnoteRef/>
      </w:r>
      <w:r>
        <w:t xml:space="preserve"> </w:t>
      </w:r>
      <w:r w:rsidR="00E55FAF">
        <w:rPr>
          <w:i/>
        </w:rPr>
        <w:t xml:space="preserve">See </w:t>
      </w:r>
      <w:r w:rsidR="00E55FAF">
        <w:t xml:space="preserve">SWBT Tariff F.C.C. No. 73 at Section 7.2.22(E)(4). </w:t>
      </w:r>
    </w:p>
  </w:footnote>
  <w:footnote w:id="13">
    <w:p w:rsidR="00824171" w:rsidRDefault="00824171">
      <w:pPr>
        <w:pStyle w:val="FootnoteText"/>
      </w:pPr>
      <w:r>
        <w:rPr>
          <w:rStyle w:val="FootnoteReference"/>
        </w:rPr>
        <w:footnoteRef/>
      </w:r>
      <w:r>
        <w:t xml:space="preserve"> Birch Petition at 3-4.</w:t>
      </w:r>
    </w:p>
  </w:footnote>
  <w:footnote w:id="14">
    <w:p w:rsidR="00971234" w:rsidRDefault="00971234">
      <w:pPr>
        <w:pStyle w:val="FootnoteText"/>
      </w:pPr>
      <w:r>
        <w:rPr>
          <w:rStyle w:val="FootnoteReference"/>
        </w:rPr>
        <w:footnoteRef/>
      </w:r>
      <w:r>
        <w:t xml:space="preserve"> </w:t>
      </w:r>
      <w:r w:rsidRPr="00971234">
        <w:rPr>
          <w:i/>
        </w:rPr>
        <w:t>Id</w:t>
      </w:r>
      <w:r>
        <w:t>. at 4-5.</w:t>
      </w:r>
    </w:p>
  </w:footnote>
  <w:footnote w:id="15">
    <w:p w:rsidR="00971234" w:rsidRDefault="00971234">
      <w:pPr>
        <w:pStyle w:val="FootnoteText"/>
      </w:pPr>
      <w:r>
        <w:rPr>
          <w:rStyle w:val="FootnoteReference"/>
        </w:rPr>
        <w:footnoteRef/>
      </w:r>
      <w:r>
        <w:t xml:space="preserve"> TelePacific/Alpheus Petition at 6.</w:t>
      </w:r>
    </w:p>
  </w:footnote>
  <w:footnote w:id="16">
    <w:p w:rsidR="00971234" w:rsidRDefault="00971234">
      <w:pPr>
        <w:pStyle w:val="FootnoteText"/>
      </w:pPr>
      <w:r>
        <w:rPr>
          <w:rStyle w:val="FootnoteReference"/>
        </w:rPr>
        <w:footnoteRef/>
      </w:r>
      <w:r>
        <w:t xml:space="preserve"> AT&amp;T Reply at 17.</w:t>
      </w:r>
    </w:p>
  </w:footnote>
  <w:footnote w:id="17">
    <w:p w:rsidR="00E56B19" w:rsidRDefault="00E56B19" w:rsidP="00E56B19">
      <w:pPr>
        <w:pStyle w:val="FootnoteText"/>
      </w:pPr>
      <w:r>
        <w:rPr>
          <w:rStyle w:val="FootnoteReference"/>
        </w:rPr>
        <w:footnoteRef/>
      </w:r>
      <w:r>
        <w:t xml:space="preserve"> </w:t>
      </w:r>
      <w:r>
        <w:rPr>
          <w:b/>
        </w:rPr>
        <w:t xml:space="preserve"> </w:t>
      </w:r>
      <w:r w:rsidR="003A3E0A">
        <w:t>47 U.S.C. § 204.</w:t>
      </w:r>
      <w:r>
        <w:t xml:space="preserve"> </w:t>
      </w:r>
    </w:p>
  </w:footnote>
  <w:footnote w:id="18">
    <w:p w:rsidR="003A3E0A" w:rsidRDefault="003A3E0A" w:rsidP="003A3E0A">
      <w:pPr>
        <w:pStyle w:val="FootnoteText"/>
        <w:tabs>
          <w:tab w:val="left" w:pos="5772"/>
        </w:tabs>
        <w:rPr>
          <w:i/>
          <w:iCs/>
        </w:rPr>
      </w:pPr>
      <w:r>
        <w:rPr>
          <w:rStyle w:val="FootnoteReference"/>
        </w:rPr>
        <w:footnoteRef/>
      </w:r>
      <w:r>
        <w:t xml:space="preserve"> 47 C.F.R. §§ 1.1200 </w:t>
      </w:r>
      <w:r>
        <w:rPr>
          <w:iCs/>
        </w:rPr>
        <w:t>et seq</w:t>
      </w:r>
      <w:r>
        <w:rPr>
          <w:i/>
          <w:iCs/>
        </w:rPr>
        <w:t>.</w:t>
      </w:r>
      <w:r>
        <w:rPr>
          <w:i/>
          <w:iC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9A" w:rsidRDefault="001C1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CD" w:rsidRPr="00A81848" w:rsidRDefault="006E1ECD">
    <w:pPr>
      <w:pStyle w:val="Header"/>
      <w:rPr>
        <w:b w:val="0"/>
        <w:szCs w:val="24"/>
      </w:rPr>
    </w:pPr>
    <w:r w:rsidRPr="00CA6FDE">
      <w:rPr>
        <w:sz w:val="24"/>
        <w:szCs w:val="24"/>
      </w:rPr>
      <w:tab/>
    </w:r>
    <w:r w:rsidRPr="00A81848">
      <w:rPr>
        <w:szCs w:val="24"/>
      </w:rPr>
      <w:t>Federal Communications Commission</w:t>
    </w:r>
    <w:r w:rsidRPr="00A81848">
      <w:rPr>
        <w:szCs w:val="24"/>
      </w:rPr>
      <w:tab/>
      <w:t xml:space="preserve">DA </w:t>
    </w:r>
    <w:r w:rsidR="000565A4">
      <w:rPr>
        <w:szCs w:val="24"/>
      </w:rPr>
      <w:t>16-</w:t>
    </w:r>
    <w:r w:rsidR="00356EB7">
      <w:rPr>
        <w:szCs w:val="24"/>
      </w:rPr>
      <w:t>805</w:t>
    </w:r>
    <w:r w:rsidRPr="00A81848">
      <w:rPr>
        <w:szCs w:val="24"/>
      </w:rPr>
      <w:t xml:space="preserve"> </w:t>
    </w:r>
  </w:p>
  <w:p w:rsidR="006E1ECD" w:rsidRDefault="00C645BA">
    <w:pPr>
      <w:pStyle w:val="Header"/>
    </w:pPr>
    <w:r>
      <w:rPr>
        <w:noProof/>
      </w:rPr>
      <mc:AlternateContent>
        <mc:Choice Requires="wps">
          <w:drawing>
            <wp:anchor distT="0" distB="0" distL="114300" distR="114300" simplePos="0" relativeHeight="251658240" behindDoc="0" locked="0" layoutInCell="0" allowOverlap="1" wp14:anchorId="2F92DC09" wp14:editId="301009FB">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33CD8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E1ECD" w:rsidRDefault="006E1E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CD" w:rsidRPr="00A81848" w:rsidRDefault="006E1ECD" w:rsidP="00CC190D">
    <w:pPr>
      <w:pStyle w:val="Header"/>
      <w:rPr>
        <w:b w:val="0"/>
        <w:szCs w:val="24"/>
      </w:rPr>
    </w:pPr>
    <w:r w:rsidRPr="00B12E9C">
      <w:rPr>
        <w:sz w:val="24"/>
        <w:szCs w:val="24"/>
      </w:rPr>
      <w:tab/>
    </w:r>
    <w:r w:rsidRPr="00A81848">
      <w:rPr>
        <w:szCs w:val="24"/>
      </w:rPr>
      <w:t>Federal Communications Commission</w:t>
    </w:r>
    <w:r>
      <w:rPr>
        <w:szCs w:val="24"/>
      </w:rPr>
      <w:tab/>
      <w:t xml:space="preserve">DA </w:t>
    </w:r>
    <w:r w:rsidR="000565A4">
      <w:rPr>
        <w:szCs w:val="24"/>
      </w:rPr>
      <w:t>16-</w:t>
    </w:r>
    <w:r w:rsidR="00356EB7">
      <w:rPr>
        <w:szCs w:val="24"/>
      </w:rPr>
      <w:t>805</w:t>
    </w:r>
  </w:p>
  <w:p w:rsidR="006E1ECD" w:rsidRDefault="00C645BA">
    <w:pPr>
      <w:pStyle w:val="Header"/>
    </w:pPr>
    <w:r>
      <w:rPr>
        <w:noProof/>
      </w:rPr>
      <mc:AlternateContent>
        <mc:Choice Requires="wps">
          <w:drawing>
            <wp:anchor distT="0" distB="0" distL="114300" distR="114300" simplePos="0" relativeHeight="251657216" behindDoc="0" locked="0" layoutInCell="0" allowOverlap="1" wp14:anchorId="725BAB50" wp14:editId="41C800B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E604F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DocumentMap"/>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5"/>
  </w:num>
  <w:num w:numId="3">
    <w:abstractNumId w:val="3"/>
  </w:num>
  <w:num w:numId="4">
    <w:abstractNumId w:val="0"/>
  </w:num>
  <w:num w:numId="5">
    <w:abstractNumId w:val="5"/>
  </w:num>
  <w:num w:numId="6">
    <w:abstractNumId w:val="5"/>
  </w:num>
  <w:num w:numId="7">
    <w:abstractNumId w:val="5"/>
    <w:lvlOverride w:ilvl="0">
      <w:startOverride w:val="1"/>
    </w:lvlOverride>
  </w:num>
  <w:num w:numId="8">
    <w:abstractNumId w:val="5"/>
  </w:num>
  <w:num w:numId="9">
    <w:abstractNumId w:val="5"/>
    <w:lvlOverride w:ilvl="0">
      <w:startOverride w:val="1"/>
    </w:lvlOverride>
  </w:num>
  <w:num w:numId="10">
    <w:abstractNumId w:val="2"/>
  </w:num>
  <w:num w:numId="11">
    <w:abstractNumId w:val="8"/>
  </w:num>
  <w:num w:numId="12">
    <w:abstractNumId w:val="4"/>
  </w:num>
  <w:num w:numId="13">
    <w:abstractNumId w:val="6"/>
  </w:num>
  <w:num w:numId="14">
    <w:abstractNumId w:val="1"/>
  </w:num>
  <w:num w:numId="15">
    <w:abstractNumId w:val="8"/>
  </w:num>
  <w:num w:numId="16">
    <w:abstractNumId w:val="8"/>
  </w:num>
  <w:num w:numId="17">
    <w:abstractNumId w:val="4"/>
  </w:num>
  <w:num w:numId="18">
    <w:abstractNumId w:val="4"/>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312F"/>
    <w:rsid w:val="00003807"/>
    <w:rsid w:val="00011754"/>
    <w:rsid w:val="00020FC8"/>
    <w:rsid w:val="000313AE"/>
    <w:rsid w:val="00033188"/>
    <w:rsid w:val="000341D4"/>
    <w:rsid w:val="00035027"/>
    <w:rsid w:val="000369CB"/>
    <w:rsid w:val="000411C4"/>
    <w:rsid w:val="00047708"/>
    <w:rsid w:val="000565A4"/>
    <w:rsid w:val="00063493"/>
    <w:rsid w:val="000652E6"/>
    <w:rsid w:val="00065AE4"/>
    <w:rsid w:val="000764C6"/>
    <w:rsid w:val="00077F20"/>
    <w:rsid w:val="00083006"/>
    <w:rsid w:val="00083A82"/>
    <w:rsid w:val="000851C5"/>
    <w:rsid w:val="00085533"/>
    <w:rsid w:val="0008670F"/>
    <w:rsid w:val="000877E9"/>
    <w:rsid w:val="00096387"/>
    <w:rsid w:val="000A5707"/>
    <w:rsid w:val="000B37FB"/>
    <w:rsid w:val="000B6D36"/>
    <w:rsid w:val="000C389E"/>
    <w:rsid w:val="000D4F64"/>
    <w:rsid w:val="000E08A6"/>
    <w:rsid w:val="000E1F58"/>
    <w:rsid w:val="000E48FE"/>
    <w:rsid w:val="000E5DA3"/>
    <w:rsid w:val="000F1B46"/>
    <w:rsid w:val="000F23AE"/>
    <w:rsid w:val="000F2C15"/>
    <w:rsid w:val="000F4189"/>
    <w:rsid w:val="00113175"/>
    <w:rsid w:val="00114DB3"/>
    <w:rsid w:val="001161FE"/>
    <w:rsid w:val="0011636D"/>
    <w:rsid w:val="00133E6F"/>
    <w:rsid w:val="00136407"/>
    <w:rsid w:val="00141655"/>
    <w:rsid w:val="00141953"/>
    <w:rsid w:val="001458B3"/>
    <w:rsid w:val="00146303"/>
    <w:rsid w:val="001516CF"/>
    <w:rsid w:val="00151773"/>
    <w:rsid w:val="00174C54"/>
    <w:rsid w:val="001802B5"/>
    <w:rsid w:val="00185095"/>
    <w:rsid w:val="00186A47"/>
    <w:rsid w:val="0019383C"/>
    <w:rsid w:val="00195076"/>
    <w:rsid w:val="001A04DB"/>
    <w:rsid w:val="001A39EB"/>
    <w:rsid w:val="001B12D3"/>
    <w:rsid w:val="001B2E20"/>
    <w:rsid w:val="001B6E15"/>
    <w:rsid w:val="001C179A"/>
    <w:rsid w:val="001D052E"/>
    <w:rsid w:val="001D0FDB"/>
    <w:rsid w:val="001D1F62"/>
    <w:rsid w:val="001D2F5A"/>
    <w:rsid w:val="001D338C"/>
    <w:rsid w:val="001D42B9"/>
    <w:rsid w:val="001D4D18"/>
    <w:rsid w:val="001D73CD"/>
    <w:rsid w:val="001D7AD5"/>
    <w:rsid w:val="001E6F20"/>
    <w:rsid w:val="001F0624"/>
    <w:rsid w:val="00210EAD"/>
    <w:rsid w:val="002161F9"/>
    <w:rsid w:val="00230219"/>
    <w:rsid w:val="00232C40"/>
    <w:rsid w:val="00233E74"/>
    <w:rsid w:val="00234E82"/>
    <w:rsid w:val="00236559"/>
    <w:rsid w:val="00244D48"/>
    <w:rsid w:val="00251236"/>
    <w:rsid w:val="00253C52"/>
    <w:rsid w:val="00254276"/>
    <w:rsid w:val="00254F99"/>
    <w:rsid w:val="002561EE"/>
    <w:rsid w:val="002604F5"/>
    <w:rsid w:val="00260925"/>
    <w:rsid w:val="002637FD"/>
    <w:rsid w:val="00264E72"/>
    <w:rsid w:val="00267F7D"/>
    <w:rsid w:val="00271795"/>
    <w:rsid w:val="002763AF"/>
    <w:rsid w:val="00283D70"/>
    <w:rsid w:val="00291184"/>
    <w:rsid w:val="00291F0D"/>
    <w:rsid w:val="002969F5"/>
    <w:rsid w:val="002A06F5"/>
    <w:rsid w:val="002A6313"/>
    <w:rsid w:val="002A64C5"/>
    <w:rsid w:val="002B0750"/>
    <w:rsid w:val="002C1234"/>
    <w:rsid w:val="002C214F"/>
    <w:rsid w:val="002C4232"/>
    <w:rsid w:val="002C5F76"/>
    <w:rsid w:val="002D3727"/>
    <w:rsid w:val="002E0904"/>
    <w:rsid w:val="002E0E30"/>
    <w:rsid w:val="002E37A1"/>
    <w:rsid w:val="002E5AFB"/>
    <w:rsid w:val="002E6AF3"/>
    <w:rsid w:val="002F1DEC"/>
    <w:rsid w:val="002F240F"/>
    <w:rsid w:val="002F3E2E"/>
    <w:rsid w:val="002F6D3C"/>
    <w:rsid w:val="002F7079"/>
    <w:rsid w:val="00301204"/>
    <w:rsid w:val="0030216F"/>
    <w:rsid w:val="00305222"/>
    <w:rsid w:val="0031531C"/>
    <w:rsid w:val="00316787"/>
    <w:rsid w:val="00323350"/>
    <w:rsid w:val="00325FE7"/>
    <w:rsid w:val="00326B7A"/>
    <w:rsid w:val="0033026F"/>
    <w:rsid w:val="00341166"/>
    <w:rsid w:val="003517B5"/>
    <w:rsid w:val="0035408E"/>
    <w:rsid w:val="00356EB7"/>
    <w:rsid w:val="0036406D"/>
    <w:rsid w:val="00390D40"/>
    <w:rsid w:val="00392006"/>
    <w:rsid w:val="003940DD"/>
    <w:rsid w:val="003A1EB8"/>
    <w:rsid w:val="003A36A0"/>
    <w:rsid w:val="003A3840"/>
    <w:rsid w:val="003A3E0A"/>
    <w:rsid w:val="003A68B9"/>
    <w:rsid w:val="003B41F0"/>
    <w:rsid w:val="003B6DDE"/>
    <w:rsid w:val="003B7494"/>
    <w:rsid w:val="003B7902"/>
    <w:rsid w:val="003C5B8A"/>
    <w:rsid w:val="003C6230"/>
    <w:rsid w:val="003D0408"/>
    <w:rsid w:val="003D3186"/>
    <w:rsid w:val="003D3B6A"/>
    <w:rsid w:val="003D66F7"/>
    <w:rsid w:val="003E03C7"/>
    <w:rsid w:val="003E233A"/>
    <w:rsid w:val="00403076"/>
    <w:rsid w:val="00403F1B"/>
    <w:rsid w:val="0040603B"/>
    <w:rsid w:val="00406908"/>
    <w:rsid w:val="00423B8B"/>
    <w:rsid w:val="00431A34"/>
    <w:rsid w:val="00433790"/>
    <w:rsid w:val="00442258"/>
    <w:rsid w:val="00444020"/>
    <w:rsid w:val="00450EBC"/>
    <w:rsid w:val="00456EC4"/>
    <w:rsid w:val="00461DA9"/>
    <w:rsid w:val="00471517"/>
    <w:rsid w:val="0047732B"/>
    <w:rsid w:val="004929C1"/>
    <w:rsid w:val="00492D6E"/>
    <w:rsid w:val="004940AD"/>
    <w:rsid w:val="00497E92"/>
    <w:rsid w:val="004A13AB"/>
    <w:rsid w:val="004A3C42"/>
    <w:rsid w:val="004B1954"/>
    <w:rsid w:val="004C3759"/>
    <w:rsid w:val="004C6426"/>
    <w:rsid w:val="004D03EB"/>
    <w:rsid w:val="004D494F"/>
    <w:rsid w:val="004F051A"/>
    <w:rsid w:val="004F2F46"/>
    <w:rsid w:val="004F6D5E"/>
    <w:rsid w:val="00503980"/>
    <w:rsid w:val="00504552"/>
    <w:rsid w:val="00504D2C"/>
    <w:rsid w:val="00504E7E"/>
    <w:rsid w:val="00506E19"/>
    <w:rsid w:val="00515297"/>
    <w:rsid w:val="0052119E"/>
    <w:rsid w:val="00523DA2"/>
    <w:rsid w:val="005242CA"/>
    <w:rsid w:val="00526FD3"/>
    <w:rsid w:val="00534787"/>
    <w:rsid w:val="00540E7C"/>
    <w:rsid w:val="00543E90"/>
    <w:rsid w:val="00544EF2"/>
    <w:rsid w:val="00545DC1"/>
    <w:rsid w:val="00546902"/>
    <w:rsid w:val="00547BC7"/>
    <w:rsid w:val="00550487"/>
    <w:rsid w:val="00550D3E"/>
    <w:rsid w:val="00552593"/>
    <w:rsid w:val="00553C75"/>
    <w:rsid w:val="005545CF"/>
    <w:rsid w:val="00554EA8"/>
    <w:rsid w:val="00561AC4"/>
    <w:rsid w:val="0056259C"/>
    <w:rsid w:val="0056518C"/>
    <w:rsid w:val="005662CA"/>
    <w:rsid w:val="0057039C"/>
    <w:rsid w:val="00573D5C"/>
    <w:rsid w:val="00576D10"/>
    <w:rsid w:val="005A211E"/>
    <w:rsid w:val="005A533F"/>
    <w:rsid w:val="005A571D"/>
    <w:rsid w:val="005B583D"/>
    <w:rsid w:val="005B5BA2"/>
    <w:rsid w:val="005B64DF"/>
    <w:rsid w:val="005C25CF"/>
    <w:rsid w:val="005C54C3"/>
    <w:rsid w:val="005C694B"/>
    <w:rsid w:val="005C6BC3"/>
    <w:rsid w:val="005D0813"/>
    <w:rsid w:val="005D5F88"/>
    <w:rsid w:val="005D75CA"/>
    <w:rsid w:val="005E1D2A"/>
    <w:rsid w:val="005E4A08"/>
    <w:rsid w:val="005E7AF6"/>
    <w:rsid w:val="005F484C"/>
    <w:rsid w:val="005F7E35"/>
    <w:rsid w:val="0060371A"/>
    <w:rsid w:val="00603B67"/>
    <w:rsid w:val="00606A44"/>
    <w:rsid w:val="00606AE0"/>
    <w:rsid w:val="00607D85"/>
    <w:rsid w:val="006142F2"/>
    <w:rsid w:val="006213A1"/>
    <w:rsid w:val="006219D0"/>
    <w:rsid w:val="006446D7"/>
    <w:rsid w:val="0064506F"/>
    <w:rsid w:val="006464FC"/>
    <w:rsid w:val="00650E7A"/>
    <w:rsid w:val="00670F66"/>
    <w:rsid w:val="00671E9B"/>
    <w:rsid w:val="006734AE"/>
    <w:rsid w:val="00675C0E"/>
    <w:rsid w:val="00676FF5"/>
    <w:rsid w:val="00682B4F"/>
    <w:rsid w:val="00694DBC"/>
    <w:rsid w:val="00696888"/>
    <w:rsid w:val="006A19D8"/>
    <w:rsid w:val="006A4055"/>
    <w:rsid w:val="006B37B1"/>
    <w:rsid w:val="006B5241"/>
    <w:rsid w:val="006B5542"/>
    <w:rsid w:val="006C06E6"/>
    <w:rsid w:val="006C39E9"/>
    <w:rsid w:val="006C605B"/>
    <w:rsid w:val="006D49C8"/>
    <w:rsid w:val="006D6CFB"/>
    <w:rsid w:val="006E1C7D"/>
    <w:rsid w:val="006E1ECD"/>
    <w:rsid w:val="006E61E9"/>
    <w:rsid w:val="006F4AA3"/>
    <w:rsid w:val="006F60F0"/>
    <w:rsid w:val="006F6957"/>
    <w:rsid w:val="006F7F1B"/>
    <w:rsid w:val="00700294"/>
    <w:rsid w:val="00701A97"/>
    <w:rsid w:val="00701D36"/>
    <w:rsid w:val="007023B8"/>
    <w:rsid w:val="0070432F"/>
    <w:rsid w:val="0070769E"/>
    <w:rsid w:val="007226F8"/>
    <w:rsid w:val="00726BA7"/>
    <w:rsid w:val="007326A8"/>
    <w:rsid w:val="0075091B"/>
    <w:rsid w:val="0075605C"/>
    <w:rsid w:val="00760030"/>
    <w:rsid w:val="007602F5"/>
    <w:rsid w:val="007609EF"/>
    <w:rsid w:val="00761737"/>
    <w:rsid w:val="00763032"/>
    <w:rsid w:val="007632ED"/>
    <w:rsid w:val="00764B58"/>
    <w:rsid w:val="00766BCF"/>
    <w:rsid w:val="007705DD"/>
    <w:rsid w:val="00773DCD"/>
    <w:rsid w:val="0078540E"/>
    <w:rsid w:val="007902E3"/>
    <w:rsid w:val="00792F8A"/>
    <w:rsid w:val="00795AA6"/>
    <w:rsid w:val="0079699B"/>
    <w:rsid w:val="00796A27"/>
    <w:rsid w:val="007A1842"/>
    <w:rsid w:val="007A2959"/>
    <w:rsid w:val="007A3034"/>
    <w:rsid w:val="007A42C7"/>
    <w:rsid w:val="007B01DA"/>
    <w:rsid w:val="007B0291"/>
    <w:rsid w:val="007B3939"/>
    <w:rsid w:val="007B530F"/>
    <w:rsid w:val="007B6199"/>
    <w:rsid w:val="007C50F5"/>
    <w:rsid w:val="007C5357"/>
    <w:rsid w:val="007D23A3"/>
    <w:rsid w:val="007D2A0F"/>
    <w:rsid w:val="007D7783"/>
    <w:rsid w:val="007E10EE"/>
    <w:rsid w:val="007E4056"/>
    <w:rsid w:val="007E46FC"/>
    <w:rsid w:val="007E5B15"/>
    <w:rsid w:val="007E64D1"/>
    <w:rsid w:val="007F1AFD"/>
    <w:rsid w:val="007F4269"/>
    <w:rsid w:val="007F642A"/>
    <w:rsid w:val="007F6C20"/>
    <w:rsid w:val="00802BD7"/>
    <w:rsid w:val="00805B79"/>
    <w:rsid w:val="008101BF"/>
    <w:rsid w:val="00810501"/>
    <w:rsid w:val="008116D4"/>
    <w:rsid w:val="008120E1"/>
    <w:rsid w:val="008137A7"/>
    <w:rsid w:val="00813BB2"/>
    <w:rsid w:val="008157BB"/>
    <w:rsid w:val="0082161D"/>
    <w:rsid w:val="0082288F"/>
    <w:rsid w:val="00824171"/>
    <w:rsid w:val="008274B3"/>
    <w:rsid w:val="00832F88"/>
    <w:rsid w:val="00842D31"/>
    <w:rsid w:val="00846873"/>
    <w:rsid w:val="00851E83"/>
    <w:rsid w:val="00856DA2"/>
    <w:rsid w:val="008600E0"/>
    <w:rsid w:val="00864C72"/>
    <w:rsid w:val="0087262E"/>
    <w:rsid w:val="00883542"/>
    <w:rsid w:val="00883E11"/>
    <w:rsid w:val="00883F76"/>
    <w:rsid w:val="00893AD4"/>
    <w:rsid w:val="00895D79"/>
    <w:rsid w:val="00897B8C"/>
    <w:rsid w:val="008A453C"/>
    <w:rsid w:val="008C0228"/>
    <w:rsid w:val="008C2F3A"/>
    <w:rsid w:val="008C3634"/>
    <w:rsid w:val="008C4613"/>
    <w:rsid w:val="008D13D1"/>
    <w:rsid w:val="008D75C4"/>
    <w:rsid w:val="008E2B91"/>
    <w:rsid w:val="008E6405"/>
    <w:rsid w:val="008F10D1"/>
    <w:rsid w:val="009005A8"/>
    <w:rsid w:val="009019C5"/>
    <w:rsid w:val="009031B3"/>
    <w:rsid w:val="009035F7"/>
    <w:rsid w:val="00905302"/>
    <w:rsid w:val="009060FA"/>
    <w:rsid w:val="00906C9D"/>
    <w:rsid w:val="00932DE6"/>
    <w:rsid w:val="00936782"/>
    <w:rsid w:val="00940768"/>
    <w:rsid w:val="00941119"/>
    <w:rsid w:val="009441CE"/>
    <w:rsid w:val="009511CE"/>
    <w:rsid w:val="0095124A"/>
    <w:rsid w:val="00953C83"/>
    <w:rsid w:val="009629E9"/>
    <w:rsid w:val="00965A3C"/>
    <w:rsid w:val="00971234"/>
    <w:rsid w:val="009775E5"/>
    <w:rsid w:val="009873B1"/>
    <w:rsid w:val="009929E2"/>
    <w:rsid w:val="00995D48"/>
    <w:rsid w:val="00997A4A"/>
    <w:rsid w:val="00997CAA"/>
    <w:rsid w:val="009B2460"/>
    <w:rsid w:val="009B492E"/>
    <w:rsid w:val="009B584B"/>
    <w:rsid w:val="009C0715"/>
    <w:rsid w:val="009D2F93"/>
    <w:rsid w:val="009E23A0"/>
    <w:rsid w:val="009E7712"/>
    <w:rsid w:val="009E7CF4"/>
    <w:rsid w:val="009F271B"/>
    <w:rsid w:val="009F3F22"/>
    <w:rsid w:val="00A0155C"/>
    <w:rsid w:val="00A033FA"/>
    <w:rsid w:val="00A12E25"/>
    <w:rsid w:val="00A146E9"/>
    <w:rsid w:val="00A14A59"/>
    <w:rsid w:val="00A14F28"/>
    <w:rsid w:val="00A159A8"/>
    <w:rsid w:val="00A229A8"/>
    <w:rsid w:val="00A23E4F"/>
    <w:rsid w:val="00A270ED"/>
    <w:rsid w:val="00A3544C"/>
    <w:rsid w:val="00A41076"/>
    <w:rsid w:val="00A503B5"/>
    <w:rsid w:val="00A5052B"/>
    <w:rsid w:val="00A518AA"/>
    <w:rsid w:val="00A564C1"/>
    <w:rsid w:val="00A57A33"/>
    <w:rsid w:val="00A64C18"/>
    <w:rsid w:val="00A77023"/>
    <w:rsid w:val="00A81848"/>
    <w:rsid w:val="00A83AC9"/>
    <w:rsid w:val="00A84824"/>
    <w:rsid w:val="00A949C1"/>
    <w:rsid w:val="00A97B6E"/>
    <w:rsid w:val="00AA482D"/>
    <w:rsid w:val="00AB1B04"/>
    <w:rsid w:val="00AB3EC7"/>
    <w:rsid w:val="00AB448B"/>
    <w:rsid w:val="00AE2DBD"/>
    <w:rsid w:val="00AE2EDE"/>
    <w:rsid w:val="00AF2546"/>
    <w:rsid w:val="00AF2D59"/>
    <w:rsid w:val="00AF3B15"/>
    <w:rsid w:val="00AF4FC9"/>
    <w:rsid w:val="00B02094"/>
    <w:rsid w:val="00B070FE"/>
    <w:rsid w:val="00B1719C"/>
    <w:rsid w:val="00B26C8E"/>
    <w:rsid w:val="00B35D82"/>
    <w:rsid w:val="00B43E28"/>
    <w:rsid w:val="00B461A5"/>
    <w:rsid w:val="00B50F7B"/>
    <w:rsid w:val="00B60CB0"/>
    <w:rsid w:val="00B61020"/>
    <w:rsid w:val="00B61D8D"/>
    <w:rsid w:val="00B63248"/>
    <w:rsid w:val="00B71346"/>
    <w:rsid w:val="00B75FE9"/>
    <w:rsid w:val="00B7750A"/>
    <w:rsid w:val="00B81EB1"/>
    <w:rsid w:val="00B87CEE"/>
    <w:rsid w:val="00B91309"/>
    <w:rsid w:val="00B921B3"/>
    <w:rsid w:val="00B97898"/>
    <w:rsid w:val="00BA0F94"/>
    <w:rsid w:val="00BC0F42"/>
    <w:rsid w:val="00BC254D"/>
    <w:rsid w:val="00BC2F19"/>
    <w:rsid w:val="00BC36EB"/>
    <w:rsid w:val="00BC3901"/>
    <w:rsid w:val="00BD3854"/>
    <w:rsid w:val="00BD4D2A"/>
    <w:rsid w:val="00BD725D"/>
    <w:rsid w:val="00BF2A5D"/>
    <w:rsid w:val="00C22B45"/>
    <w:rsid w:val="00C26395"/>
    <w:rsid w:val="00C27E2A"/>
    <w:rsid w:val="00C337D9"/>
    <w:rsid w:val="00C35AB5"/>
    <w:rsid w:val="00C4032E"/>
    <w:rsid w:val="00C45362"/>
    <w:rsid w:val="00C47BDC"/>
    <w:rsid w:val="00C506A9"/>
    <w:rsid w:val="00C51981"/>
    <w:rsid w:val="00C5386D"/>
    <w:rsid w:val="00C54671"/>
    <w:rsid w:val="00C60995"/>
    <w:rsid w:val="00C61873"/>
    <w:rsid w:val="00C62A5A"/>
    <w:rsid w:val="00C640AC"/>
    <w:rsid w:val="00C645BA"/>
    <w:rsid w:val="00C65017"/>
    <w:rsid w:val="00C7081D"/>
    <w:rsid w:val="00C710FE"/>
    <w:rsid w:val="00C81DBD"/>
    <w:rsid w:val="00C8340E"/>
    <w:rsid w:val="00C846C8"/>
    <w:rsid w:val="00C86934"/>
    <w:rsid w:val="00C901B8"/>
    <w:rsid w:val="00C95797"/>
    <w:rsid w:val="00C97FEB"/>
    <w:rsid w:val="00CA5D02"/>
    <w:rsid w:val="00CA7969"/>
    <w:rsid w:val="00CB2404"/>
    <w:rsid w:val="00CB24B0"/>
    <w:rsid w:val="00CB6499"/>
    <w:rsid w:val="00CC190D"/>
    <w:rsid w:val="00CC5173"/>
    <w:rsid w:val="00CD18EC"/>
    <w:rsid w:val="00CE6374"/>
    <w:rsid w:val="00CF3BE6"/>
    <w:rsid w:val="00CF6678"/>
    <w:rsid w:val="00D01517"/>
    <w:rsid w:val="00D01E42"/>
    <w:rsid w:val="00D04739"/>
    <w:rsid w:val="00D2103B"/>
    <w:rsid w:val="00D2165A"/>
    <w:rsid w:val="00D21735"/>
    <w:rsid w:val="00D232EA"/>
    <w:rsid w:val="00D32CC5"/>
    <w:rsid w:val="00D32E92"/>
    <w:rsid w:val="00D3626B"/>
    <w:rsid w:val="00D40C46"/>
    <w:rsid w:val="00D44F80"/>
    <w:rsid w:val="00D45CBB"/>
    <w:rsid w:val="00D47FEF"/>
    <w:rsid w:val="00D55516"/>
    <w:rsid w:val="00D7718D"/>
    <w:rsid w:val="00D773AA"/>
    <w:rsid w:val="00D8255F"/>
    <w:rsid w:val="00D827B2"/>
    <w:rsid w:val="00D90853"/>
    <w:rsid w:val="00D90DA9"/>
    <w:rsid w:val="00D915B6"/>
    <w:rsid w:val="00D91F38"/>
    <w:rsid w:val="00D93910"/>
    <w:rsid w:val="00DA155A"/>
    <w:rsid w:val="00DB5E6D"/>
    <w:rsid w:val="00DC3058"/>
    <w:rsid w:val="00DD0E8E"/>
    <w:rsid w:val="00DD3D31"/>
    <w:rsid w:val="00DD4620"/>
    <w:rsid w:val="00DD5C6C"/>
    <w:rsid w:val="00DE24FC"/>
    <w:rsid w:val="00E061DB"/>
    <w:rsid w:val="00E1216F"/>
    <w:rsid w:val="00E22604"/>
    <w:rsid w:val="00E25EB9"/>
    <w:rsid w:val="00E30BFA"/>
    <w:rsid w:val="00E30C19"/>
    <w:rsid w:val="00E34647"/>
    <w:rsid w:val="00E4627C"/>
    <w:rsid w:val="00E465D8"/>
    <w:rsid w:val="00E5211C"/>
    <w:rsid w:val="00E54A53"/>
    <w:rsid w:val="00E54D2B"/>
    <w:rsid w:val="00E55FAF"/>
    <w:rsid w:val="00E56B19"/>
    <w:rsid w:val="00E62519"/>
    <w:rsid w:val="00E63E4F"/>
    <w:rsid w:val="00E6784E"/>
    <w:rsid w:val="00E710F3"/>
    <w:rsid w:val="00E755AD"/>
    <w:rsid w:val="00E8142F"/>
    <w:rsid w:val="00E91080"/>
    <w:rsid w:val="00E94FC3"/>
    <w:rsid w:val="00E979AB"/>
    <w:rsid w:val="00EA126B"/>
    <w:rsid w:val="00EA2193"/>
    <w:rsid w:val="00EC35BF"/>
    <w:rsid w:val="00EC617D"/>
    <w:rsid w:val="00ED15A6"/>
    <w:rsid w:val="00ED34B3"/>
    <w:rsid w:val="00EE342D"/>
    <w:rsid w:val="00EE35B6"/>
    <w:rsid w:val="00EF239F"/>
    <w:rsid w:val="00EF5253"/>
    <w:rsid w:val="00EF79AA"/>
    <w:rsid w:val="00F000E6"/>
    <w:rsid w:val="00F10E86"/>
    <w:rsid w:val="00F1260D"/>
    <w:rsid w:val="00F15E42"/>
    <w:rsid w:val="00F15E4D"/>
    <w:rsid w:val="00F1699C"/>
    <w:rsid w:val="00F17564"/>
    <w:rsid w:val="00F22884"/>
    <w:rsid w:val="00F2502D"/>
    <w:rsid w:val="00F25169"/>
    <w:rsid w:val="00F325D4"/>
    <w:rsid w:val="00F57A51"/>
    <w:rsid w:val="00F650AA"/>
    <w:rsid w:val="00F6572F"/>
    <w:rsid w:val="00F67BFA"/>
    <w:rsid w:val="00F73A6A"/>
    <w:rsid w:val="00F82A20"/>
    <w:rsid w:val="00F845EF"/>
    <w:rsid w:val="00F857DB"/>
    <w:rsid w:val="00F87C26"/>
    <w:rsid w:val="00FB1385"/>
    <w:rsid w:val="00FC2AEB"/>
    <w:rsid w:val="00FC65F8"/>
    <w:rsid w:val="00FD2670"/>
    <w:rsid w:val="00FD3AB8"/>
    <w:rsid w:val="00FD711A"/>
    <w:rsid w:val="00FD7BEC"/>
    <w:rsid w:val="00FD7C9F"/>
    <w:rsid w:val="00FE04E5"/>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F0"/>
    <w:pPr>
      <w:widowControl w:val="0"/>
    </w:pPr>
    <w:rPr>
      <w:snapToGrid w:val="0"/>
      <w:kern w:val="28"/>
      <w:sz w:val="22"/>
    </w:rPr>
  </w:style>
  <w:style w:type="paragraph" w:styleId="Heading1">
    <w:name w:val="heading 1"/>
    <w:basedOn w:val="Normal"/>
    <w:next w:val="ParaNum"/>
    <w:qFormat/>
    <w:rsid w:val="003B41F0"/>
    <w:pPr>
      <w:keepNext/>
      <w:numPr>
        <w:numId w:val="1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B41F0"/>
    <w:pPr>
      <w:keepNext/>
      <w:numPr>
        <w:ilvl w:val="1"/>
        <w:numId w:val="12"/>
      </w:numPr>
      <w:spacing w:after="120"/>
      <w:outlineLvl w:val="1"/>
    </w:pPr>
    <w:rPr>
      <w:b/>
    </w:rPr>
  </w:style>
  <w:style w:type="paragraph" w:styleId="Heading3">
    <w:name w:val="heading 3"/>
    <w:basedOn w:val="Normal"/>
    <w:next w:val="ParaNum"/>
    <w:qFormat/>
    <w:rsid w:val="003B41F0"/>
    <w:pPr>
      <w:keepNext/>
      <w:numPr>
        <w:ilvl w:val="2"/>
        <w:numId w:val="12"/>
      </w:numPr>
      <w:tabs>
        <w:tab w:val="left" w:pos="2160"/>
      </w:tabs>
      <w:spacing w:after="120"/>
      <w:outlineLvl w:val="2"/>
    </w:pPr>
    <w:rPr>
      <w:b/>
    </w:rPr>
  </w:style>
  <w:style w:type="paragraph" w:styleId="Heading4">
    <w:name w:val="heading 4"/>
    <w:basedOn w:val="Normal"/>
    <w:next w:val="ParaNum"/>
    <w:qFormat/>
    <w:rsid w:val="003B41F0"/>
    <w:pPr>
      <w:keepNext/>
      <w:numPr>
        <w:ilvl w:val="3"/>
        <w:numId w:val="12"/>
      </w:numPr>
      <w:tabs>
        <w:tab w:val="left" w:pos="2880"/>
      </w:tabs>
      <w:spacing w:after="120"/>
      <w:outlineLvl w:val="3"/>
    </w:pPr>
    <w:rPr>
      <w:b/>
    </w:rPr>
  </w:style>
  <w:style w:type="paragraph" w:styleId="Heading5">
    <w:name w:val="heading 5"/>
    <w:basedOn w:val="Normal"/>
    <w:next w:val="ParaNum"/>
    <w:qFormat/>
    <w:rsid w:val="003B41F0"/>
    <w:pPr>
      <w:keepNext/>
      <w:numPr>
        <w:ilvl w:val="4"/>
        <w:numId w:val="12"/>
      </w:numPr>
      <w:tabs>
        <w:tab w:val="left" w:pos="3600"/>
      </w:tabs>
      <w:suppressAutoHyphens/>
      <w:spacing w:after="120"/>
      <w:outlineLvl w:val="4"/>
    </w:pPr>
    <w:rPr>
      <w:b/>
    </w:rPr>
  </w:style>
  <w:style w:type="paragraph" w:styleId="Heading6">
    <w:name w:val="heading 6"/>
    <w:basedOn w:val="Normal"/>
    <w:next w:val="ParaNum"/>
    <w:qFormat/>
    <w:rsid w:val="003B41F0"/>
    <w:pPr>
      <w:numPr>
        <w:ilvl w:val="5"/>
        <w:numId w:val="12"/>
      </w:numPr>
      <w:tabs>
        <w:tab w:val="left" w:pos="4320"/>
      </w:tabs>
      <w:spacing w:after="120"/>
      <w:outlineLvl w:val="5"/>
    </w:pPr>
    <w:rPr>
      <w:b/>
    </w:rPr>
  </w:style>
  <w:style w:type="paragraph" w:styleId="Heading7">
    <w:name w:val="heading 7"/>
    <w:basedOn w:val="Normal"/>
    <w:next w:val="ParaNum"/>
    <w:qFormat/>
    <w:rsid w:val="003B41F0"/>
    <w:pPr>
      <w:numPr>
        <w:ilvl w:val="6"/>
        <w:numId w:val="12"/>
      </w:numPr>
      <w:tabs>
        <w:tab w:val="left" w:pos="5040"/>
      </w:tabs>
      <w:spacing w:after="120"/>
      <w:ind w:left="5040" w:hanging="720"/>
      <w:outlineLvl w:val="6"/>
    </w:pPr>
    <w:rPr>
      <w:b/>
    </w:rPr>
  </w:style>
  <w:style w:type="paragraph" w:styleId="Heading8">
    <w:name w:val="heading 8"/>
    <w:basedOn w:val="Normal"/>
    <w:next w:val="ParaNum"/>
    <w:qFormat/>
    <w:rsid w:val="003B41F0"/>
    <w:pPr>
      <w:numPr>
        <w:ilvl w:val="7"/>
        <w:numId w:val="12"/>
      </w:numPr>
      <w:tabs>
        <w:tab w:val="clear" w:pos="5400"/>
        <w:tab w:val="left" w:pos="5760"/>
      </w:tabs>
      <w:spacing w:after="120"/>
      <w:ind w:left="5760" w:hanging="720"/>
      <w:outlineLvl w:val="7"/>
    </w:pPr>
    <w:rPr>
      <w:b/>
    </w:rPr>
  </w:style>
  <w:style w:type="paragraph" w:styleId="Heading9">
    <w:name w:val="heading 9"/>
    <w:basedOn w:val="Normal"/>
    <w:next w:val="ParaNum"/>
    <w:qFormat/>
    <w:rsid w:val="003B41F0"/>
    <w:pPr>
      <w:numPr>
        <w:ilvl w:val="8"/>
        <w:numId w:val="1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B41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41F0"/>
  </w:style>
  <w:style w:type="paragraph" w:customStyle="1" w:styleId="ParaNum">
    <w:name w:val="ParaNum"/>
    <w:basedOn w:val="Normal"/>
    <w:link w:val="ParaNumCharChar1"/>
    <w:rsid w:val="003B41F0"/>
    <w:pPr>
      <w:numPr>
        <w:numId w:val="11"/>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3B41F0"/>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3B41F0"/>
    <w:rPr>
      <w:rFonts w:ascii="Times New Roman" w:hAnsi="Times New Roman"/>
      <w:dstrike w:val="0"/>
      <w:color w:val="auto"/>
      <w:sz w:val="20"/>
      <w:vertAlign w:val="superscript"/>
    </w:rPr>
  </w:style>
  <w:style w:type="paragraph" w:styleId="Header">
    <w:name w:val="header"/>
    <w:basedOn w:val="Normal"/>
    <w:autoRedefine/>
    <w:rsid w:val="003B41F0"/>
    <w:pPr>
      <w:tabs>
        <w:tab w:val="center" w:pos="4680"/>
        <w:tab w:val="right" w:pos="9360"/>
      </w:tabs>
    </w:pPr>
    <w:rPr>
      <w:b/>
    </w:rPr>
  </w:style>
  <w:style w:type="paragraph" w:styleId="Footer">
    <w:name w:val="footer"/>
    <w:basedOn w:val="Normal"/>
    <w:rsid w:val="003B41F0"/>
    <w:pPr>
      <w:tabs>
        <w:tab w:val="center" w:pos="4320"/>
        <w:tab w:val="right" w:pos="8640"/>
      </w:tabs>
    </w:pPr>
  </w:style>
  <w:style w:type="character" w:styleId="PageNumber">
    <w:name w:val="page number"/>
    <w:basedOn w:val="DefaultParagraphFont"/>
    <w:rsid w:val="003B41F0"/>
  </w:style>
  <w:style w:type="character" w:styleId="EndnoteReference">
    <w:name w:val="endnote reference"/>
    <w:semiHidden/>
    <w:rsid w:val="003B41F0"/>
    <w:rPr>
      <w:vertAlign w:val="superscript"/>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sid w:val="00271795"/>
  </w:style>
  <w:style w:type="paragraph" w:styleId="BalloonText">
    <w:name w:val="Balloon Text"/>
    <w:basedOn w:val="Normal"/>
    <w:semiHidden/>
    <w:rsid w:val="000E48FE"/>
    <w:rPr>
      <w:rFonts w:ascii="Tahoma" w:hAnsi="Tahoma" w:cs="Tahoma"/>
      <w:sz w:val="16"/>
      <w:szCs w:val="16"/>
    </w:rPr>
  </w:style>
  <w:style w:type="paragraph" w:styleId="DocumentMap">
    <w:name w:val="Document Map"/>
    <w:basedOn w:val="Normal"/>
    <w:semiHidden/>
    <w:rsid w:val="00553C75"/>
    <w:pPr>
      <w:numPr>
        <w:numId w:val="4"/>
      </w:numPr>
      <w:shd w:val="clear" w:color="auto" w:fill="000080"/>
      <w:tabs>
        <w:tab w:val="clear" w:pos="1080"/>
      </w:tabs>
      <w:ind w:firstLine="0"/>
    </w:pPr>
    <w:rPr>
      <w:rFonts w:ascii="Tahoma" w:hAnsi="Tahoma"/>
      <w:snapToGrid/>
      <w:sz w:val="24"/>
    </w:rPr>
  </w:style>
  <w:style w:type="character" w:customStyle="1" w:styleId="documentbody">
    <w:name w:val="documentbody"/>
    <w:basedOn w:val="DefaultParagraphFont"/>
    <w:rsid w:val="001B6E15"/>
  </w:style>
  <w:style w:type="character" w:customStyle="1" w:styleId="searchterm">
    <w:name w:val="searchterm"/>
    <w:basedOn w:val="DefaultParagraphFont"/>
    <w:rsid w:val="001B6E15"/>
  </w:style>
  <w:style w:type="character" w:customStyle="1" w:styleId="informationalsmall">
    <w:name w:val="informationalsmall"/>
    <w:basedOn w:val="DefaultParagraphFont"/>
    <w:rsid w:val="001B6E15"/>
  </w:style>
  <w:style w:type="character" w:styleId="Hyperlink">
    <w:name w:val="Hyperlink"/>
    <w:rsid w:val="003B41F0"/>
    <w:rPr>
      <w:color w:val="0000FF"/>
      <w:u w:val="single"/>
    </w:rPr>
  </w:style>
  <w:style w:type="character" w:customStyle="1" w:styleId="bestsection">
    <w:name w:val="bestsection"/>
    <w:basedOn w:val="DefaultParagraphFont"/>
    <w:rsid w:val="00BC36EB"/>
  </w:style>
  <w:style w:type="character" w:styleId="CommentReference">
    <w:name w:val="annotation reference"/>
    <w:basedOn w:val="DefaultParagraphFont"/>
    <w:rsid w:val="00F57A51"/>
    <w:rPr>
      <w:sz w:val="16"/>
      <w:szCs w:val="16"/>
    </w:rPr>
  </w:style>
  <w:style w:type="paragraph" w:styleId="CommentText">
    <w:name w:val="annotation text"/>
    <w:basedOn w:val="Normal"/>
    <w:link w:val="CommentTextChar"/>
    <w:rsid w:val="00F57A51"/>
    <w:rPr>
      <w:sz w:val="20"/>
    </w:rPr>
  </w:style>
  <w:style w:type="character" w:customStyle="1" w:styleId="CommentTextChar">
    <w:name w:val="Comment Text Char"/>
    <w:basedOn w:val="DefaultParagraphFont"/>
    <w:link w:val="CommentText"/>
    <w:rsid w:val="00F57A51"/>
  </w:style>
  <w:style w:type="paragraph" w:styleId="CommentSubject">
    <w:name w:val="annotation subject"/>
    <w:basedOn w:val="CommentText"/>
    <w:next w:val="CommentText"/>
    <w:link w:val="CommentSubjectChar"/>
    <w:rsid w:val="00F57A51"/>
    <w:rPr>
      <w:b/>
      <w:bCs/>
    </w:rPr>
  </w:style>
  <w:style w:type="character" w:customStyle="1" w:styleId="CommentSubjectChar">
    <w:name w:val="Comment Subject Char"/>
    <w:basedOn w:val="CommentTextChar"/>
    <w:link w:val="CommentSubject"/>
    <w:rsid w:val="00F57A51"/>
    <w:rPr>
      <w:b/>
      <w:bCs/>
    </w:rPr>
  </w:style>
  <w:style w:type="paragraph" w:styleId="EndnoteText">
    <w:name w:val="endnote text"/>
    <w:basedOn w:val="Normal"/>
    <w:link w:val="EndnoteTextChar"/>
    <w:rsid w:val="003B41F0"/>
    <w:rPr>
      <w:sz w:val="20"/>
    </w:rPr>
  </w:style>
  <w:style w:type="character" w:customStyle="1" w:styleId="EndnoteTextChar">
    <w:name w:val="Endnote Text Char"/>
    <w:basedOn w:val="DefaultParagraphFont"/>
    <w:link w:val="EndnoteText"/>
    <w:rsid w:val="00E8142F"/>
    <w:rPr>
      <w:snapToGrid w:val="0"/>
      <w:kern w:val="28"/>
    </w:rPr>
  </w:style>
  <w:style w:type="paragraph" w:styleId="TOC1">
    <w:name w:val="toc 1"/>
    <w:basedOn w:val="Normal"/>
    <w:next w:val="Normal"/>
    <w:rsid w:val="003B41F0"/>
    <w:pPr>
      <w:tabs>
        <w:tab w:val="left" w:pos="360"/>
        <w:tab w:val="right" w:leader="dot" w:pos="9360"/>
      </w:tabs>
      <w:suppressAutoHyphens/>
      <w:ind w:left="360" w:right="720" w:hanging="360"/>
    </w:pPr>
    <w:rPr>
      <w:caps/>
      <w:noProof/>
    </w:rPr>
  </w:style>
  <w:style w:type="paragraph" w:styleId="TOC2">
    <w:name w:val="toc 2"/>
    <w:basedOn w:val="Normal"/>
    <w:next w:val="Normal"/>
    <w:rsid w:val="003B41F0"/>
    <w:pPr>
      <w:tabs>
        <w:tab w:val="left" w:pos="720"/>
        <w:tab w:val="right" w:leader="dot" w:pos="9360"/>
      </w:tabs>
      <w:suppressAutoHyphens/>
      <w:ind w:left="720" w:right="720" w:hanging="360"/>
    </w:pPr>
    <w:rPr>
      <w:noProof/>
    </w:rPr>
  </w:style>
  <w:style w:type="paragraph" w:styleId="TOC3">
    <w:name w:val="toc 3"/>
    <w:basedOn w:val="Normal"/>
    <w:next w:val="Normal"/>
    <w:rsid w:val="003B41F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B41F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B41F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B41F0"/>
    <w:pPr>
      <w:tabs>
        <w:tab w:val="left" w:pos="2160"/>
        <w:tab w:val="right" w:leader="dot" w:pos="9360"/>
      </w:tabs>
      <w:suppressAutoHyphens/>
      <w:ind w:left="2160" w:hanging="360"/>
    </w:pPr>
    <w:rPr>
      <w:noProof/>
    </w:rPr>
  </w:style>
  <w:style w:type="paragraph" w:styleId="TOC7">
    <w:name w:val="toc 7"/>
    <w:basedOn w:val="Normal"/>
    <w:next w:val="Normal"/>
    <w:autoRedefine/>
    <w:rsid w:val="003B41F0"/>
    <w:pPr>
      <w:tabs>
        <w:tab w:val="left" w:pos="2520"/>
        <w:tab w:val="right" w:leader="dot" w:pos="9360"/>
      </w:tabs>
      <w:suppressAutoHyphens/>
      <w:ind w:left="2520" w:hanging="360"/>
    </w:pPr>
    <w:rPr>
      <w:noProof/>
    </w:rPr>
  </w:style>
  <w:style w:type="paragraph" w:styleId="TOC8">
    <w:name w:val="toc 8"/>
    <w:basedOn w:val="Normal"/>
    <w:next w:val="Normal"/>
    <w:autoRedefine/>
    <w:rsid w:val="003B41F0"/>
    <w:pPr>
      <w:tabs>
        <w:tab w:val="left" w:pos="2880"/>
        <w:tab w:val="right" w:leader="dot" w:pos="9360"/>
      </w:tabs>
      <w:suppressAutoHyphens/>
      <w:ind w:left="2880" w:hanging="360"/>
    </w:pPr>
    <w:rPr>
      <w:noProof/>
    </w:rPr>
  </w:style>
  <w:style w:type="paragraph" w:styleId="TOC9">
    <w:name w:val="toc 9"/>
    <w:basedOn w:val="Normal"/>
    <w:next w:val="Normal"/>
    <w:autoRedefine/>
    <w:rsid w:val="003B41F0"/>
    <w:pPr>
      <w:tabs>
        <w:tab w:val="left" w:pos="3240"/>
        <w:tab w:val="right" w:leader="dot" w:pos="9360"/>
      </w:tabs>
      <w:suppressAutoHyphens/>
      <w:ind w:left="3240" w:hanging="360"/>
    </w:pPr>
    <w:rPr>
      <w:noProof/>
    </w:rPr>
  </w:style>
  <w:style w:type="paragraph" w:styleId="TOAHeading">
    <w:name w:val="toa heading"/>
    <w:basedOn w:val="Normal"/>
    <w:next w:val="Normal"/>
    <w:rsid w:val="003B41F0"/>
    <w:pPr>
      <w:tabs>
        <w:tab w:val="right" w:pos="9360"/>
      </w:tabs>
      <w:suppressAutoHyphens/>
    </w:pPr>
  </w:style>
  <w:style w:type="character" w:customStyle="1" w:styleId="EquationCaption">
    <w:name w:val="_Equation Caption"/>
    <w:rsid w:val="003B41F0"/>
  </w:style>
  <w:style w:type="paragraph" w:styleId="BlockText">
    <w:name w:val="Block Text"/>
    <w:basedOn w:val="Normal"/>
    <w:rsid w:val="003B41F0"/>
    <w:pPr>
      <w:spacing w:after="240"/>
      <w:ind w:left="1440" w:right="1440"/>
    </w:pPr>
  </w:style>
  <w:style w:type="paragraph" w:customStyle="1" w:styleId="Paratitle">
    <w:name w:val="Para title"/>
    <w:basedOn w:val="Normal"/>
    <w:rsid w:val="003B41F0"/>
    <w:pPr>
      <w:tabs>
        <w:tab w:val="center" w:pos="9270"/>
      </w:tabs>
      <w:spacing w:after="240"/>
    </w:pPr>
    <w:rPr>
      <w:spacing w:val="-2"/>
    </w:rPr>
  </w:style>
  <w:style w:type="paragraph" w:customStyle="1" w:styleId="Bullet">
    <w:name w:val="Bullet"/>
    <w:basedOn w:val="Normal"/>
    <w:rsid w:val="003B41F0"/>
    <w:pPr>
      <w:tabs>
        <w:tab w:val="left" w:pos="2160"/>
      </w:tabs>
      <w:spacing w:after="220"/>
      <w:ind w:left="2160" w:hanging="720"/>
    </w:pPr>
  </w:style>
  <w:style w:type="paragraph" w:customStyle="1" w:styleId="TableFormat">
    <w:name w:val="TableFormat"/>
    <w:basedOn w:val="Bullet"/>
    <w:rsid w:val="003B41F0"/>
    <w:pPr>
      <w:tabs>
        <w:tab w:val="clear" w:pos="2160"/>
        <w:tab w:val="left" w:pos="5040"/>
      </w:tabs>
      <w:ind w:left="5040" w:hanging="3600"/>
    </w:pPr>
  </w:style>
  <w:style w:type="paragraph" w:customStyle="1" w:styleId="TOCTitle">
    <w:name w:val="TOC Title"/>
    <w:basedOn w:val="Normal"/>
    <w:rsid w:val="003B41F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B41F0"/>
    <w:pPr>
      <w:jc w:val="center"/>
    </w:pPr>
    <w:rPr>
      <w:rFonts w:ascii="Times New Roman Bold" w:hAnsi="Times New Roman Bold"/>
      <w:b/>
      <w:bCs/>
      <w:caps/>
      <w:szCs w:val="22"/>
    </w:rPr>
  </w:style>
  <w:style w:type="character" w:customStyle="1" w:styleId="ALTSFOOTNOTEChar1">
    <w:name w:val="ALTS FOOTNOTE Char1"/>
    <w:aliases w:val="Footnote Text Char2 Char Char Char Char,Footnote Text Char1 Char1 Char Char Char Char,f Char"/>
    <w:rsid w:val="009035F7"/>
  </w:style>
  <w:style w:type="character" w:customStyle="1" w:styleId="ParaNumCharChar1">
    <w:name w:val="ParaNum Char Char1"/>
    <w:link w:val="ParaNum"/>
    <w:locked/>
    <w:rsid w:val="006F60F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F0"/>
    <w:pPr>
      <w:widowControl w:val="0"/>
    </w:pPr>
    <w:rPr>
      <w:snapToGrid w:val="0"/>
      <w:kern w:val="28"/>
      <w:sz w:val="22"/>
    </w:rPr>
  </w:style>
  <w:style w:type="paragraph" w:styleId="Heading1">
    <w:name w:val="heading 1"/>
    <w:basedOn w:val="Normal"/>
    <w:next w:val="ParaNum"/>
    <w:qFormat/>
    <w:rsid w:val="003B41F0"/>
    <w:pPr>
      <w:keepNext/>
      <w:numPr>
        <w:numId w:val="1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B41F0"/>
    <w:pPr>
      <w:keepNext/>
      <w:numPr>
        <w:ilvl w:val="1"/>
        <w:numId w:val="12"/>
      </w:numPr>
      <w:spacing w:after="120"/>
      <w:outlineLvl w:val="1"/>
    </w:pPr>
    <w:rPr>
      <w:b/>
    </w:rPr>
  </w:style>
  <w:style w:type="paragraph" w:styleId="Heading3">
    <w:name w:val="heading 3"/>
    <w:basedOn w:val="Normal"/>
    <w:next w:val="ParaNum"/>
    <w:qFormat/>
    <w:rsid w:val="003B41F0"/>
    <w:pPr>
      <w:keepNext/>
      <w:numPr>
        <w:ilvl w:val="2"/>
        <w:numId w:val="12"/>
      </w:numPr>
      <w:tabs>
        <w:tab w:val="left" w:pos="2160"/>
      </w:tabs>
      <w:spacing w:after="120"/>
      <w:outlineLvl w:val="2"/>
    </w:pPr>
    <w:rPr>
      <w:b/>
    </w:rPr>
  </w:style>
  <w:style w:type="paragraph" w:styleId="Heading4">
    <w:name w:val="heading 4"/>
    <w:basedOn w:val="Normal"/>
    <w:next w:val="ParaNum"/>
    <w:qFormat/>
    <w:rsid w:val="003B41F0"/>
    <w:pPr>
      <w:keepNext/>
      <w:numPr>
        <w:ilvl w:val="3"/>
        <w:numId w:val="12"/>
      </w:numPr>
      <w:tabs>
        <w:tab w:val="left" w:pos="2880"/>
      </w:tabs>
      <w:spacing w:after="120"/>
      <w:outlineLvl w:val="3"/>
    </w:pPr>
    <w:rPr>
      <w:b/>
    </w:rPr>
  </w:style>
  <w:style w:type="paragraph" w:styleId="Heading5">
    <w:name w:val="heading 5"/>
    <w:basedOn w:val="Normal"/>
    <w:next w:val="ParaNum"/>
    <w:qFormat/>
    <w:rsid w:val="003B41F0"/>
    <w:pPr>
      <w:keepNext/>
      <w:numPr>
        <w:ilvl w:val="4"/>
        <w:numId w:val="12"/>
      </w:numPr>
      <w:tabs>
        <w:tab w:val="left" w:pos="3600"/>
      </w:tabs>
      <w:suppressAutoHyphens/>
      <w:spacing w:after="120"/>
      <w:outlineLvl w:val="4"/>
    </w:pPr>
    <w:rPr>
      <w:b/>
    </w:rPr>
  </w:style>
  <w:style w:type="paragraph" w:styleId="Heading6">
    <w:name w:val="heading 6"/>
    <w:basedOn w:val="Normal"/>
    <w:next w:val="ParaNum"/>
    <w:qFormat/>
    <w:rsid w:val="003B41F0"/>
    <w:pPr>
      <w:numPr>
        <w:ilvl w:val="5"/>
        <w:numId w:val="12"/>
      </w:numPr>
      <w:tabs>
        <w:tab w:val="left" w:pos="4320"/>
      </w:tabs>
      <w:spacing w:after="120"/>
      <w:outlineLvl w:val="5"/>
    </w:pPr>
    <w:rPr>
      <w:b/>
    </w:rPr>
  </w:style>
  <w:style w:type="paragraph" w:styleId="Heading7">
    <w:name w:val="heading 7"/>
    <w:basedOn w:val="Normal"/>
    <w:next w:val="ParaNum"/>
    <w:qFormat/>
    <w:rsid w:val="003B41F0"/>
    <w:pPr>
      <w:numPr>
        <w:ilvl w:val="6"/>
        <w:numId w:val="12"/>
      </w:numPr>
      <w:tabs>
        <w:tab w:val="left" w:pos="5040"/>
      </w:tabs>
      <w:spacing w:after="120"/>
      <w:ind w:left="5040" w:hanging="720"/>
      <w:outlineLvl w:val="6"/>
    </w:pPr>
    <w:rPr>
      <w:b/>
    </w:rPr>
  </w:style>
  <w:style w:type="paragraph" w:styleId="Heading8">
    <w:name w:val="heading 8"/>
    <w:basedOn w:val="Normal"/>
    <w:next w:val="ParaNum"/>
    <w:qFormat/>
    <w:rsid w:val="003B41F0"/>
    <w:pPr>
      <w:numPr>
        <w:ilvl w:val="7"/>
        <w:numId w:val="12"/>
      </w:numPr>
      <w:tabs>
        <w:tab w:val="clear" w:pos="5400"/>
        <w:tab w:val="left" w:pos="5760"/>
      </w:tabs>
      <w:spacing w:after="120"/>
      <w:ind w:left="5760" w:hanging="720"/>
      <w:outlineLvl w:val="7"/>
    </w:pPr>
    <w:rPr>
      <w:b/>
    </w:rPr>
  </w:style>
  <w:style w:type="paragraph" w:styleId="Heading9">
    <w:name w:val="heading 9"/>
    <w:basedOn w:val="Normal"/>
    <w:next w:val="ParaNum"/>
    <w:qFormat/>
    <w:rsid w:val="003B41F0"/>
    <w:pPr>
      <w:numPr>
        <w:ilvl w:val="8"/>
        <w:numId w:val="1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B41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41F0"/>
  </w:style>
  <w:style w:type="paragraph" w:customStyle="1" w:styleId="ParaNum">
    <w:name w:val="ParaNum"/>
    <w:basedOn w:val="Normal"/>
    <w:link w:val="ParaNumCharChar1"/>
    <w:rsid w:val="003B41F0"/>
    <w:pPr>
      <w:numPr>
        <w:numId w:val="11"/>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3B41F0"/>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3B41F0"/>
    <w:rPr>
      <w:rFonts w:ascii="Times New Roman" w:hAnsi="Times New Roman"/>
      <w:dstrike w:val="0"/>
      <w:color w:val="auto"/>
      <w:sz w:val="20"/>
      <w:vertAlign w:val="superscript"/>
    </w:rPr>
  </w:style>
  <w:style w:type="paragraph" w:styleId="Header">
    <w:name w:val="header"/>
    <w:basedOn w:val="Normal"/>
    <w:autoRedefine/>
    <w:rsid w:val="003B41F0"/>
    <w:pPr>
      <w:tabs>
        <w:tab w:val="center" w:pos="4680"/>
        <w:tab w:val="right" w:pos="9360"/>
      </w:tabs>
    </w:pPr>
    <w:rPr>
      <w:b/>
    </w:rPr>
  </w:style>
  <w:style w:type="paragraph" w:styleId="Footer">
    <w:name w:val="footer"/>
    <w:basedOn w:val="Normal"/>
    <w:rsid w:val="003B41F0"/>
    <w:pPr>
      <w:tabs>
        <w:tab w:val="center" w:pos="4320"/>
        <w:tab w:val="right" w:pos="8640"/>
      </w:tabs>
    </w:pPr>
  </w:style>
  <w:style w:type="character" w:styleId="PageNumber">
    <w:name w:val="page number"/>
    <w:basedOn w:val="DefaultParagraphFont"/>
    <w:rsid w:val="003B41F0"/>
  </w:style>
  <w:style w:type="character" w:styleId="EndnoteReference">
    <w:name w:val="endnote reference"/>
    <w:semiHidden/>
    <w:rsid w:val="003B41F0"/>
    <w:rPr>
      <w:vertAlign w:val="superscript"/>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sid w:val="00271795"/>
  </w:style>
  <w:style w:type="paragraph" w:styleId="BalloonText">
    <w:name w:val="Balloon Text"/>
    <w:basedOn w:val="Normal"/>
    <w:semiHidden/>
    <w:rsid w:val="000E48FE"/>
    <w:rPr>
      <w:rFonts w:ascii="Tahoma" w:hAnsi="Tahoma" w:cs="Tahoma"/>
      <w:sz w:val="16"/>
      <w:szCs w:val="16"/>
    </w:rPr>
  </w:style>
  <w:style w:type="paragraph" w:styleId="DocumentMap">
    <w:name w:val="Document Map"/>
    <w:basedOn w:val="Normal"/>
    <w:semiHidden/>
    <w:rsid w:val="00553C75"/>
    <w:pPr>
      <w:numPr>
        <w:numId w:val="4"/>
      </w:numPr>
      <w:shd w:val="clear" w:color="auto" w:fill="000080"/>
      <w:tabs>
        <w:tab w:val="clear" w:pos="1080"/>
      </w:tabs>
      <w:ind w:firstLine="0"/>
    </w:pPr>
    <w:rPr>
      <w:rFonts w:ascii="Tahoma" w:hAnsi="Tahoma"/>
      <w:snapToGrid/>
      <w:sz w:val="24"/>
    </w:rPr>
  </w:style>
  <w:style w:type="character" w:customStyle="1" w:styleId="documentbody">
    <w:name w:val="documentbody"/>
    <w:basedOn w:val="DefaultParagraphFont"/>
    <w:rsid w:val="001B6E15"/>
  </w:style>
  <w:style w:type="character" w:customStyle="1" w:styleId="searchterm">
    <w:name w:val="searchterm"/>
    <w:basedOn w:val="DefaultParagraphFont"/>
    <w:rsid w:val="001B6E15"/>
  </w:style>
  <w:style w:type="character" w:customStyle="1" w:styleId="informationalsmall">
    <w:name w:val="informationalsmall"/>
    <w:basedOn w:val="DefaultParagraphFont"/>
    <w:rsid w:val="001B6E15"/>
  </w:style>
  <w:style w:type="character" w:styleId="Hyperlink">
    <w:name w:val="Hyperlink"/>
    <w:rsid w:val="003B41F0"/>
    <w:rPr>
      <w:color w:val="0000FF"/>
      <w:u w:val="single"/>
    </w:rPr>
  </w:style>
  <w:style w:type="character" w:customStyle="1" w:styleId="bestsection">
    <w:name w:val="bestsection"/>
    <w:basedOn w:val="DefaultParagraphFont"/>
    <w:rsid w:val="00BC36EB"/>
  </w:style>
  <w:style w:type="character" w:styleId="CommentReference">
    <w:name w:val="annotation reference"/>
    <w:basedOn w:val="DefaultParagraphFont"/>
    <w:rsid w:val="00F57A51"/>
    <w:rPr>
      <w:sz w:val="16"/>
      <w:szCs w:val="16"/>
    </w:rPr>
  </w:style>
  <w:style w:type="paragraph" w:styleId="CommentText">
    <w:name w:val="annotation text"/>
    <w:basedOn w:val="Normal"/>
    <w:link w:val="CommentTextChar"/>
    <w:rsid w:val="00F57A51"/>
    <w:rPr>
      <w:sz w:val="20"/>
    </w:rPr>
  </w:style>
  <w:style w:type="character" w:customStyle="1" w:styleId="CommentTextChar">
    <w:name w:val="Comment Text Char"/>
    <w:basedOn w:val="DefaultParagraphFont"/>
    <w:link w:val="CommentText"/>
    <w:rsid w:val="00F57A51"/>
  </w:style>
  <w:style w:type="paragraph" w:styleId="CommentSubject">
    <w:name w:val="annotation subject"/>
    <w:basedOn w:val="CommentText"/>
    <w:next w:val="CommentText"/>
    <w:link w:val="CommentSubjectChar"/>
    <w:rsid w:val="00F57A51"/>
    <w:rPr>
      <w:b/>
      <w:bCs/>
    </w:rPr>
  </w:style>
  <w:style w:type="character" w:customStyle="1" w:styleId="CommentSubjectChar">
    <w:name w:val="Comment Subject Char"/>
    <w:basedOn w:val="CommentTextChar"/>
    <w:link w:val="CommentSubject"/>
    <w:rsid w:val="00F57A51"/>
    <w:rPr>
      <w:b/>
      <w:bCs/>
    </w:rPr>
  </w:style>
  <w:style w:type="paragraph" w:styleId="EndnoteText">
    <w:name w:val="endnote text"/>
    <w:basedOn w:val="Normal"/>
    <w:link w:val="EndnoteTextChar"/>
    <w:rsid w:val="003B41F0"/>
    <w:rPr>
      <w:sz w:val="20"/>
    </w:rPr>
  </w:style>
  <w:style w:type="character" w:customStyle="1" w:styleId="EndnoteTextChar">
    <w:name w:val="Endnote Text Char"/>
    <w:basedOn w:val="DefaultParagraphFont"/>
    <w:link w:val="EndnoteText"/>
    <w:rsid w:val="00E8142F"/>
    <w:rPr>
      <w:snapToGrid w:val="0"/>
      <w:kern w:val="28"/>
    </w:rPr>
  </w:style>
  <w:style w:type="paragraph" w:styleId="TOC1">
    <w:name w:val="toc 1"/>
    <w:basedOn w:val="Normal"/>
    <w:next w:val="Normal"/>
    <w:rsid w:val="003B41F0"/>
    <w:pPr>
      <w:tabs>
        <w:tab w:val="left" w:pos="360"/>
        <w:tab w:val="right" w:leader="dot" w:pos="9360"/>
      </w:tabs>
      <w:suppressAutoHyphens/>
      <w:ind w:left="360" w:right="720" w:hanging="360"/>
    </w:pPr>
    <w:rPr>
      <w:caps/>
      <w:noProof/>
    </w:rPr>
  </w:style>
  <w:style w:type="paragraph" w:styleId="TOC2">
    <w:name w:val="toc 2"/>
    <w:basedOn w:val="Normal"/>
    <w:next w:val="Normal"/>
    <w:rsid w:val="003B41F0"/>
    <w:pPr>
      <w:tabs>
        <w:tab w:val="left" w:pos="720"/>
        <w:tab w:val="right" w:leader="dot" w:pos="9360"/>
      </w:tabs>
      <w:suppressAutoHyphens/>
      <w:ind w:left="720" w:right="720" w:hanging="360"/>
    </w:pPr>
    <w:rPr>
      <w:noProof/>
    </w:rPr>
  </w:style>
  <w:style w:type="paragraph" w:styleId="TOC3">
    <w:name w:val="toc 3"/>
    <w:basedOn w:val="Normal"/>
    <w:next w:val="Normal"/>
    <w:rsid w:val="003B41F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B41F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B41F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B41F0"/>
    <w:pPr>
      <w:tabs>
        <w:tab w:val="left" w:pos="2160"/>
        <w:tab w:val="right" w:leader="dot" w:pos="9360"/>
      </w:tabs>
      <w:suppressAutoHyphens/>
      <w:ind w:left="2160" w:hanging="360"/>
    </w:pPr>
    <w:rPr>
      <w:noProof/>
    </w:rPr>
  </w:style>
  <w:style w:type="paragraph" w:styleId="TOC7">
    <w:name w:val="toc 7"/>
    <w:basedOn w:val="Normal"/>
    <w:next w:val="Normal"/>
    <w:autoRedefine/>
    <w:rsid w:val="003B41F0"/>
    <w:pPr>
      <w:tabs>
        <w:tab w:val="left" w:pos="2520"/>
        <w:tab w:val="right" w:leader="dot" w:pos="9360"/>
      </w:tabs>
      <w:suppressAutoHyphens/>
      <w:ind w:left="2520" w:hanging="360"/>
    </w:pPr>
    <w:rPr>
      <w:noProof/>
    </w:rPr>
  </w:style>
  <w:style w:type="paragraph" w:styleId="TOC8">
    <w:name w:val="toc 8"/>
    <w:basedOn w:val="Normal"/>
    <w:next w:val="Normal"/>
    <w:autoRedefine/>
    <w:rsid w:val="003B41F0"/>
    <w:pPr>
      <w:tabs>
        <w:tab w:val="left" w:pos="2880"/>
        <w:tab w:val="right" w:leader="dot" w:pos="9360"/>
      </w:tabs>
      <w:suppressAutoHyphens/>
      <w:ind w:left="2880" w:hanging="360"/>
    </w:pPr>
    <w:rPr>
      <w:noProof/>
    </w:rPr>
  </w:style>
  <w:style w:type="paragraph" w:styleId="TOC9">
    <w:name w:val="toc 9"/>
    <w:basedOn w:val="Normal"/>
    <w:next w:val="Normal"/>
    <w:autoRedefine/>
    <w:rsid w:val="003B41F0"/>
    <w:pPr>
      <w:tabs>
        <w:tab w:val="left" w:pos="3240"/>
        <w:tab w:val="right" w:leader="dot" w:pos="9360"/>
      </w:tabs>
      <w:suppressAutoHyphens/>
      <w:ind w:left="3240" w:hanging="360"/>
    </w:pPr>
    <w:rPr>
      <w:noProof/>
    </w:rPr>
  </w:style>
  <w:style w:type="paragraph" w:styleId="TOAHeading">
    <w:name w:val="toa heading"/>
    <w:basedOn w:val="Normal"/>
    <w:next w:val="Normal"/>
    <w:rsid w:val="003B41F0"/>
    <w:pPr>
      <w:tabs>
        <w:tab w:val="right" w:pos="9360"/>
      </w:tabs>
      <w:suppressAutoHyphens/>
    </w:pPr>
  </w:style>
  <w:style w:type="character" w:customStyle="1" w:styleId="EquationCaption">
    <w:name w:val="_Equation Caption"/>
    <w:rsid w:val="003B41F0"/>
  </w:style>
  <w:style w:type="paragraph" w:styleId="BlockText">
    <w:name w:val="Block Text"/>
    <w:basedOn w:val="Normal"/>
    <w:rsid w:val="003B41F0"/>
    <w:pPr>
      <w:spacing w:after="240"/>
      <w:ind w:left="1440" w:right="1440"/>
    </w:pPr>
  </w:style>
  <w:style w:type="paragraph" w:customStyle="1" w:styleId="Paratitle">
    <w:name w:val="Para title"/>
    <w:basedOn w:val="Normal"/>
    <w:rsid w:val="003B41F0"/>
    <w:pPr>
      <w:tabs>
        <w:tab w:val="center" w:pos="9270"/>
      </w:tabs>
      <w:spacing w:after="240"/>
    </w:pPr>
    <w:rPr>
      <w:spacing w:val="-2"/>
    </w:rPr>
  </w:style>
  <w:style w:type="paragraph" w:customStyle="1" w:styleId="Bullet">
    <w:name w:val="Bullet"/>
    <w:basedOn w:val="Normal"/>
    <w:rsid w:val="003B41F0"/>
    <w:pPr>
      <w:tabs>
        <w:tab w:val="left" w:pos="2160"/>
      </w:tabs>
      <w:spacing w:after="220"/>
      <w:ind w:left="2160" w:hanging="720"/>
    </w:pPr>
  </w:style>
  <w:style w:type="paragraph" w:customStyle="1" w:styleId="TableFormat">
    <w:name w:val="TableFormat"/>
    <w:basedOn w:val="Bullet"/>
    <w:rsid w:val="003B41F0"/>
    <w:pPr>
      <w:tabs>
        <w:tab w:val="clear" w:pos="2160"/>
        <w:tab w:val="left" w:pos="5040"/>
      </w:tabs>
      <w:ind w:left="5040" w:hanging="3600"/>
    </w:pPr>
  </w:style>
  <w:style w:type="paragraph" w:customStyle="1" w:styleId="TOCTitle">
    <w:name w:val="TOC Title"/>
    <w:basedOn w:val="Normal"/>
    <w:rsid w:val="003B41F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B41F0"/>
    <w:pPr>
      <w:jc w:val="center"/>
    </w:pPr>
    <w:rPr>
      <w:rFonts w:ascii="Times New Roman Bold" w:hAnsi="Times New Roman Bold"/>
      <w:b/>
      <w:bCs/>
      <w:caps/>
      <w:szCs w:val="22"/>
    </w:rPr>
  </w:style>
  <w:style w:type="character" w:customStyle="1" w:styleId="ALTSFOOTNOTEChar1">
    <w:name w:val="ALTS FOOTNOTE Char1"/>
    <w:aliases w:val="Footnote Text Char2 Char Char Char Char,Footnote Text Char1 Char1 Char Char Char Char,f Char"/>
    <w:rsid w:val="009035F7"/>
  </w:style>
  <w:style w:type="character" w:customStyle="1" w:styleId="ParaNumCharChar1">
    <w:name w:val="ParaNum Char Char1"/>
    <w:link w:val="ParaNum"/>
    <w:locked/>
    <w:rsid w:val="006F60F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1470</Words>
  <Characters>8293</Characters>
  <Application>Microsoft Office Word</Application>
  <DocSecurity>0</DocSecurity>
  <Lines>155</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9775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2016-07-15T19:50:00Z</dcterms:created>
  <dcterms:modified xsi:type="dcterms:W3CDTF">2016-07-15T19:50:00Z</dcterms:modified>
  <cp:category> </cp:category>
  <cp:contentStatus> </cp:contentStatus>
</cp:coreProperties>
</file>