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F" w:rsidRPr="00A81848" w:rsidRDefault="00F845EF" w:rsidP="00C5386D">
      <w:pPr>
        <w:jc w:val="center"/>
        <w:rPr>
          <w:b/>
          <w:szCs w:val="24"/>
        </w:rPr>
      </w:pPr>
      <w:bookmarkStart w:id="0" w:name="_GoBack"/>
      <w:bookmarkEnd w:id="0"/>
      <w:r w:rsidRPr="00A81848">
        <w:rPr>
          <w:b/>
          <w:szCs w:val="24"/>
        </w:rPr>
        <w:t>Before the</w:t>
      </w:r>
    </w:p>
    <w:p w:rsidR="00F845EF" w:rsidRPr="00A81848" w:rsidRDefault="00F845EF" w:rsidP="00C5386D">
      <w:pPr>
        <w:jc w:val="center"/>
        <w:rPr>
          <w:b/>
          <w:szCs w:val="24"/>
        </w:rPr>
      </w:pPr>
      <w:r w:rsidRPr="00A81848">
        <w:rPr>
          <w:b/>
          <w:szCs w:val="24"/>
        </w:rPr>
        <w:t>Federal Communications Commission</w:t>
      </w:r>
    </w:p>
    <w:p w:rsidR="00F845EF" w:rsidRPr="00A81848" w:rsidRDefault="00F845EF">
      <w:pPr>
        <w:jc w:val="center"/>
        <w:rPr>
          <w:b/>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F845EF" w:rsidRPr="00A81848" w:rsidRDefault="00F845EF" w:rsidP="00C4032E">
      <w:pPr>
        <w:rPr>
          <w:szCs w:val="24"/>
        </w:rPr>
      </w:pPr>
    </w:p>
    <w:p w:rsidR="000D4F64" w:rsidRPr="001106B2" w:rsidRDefault="000D4F64" w:rsidP="000D4F64"/>
    <w:tbl>
      <w:tblPr>
        <w:tblW w:w="20754" w:type="dxa"/>
        <w:tblLayout w:type="fixed"/>
        <w:tblLook w:val="0000" w:firstRow="0" w:lastRow="0" w:firstColumn="0" w:lastColumn="0" w:noHBand="0" w:noVBand="0"/>
      </w:tblPr>
      <w:tblGrid>
        <w:gridCol w:w="4698"/>
        <w:gridCol w:w="810"/>
        <w:gridCol w:w="5850"/>
        <w:gridCol w:w="4698"/>
        <w:gridCol w:w="4698"/>
      </w:tblGrid>
      <w:tr w:rsidR="000D4F64" w:rsidRPr="001106B2" w:rsidTr="000565A4">
        <w:tc>
          <w:tcPr>
            <w:tcW w:w="4698" w:type="dxa"/>
          </w:tcPr>
          <w:p w:rsidR="000D4F64" w:rsidRDefault="000D4F64" w:rsidP="00DA0BDA">
            <w:pPr>
              <w:tabs>
                <w:tab w:val="center" w:pos="4680"/>
              </w:tabs>
              <w:suppressAutoHyphens/>
              <w:rPr>
                <w:spacing w:val="-2"/>
                <w:szCs w:val="22"/>
              </w:rPr>
            </w:pPr>
            <w:r>
              <w:rPr>
                <w:spacing w:val="-2"/>
                <w:szCs w:val="22"/>
              </w:rPr>
              <w:t>In the Matter of</w:t>
            </w:r>
          </w:p>
          <w:p w:rsidR="000D4F64" w:rsidRDefault="000D4F64" w:rsidP="00DA0BDA">
            <w:pPr>
              <w:tabs>
                <w:tab w:val="center" w:pos="4680"/>
              </w:tabs>
              <w:suppressAutoHyphens/>
              <w:rPr>
                <w:spacing w:val="-2"/>
                <w:szCs w:val="22"/>
              </w:rPr>
            </w:pPr>
          </w:p>
          <w:p w:rsidR="000D4F64" w:rsidRDefault="000D4F64" w:rsidP="00DA0BDA">
            <w:pPr>
              <w:tabs>
                <w:tab w:val="center" w:pos="4680"/>
              </w:tabs>
              <w:suppressAutoHyphens/>
              <w:rPr>
                <w:spacing w:val="-2"/>
                <w:szCs w:val="22"/>
              </w:rPr>
            </w:pPr>
            <w:r>
              <w:rPr>
                <w:spacing w:val="-2"/>
                <w:szCs w:val="22"/>
              </w:rPr>
              <w:t>Ameritech Operating Companies</w:t>
            </w:r>
          </w:p>
          <w:p w:rsidR="000D4F64" w:rsidRDefault="000D4F64" w:rsidP="00DA0BDA">
            <w:pPr>
              <w:tabs>
                <w:tab w:val="center" w:pos="4680"/>
              </w:tabs>
              <w:suppressAutoHyphens/>
              <w:rPr>
                <w:spacing w:val="-2"/>
                <w:szCs w:val="22"/>
              </w:rPr>
            </w:pPr>
            <w:r>
              <w:rPr>
                <w:spacing w:val="-2"/>
                <w:szCs w:val="22"/>
              </w:rPr>
              <w:t>Tariff F.C.C. No. 2</w:t>
            </w:r>
          </w:p>
          <w:p w:rsidR="000D4F64" w:rsidRDefault="000D4F64" w:rsidP="00DA0BDA">
            <w:pPr>
              <w:tabs>
                <w:tab w:val="center" w:pos="4680"/>
              </w:tabs>
              <w:suppressAutoHyphens/>
              <w:rPr>
                <w:spacing w:val="-2"/>
                <w:szCs w:val="22"/>
              </w:rPr>
            </w:pPr>
          </w:p>
          <w:p w:rsidR="000D4F64" w:rsidRDefault="000D4F64" w:rsidP="00DA0BDA">
            <w:pPr>
              <w:tabs>
                <w:tab w:val="center" w:pos="4680"/>
              </w:tabs>
              <w:suppressAutoHyphens/>
              <w:rPr>
                <w:spacing w:val="-2"/>
                <w:szCs w:val="22"/>
              </w:rPr>
            </w:pPr>
            <w:r>
              <w:rPr>
                <w:spacing w:val="-2"/>
                <w:szCs w:val="22"/>
              </w:rPr>
              <w:t>Pacific Bell Telephone Company</w:t>
            </w:r>
          </w:p>
          <w:p w:rsidR="000D4F64" w:rsidRDefault="000565A4" w:rsidP="00DA0BDA">
            <w:pPr>
              <w:tabs>
                <w:tab w:val="center" w:pos="4680"/>
              </w:tabs>
              <w:suppressAutoHyphens/>
              <w:rPr>
                <w:spacing w:val="-2"/>
                <w:szCs w:val="22"/>
              </w:rPr>
            </w:pPr>
            <w:r>
              <w:rPr>
                <w:spacing w:val="-2"/>
                <w:szCs w:val="22"/>
              </w:rPr>
              <w:t>T</w:t>
            </w:r>
            <w:r w:rsidR="000D4F64">
              <w:rPr>
                <w:spacing w:val="-2"/>
                <w:szCs w:val="22"/>
              </w:rPr>
              <w:t>ariff F.C.C. No. 1</w:t>
            </w:r>
          </w:p>
          <w:p w:rsidR="000565A4" w:rsidRDefault="000565A4" w:rsidP="00DA0BDA">
            <w:pPr>
              <w:tabs>
                <w:tab w:val="center" w:pos="4680"/>
              </w:tabs>
              <w:suppressAutoHyphens/>
              <w:rPr>
                <w:spacing w:val="-2"/>
                <w:szCs w:val="22"/>
              </w:rPr>
            </w:pPr>
          </w:p>
          <w:p w:rsidR="000565A4" w:rsidRDefault="000565A4" w:rsidP="000565A4">
            <w:pPr>
              <w:rPr>
                <w:szCs w:val="24"/>
              </w:rPr>
            </w:pPr>
            <w:r>
              <w:rPr>
                <w:szCs w:val="24"/>
              </w:rPr>
              <w:t>Southwestern Bell Telephone Company</w:t>
            </w:r>
          </w:p>
          <w:p w:rsidR="000565A4" w:rsidRDefault="000565A4" w:rsidP="000565A4">
            <w:pPr>
              <w:rPr>
                <w:szCs w:val="24"/>
              </w:rPr>
            </w:pPr>
            <w:r>
              <w:rPr>
                <w:szCs w:val="24"/>
              </w:rPr>
              <w:t>Tariff F.C.C. No. 73</w:t>
            </w:r>
          </w:p>
          <w:p w:rsidR="009035F7" w:rsidRDefault="009035F7" w:rsidP="000565A4">
            <w:pPr>
              <w:rPr>
                <w:szCs w:val="24"/>
              </w:rPr>
            </w:pPr>
          </w:p>
          <w:p w:rsidR="009035F7" w:rsidRPr="009035F7" w:rsidRDefault="009035F7" w:rsidP="009035F7">
            <w:pPr>
              <w:widowControl/>
              <w:tabs>
                <w:tab w:val="center" w:pos="4680"/>
              </w:tabs>
              <w:suppressAutoHyphens/>
              <w:rPr>
                <w:rFonts w:eastAsiaTheme="minorHAnsi" w:cs="Calibri"/>
                <w:snapToGrid/>
                <w:spacing w:val="-2"/>
                <w:kern w:val="0"/>
                <w:szCs w:val="22"/>
              </w:rPr>
            </w:pPr>
            <w:r w:rsidRPr="009035F7">
              <w:rPr>
                <w:rFonts w:eastAsiaTheme="minorHAnsi" w:cs="Calibri"/>
                <w:snapToGrid/>
                <w:spacing w:val="-2"/>
                <w:kern w:val="0"/>
                <w:szCs w:val="22"/>
              </w:rPr>
              <w:t>Investigation of Certain Price Cap Local Exchange</w:t>
            </w:r>
          </w:p>
          <w:p w:rsidR="009035F7" w:rsidRPr="009035F7" w:rsidRDefault="009035F7" w:rsidP="009035F7">
            <w:pPr>
              <w:widowControl/>
              <w:tabs>
                <w:tab w:val="center" w:pos="4680"/>
              </w:tabs>
              <w:suppressAutoHyphens/>
              <w:rPr>
                <w:rFonts w:eastAsiaTheme="minorHAnsi" w:cs="Calibri"/>
                <w:snapToGrid/>
                <w:spacing w:val="-2"/>
                <w:kern w:val="0"/>
                <w:szCs w:val="22"/>
              </w:rPr>
            </w:pPr>
            <w:r w:rsidRPr="009035F7">
              <w:rPr>
                <w:rFonts w:eastAsiaTheme="minorHAnsi" w:cs="Calibri"/>
                <w:snapToGrid/>
                <w:spacing w:val="-2"/>
                <w:kern w:val="0"/>
                <w:szCs w:val="22"/>
              </w:rPr>
              <w:t>Carrier Business Data Services Tariff Pricing Plans</w:t>
            </w:r>
          </w:p>
          <w:p w:rsidR="000565A4" w:rsidRDefault="000565A4" w:rsidP="00DA0BDA">
            <w:pPr>
              <w:tabs>
                <w:tab w:val="center" w:pos="4680"/>
              </w:tabs>
              <w:suppressAutoHyphens/>
              <w:rPr>
                <w:spacing w:val="-2"/>
                <w:szCs w:val="22"/>
              </w:rPr>
            </w:pPr>
          </w:p>
        </w:tc>
        <w:tc>
          <w:tcPr>
            <w:tcW w:w="810" w:type="dxa"/>
          </w:tcPr>
          <w:p w:rsidR="000D4F64" w:rsidRDefault="000D4F64" w:rsidP="00DA0BDA">
            <w:pPr>
              <w:tabs>
                <w:tab w:val="center" w:pos="4680"/>
              </w:tabs>
              <w:suppressAutoHyphens/>
              <w:rPr>
                <w:b/>
                <w:spacing w:val="-2"/>
                <w:szCs w:val="22"/>
              </w:rPr>
            </w:pPr>
            <w:r>
              <w:rPr>
                <w:b/>
                <w:spacing w:val="-2"/>
                <w:szCs w:val="22"/>
              </w:rPr>
              <w:t>)</w:t>
            </w:r>
          </w:p>
          <w:p w:rsidR="000D4F64" w:rsidRDefault="000D4F64" w:rsidP="00DA0BDA">
            <w:pPr>
              <w:tabs>
                <w:tab w:val="center" w:pos="4680"/>
              </w:tabs>
              <w:suppressAutoHyphens/>
              <w:rPr>
                <w:b/>
                <w:spacing w:val="-2"/>
                <w:szCs w:val="22"/>
              </w:rPr>
            </w:pPr>
            <w:r>
              <w:rPr>
                <w:b/>
                <w:spacing w:val="-2"/>
                <w:szCs w:val="22"/>
              </w:rPr>
              <w:t>)</w:t>
            </w:r>
          </w:p>
          <w:p w:rsidR="000D4F64" w:rsidRDefault="000D4F64" w:rsidP="00DA0BDA">
            <w:pPr>
              <w:tabs>
                <w:tab w:val="center" w:pos="4680"/>
              </w:tabs>
              <w:suppressAutoHyphens/>
              <w:rPr>
                <w:b/>
                <w:spacing w:val="-2"/>
                <w:szCs w:val="22"/>
              </w:rPr>
            </w:pPr>
            <w:r>
              <w:rPr>
                <w:b/>
                <w:spacing w:val="-2"/>
                <w:szCs w:val="22"/>
              </w:rPr>
              <w:t>)</w:t>
            </w:r>
          </w:p>
          <w:p w:rsidR="000D4F64" w:rsidRDefault="000D4F64" w:rsidP="00DA0BDA">
            <w:pPr>
              <w:tabs>
                <w:tab w:val="center" w:pos="4680"/>
              </w:tabs>
              <w:suppressAutoHyphens/>
              <w:rPr>
                <w:b/>
                <w:spacing w:val="-2"/>
                <w:szCs w:val="22"/>
              </w:rPr>
            </w:pPr>
            <w:r>
              <w:rPr>
                <w:b/>
                <w:spacing w:val="-2"/>
                <w:szCs w:val="22"/>
              </w:rPr>
              <w:t>)</w:t>
            </w:r>
          </w:p>
          <w:p w:rsidR="000D4F64" w:rsidRDefault="000D4F64" w:rsidP="00DA0BDA">
            <w:pPr>
              <w:tabs>
                <w:tab w:val="center" w:pos="4680"/>
              </w:tabs>
              <w:suppressAutoHyphens/>
              <w:rPr>
                <w:b/>
                <w:spacing w:val="-2"/>
                <w:szCs w:val="22"/>
              </w:rPr>
            </w:pPr>
            <w:r>
              <w:rPr>
                <w:b/>
                <w:spacing w:val="-2"/>
                <w:szCs w:val="22"/>
              </w:rPr>
              <w:t>)</w:t>
            </w:r>
          </w:p>
          <w:p w:rsidR="000D4F6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0565A4" w:rsidRDefault="000565A4" w:rsidP="00DA0BDA">
            <w:pPr>
              <w:tabs>
                <w:tab w:val="center" w:pos="4680"/>
              </w:tabs>
              <w:suppressAutoHyphens/>
              <w:rPr>
                <w:b/>
                <w:spacing w:val="-2"/>
                <w:szCs w:val="22"/>
              </w:rPr>
            </w:pPr>
            <w:r>
              <w:rPr>
                <w:b/>
                <w:spacing w:val="-2"/>
                <w:szCs w:val="22"/>
              </w:rPr>
              <w:t>)</w:t>
            </w:r>
          </w:p>
          <w:p w:rsidR="009035F7" w:rsidRDefault="009035F7" w:rsidP="00DA0BDA">
            <w:pPr>
              <w:tabs>
                <w:tab w:val="center" w:pos="4680"/>
              </w:tabs>
              <w:suppressAutoHyphens/>
              <w:rPr>
                <w:b/>
                <w:spacing w:val="-2"/>
                <w:szCs w:val="22"/>
              </w:rPr>
            </w:pPr>
            <w:r>
              <w:rPr>
                <w:b/>
                <w:spacing w:val="-2"/>
                <w:szCs w:val="22"/>
              </w:rPr>
              <w:t>)</w:t>
            </w:r>
          </w:p>
          <w:p w:rsidR="009035F7" w:rsidRDefault="009035F7" w:rsidP="00DA0BDA">
            <w:pPr>
              <w:tabs>
                <w:tab w:val="center" w:pos="4680"/>
              </w:tabs>
              <w:suppressAutoHyphens/>
              <w:rPr>
                <w:b/>
                <w:spacing w:val="-2"/>
                <w:szCs w:val="22"/>
              </w:rPr>
            </w:pPr>
            <w:r>
              <w:rPr>
                <w:b/>
                <w:spacing w:val="-2"/>
                <w:szCs w:val="22"/>
              </w:rPr>
              <w:t>)</w:t>
            </w:r>
          </w:p>
          <w:p w:rsidR="009035F7" w:rsidRDefault="009035F7" w:rsidP="00DA0BDA">
            <w:pPr>
              <w:tabs>
                <w:tab w:val="center" w:pos="4680"/>
              </w:tabs>
              <w:suppressAutoHyphens/>
              <w:rPr>
                <w:b/>
                <w:spacing w:val="-2"/>
                <w:szCs w:val="22"/>
              </w:rPr>
            </w:pPr>
            <w:r>
              <w:rPr>
                <w:b/>
                <w:spacing w:val="-2"/>
                <w:szCs w:val="22"/>
              </w:rPr>
              <w:t>)</w:t>
            </w:r>
          </w:p>
        </w:tc>
        <w:tc>
          <w:tcPr>
            <w:tcW w:w="5850" w:type="dxa"/>
          </w:tcPr>
          <w:p w:rsidR="000D4F64" w:rsidRDefault="000D4F64" w:rsidP="00DA0BDA">
            <w:pPr>
              <w:tabs>
                <w:tab w:val="center" w:pos="4680"/>
              </w:tabs>
              <w:suppressAutoHyphens/>
              <w:ind w:left="-108"/>
              <w:rPr>
                <w:spacing w:val="-2"/>
                <w:szCs w:val="22"/>
              </w:rPr>
            </w:pPr>
          </w:p>
          <w:p w:rsidR="000D4F64" w:rsidRDefault="000D4F64" w:rsidP="00DA0BDA">
            <w:pPr>
              <w:tabs>
                <w:tab w:val="center" w:pos="4680"/>
              </w:tabs>
              <w:suppressAutoHyphens/>
              <w:ind w:left="-108"/>
              <w:rPr>
                <w:spacing w:val="-2"/>
                <w:szCs w:val="22"/>
              </w:rPr>
            </w:pPr>
          </w:p>
          <w:p w:rsidR="000D4F64" w:rsidRDefault="000D4F64" w:rsidP="00DA0BDA">
            <w:pPr>
              <w:tabs>
                <w:tab w:val="center" w:pos="4680"/>
              </w:tabs>
              <w:suppressAutoHyphens/>
              <w:ind w:left="-108"/>
              <w:rPr>
                <w:spacing w:val="-2"/>
                <w:szCs w:val="22"/>
              </w:rPr>
            </w:pPr>
            <w:r>
              <w:rPr>
                <w:spacing w:val="-2"/>
                <w:szCs w:val="22"/>
              </w:rPr>
              <w:t>Transmittal No. 1847</w:t>
            </w:r>
          </w:p>
          <w:p w:rsidR="000D4F64" w:rsidRDefault="000D4F64" w:rsidP="00DA0BDA">
            <w:pPr>
              <w:tabs>
                <w:tab w:val="center" w:pos="4680"/>
              </w:tabs>
              <w:suppressAutoHyphens/>
              <w:ind w:left="-108"/>
              <w:rPr>
                <w:spacing w:val="-2"/>
                <w:szCs w:val="22"/>
              </w:rPr>
            </w:pPr>
          </w:p>
          <w:p w:rsidR="000565A4" w:rsidRDefault="000565A4" w:rsidP="00DA0BDA">
            <w:pPr>
              <w:tabs>
                <w:tab w:val="center" w:pos="4680"/>
              </w:tabs>
              <w:suppressAutoHyphens/>
              <w:ind w:left="-108"/>
              <w:rPr>
                <w:spacing w:val="-2"/>
                <w:szCs w:val="22"/>
              </w:rPr>
            </w:pPr>
          </w:p>
          <w:p w:rsidR="000D4F64" w:rsidRDefault="000565A4" w:rsidP="00DA0BDA">
            <w:pPr>
              <w:tabs>
                <w:tab w:val="center" w:pos="4680"/>
              </w:tabs>
              <w:suppressAutoHyphens/>
              <w:ind w:left="-108"/>
              <w:rPr>
                <w:spacing w:val="-2"/>
                <w:szCs w:val="22"/>
              </w:rPr>
            </w:pPr>
            <w:r>
              <w:rPr>
                <w:spacing w:val="-2"/>
                <w:szCs w:val="22"/>
              </w:rPr>
              <w:t>Transmittal No. 539</w:t>
            </w:r>
          </w:p>
          <w:p w:rsidR="000565A4" w:rsidRDefault="000565A4" w:rsidP="00DA0BDA">
            <w:pPr>
              <w:tabs>
                <w:tab w:val="center" w:pos="4680"/>
              </w:tabs>
              <w:suppressAutoHyphens/>
              <w:ind w:left="-108"/>
              <w:rPr>
                <w:spacing w:val="-2"/>
                <w:szCs w:val="22"/>
              </w:rPr>
            </w:pPr>
          </w:p>
          <w:p w:rsidR="000565A4" w:rsidRDefault="000565A4" w:rsidP="00DA0BDA">
            <w:pPr>
              <w:tabs>
                <w:tab w:val="center" w:pos="4680"/>
              </w:tabs>
              <w:suppressAutoHyphens/>
              <w:ind w:left="-108"/>
              <w:rPr>
                <w:spacing w:val="-2"/>
                <w:szCs w:val="22"/>
              </w:rPr>
            </w:pPr>
          </w:p>
          <w:p w:rsidR="000565A4" w:rsidRDefault="000565A4" w:rsidP="00DA0BDA">
            <w:pPr>
              <w:tabs>
                <w:tab w:val="center" w:pos="4680"/>
              </w:tabs>
              <w:suppressAutoHyphens/>
              <w:ind w:left="-108"/>
              <w:rPr>
                <w:spacing w:val="-2"/>
                <w:szCs w:val="22"/>
              </w:rPr>
            </w:pPr>
            <w:r>
              <w:rPr>
                <w:spacing w:val="-2"/>
                <w:szCs w:val="22"/>
              </w:rPr>
              <w:t>Transmittal No. 3428</w:t>
            </w:r>
          </w:p>
          <w:p w:rsidR="009035F7" w:rsidRDefault="009035F7" w:rsidP="00DA0BDA">
            <w:pPr>
              <w:tabs>
                <w:tab w:val="center" w:pos="4680"/>
              </w:tabs>
              <w:suppressAutoHyphens/>
              <w:ind w:left="-108"/>
              <w:rPr>
                <w:spacing w:val="-2"/>
                <w:szCs w:val="22"/>
              </w:rPr>
            </w:pPr>
          </w:p>
          <w:p w:rsidR="009035F7" w:rsidRDefault="009035F7" w:rsidP="00DA0BDA">
            <w:pPr>
              <w:tabs>
                <w:tab w:val="center" w:pos="4680"/>
              </w:tabs>
              <w:suppressAutoHyphens/>
              <w:ind w:left="-108"/>
              <w:rPr>
                <w:spacing w:val="-2"/>
                <w:szCs w:val="22"/>
              </w:rPr>
            </w:pPr>
          </w:p>
          <w:p w:rsidR="009035F7" w:rsidRDefault="009035F7" w:rsidP="006B37B1">
            <w:pPr>
              <w:tabs>
                <w:tab w:val="center" w:pos="4680"/>
              </w:tabs>
              <w:suppressAutoHyphens/>
              <w:ind w:left="-108"/>
              <w:rPr>
                <w:spacing w:val="-2"/>
                <w:szCs w:val="22"/>
              </w:rPr>
            </w:pPr>
            <w:r>
              <w:rPr>
                <w:spacing w:val="-2"/>
                <w:szCs w:val="22"/>
              </w:rPr>
              <w:t>WC Docket No. 1</w:t>
            </w:r>
            <w:r w:rsidR="006B37B1">
              <w:rPr>
                <w:spacing w:val="-2"/>
                <w:szCs w:val="22"/>
              </w:rPr>
              <w:t>5</w:t>
            </w:r>
            <w:r>
              <w:rPr>
                <w:spacing w:val="-2"/>
                <w:szCs w:val="22"/>
              </w:rPr>
              <w:t>-247</w:t>
            </w:r>
          </w:p>
        </w:tc>
        <w:tc>
          <w:tcPr>
            <w:tcW w:w="4698" w:type="dxa"/>
          </w:tcPr>
          <w:p w:rsidR="000D4F64" w:rsidRPr="001106B2" w:rsidRDefault="000D4F64" w:rsidP="00DA0BDA">
            <w:pPr>
              <w:snapToGrid w:val="0"/>
            </w:pPr>
          </w:p>
        </w:tc>
        <w:tc>
          <w:tcPr>
            <w:tcW w:w="4698" w:type="dxa"/>
          </w:tcPr>
          <w:p w:rsidR="000D4F64" w:rsidRPr="001106B2" w:rsidRDefault="000D4F64" w:rsidP="00DA0BDA">
            <w:pPr>
              <w:rPr>
                <w:b/>
              </w:rPr>
            </w:pPr>
          </w:p>
        </w:tc>
      </w:tr>
    </w:tbl>
    <w:p w:rsidR="00F845EF" w:rsidRPr="00A81848" w:rsidRDefault="00F845EF" w:rsidP="000E08A6">
      <w:pPr>
        <w:spacing w:before="120"/>
        <w:jc w:val="center"/>
        <w:rPr>
          <w:b/>
          <w:szCs w:val="24"/>
        </w:rPr>
      </w:pPr>
      <w:r w:rsidRPr="00A81848">
        <w:rPr>
          <w:b/>
          <w:spacing w:val="-2"/>
          <w:szCs w:val="24"/>
        </w:rPr>
        <w:t>ORDER</w:t>
      </w:r>
    </w:p>
    <w:p w:rsidR="00A81848" w:rsidRDefault="00A81848" w:rsidP="00C4032E">
      <w:pPr>
        <w:tabs>
          <w:tab w:val="left" w:pos="5760"/>
        </w:tabs>
        <w:rPr>
          <w:szCs w:val="24"/>
        </w:rPr>
      </w:pPr>
    </w:p>
    <w:p w:rsidR="00F845EF" w:rsidRPr="00A81848" w:rsidRDefault="00F845EF" w:rsidP="002D3727">
      <w:pPr>
        <w:tabs>
          <w:tab w:val="left" w:pos="5760"/>
        </w:tabs>
        <w:rPr>
          <w:b/>
          <w:szCs w:val="24"/>
        </w:rPr>
      </w:pPr>
      <w:r w:rsidRPr="00A81848">
        <w:rPr>
          <w:b/>
          <w:szCs w:val="24"/>
        </w:rPr>
        <w:t xml:space="preserve">Adopted:  </w:t>
      </w:r>
      <w:r w:rsidR="000D4F64">
        <w:rPr>
          <w:b/>
          <w:szCs w:val="24"/>
        </w:rPr>
        <w:t>July 15, 2016</w:t>
      </w:r>
      <w:r w:rsidRPr="00A81848">
        <w:rPr>
          <w:b/>
          <w:szCs w:val="24"/>
        </w:rPr>
        <w:tab/>
      </w:r>
      <w:r w:rsidR="00A81848">
        <w:rPr>
          <w:b/>
          <w:szCs w:val="24"/>
        </w:rPr>
        <w:tab/>
      </w:r>
      <w:r w:rsidRPr="00A81848">
        <w:rPr>
          <w:b/>
          <w:szCs w:val="24"/>
        </w:rPr>
        <w:t xml:space="preserve">Released:  </w:t>
      </w:r>
      <w:r w:rsidR="000D4F64">
        <w:rPr>
          <w:b/>
          <w:szCs w:val="24"/>
        </w:rPr>
        <w:t>July 15, 2016</w:t>
      </w:r>
    </w:p>
    <w:p w:rsidR="00F845EF" w:rsidRPr="00A81848" w:rsidRDefault="00F845EF">
      <w:pPr>
        <w:tabs>
          <w:tab w:val="left" w:pos="5760"/>
        </w:tabs>
        <w:rPr>
          <w:b/>
          <w:szCs w:val="24"/>
        </w:rPr>
      </w:pPr>
    </w:p>
    <w:p w:rsidR="00F845EF" w:rsidRPr="00A81848" w:rsidRDefault="00F845EF">
      <w:pPr>
        <w:tabs>
          <w:tab w:val="left" w:pos="5760"/>
        </w:tabs>
        <w:rPr>
          <w:spacing w:val="-2"/>
          <w:szCs w:val="24"/>
        </w:rPr>
      </w:pPr>
      <w:r w:rsidRPr="00A81848">
        <w:rPr>
          <w:szCs w:val="24"/>
        </w:rPr>
        <w:t xml:space="preserve">By the </w:t>
      </w:r>
      <w:r w:rsidRPr="00A81848">
        <w:rPr>
          <w:spacing w:val="-2"/>
          <w:szCs w:val="24"/>
        </w:rPr>
        <w:t xml:space="preserve">Chief, </w:t>
      </w:r>
      <w:r w:rsidR="0057039C">
        <w:rPr>
          <w:spacing w:val="-2"/>
          <w:szCs w:val="24"/>
        </w:rPr>
        <w:t>Wireline Competition Bureau</w:t>
      </w:r>
      <w:r w:rsidRPr="00A81848">
        <w:rPr>
          <w:spacing w:val="-2"/>
          <w:szCs w:val="24"/>
        </w:rPr>
        <w:t>:</w:t>
      </w:r>
    </w:p>
    <w:p w:rsidR="00F845EF" w:rsidRPr="00A81848" w:rsidRDefault="00F845EF">
      <w:pPr>
        <w:tabs>
          <w:tab w:val="left" w:pos="5760"/>
        </w:tabs>
        <w:rPr>
          <w:spacing w:val="-2"/>
          <w:szCs w:val="24"/>
        </w:rPr>
      </w:pPr>
    </w:p>
    <w:p w:rsidR="00F845EF" w:rsidRPr="00A81848" w:rsidRDefault="00F845EF" w:rsidP="00E8142F">
      <w:pPr>
        <w:pStyle w:val="Heading1"/>
        <w:rPr>
          <w:szCs w:val="24"/>
        </w:rPr>
      </w:pPr>
      <w:r w:rsidRPr="00A81848">
        <w:rPr>
          <w:szCs w:val="24"/>
        </w:rPr>
        <w:t>INTRODUCTION</w:t>
      </w:r>
    </w:p>
    <w:p w:rsidR="00244D48" w:rsidRPr="00D22B73" w:rsidRDefault="00CB24B0" w:rsidP="00A2541D">
      <w:pPr>
        <w:pStyle w:val="ParaNum"/>
        <w:widowControl/>
        <w:rPr>
          <w:szCs w:val="22"/>
        </w:rPr>
      </w:pPr>
      <w:r w:rsidRPr="006446D7">
        <w:t xml:space="preserve">On </w:t>
      </w:r>
      <w:r w:rsidR="009D2F93">
        <w:t>July 1, 2016</w:t>
      </w:r>
      <w:r w:rsidR="00CC190D" w:rsidRPr="006446D7">
        <w:t xml:space="preserve">, </w:t>
      </w:r>
      <w:r w:rsidR="00BD3854">
        <w:t xml:space="preserve">Ameritech Operating Companies (Ameritech), Pacific Bell Telephone Company (PBTC), and Southwestern Bell Telephone Company (SWBT) (collectively AT&amp;T) filed </w:t>
      </w:r>
      <w:r w:rsidR="00676FF5">
        <w:t>Transmittal Nos. 1847, 539, and 3428</w:t>
      </w:r>
      <w:r w:rsidR="00450EBC" w:rsidRPr="006446D7">
        <w:t xml:space="preserve">, </w:t>
      </w:r>
      <w:r w:rsidR="00BD3854">
        <w:t xml:space="preserve">respectively, </w:t>
      </w:r>
      <w:r w:rsidR="007D2A0F">
        <w:t>propos</w:t>
      </w:r>
      <w:r w:rsidR="00676FF5">
        <w:t>ing</w:t>
      </w:r>
      <w:r w:rsidR="00450EBC" w:rsidRPr="006446D7">
        <w:t xml:space="preserve"> tariff</w:t>
      </w:r>
      <w:r w:rsidR="005A211E">
        <w:t xml:space="preserve"> </w:t>
      </w:r>
      <w:r w:rsidR="00676FF5">
        <w:t>revisions to Ameritech’s interstate access Tariff F.C.C. No. 2, PBTC’s interstate access Tariff F.C.C. No. 1, and SWBT’s interstate access Tariff F.C.C. No. 73</w:t>
      </w:r>
      <w:r w:rsidR="007D23A3">
        <w:t>,</w:t>
      </w:r>
      <w:r w:rsidR="005A211E">
        <w:t xml:space="preserve"> </w:t>
      </w:r>
      <w:r w:rsidR="00546902">
        <w:t xml:space="preserve">which they assert are </w:t>
      </w:r>
      <w:r w:rsidR="006446D7" w:rsidRPr="006446D7">
        <w:t>“</w:t>
      </w:r>
      <w:r w:rsidR="005A211E">
        <w:t>in compliance with the Commission’s rules, F.C.C. Order No. FCC 16-54 (the Order) and the requirements of the Communications Act of 1934, as amended.</w:t>
      </w:r>
      <w:r w:rsidR="006446D7">
        <w:t>”</w:t>
      </w:r>
      <w:r w:rsidR="006446D7">
        <w:rPr>
          <w:rStyle w:val="FootnoteReference"/>
          <w:szCs w:val="22"/>
        </w:rPr>
        <w:footnoteReference w:id="2"/>
      </w:r>
      <w:r w:rsidR="00450EBC" w:rsidRPr="006446D7">
        <w:t xml:space="preserve"> </w:t>
      </w:r>
      <w:r w:rsidR="0079699B">
        <w:t xml:space="preserve"> The proposed transmittals</w:t>
      </w:r>
      <w:r w:rsidR="009D2F93">
        <w:t xml:space="preserve"> are</w:t>
      </w:r>
      <w:r w:rsidR="009873B1">
        <w:t xml:space="preserve"> scheduled to becom</w:t>
      </w:r>
      <w:r w:rsidR="009D2F93">
        <w:t>e effective on July 16, 2016</w:t>
      </w:r>
      <w:r w:rsidR="009873B1">
        <w:t>.</w:t>
      </w:r>
      <w:r w:rsidR="00EA126B">
        <w:rPr>
          <w:rStyle w:val="FootnoteReference"/>
          <w:szCs w:val="22"/>
        </w:rPr>
        <w:footnoteReference w:id="3"/>
      </w:r>
      <w:r w:rsidR="00D915B6">
        <w:t xml:space="preserve">  Because </w:t>
      </w:r>
      <w:r w:rsidR="00DD5C6C">
        <w:t>we conclude that AT&amp;T’s</w:t>
      </w:r>
      <w:r w:rsidR="00FE750F">
        <w:t xml:space="preserve"> tariff revisions </w:t>
      </w:r>
      <w:r w:rsidR="00D22B73">
        <w:t xml:space="preserve">related to the aggregation of all purchases under a single a plan </w:t>
      </w:r>
      <w:r w:rsidR="0079699B">
        <w:t>constitute</w:t>
      </w:r>
      <w:r w:rsidR="00FE750F">
        <w:t xml:space="preserve"> a restructure</w:t>
      </w:r>
      <w:r w:rsidR="00DE24FC">
        <w:t>d service</w:t>
      </w:r>
      <w:r w:rsidR="00FE750F">
        <w:t xml:space="preserve"> for which AT&amp;T has failed to make the required showing</w:t>
      </w:r>
      <w:r w:rsidR="0057039C">
        <w:t xml:space="preserve"> and violate the Commission’s </w:t>
      </w:r>
      <w:r w:rsidR="0057039C" w:rsidRPr="00D22B73">
        <w:rPr>
          <w:i/>
        </w:rPr>
        <w:t>Tariff Investigation Order</w:t>
      </w:r>
      <w:r w:rsidR="00FE750F">
        <w:t>,</w:t>
      </w:r>
      <w:r w:rsidR="00965A3C">
        <w:rPr>
          <w:rStyle w:val="FootnoteReference"/>
          <w:szCs w:val="22"/>
        </w:rPr>
        <w:footnoteReference w:id="4"/>
      </w:r>
      <w:r w:rsidR="00FE750F">
        <w:t xml:space="preserve"> </w:t>
      </w:r>
      <w:r w:rsidR="00D915B6">
        <w:t>we reject</w:t>
      </w:r>
      <w:r w:rsidR="00D22B73">
        <w:t xml:space="preserve"> Ameritech Transmittal No. 1847 proposed Section </w:t>
      </w:r>
      <w:r w:rsidR="00D22B73">
        <w:lastRenderedPageBreak/>
        <w:t>7.4.13(A), PBTC Transmittal No. 539 proposed Sections 7.4.18(E), and SWBT Transmittal No. 3428 proposed Section 7.2.22(E)</w:t>
      </w:r>
      <w:r w:rsidR="00FE750F" w:rsidRPr="00D22B73">
        <w:rPr>
          <w:szCs w:val="22"/>
        </w:rPr>
        <w:t xml:space="preserve"> </w:t>
      </w:r>
      <w:r w:rsidR="00D915B6" w:rsidRPr="00D22B73">
        <w:rPr>
          <w:szCs w:val="22"/>
        </w:rPr>
        <w:t xml:space="preserve">as </w:t>
      </w:r>
      <w:r w:rsidR="00FE750F" w:rsidRPr="00D22B73">
        <w:rPr>
          <w:szCs w:val="22"/>
        </w:rPr>
        <w:t>patently unlawful</w:t>
      </w:r>
      <w:r w:rsidR="009F3F22" w:rsidRPr="00D22B73">
        <w:rPr>
          <w:szCs w:val="22"/>
        </w:rPr>
        <w:t>.</w:t>
      </w:r>
      <w:r w:rsidR="00B63D06">
        <w:rPr>
          <w:rStyle w:val="FootnoteReference"/>
          <w:szCs w:val="22"/>
        </w:rPr>
        <w:footnoteReference w:id="5"/>
      </w:r>
    </w:p>
    <w:p w:rsidR="00F650AA" w:rsidRDefault="00F650AA" w:rsidP="002D3727">
      <w:pPr>
        <w:pStyle w:val="ParaNum"/>
        <w:numPr>
          <w:ilvl w:val="0"/>
          <w:numId w:val="0"/>
        </w:numPr>
        <w:rPr>
          <w:b/>
        </w:rPr>
      </w:pPr>
      <w:r w:rsidRPr="00F650AA">
        <w:rPr>
          <w:b/>
        </w:rPr>
        <w:t>II.          BACKGROUND</w:t>
      </w:r>
    </w:p>
    <w:p w:rsidR="00F15E4D" w:rsidRDefault="00F15E4D">
      <w:pPr>
        <w:pStyle w:val="ParaNum"/>
      </w:pPr>
      <w:r>
        <w:t xml:space="preserve">In the </w:t>
      </w:r>
      <w:r>
        <w:rPr>
          <w:i/>
        </w:rPr>
        <w:t>Tariff Investigation Order</w:t>
      </w:r>
      <w:r>
        <w:t>, the Commission concluded that various incumbent LEC pricing plans were unjust and unreasonable and directed the incumbent LECs at issue, including AT&amp;T, to submit a number of tariff revisions modifying or removing language from those plans.  Specifically, the Commission directed AT&amp;T to remove the relevant language requiring customers to aggregate all of their purchases under a single plan from the Ameritech DCP, SWBT DS1 TPP, and PBTC DS1 TPP.</w:t>
      </w:r>
      <w:r>
        <w:rPr>
          <w:rStyle w:val="FootnoteReference"/>
        </w:rPr>
        <w:footnoteReference w:id="6"/>
      </w:r>
      <w:r>
        <w:t xml:space="preserve">  </w:t>
      </w:r>
      <w:r w:rsidR="0064506F">
        <w:t xml:space="preserve"> </w:t>
      </w:r>
      <w:r w:rsidR="006D49C8">
        <w:t xml:space="preserve"> </w:t>
      </w:r>
      <w:r>
        <w:t>The Commission provided sixty (60) days for impacted incumbent LECs to file the tariff revisions, which required the revisions to be filed by July 1, 2016.</w:t>
      </w:r>
      <w:r>
        <w:rPr>
          <w:rStyle w:val="FootnoteReference"/>
        </w:rPr>
        <w:footnoteReference w:id="7"/>
      </w:r>
    </w:p>
    <w:p w:rsidR="0064506F" w:rsidRPr="00E34647" w:rsidRDefault="009035F7" w:rsidP="0064506F">
      <w:pPr>
        <w:pStyle w:val="ParaNum"/>
      </w:pPr>
      <w:r>
        <w:t>AT&amp;T filed</w:t>
      </w:r>
      <w:r w:rsidR="00305222">
        <w:t xml:space="preserve"> </w:t>
      </w:r>
      <w:r>
        <w:t xml:space="preserve">the </w:t>
      </w:r>
      <w:r w:rsidR="00305222">
        <w:t xml:space="preserve">above-referenced </w:t>
      </w:r>
      <w:r w:rsidR="000B37FB">
        <w:t xml:space="preserve">proposed </w:t>
      </w:r>
      <w:r>
        <w:t xml:space="preserve">transmittals </w:t>
      </w:r>
      <w:r w:rsidR="00305222">
        <w:t xml:space="preserve">on </w:t>
      </w:r>
      <w:r>
        <w:t xml:space="preserve">July 1, 2016, </w:t>
      </w:r>
      <w:r w:rsidR="00305222">
        <w:t>to becom</w:t>
      </w:r>
      <w:r>
        <w:t>e effective on July 16, 2016</w:t>
      </w:r>
      <w:r w:rsidR="00305222">
        <w:t>.</w:t>
      </w:r>
      <w:r w:rsidR="00305222" w:rsidRPr="005545CF">
        <w:rPr>
          <w:vertAlign w:val="superscript"/>
        </w:rPr>
        <w:footnoteReference w:id="8"/>
      </w:r>
      <w:r w:rsidR="00305222">
        <w:t xml:space="preserve">  On </w:t>
      </w:r>
      <w:r>
        <w:t>July 8, 2016</w:t>
      </w:r>
      <w:r w:rsidR="00305222">
        <w:t xml:space="preserve">, </w:t>
      </w:r>
      <w:r w:rsidR="00A229A8">
        <w:t>three</w:t>
      </w:r>
      <w:r w:rsidR="007B6199">
        <w:t xml:space="preserve"> separate</w:t>
      </w:r>
      <w:r w:rsidR="00A229A8">
        <w:t xml:space="preserve"> petitions were filed</w:t>
      </w:r>
      <w:r w:rsidR="007B6199">
        <w:t xml:space="preserve"> by the following parties</w:t>
      </w:r>
      <w:r w:rsidR="00A229A8">
        <w:t>, all</w:t>
      </w:r>
      <w:r w:rsidR="006D6CFB">
        <w:t xml:space="preserve"> similarly</w:t>
      </w:r>
      <w:r w:rsidR="00A229A8">
        <w:t xml:space="preserve"> asking the Commission to reject, or alternatively suspend</w:t>
      </w:r>
      <w:r w:rsidR="003A36A0">
        <w:t xml:space="preserve"> and investigate</w:t>
      </w:r>
      <w:r w:rsidR="00A229A8">
        <w:t xml:space="preserve">, the </w:t>
      </w:r>
      <w:r w:rsidR="003A36A0">
        <w:t xml:space="preserve">proposed </w:t>
      </w:r>
      <w:r w:rsidR="00A229A8">
        <w:t>AT&amp;T transmittal</w:t>
      </w:r>
      <w:r w:rsidR="003A36A0">
        <w:t>s</w:t>
      </w:r>
      <w:r w:rsidR="00A229A8">
        <w:t xml:space="preserve">:  </w:t>
      </w:r>
      <w:r w:rsidR="007B6199">
        <w:t xml:space="preserve">Windstream Services, LLC; Birch </w:t>
      </w:r>
      <w:r w:rsidR="00305222">
        <w:t>Communications</w:t>
      </w:r>
      <w:r w:rsidR="007B6199">
        <w:t xml:space="preserve">, Inc., EarthLink, Inc., INCOMPAS, Level 3 Communications, LLC, Sprint Corporation, and Windstream Services, LLC </w:t>
      </w:r>
      <w:r w:rsidR="00305222">
        <w:t>(</w:t>
      </w:r>
      <w:r w:rsidR="00A229A8">
        <w:t>collectively “</w:t>
      </w:r>
      <w:r w:rsidR="00FB1385">
        <w:t>Birch</w:t>
      </w:r>
      <w:r w:rsidR="00A229A8">
        <w:t>”)</w:t>
      </w:r>
      <w:r w:rsidR="007B6199">
        <w:t>; and U.S. Tel</w:t>
      </w:r>
      <w:r w:rsidR="00D22B73">
        <w:t>ePacific Corp. d/b/a TelePacific</w:t>
      </w:r>
      <w:r w:rsidR="007B6199">
        <w:t xml:space="preserve"> Communications and Alpheus Communications, LLC (“Tele</w:t>
      </w:r>
      <w:r w:rsidR="00AB3EC7">
        <w:t>P</w:t>
      </w:r>
      <w:r w:rsidR="007B6199">
        <w:t>acific/Alpheus”).</w:t>
      </w:r>
      <w:r w:rsidR="00305222">
        <w:rPr>
          <w:rStyle w:val="FootnoteReference"/>
        </w:rPr>
        <w:footnoteReference w:id="9"/>
      </w:r>
      <w:r w:rsidR="00D21735">
        <w:t xml:space="preserve">  Birch claims that AT&amp;T’s proposal to modify its service offerings by eliminating circuit portability for new and renewing customers </w:t>
      </w:r>
      <w:r w:rsidR="00546902">
        <w:t>–</w:t>
      </w:r>
      <w:r w:rsidR="00914B11">
        <w:t xml:space="preserve"> </w:t>
      </w:r>
      <w:r w:rsidR="00546902">
        <w:t xml:space="preserve">referred to as “grandfathering” existing customers – </w:t>
      </w:r>
      <w:r w:rsidR="00D21735">
        <w:t xml:space="preserve">represents “a new method of charging” for price cap services </w:t>
      </w:r>
      <w:r w:rsidR="0082288F">
        <w:t xml:space="preserve">and therefore </w:t>
      </w:r>
      <w:r w:rsidR="00D21735">
        <w:t>proposes restructured services, for which AT&amp;T has failed to make the required showing.</w:t>
      </w:r>
      <w:r w:rsidR="00D21735">
        <w:rPr>
          <w:rStyle w:val="FootnoteReference"/>
        </w:rPr>
        <w:footnoteReference w:id="10"/>
      </w:r>
      <w:r w:rsidR="00D21735">
        <w:t xml:space="preserve">  </w:t>
      </w:r>
      <w:r w:rsidR="009E7712">
        <w:t>Windstream argues that AT&amp;T’s</w:t>
      </w:r>
      <w:r w:rsidR="009B584B">
        <w:t xml:space="preserve"> improper</w:t>
      </w:r>
      <w:r w:rsidR="009E7712">
        <w:t xml:space="preserve"> discontinuance of portability plans</w:t>
      </w:r>
      <w:r w:rsidR="009B584B">
        <w:t xml:space="preserve"> would result in “an enormous rate increase outside of price cap protections,” in part because AT&amp;T incorrectly took the position that its actions do not constitute a restructuring of existing rates</w:t>
      </w:r>
      <w:r w:rsidR="006F60F0">
        <w:t xml:space="preserve"> and failed to comply with </w:t>
      </w:r>
      <w:r w:rsidR="009B584B">
        <w:t>applicable rules governing a restructure</w:t>
      </w:r>
      <w:r w:rsidR="004929C1">
        <w:t>d service</w:t>
      </w:r>
      <w:r w:rsidR="009B584B">
        <w:t>.</w:t>
      </w:r>
      <w:r w:rsidR="009B584B">
        <w:rPr>
          <w:rStyle w:val="FootnoteReference"/>
        </w:rPr>
        <w:footnoteReference w:id="11"/>
      </w:r>
      <w:r w:rsidR="009E7712">
        <w:t xml:space="preserve"> </w:t>
      </w:r>
      <w:r w:rsidR="00700294">
        <w:t xml:space="preserve"> </w:t>
      </w:r>
      <w:r w:rsidR="00D21735">
        <w:t>Tele</w:t>
      </w:r>
      <w:r w:rsidR="00AB3EC7">
        <w:t>P</w:t>
      </w:r>
      <w:r w:rsidR="00D21735">
        <w:t xml:space="preserve">acific/Alpheus assert </w:t>
      </w:r>
      <w:r w:rsidR="006D6CFB">
        <w:t>that the SWBT and PBTC</w:t>
      </w:r>
      <w:r w:rsidR="00936782">
        <w:t xml:space="preserve"> transmittals are</w:t>
      </w:r>
      <w:r w:rsidR="00305222">
        <w:t xml:space="preserve"> unlawful because </w:t>
      </w:r>
      <w:r w:rsidR="006D6CFB">
        <w:t xml:space="preserve">their proposal to discontinue the TPP plans “while grandfathering existing customers (while prohibiting renewals)… contravenes the </w:t>
      </w:r>
      <w:r w:rsidR="006D6CFB">
        <w:rPr>
          <w:i/>
        </w:rPr>
        <w:t>Tariff Investigation Order</w:t>
      </w:r>
      <w:r w:rsidR="00D21735" w:rsidRPr="00D21735">
        <w:t>.</w:t>
      </w:r>
      <w:r w:rsidR="00305222">
        <w:t>”</w:t>
      </w:r>
      <w:r w:rsidR="00305222">
        <w:rPr>
          <w:rStyle w:val="FootnoteReference"/>
        </w:rPr>
        <w:footnoteReference w:id="12"/>
      </w:r>
      <w:r w:rsidR="0064506F">
        <w:t xml:space="preserve">  </w:t>
      </w:r>
    </w:p>
    <w:p w:rsidR="00AE2EDE" w:rsidRPr="001D338C" w:rsidRDefault="00832F88" w:rsidP="00F91588">
      <w:pPr>
        <w:pStyle w:val="ParaNum"/>
        <w:keepNext/>
        <w:widowControl/>
      </w:pPr>
      <w:r>
        <w:lastRenderedPageBreak/>
        <w:t xml:space="preserve">The tariff </w:t>
      </w:r>
      <w:r w:rsidR="001D4D18">
        <w:t xml:space="preserve">language </w:t>
      </w:r>
      <w:r>
        <w:t xml:space="preserve">at issue is contained in Ameritech Transmittal No. 1847 proposed </w:t>
      </w:r>
      <w:r w:rsidR="00F91588">
        <w:t>s</w:t>
      </w:r>
      <w:r>
        <w:t>ection 7.4.13(A),</w:t>
      </w:r>
      <w:r w:rsidR="00D45CBB">
        <w:rPr>
          <w:rStyle w:val="FootnoteReference"/>
        </w:rPr>
        <w:footnoteReference w:id="13"/>
      </w:r>
      <w:r>
        <w:t xml:space="preserve"> PBTC Transmittal No. 539 proposed Sections 7.4.18(E),</w:t>
      </w:r>
      <w:r w:rsidR="00D45CBB">
        <w:rPr>
          <w:rStyle w:val="FootnoteReference"/>
        </w:rPr>
        <w:footnoteReference w:id="14"/>
      </w:r>
      <w:r>
        <w:t xml:space="preserve"> and SWBT Transmittal No. 3428 </w:t>
      </w:r>
      <w:r w:rsidR="00D45CBB">
        <w:t>proposed Section</w:t>
      </w:r>
      <w:r>
        <w:t xml:space="preserve"> 7.2.22(E)</w:t>
      </w:r>
      <w:r w:rsidR="00D45CBB">
        <w:t>.</w:t>
      </w:r>
      <w:r w:rsidR="00D45CBB">
        <w:rPr>
          <w:rStyle w:val="FootnoteReference"/>
        </w:rPr>
        <w:footnoteReference w:id="15"/>
      </w:r>
    </w:p>
    <w:p w:rsidR="00F845EF" w:rsidRDefault="00F650AA">
      <w:pPr>
        <w:pStyle w:val="Heading1"/>
        <w:numPr>
          <w:ilvl w:val="0"/>
          <w:numId w:val="0"/>
        </w:numPr>
        <w:rPr>
          <w:szCs w:val="24"/>
        </w:rPr>
      </w:pPr>
      <w:r>
        <w:rPr>
          <w:szCs w:val="24"/>
        </w:rPr>
        <w:t>III.</w:t>
      </w:r>
      <w:r>
        <w:rPr>
          <w:szCs w:val="24"/>
        </w:rPr>
        <w:tab/>
      </w:r>
      <w:r w:rsidR="00CA7969">
        <w:rPr>
          <w:szCs w:val="24"/>
        </w:rPr>
        <w:t>discussion</w:t>
      </w:r>
    </w:p>
    <w:p w:rsidR="00271795" w:rsidRDefault="00CA7969">
      <w:pPr>
        <w:pStyle w:val="ParaNum"/>
      </w:pPr>
      <w:r>
        <w:t>The Commission may reject a tariff filed by a carrier if the filing is “so patently a nullity as a matter of substantive law, that administrative efficiency and justice are furthered</w:t>
      </w:r>
      <w:r w:rsidR="007226F8">
        <w:t xml:space="preserve"> by obviating any docket at the threshold rather than opening a futile docket.”</w:t>
      </w:r>
      <w:r w:rsidR="00047708">
        <w:rPr>
          <w:rStyle w:val="FootnoteReference"/>
        </w:rPr>
        <w:footnoteReference w:id="16"/>
      </w:r>
      <w:r w:rsidR="007226F8">
        <w:t xml:space="preserve">  The United States Court of Appeals for the District of Columbia Circuit has explained that the Commission has “the power and in some cases the duty to reject a tariff that is demonstrably unlawful on its face,</w:t>
      </w:r>
      <w:r w:rsidR="00526FD3">
        <w:t>” including “a tariff</w:t>
      </w:r>
      <w:r w:rsidR="007226F8">
        <w:t xml:space="preserve"> that conflicts with a statute, agency regulation or order.</w:t>
      </w:r>
      <w:r w:rsidR="00526FD3">
        <w:t>”</w:t>
      </w:r>
      <w:r w:rsidR="00047708">
        <w:rPr>
          <w:rStyle w:val="FootnoteReference"/>
        </w:rPr>
        <w:footnoteReference w:id="17"/>
      </w:r>
      <w:r w:rsidR="007226F8">
        <w:t xml:space="preserve">  Under this standard, we reject </w:t>
      </w:r>
      <w:r w:rsidR="007B530F">
        <w:t xml:space="preserve">the </w:t>
      </w:r>
      <w:r w:rsidR="00B94C29">
        <w:t xml:space="preserve">specified </w:t>
      </w:r>
      <w:r w:rsidR="007B530F">
        <w:t>language in</w:t>
      </w:r>
      <w:r w:rsidR="000F2C15">
        <w:t xml:space="preserve"> </w:t>
      </w:r>
      <w:r w:rsidR="007226F8">
        <w:t>Transmittal No</w:t>
      </w:r>
      <w:r w:rsidR="000F2C15">
        <w:t>s</w:t>
      </w:r>
      <w:r w:rsidR="007226F8">
        <w:t xml:space="preserve">. </w:t>
      </w:r>
      <w:r w:rsidR="000F2C15">
        <w:t>1847, 539, and 3428</w:t>
      </w:r>
      <w:r w:rsidR="002C4232">
        <w:t xml:space="preserve"> because </w:t>
      </w:r>
      <w:r w:rsidR="000E48FE">
        <w:t xml:space="preserve">the </w:t>
      </w:r>
      <w:r w:rsidR="007705DD">
        <w:t xml:space="preserve">proposed </w:t>
      </w:r>
      <w:r w:rsidR="009F271B">
        <w:t>language</w:t>
      </w:r>
      <w:r w:rsidR="002C4232">
        <w:t xml:space="preserve"> </w:t>
      </w:r>
      <w:r w:rsidR="003B6DDE">
        <w:t>constitute</w:t>
      </w:r>
      <w:r w:rsidR="009F271B">
        <w:t>s</w:t>
      </w:r>
      <w:r w:rsidR="003B6DDE">
        <w:t xml:space="preserve"> a restructure</w:t>
      </w:r>
      <w:r w:rsidR="00BC3901">
        <w:t>d service</w:t>
      </w:r>
      <w:r w:rsidR="003B6DDE">
        <w:t xml:space="preserve"> for which AT&amp;T has failed to make the showing</w:t>
      </w:r>
      <w:r w:rsidR="00526FD3">
        <w:t xml:space="preserve"> required by the Commission’s rules</w:t>
      </w:r>
      <w:r w:rsidR="00B475E9">
        <w:t xml:space="preserve"> and fails </w:t>
      </w:r>
      <w:r w:rsidR="00791176">
        <w:t xml:space="preserve">to </w:t>
      </w:r>
      <w:r w:rsidR="00B475E9">
        <w:t>make a substantial cause showing for the grandfathering of portability for existing customers of PBTC and SWBT</w:t>
      </w:r>
      <w:r w:rsidR="00B94C29">
        <w:t>.</w:t>
      </w:r>
      <w:r w:rsidR="00EA2193">
        <w:rPr>
          <w:rStyle w:val="FootnoteReference"/>
        </w:rPr>
        <w:footnoteReference w:id="18"/>
      </w:r>
      <w:r w:rsidR="007B530F">
        <w:t xml:space="preserve"> </w:t>
      </w:r>
      <w:r w:rsidR="00B94C29">
        <w:t xml:space="preserve"> We also note that the </w:t>
      </w:r>
      <w:r w:rsidR="007F642A">
        <w:t>proposed</w:t>
      </w:r>
      <w:r w:rsidR="007B530F">
        <w:t xml:space="preserve"> </w:t>
      </w:r>
      <w:r w:rsidR="00B94C29">
        <w:t xml:space="preserve">language </w:t>
      </w:r>
      <w:r w:rsidR="00E77127">
        <w:t xml:space="preserve">raises significant questions about whether AT&amp;T’s grandfathering violates the </w:t>
      </w:r>
      <w:r w:rsidR="00E77127" w:rsidRPr="00534787">
        <w:rPr>
          <w:i/>
        </w:rPr>
        <w:t>Tariff Investigation Order</w:t>
      </w:r>
      <w:r w:rsidR="00E77127">
        <w:t xml:space="preserve"> directive to</w:t>
      </w:r>
      <w:r w:rsidR="00E77127" w:rsidRPr="003B6DDE">
        <w:t xml:space="preserve"> </w:t>
      </w:r>
      <w:r w:rsidR="00E77127">
        <w:t>remove language requiring customers to aggregate all of their purchases under a single plan from the Ameritech DCP, SWBT DS1 TPP, and PBTC DS1 TPP</w:t>
      </w:r>
      <w:r w:rsidR="007B530F">
        <w:t>.</w:t>
      </w:r>
      <w:r w:rsidR="00E77127">
        <w:rPr>
          <w:rStyle w:val="FootnoteReference"/>
        </w:rPr>
        <w:footnoteReference w:id="19"/>
      </w:r>
      <w:r w:rsidR="007B530F">
        <w:t xml:space="preserve"> </w:t>
      </w:r>
      <w:r w:rsidR="00271795">
        <w:t xml:space="preserve">  </w:t>
      </w:r>
    </w:p>
    <w:p w:rsidR="006F60F0" w:rsidRPr="007326A8" w:rsidRDefault="006F60F0" w:rsidP="00A82E5D">
      <w:pPr>
        <w:pStyle w:val="ParaNum"/>
        <w:rPr>
          <w:szCs w:val="22"/>
        </w:rPr>
      </w:pPr>
      <w:r w:rsidRPr="007326A8">
        <w:rPr>
          <w:szCs w:val="22"/>
        </w:rPr>
        <w:t>Section 61.3(mm) defines a restructured service to be an “offering which represents the modification of a method of charging or provisioning a service; or the introduction of a new method of charging or provisioning that does not result in a net increase in options available to customers.”</w:t>
      </w:r>
      <w:r w:rsidRPr="001465BC">
        <w:rPr>
          <w:rStyle w:val="FootnoteReference"/>
          <w:szCs w:val="22"/>
        </w:rPr>
        <w:footnoteReference w:id="20"/>
      </w:r>
      <w:r w:rsidRPr="007326A8">
        <w:rPr>
          <w:szCs w:val="22"/>
        </w:rPr>
        <w:t xml:space="preserve">  </w:t>
      </w:r>
      <w:r w:rsidR="00316787">
        <w:rPr>
          <w:szCs w:val="22"/>
        </w:rPr>
        <w:t>This provision parallels the requirements related to rate restructuring</w:t>
      </w:r>
      <w:r w:rsidR="0008670F">
        <w:rPr>
          <w:szCs w:val="22"/>
        </w:rPr>
        <w:t xml:space="preserve"> as defined</w:t>
      </w:r>
      <w:r w:rsidR="00316787">
        <w:rPr>
          <w:szCs w:val="22"/>
        </w:rPr>
        <w:t xml:space="preserve"> in </w:t>
      </w:r>
      <w:r w:rsidR="00316787" w:rsidRPr="000B6D36">
        <w:rPr>
          <w:szCs w:val="22"/>
        </w:rPr>
        <w:t>Section 61.3(i)</w:t>
      </w:r>
      <w:r w:rsidR="00316787">
        <w:rPr>
          <w:szCs w:val="22"/>
        </w:rPr>
        <w:t>, which</w:t>
      </w:r>
      <w:r w:rsidR="00316787" w:rsidRPr="000B6D36">
        <w:rPr>
          <w:szCs w:val="22"/>
        </w:rPr>
        <w:t xml:space="preserve"> defines a c</w:t>
      </w:r>
      <w:r w:rsidR="00316787" w:rsidRPr="000B6D36">
        <w:rPr>
          <w:color w:val="000000"/>
          <w:szCs w:val="22"/>
        </w:rPr>
        <w:t>hange in rate structure to be a “restructuring or other alteration of the rate components for an existing service.”</w:t>
      </w:r>
      <w:r w:rsidR="00316787" w:rsidRPr="001465BC">
        <w:rPr>
          <w:rStyle w:val="FootnoteReference"/>
          <w:color w:val="000000"/>
          <w:szCs w:val="22"/>
        </w:rPr>
        <w:footnoteReference w:id="21"/>
      </w:r>
      <w:r w:rsidR="00316787" w:rsidRPr="007326A8">
        <w:rPr>
          <w:color w:val="000000"/>
          <w:szCs w:val="22"/>
        </w:rPr>
        <w:t xml:space="preserve">  </w:t>
      </w:r>
      <w:r w:rsidRPr="007326A8">
        <w:rPr>
          <w:szCs w:val="22"/>
        </w:rPr>
        <w:t>For price caps to properly restrain carrier rates, both types of restructuring must be covered.</w:t>
      </w:r>
      <w:r w:rsidR="00A3544C">
        <w:rPr>
          <w:rStyle w:val="FootnoteReference"/>
          <w:szCs w:val="22"/>
        </w:rPr>
        <w:footnoteReference w:id="22"/>
      </w:r>
      <w:r w:rsidRPr="007326A8">
        <w:rPr>
          <w:szCs w:val="22"/>
        </w:rPr>
        <w:t xml:space="preserve">  In fact, the essence of a restructure is that demand will shift among the different elements </w:t>
      </w:r>
      <w:r w:rsidRPr="00233E74">
        <w:rPr>
          <w:szCs w:val="22"/>
        </w:rPr>
        <w:t xml:space="preserve">for which the carrier is charging.  This demand shift occurs in </w:t>
      </w:r>
      <w:r w:rsidRPr="000B6D36">
        <w:rPr>
          <w:szCs w:val="22"/>
        </w:rPr>
        <w:t xml:space="preserve">both a </w:t>
      </w:r>
      <w:r w:rsidR="00316787">
        <w:rPr>
          <w:szCs w:val="22"/>
        </w:rPr>
        <w:t xml:space="preserve">“change in </w:t>
      </w:r>
      <w:r w:rsidRPr="000B6D36">
        <w:rPr>
          <w:szCs w:val="22"/>
        </w:rPr>
        <w:t>rate structure</w:t>
      </w:r>
      <w:r w:rsidR="00316787">
        <w:rPr>
          <w:szCs w:val="22"/>
        </w:rPr>
        <w:t>”</w:t>
      </w:r>
      <w:r w:rsidRPr="007326A8">
        <w:rPr>
          <w:szCs w:val="22"/>
        </w:rPr>
        <w:t xml:space="preserve"> and a </w:t>
      </w:r>
      <w:r w:rsidR="00326B7A">
        <w:rPr>
          <w:szCs w:val="22"/>
        </w:rPr>
        <w:t>“</w:t>
      </w:r>
      <w:r w:rsidRPr="007326A8">
        <w:rPr>
          <w:szCs w:val="22"/>
        </w:rPr>
        <w:t>restructure</w:t>
      </w:r>
      <w:r w:rsidR="00316787">
        <w:rPr>
          <w:szCs w:val="22"/>
        </w:rPr>
        <w:t>d service</w:t>
      </w:r>
      <w:r w:rsidR="005C54C3">
        <w:rPr>
          <w:szCs w:val="22"/>
        </w:rPr>
        <w:t>.</w:t>
      </w:r>
      <w:r w:rsidR="00326B7A">
        <w:rPr>
          <w:szCs w:val="22"/>
        </w:rPr>
        <w:t>”</w:t>
      </w:r>
      <w:r w:rsidRPr="007326A8">
        <w:rPr>
          <w:szCs w:val="22"/>
        </w:rPr>
        <w:t xml:space="preserve"> </w:t>
      </w:r>
      <w:r w:rsidR="00546902">
        <w:rPr>
          <w:szCs w:val="22"/>
        </w:rPr>
        <w:t xml:space="preserve"> Under </w:t>
      </w:r>
      <w:r w:rsidRPr="007326A8">
        <w:rPr>
          <w:szCs w:val="22"/>
        </w:rPr>
        <w:t xml:space="preserve">the grandfathering proposed by AT&amp;T, </w:t>
      </w:r>
      <w:r w:rsidR="00546902">
        <w:rPr>
          <w:szCs w:val="22"/>
        </w:rPr>
        <w:t xml:space="preserve">new and renewing customers will not have circuit portability, meaning that </w:t>
      </w:r>
      <w:r w:rsidRPr="007326A8">
        <w:rPr>
          <w:szCs w:val="22"/>
        </w:rPr>
        <w:t>new or renewed demand will shift to other services and ra</w:t>
      </w:r>
      <w:r w:rsidR="00301204" w:rsidRPr="00233E74">
        <w:rPr>
          <w:szCs w:val="22"/>
        </w:rPr>
        <w:t xml:space="preserve">te elements of those services.  </w:t>
      </w:r>
    </w:p>
    <w:p w:rsidR="00DD5C6C" w:rsidRDefault="006F60F0" w:rsidP="00301204">
      <w:pPr>
        <w:pStyle w:val="ParaNum"/>
      </w:pPr>
      <w:r>
        <w:t xml:space="preserve">  </w:t>
      </w:r>
      <w:r w:rsidR="00301204">
        <w:t>Birch and Windstream contend that the proposed revisions constitute a restructure</w:t>
      </w:r>
      <w:r w:rsidR="00316787">
        <w:t>d service</w:t>
      </w:r>
      <w:r w:rsidR="00301204">
        <w:t>,</w:t>
      </w:r>
      <w:r w:rsidR="004D03EB">
        <w:t xml:space="preserve"> claiming both </w:t>
      </w:r>
      <w:r w:rsidR="00301204">
        <w:t>that</w:t>
      </w:r>
      <w:r w:rsidR="00B35D82">
        <w:t xml:space="preserve"> AT&amp;T’s modification of its service offerings by eliminating circuit portability for new and renewing customers</w:t>
      </w:r>
      <w:r w:rsidR="004D03EB">
        <w:t xml:space="preserve"> represents “a new method of charging” for price cap services,</w:t>
      </w:r>
      <w:r w:rsidR="004D03EB">
        <w:rPr>
          <w:rStyle w:val="FootnoteReference"/>
        </w:rPr>
        <w:footnoteReference w:id="23"/>
      </w:r>
      <w:r w:rsidR="004D03EB">
        <w:t xml:space="preserve"> and that “the shift in demand and attendant increase in revenue” and decreased options available to customers that would result from implementation of the grandfathering provisions render the proposal a  </w:t>
      </w:r>
      <w:r w:rsidR="00DD5C6C">
        <w:t>r</w:t>
      </w:r>
      <w:r w:rsidR="004D03EB">
        <w:t>estructure</w:t>
      </w:r>
      <w:r w:rsidR="00316787">
        <w:t>d service</w:t>
      </w:r>
      <w:r w:rsidR="004D03EB">
        <w:t>.</w:t>
      </w:r>
      <w:r w:rsidR="004D03EB">
        <w:rPr>
          <w:rStyle w:val="FootnoteReference"/>
        </w:rPr>
        <w:footnoteReference w:id="24"/>
      </w:r>
      <w:r w:rsidR="004D03EB">
        <w:t xml:space="preserve"> </w:t>
      </w:r>
      <w:r w:rsidR="00301204">
        <w:t xml:space="preserve"> </w:t>
      </w:r>
    </w:p>
    <w:p w:rsidR="00FD7C9F" w:rsidRDefault="00301204" w:rsidP="00301204">
      <w:pPr>
        <w:pStyle w:val="ParaNum"/>
      </w:pPr>
      <w:r>
        <w:t>AT&amp;T disputes that the proposed revisions constitute a</w:t>
      </w:r>
      <w:r w:rsidR="00C8340E">
        <w:t xml:space="preserve"> </w:t>
      </w:r>
      <w:r w:rsidR="00FD7C9F">
        <w:t>restructure</w:t>
      </w:r>
      <w:r w:rsidR="00316787">
        <w:t>d service</w:t>
      </w:r>
      <w:r w:rsidR="00FD7C9F">
        <w:t>, arguing that</w:t>
      </w:r>
      <w:r w:rsidR="00174C54">
        <w:t xml:space="preserve"> a “restructured” rate under Section 61.3(mm) is a new offering that redefines an existing service, while its proposal “does not replace any existing service or option.”</w:t>
      </w:r>
      <w:r w:rsidR="00174C54">
        <w:rPr>
          <w:rStyle w:val="FootnoteReference"/>
        </w:rPr>
        <w:footnoteReference w:id="25"/>
      </w:r>
      <w:r w:rsidR="00DD5C6C">
        <w:t xml:space="preserve">  Moreover, in its response filed on July 14, 2016, AT&amp;T argues </w:t>
      </w:r>
      <w:r w:rsidR="00965A3C">
        <w:t>that the proposed tariff revisions are not a restructure because a restructured rate</w:t>
      </w:r>
      <w:r w:rsidR="003E03C7">
        <w:t xml:space="preserve"> is a “</w:t>
      </w:r>
      <w:r w:rsidR="003E03C7" w:rsidRPr="005B525F">
        <w:rPr>
          <w:i/>
        </w:rPr>
        <w:t>new</w:t>
      </w:r>
      <w:r w:rsidR="003E03C7">
        <w:t xml:space="preserve"> offering that redefines an existing service”</w:t>
      </w:r>
      <w:r w:rsidR="00DD5C6C">
        <w:t xml:space="preserve"> </w:t>
      </w:r>
      <w:r w:rsidR="003E03C7">
        <w:t>and a restructured service “</w:t>
      </w:r>
      <w:r w:rsidR="003E03C7" w:rsidRPr="005B525F">
        <w:rPr>
          <w:i/>
        </w:rPr>
        <w:t>replaces</w:t>
      </w:r>
      <w:r w:rsidR="003E03C7">
        <w:t xml:space="preserve"> an existing service.”</w:t>
      </w:r>
      <w:r w:rsidR="003E03C7">
        <w:rPr>
          <w:rStyle w:val="FootnoteReference"/>
        </w:rPr>
        <w:footnoteReference w:id="26"/>
      </w:r>
      <w:r w:rsidR="003E03C7">
        <w:t xml:space="preserve">  AT&amp;T </w:t>
      </w:r>
      <w:r w:rsidR="00791176">
        <w:t xml:space="preserve">further </w:t>
      </w:r>
      <w:r w:rsidR="003E03C7">
        <w:t xml:space="preserve">argues that it treated the filing as a restructure and provided </w:t>
      </w:r>
      <w:r w:rsidR="002445A5">
        <w:t>Tariff Review Plans (</w:t>
      </w:r>
      <w:r w:rsidR="003E03C7">
        <w:t>TRPs</w:t>
      </w:r>
      <w:r w:rsidR="002445A5">
        <w:t>)</w:t>
      </w:r>
      <w:r w:rsidR="003E03C7">
        <w:t xml:space="preserve"> showing no changes to the API and PCI.</w:t>
      </w:r>
      <w:r w:rsidR="00504E7E">
        <w:rPr>
          <w:rStyle w:val="FootnoteReference"/>
        </w:rPr>
        <w:footnoteReference w:id="27"/>
      </w:r>
    </w:p>
    <w:p w:rsidR="00BC36EB" w:rsidRDefault="00301204" w:rsidP="00DF7A24">
      <w:pPr>
        <w:pStyle w:val="ParaNum"/>
        <w:rPr>
          <w:rStyle w:val="documentbody"/>
        </w:rPr>
      </w:pPr>
      <w:r>
        <w:rPr>
          <w:rStyle w:val="documentbody"/>
        </w:rPr>
        <w:t>We agree with the position taken by Birch and Windstream that AT&amp;T’s proposed revisions constitute a restructure</w:t>
      </w:r>
      <w:r w:rsidR="004929C1">
        <w:rPr>
          <w:rStyle w:val="documentbody"/>
        </w:rPr>
        <w:t>d service</w:t>
      </w:r>
      <w:r w:rsidR="00DD5C6C">
        <w:rPr>
          <w:rStyle w:val="documentbody"/>
        </w:rPr>
        <w:t xml:space="preserve">. </w:t>
      </w:r>
      <w:r w:rsidR="00174C54">
        <w:rPr>
          <w:rStyle w:val="documentbody"/>
        </w:rPr>
        <w:t xml:space="preserve"> </w:t>
      </w:r>
      <w:r w:rsidR="00DD5C6C">
        <w:rPr>
          <w:rStyle w:val="documentbody"/>
        </w:rPr>
        <w:t xml:space="preserve">By </w:t>
      </w:r>
      <w:r w:rsidR="00546902">
        <w:rPr>
          <w:rStyle w:val="documentbody"/>
        </w:rPr>
        <w:t>“</w:t>
      </w:r>
      <w:r w:rsidR="00DD5C6C">
        <w:rPr>
          <w:rStyle w:val="documentbody"/>
        </w:rPr>
        <w:t>grandfathering</w:t>
      </w:r>
      <w:r w:rsidR="00546902">
        <w:rPr>
          <w:rStyle w:val="documentbody"/>
        </w:rPr>
        <w:t>”</w:t>
      </w:r>
      <w:r w:rsidR="00DD5C6C">
        <w:rPr>
          <w:rStyle w:val="documentbody"/>
        </w:rPr>
        <w:t xml:space="preserve"> portability</w:t>
      </w:r>
      <w:r w:rsidR="007326A8">
        <w:rPr>
          <w:rStyle w:val="documentbody"/>
        </w:rPr>
        <w:t>,</w:t>
      </w:r>
      <w:r w:rsidR="00DD5C6C">
        <w:rPr>
          <w:rStyle w:val="documentbody"/>
        </w:rPr>
        <w:t xml:space="preserve"> AT&amp;T is </w:t>
      </w:r>
      <w:r w:rsidR="00D773AA">
        <w:rPr>
          <w:rStyle w:val="documentbody"/>
        </w:rPr>
        <w:t xml:space="preserve">plainly </w:t>
      </w:r>
      <w:r w:rsidR="00DD5C6C">
        <w:rPr>
          <w:rStyle w:val="documentbody"/>
        </w:rPr>
        <w:t>modifying the manner in which it is charging for services, ensuring that customers pay higher shortfall and early termination penalties</w:t>
      </w:r>
      <w:r w:rsidR="002E6AF3">
        <w:rPr>
          <w:rStyle w:val="documentbody"/>
        </w:rPr>
        <w:t xml:space="preserve"> and decreasing the provisioning options available to customers.</w:t>
      </w:r>
      <w:r w:rsidR="003517B5">
        <w:rPr>
          <w:rStyle w:val="FootnoteReference"/>
        </w:rPr>
        <w:footnoteReference w:id="28"/>
      </w:r>
      <w:r w:rsidR="00DD5C6C">
        <w:rPr>
          <w:rStyle w:val="documentbody"/>
        </w:rPr>
        <w:t xml:space="preserve">  </w:t>
      </w:r>
      <w:r>
        <w:rPr>
          <w:rStyle w:val="documentbody"/>
        </w:rPr>
        <w:t>A carrier proposing a restructure</w:t>
      </w:r>
      <w:r w:rsidR="004929C1">
        <w:rPr>
          <w:rStyle w:val="documentbody"/>
        </w:rPr>
        <w:t>d service</w:t>
      </w:r>
      <w:r>
        <w:rPr>
          <w:rStyle w:val="documentbody"/>
        </w:rPr>
        <w:t xml:space="preserve"> must re</w:t>
      </w:r>
      <w:r w:rsidR="00CF6678">
        <w:rPr>
          <w:rStyle w:val="documentbody"/>
        </w:rPr>
        <w:t>vise</w:t>
      </w:r>
      <w:r>
        <w:rPr>
          <w:rStyle w:val="documentbody"/>
        </w:rPr>
        <w:t xml:space="preserve"> its </w:t>
      </w:r>
      <w:r w:rsidR="00CF6678">
        <w:rPr>
          <w:rStyle w:val="documentbody"/>
        </w:rPr>
        <w:t>rates</w:t>
      </w:r>
      <w:r>
        <w:rPr>
          <w:rStyle w:val="documentbody"/>
        </w:rPr>
        <w:t xml:space="preserve"> to account for the proposed restructure and demonstrate that </w:t>
      </w:r>
      <w:r w:rsidR="00CF6678">
        <w:rPr>
          <w:rStyle w:val="documentbody"/>
        </w:rPr>
        <w:t>these</w:t>
      </w:r>
      <w:r>
        <w:rPr>
          <w:rStyle w:val="documentbody"/>
        </w:rPr>
        <w:t xml:space="preserve"> rate</w:t>
      </w:r>
      <w:r w:rsidR="00CF6678">
        <w:rPr>
          <w:rStyle w:val="documentbody"/>
        </w:rPr>
        <w:t>s</w:t>
      </w:r>
      <w:r>
        <w:rPr>
          <w:rStyle w:val="documentbody"/>
        </w:rPr>
        <w:t xml:space="preserve"> will not yield </w:t>
      </w:r>
      <w:r w:rsidR="00D7718D">
        <w:rPr>
          <w:rStyle w:val="documentbody"/>
        </w:rPr>
        <w:t>Actual Price Indices (</w:t>
      </w:r>
      <w:r>
        <w:rPr>
          <w:rStyle w:val="documentbody"/>
        </w:rPr>
        <w:t>APIs</w:t>
      </w:r>
      <w:r w:rsidR="00D7718D">
        <w:rPr>
          <w:rStyle w:val="documentbody"/>
        </w:rPr>
        <w:t>)</w:t>
      </w:r>
      <w:r>
        <w:rPr>
          <w:rStyle w:val="documentbody"/>
        </w:rPr>
        <w:t xml:space="preserve"> that exceed the applicable</w:t>
      </w:r>
      <w:r w:rsidR="00D7718D">
        <w:rPr>
          <w:rStyle w:val="documentbody"/>
        </w:rPr>
        <w:t xml:space="preserve"> Price Cap Indices</w:t>
      </w:r>
      <w:r>
        <w:rPr>
          <w:rStyle w:val="documentbody"/>
        </w:rPr>
        <w:t xml:space="preserve"> </w:t>
      </w:r>
      <w:r w:rsidR="00D7718D">
        <w:rPr>
          <w:rStyle w:val="documentbody"/>
        </w:rPr>
        <w:t>(</w:t>
      </w:r>
      <w:r>
        <w:rPr>
          <w:rStyle w:val="documentbody"/>
        </w:rPr>
        <w:t>PCIs</w:t>
      </w:r>
      <w:r w:rsidR="00D7718D">
        <w:rPr>
          <w:rStyle w:val="documentbody"/>
        </w:rPr>
        <w:t>)</w:t>
      </w:r>
      <w:r>
        <w:rPr>
          <w:rStyle w:val="documentbody"/>
        </w:rPr>
        <w:t xml:space="preserve"> and would not yield </w:t>
      </w:r>
      <w:r w:rsidR="00D7718D">
        <w:rPr>
          <w:rStyle w:val="documentbody"/>
        </w:rPr>
        <w:t>Service Band Indices (</w:t>
      </w:r>
      <w:r>
        <w:rPr>
          <w:rStyle w:val="documentbody"/>
        </w:rPr>
        <w:t>SBIs</w:t>
      </w:r>
      <w:r w:rsidR="00D7718D">
        <w:rPr>
          <w:rStyle w:val="documentbody"/>
        </w:rPr>
        <w:t>)</w:t>
      </w:r>
      <w:r>
        <w:rPr>
          <w:rStyle w:val="documentbody"/>
        </w:rPr>
        <w:t xml:space="preserve"> that exceed the applicable pricing bands.</w:t>
      </w:r>
      <w:r w:rsidR="004D03EB">
        <w:rPr>
          <w:rStyle w:val="FootnoteReference"/>
        </w:rPr>
        <w:footnoteReference w:id="29"/>
      </w:r>
      <w:r>
        <w:rPr>
          <w:rStyle w:val="documentbody"/>
        </w:rPr>
        <w:t xml:space="preserve">  </w:t>
      </w:r>
      <w:r w:rsidR="003E03C7">
        <w:rPr>
          <w:rStyle w:val="documentbody"/>
        </w:rPr>
        <w:t xml:space="preserve">Although AT&amp;T now claims in its Reply that it made the required showing, we </w:t>
      </w:r>
      <w:r w:rsidR="00791176">
        <w:rPr>
          <w:rStyle w:val="documentbody"/>
        </w:rPr>
        <w:t>do not find that argument to be credible</w:t>
      </w:r>
      <w:r w:rsidR="003E03C7">
        <w:rPr>
          <w:rStyle w:val="documentbody"/>
        </w:rPr>
        <w:t>.</w:t>
      </w:r>
      <w:r w:rsidR="00701D36">
        <w:rPr>
          <w:rStyle w:val="FootnoteReference"/>
        </w:rPr>
        <w:footnoteReference w:id="30"/>
      </w:r>
      <w:r w:rsidR="00515297">
        <w:rPr>
          <w:rStyle w:val="documentbody"/>
        </w:rPr>
        <w:t xml:space="preserve">  </w:t>
      </w:r>
      <w:r w:rsidR="00504E7E">
        <w:rPr>
          <w:rStyle w:val="documentbody"/>
        </w:rPr>
        <w:t xml:space="preserve">To comply with the price cap rules, carriers proposing a restructured service must convert “the existing rates into rates of equivalent value under the proposed structure” and then compare “the existing rates that have been converted to reflect restructuring to the proposed restructured </w:t>
      </w:r>
      <w:r w:rsidR="00251236">
        <w:rPr>
          <w:rStyle w:val="documentbody"/>
        </w:rPr>
        <w:t>rates.”</w:t>
      </w:r>
      <w:r w:rsidR="00251236">
        <w:rPr>
          <w:rStyle w:val="FootnoteReference"/>
        </w:rPr>
        <w:footnoteReference w:id="31"/>
      </w:r>
      <w:r w:rsidR="00251236">
        <w:rPr>
          <w:rStyle w:val="documentbody"/>
        </w:rPr>
        <w:t xml:space="preserve"> This showing “may require use of carrier data and estimation techniques to assign customers of the preexisting service to those services (including the new restructured service) that will remain or become available after restructuring.”</w:t>
      </w:r>
      <w:r w:rsidR="00251236">
        <w:rPr>
          <w:rStyle w:val="FootnoteReference"/>
        </w:rPr>
        <w:footnoteReference w:id="32"/>
      </w:r>
      <w:r w:rsidR="00251236">
        <w:rPr>
          <w:rStyle w:val="documentbody"/>
        </w:rPr>
        <w:t xml:space="preserve">  Therefore, to make a proper showing under 61.49(e), AT&amp;T would have to make some estimation</w:t>
      </w:r>
      <w:r w:rsidR="002445A5">
        <w:rPr>
          <w:rStyle w:val="documentbody"/>
        </w:rPr>
        <w:t xml:space="preserve"> both</w:t>
      </w:r>
      <w:r w:rsidR="00251236">
        <w:rPr>
          <w:rStyle w:val="documentbody"/>
        </w:rPr>
        <w:t xml:space="preserve"> as to the number of customers that would be paying higher termination penalties once their portability plans expire, and</w:t>
      </w:r>
      <w:r w:rsidR="002445A5">
        <w:rPr>
          <w:rStyle w:val="documentbody"/>
        </w:rPr>
        <w:t xml:space="preserve"> as to the number of</w:t>
      </w:r>
      <w:r w:rsidR="00251236">
        <w:rPr>
          <w:rStyle w:val="documentbody"/>
        </w:rPr>
        <w:t xml:space="preserve"> customers that would be shifting demand to either shorter term plans or month-to-month plans.</w:t>
      </w:r>
      <w:r w:rsidR="005B583D">
        <w:rPr>
          <w:rStyle w:val="FootnoteReference"/>
        </w:rPr>
        <w:footnoteReference w:id="33"/>
      </w:r>
      <w:r w:rsidR="00251236">
        <w:rPr>
          <w:rStyle w:val="documentbody"/>
        </w:rPr>
        <w:t xml:space="preserve">  AT&amp;T made none of those estimations, nor did it provide any explanation for why it believes that grandfathering its portability plans would have no impact on its API or PCI.</w:t>
      </w:r>
      <w:r w:rsidR="006649D0">
        <w:rPr>
          <w:rStyle w:val="FootnoteReference"/>
        </w:rPr>
        <w:footnoteReference w:id="34"/>
      </w:r>
      <w:r w:rsidR="00251236">
        <w:rPr>
          <w:rStyle w:val="documentbody"/>
        </w:rPr>
        <w:t xml:space="preserve">  W</w:t>
      </w:r>
      <w:r w:rsidR="00515297">
        <w:rPr>
          <w:rStyle w:val="documentbody"/>
        </w:rPr>
        <w:t xml:space="preserve">e therefore reject </w:t>
      </w:r>
      <w:r w:rsidR="00251236">
        <w:rPr>
          <w:rStyle w:val="documentbody"/>
        </w:rPr>
        <w:t>AT&amp;T’s arguments</w:t>
      </w:r>
      <w:r w:rsidR="00515297">
        <w:rPr>
          <w:rStyle w:val="documentbody"/>
        </w:rPr>
        <w:t>.</w:t>
      </w:r>
    </w:p>
    <w:p w:rsidR="00B475E9" w:rsidRDefault="00B475E9" w:rsidP="00B475E9">
      <w:pPr>
        <w:pStyle w:val="ParaNum"/>
      </w:pPr>
      <w:r>
        <w:t>In addition, we find that AT&amp;T failed to demonstrate that the grandfathering of portability for existing customers of PBTC and SWBT, by prohibiting such customers from renewing the plans, is supported by “substantial cause.”  Such a showing is required to justify the reasonableness of a modification of material tariff provisions in the middle of a tariff term.</w:t>
      </w:r>
      <w:r>
        <w:rPr>
          <w:rStyle w:val="FootnoteReference"/>
        </w:rPr>
        <w:footnoteReference w:id="35"/>
      </w:r>
    </w:p>
    <w:p w:rsidR="00B87CEE" w:rsidRDefault="0070769E" w:rsidP="00AB6085">
      <w:pPr>
        <w:pStyle w:val="ParaNum"/>
      </w:pPr>
      <w:r>
        <w:t>W</w:t>
      </w:r>
      <w:r w:rsidR="00576D10">
        <w:t>e</w:t>
      </w:r>
      <w:r>
        <w:t xml:space="preserve"> also </w:t>
      </w:r>
      <w:r w:rsidR="00576D10">
        <w:t xml:space="preserve">note that Petitioners raised significant </w:t>
      </w:r>
      <w:r>
        <w:t>questions</w:t>
      </w:r>
      <w:r w:rsidR="00576D10">
        <w:t xml:space="preserve"> about whether AT&amp;T’s grandfathering</w:t>
      </w:r>
      <w:r w:rsidR="00995D48">
        <w:t xml:space="preserve"> violate</w:t>
      </w:r>
      <w:r w:rsidR="00576D10">
        <w:t>s</w:t>
      </w:r>
      <w:r w:rsidR="00995D48">
        <w:t xml:space="preserve"> the </w:t>
      </w:r>
      <w:r w:rsidR="00995D48" w:rsidRPr="00534787">
        <w:rPr>
          <w:i/>
        </w:rPr>
        <w:t>Tariff Investigation Order</w:t>
      </w:r>
      <w:r w:rsidR="00995D48">
        <w:t xml:space="preserve"> directive to</w:t>
      </w:r>
      <w:r w:rsidR="00995D48" w:rsidRPr="003B6DDE">
        <w:t xml:space="preserve"> </w:t>
      </w:r>
      <w:r w:rsidR="00995D48">
        <w:t>remove language requiring customers to aggregate all of their purchases under a single plan from the Ameritech DCP, SWBT DS1 TPP, and PBTC DS1 TPP</w:t>
      </w:r>
      <w:r w:rsidR="00D773AA">
        <w:t xml:space="preserve">.  In the </w:t>
      </w:r>
      <w:r w:rsidR="00D773AA" w:rsidRPr="00534787">
        <w:rPr>
          <w:i/>
        </w:rPr>
        <w:t>Tariff Investigation Order</w:t>
      </w:r>
      <w:r w:rsidR="00D773AA">
        <w:t>, the Commission noted the importance of portability</w:t>
      </w:r>
      <w:r w:rsidR="003517B5">
        <w:t>,</w:t>
      </w:r>
      <w:r w:rsidR="00D773AA">
        <w:t xml:space="preserve"> explaining that “[b]y most accounts, circuit portability is crucial for competitive LECs serving retail customers whose terms of service rarely coincide with the competitive LECs’ underlying pricing plan term commitments with incumbent LECs.”</w:t>
      </w:r>
      <w:r w:rsidR="00D773AA">
        <w:rPr>
          <w:rStyle w:val="FootnoteReference"/>
        </w:rPr>
        <w:footnoteReference w:id="36"/>
      </w:r>
      <w:r w:rsidR="00D773AA">
        <w:t xml:space="preserve">  </w:t>
      </w:r>
      <w:r w:rsidR="003517B5" w:rsidRPr="005E1D2A">
        <w:t xml:space="preserve">The </w:t>
      </w:r>
      <w:r w:rsidR="003517B5" w:rsidRPr="00534787">
        <w:rPr>
          <w:i/>
        </w:rPr>
        <w:t>Tariff Investigation Order</w:t>
      </w:r>
      <w:r w:rsidR="003517B5" w:rsidRPr="003517B5">
        <w:t xml:space="preserve"> also </w:t>
      </w:r>
      <w:r w:rsidR="003517B5" w:rsidRPr="005E1D2A">
        <w:t>explained the unreasonable nature of all</w:t>
      </w:r>
      <w:r w:rsidR="000F1B46">
        <w:t>-</w:t>
      </w:r>
      <w:r w:rsidR="003517B5" w:rsidRPr="005E1D2A">
        <w:t>or</w:t>
      </w:r>
      <w:r w:rsidR="000F1B46">
        <w:t>-</w:t>
      </w:r>
      <w:r w:rsidR="003517B5" w:rsidRPr="005E1D2A">
        <w:t>nothing provisions, citing assertions from competitive LECs that they subscribe to BDS pricing plans because they provide crucially needed circuit portability in addition to DS1 and DS3 discounts, and noting that existing all</w:t>
      </w:r>
      <w:r w:rsidR="000F1B46">
        <w:t>-</w:t>
      </w:r>
      <w:r w:rsidR="003517B5" w:rsidRPr="005E1D2A">
        <w:t>or</w:t>
      </w:r>
      <w:r w:rsidR="000F1B46">
        <w:t>-</w:t>
      </w:r>
      <w:r w:rsidR="003517B5" w:rsidRPr="005E1D2A">
        <w:t>nothing provisions prevent the customer from splitting its purchases between two or more plans when a customer subscribes to the portability plan.</w:t>
      </w:r>
      <w:r w:rsidR="003517B5" w:rsidRPr="005E1D2A">
        <w:rPr>
          <w:rStyle w:val="FootnoteReference"/>
        </w:rPr>
        <w:footnoteReference w:id="37"/>
      </w:r>
      <w:r w:rsidR="003517B5" w:rsidRPr="005E1D2A">
        <w:t xml:space="preserve">  The Commission found that such provisions “preclude customers from managing their business data services in an economically efficient manner, restricting how they purchase services from the incumbent LEC plans and restricting their ability to consider competitive alternatives,” found them unlawful, and ordered their removal from the specified tariffs.</w:t>
      </w:r>
      <w:r w:rsidR="003517B5" w:rsidRPr="005E1D2A">
        <w:rPr>
          <w:rStyle w:val="FootnoteReference"/>
        </w:rPr>
        <w:footnoteReference w:id="38"/>
      </w:r>
      <w:r w:rsidR="003517B5" w:rsidRPr="005E1D2A">
        <w:t xml:space="preserve">  </w:t>
      </w:r>
      <w:r w:rsidR="00D773AA" w:rsidRPr="003517B5">
        <w:t>Instead of removing the pr</w:t>
      </w:r>
      <w:r w:rsidR="00546902">
        <w:t>o</w:t>
      </w:r>
      <w:r w:rsidR="00D773AA" w:rsidRPr="003517B5">
        <w:t>scribed language, AT&amp;T has in essence removed</w:t>
      </w:r>
      <w:r w:rsidR="00D773AA">
        <w:t xml:space="preserve"> the portability option, which </w:t>
      </w:r>
      <w:r w:rsidR="00576D10">
        <w:t>raises substantial concerns about its compliance with</w:t>
      </w:r>
      <w:r w:rsidR="00D773AA">
        <w:t xml:space="preserve"> the specific instructions of the </w:t>
      </w:r>
      <w:r w:rsidR="00D773AA" w:rsidRPr="00534787">
        <w:rPr>
          <w:i/>
        </w:rPr>
        <w:t>Tariff Investigation Order</w:t>
      </w:r>
      <w:r w:rsidR="00D773AA">
        <w:t>.</w:t>
      </w:r>
      <w:r w:rsidR="000E5DA3">
        <w:rPr>
          <w:rStyle w:val="FootnoteReference"/>
        </w:rPr>
        <w:footnoteReference w:id="39"/>
      </w:r>
      <w:r w:rsidR="00D773AA">
        <w:t xml:space="preserve">  </w:t>
      </w:r>
      <w:r w:rsidR="00576D10">
        <w:t xml:space="preserve">These concerns also </w:t>
      </w:r>
      <w:r w:rsidR="00791176">
        <w:t xml:space="preserve">apply </w:t>
      </w:r>
      <w:r w:rsidR="00576D10">
        <w:t>to the extent that portions of AT&amp;T’s tariffs, although grandfathered, remain in effect, thereby raising further questions of lawfulness.</w:t>
      </w:r>
      <w:r w:rsidR="00AF2546">
        <w:t xml:space="preserve">  </w:t>
      </w:r>
    </w:p>
    <w:p w:rsidR="00EC35BF" w:rsidRDefault="00E1216F" w:rsidP="00420EB4">
      <w:pPr>
        <w:pStyle w:val="ParaNum"/>
      </w:pPr>
      <w:r>
        <w:t xml:space="preserve">We direct </w:t>
      </w:r>
      <w:r w:rsidR="00EC35BF">
        <w:t xml:space="preserve">AT&amp;T </w:t>
      </w:r>
      <w:r>
        <w:t xml:space="preserve">to file tariff revisions that are compliant with the </w:t>
      </w:r>
      <w:r w:rsidRPr="00534787">
        <w:rPr>
          <w:i/>
        </w:rPr>
        <w:t>Tariff Investigation Order</w:t>
      </w:r>
      <w:r w:rsidR="00546902" w:rsidRPr="00534787">
        <w:rPr>
          <w:i/>
        </w:rPr>
        <w:t xml:space="preserve"> </w:t>
      </w:r>
      <w:r w:rsidR="00546902" w:rsidRPr="005545CF">
        <w:t>within thirty (30) days from the date of this Order</w:t>
      </w:r>
      <w:r w:rsidR="00546902">
        <w:t xml:space="preserve">.  The tariff revisions shall </w:t>
      </w:r>
      <w:r>
        <w:t>remove in each case the relevant language requiring customers to aggregate all of their purchases under a single plan</w:t>
      </w:r>
      <w:r w:rsidR="00534787">
        <w:t>.</w:t>
      </w:r>
      <w:r>
        <w:t xml:space="preserve">  Should AT&amp;T file tariff revisions grandfathering portability for either new or existing customers, we direct AT&amp;T t</w:t>
      </w:r>
      <w:r w:rsidR="00233E74">
        <w:t>o</w:t>
      </w:r>
      <w:r>
        <w:t xml:space="preserve"> treat such filing</w:t>
      </w:r>
      <w:r w:rsidR="000E5DA3">
        <w:t>s</w:t>
      </w:r>
      <w:r>
        <w:t xml:space="preserve"> as a restructure</w:t>
      </w:r>
      <w:r w:rsidR="004929C1">
        <w:t>d service</w:t>
      </w:r>
      <w:r>
        <w:t xml:space="preserve"> and file the appropriate materials required by section 61.49(e) of our rules.  In addition, if AT&amp;T files tariff revisions grandfathering p</w:t>
      </w:r>
      <w:r w:rsidR="005B5BA2">
        <w:t>o</w:t>
      </w:r>
      <w:r>
        <w:t>rtability for existing customers</w:t>
      </w:r>
      <w:r w:rsidR="00C45362">
        <w:t xml:space="preserve"> of the PBTC and SWBT plans,</w:t>
      </w:r>
      <w:r w:rsidR="000E5DA3">
        <w:t xml:space="preserve"> by prohibiting </w:t>
      </w:r>
      <w:r w:rsidR="0047732B">
        <w:t>the</w:t>
      </w:r>
      <w:r w:rsidR="000E5DA3">
        <w:t xml:space="preserve"> renew</w:t>
      </w:r>
      <w:r w:rsidR="000F1B46">
        <w:t>al of</w:t>
      </w:r>
      <w:r w:rsidR="000E5DA3">
        <w:t xml:space="preserve"> such plans</w:t>
      </w:r>
      <w:r>
        <w:t xml:space="preserve">, we direct AT&amp;T to make a substantial cause showing.  We note that until </w:t>
      </w:r>
      <w:r w:rsidR="002E6AF3">
        <w:t>such</w:t>
      </w:r>
      <w:r>
        <w:t xml:space="preserve"> tariff revisions are filed, the tariff language requiring the aggregation of all of a customer’s purchases in a single plan</w:t>
      </w:r>
      <w:r w:rsidR="00B17410">
        <w:t xml:space="preserve"> and the removal of its renewal clause,</w:t>
      </w:r>
      <w:r w:rsidR="00534787">
        <w:t xml:space="preserve"> </w:t>
      </w:r>
      <w:r>
        <w:t>ha</w:t>
      </w:r>
      <w:r w:rsidR="00534787">
        <w:t>ve</w:t>
      </w:r>
      <w:r>
        <w:t xml:space="preserve"> been found to be unlawful by the Commission and </w:t>
      </w:r>
      <w:r w:rsidR="00A84824">
        <w:t>are</w:t>
      </w:r>
      <w:r>
        <w:t xml:space="preserve"> thus</w:t>
      </w:r>
      <w:r w:rsidR="007602F5">
        <w:t xml:space="preserve"> unenforceable by AT&amp;T.  </w:t>
      </w:r>
      <w:r w:rsidR="005B5BA2">
        <w:t xml:space="preserve">We also note that, because AT&amp;T failed to file compliant tariff revisions, it is currently in violation of the </w:t>
      </w:r>
      <w:r w:rsidR="005B5BA2" w:rsidRPr="00534787">
        <w:rPr>
          <w:i/>
        </w:rPr>
        <w:t>Tariff Investigation Order</w:t>
      </w:r>
      <w:r w:rsidR="005B5BA2">
        <w:t>.</w:t>
      </w:r>
    </w:p>
    <w:p w:rsidR="00F845EF" w:rsidRPr="00A81848" w:rsidRDefault="001A04DB">
      <w:pPr>
        <w:pStyle w:val="Heading1"/>
        <w:numPr>
          <w:ilvl w:val="0"/>
          <w:numId w:val="0"/>
        </w:numPr>
        <w:rPr>
          <w:szCs w:val="24"/>
        </w:rPr>
      </w:pPr>
      <w:r>
        <w:rPr>
          <w:szCs w:val="24"/>
        </w:rPr>
        <w:t>IV.</w:t>
      </w:r>
      <w:r>
        <w:rPr>
          <w:szCs w:val="24"/>
        </w:rPr>
        <w:tab/>
      </w:r>
      <w:r w:rsidR="00F845EF" w:rsidRPr="00A81848">
        <w:rPr>
          <w:szCs w:val="24"/>
        </w:rPr>
        <w:t>ORDERING CLAUSES</w:t>
      </w:r>
      <w:r w:rsidR="007B01DA">
        <w:rPr>
          <w:szCs w:val="24"/>
        </w:rPr>
        <w:t xml:space="preserve"> </w:t>
      </w:r>
    </w:p>
    <w:p w:rsidR="001D2F5A" w:rsidRDefault="00F845EF">
      <w:pPr>
        <w:pStyle w:val="ParaNum"/>
        <w:rPr>
          <w:szCs w:val="24"/>
        </w:rPr>
      </w:pPr>
      <w:r w:rsidRPr="00A81848">
        <w:rPr>
          <w:szCs w:val="24"/>
        </w:rPr>
        <w:t xml:space="preserve">Accordingly, IT IS ORDERED that, pursuant to sections </w:t>
      </w:r>
      <w:r w:rsidR="001D2F5A">
        <w:rPr>
          <w:szCs w:val="24"/>
        </w:rPr>
        <w:t xml:space="preserve">1, 2, 4(i), 4(j), </w:t>
      </w:r>
      <w:r w:rsidR="0031531C">
        <w:rPr>
          <w:szCs w:val="24"/>
        </w:rPr>
        <w:t xml:space="preserve">201(b), </w:t>
      </w:r>
      <w:r w:rsidR="0008670F">
        <w:rPr>
          <w:szCs w:val="24"/>
        </w:rPr>
        <w:t xml:space="preserve">202, </w:t>
      </w:r>
      <w:r w:rsidR="00856DA2">
        <w:rPr>
          <w:szCs w:val="24"/>
        </w:rPr>
        <w:t xml:space="preserve">203, 204, and 205 </w:t>
      </w:r>
      <w:r w:rsidR="001D2F5A">
        <w:rPr>
          <w:szCs w:val="24"/>
        </w:rPr>
        <w:t>of the Communi</w:t>
      </w:r>
      <w:r w:rsidRPr="00A81848">
        <w:rPr>
          <w:szCs w:val="24"/>
        </w:rPr>
        <w:t xml:space="preserve">cations Act of 1934, as amended, 47 U.S.C. §§ </w:t>
      </w:r>
      <w:r w:rsidR="001D2F5A">
        <w:rPr>
          <w:szCs w:val="24"/>
        </w:rPr>
        <w:t xml:space="preserve">151, 152, 154(i), </w:t>
      </w:r>
      <w:r w:rsidR="00B461A5">
        <w:rPr>
          <w:szCs w:val="24"/>
        </w:rPr>
        <w:t>1</w:t>
      </w:r>
      <w:r w:rsidR="001D2F5A">
        <w:rPr>
          <w:szCs w:val="24"/>
        </w:rPr>
        <w:t>54(j)</w:t>
      </w:r>
      <w:r w:rsidRPr="00A81848">
        <w:rPr>
          <w:szCs w:val="24"/>
        </w:rPr>
        <w:t xml:space="preserve">, </w:t>
      </w:r>
      <w:r w:rsidR="0031531C">
        <w:rPr>
          <w:szCs w:val="24"/>
        </w:rPr>
        <w:t xml:space="preserve">201(b), </w:t>
      </w:r>
      <w:r w:rsidR="0008670F">
        <w:rPr>
          <w:szCs w:val="24"/>
        </w:rPr>
        <w:t xml:space="preserve">202, </w:t>
      </w:r>
      <w:r w:rsidR="00856DA2">
        <w:rPr>
          <w:szCs w:val="24"/>
        </w:rPr>
        <w:t>203, 204</w:t>
      </w:r>
      <w:r w:rsidR="00544EF2">
        <w:rPr>
          <w:szCs w:val="24"/>
        </w:rPr>
        <w:t>,</w:t>
      </w:r>
      <w:r w:rsidR="00856DA2">
        <w:rPr>
          <w:szCs w:val="24"/>
        </w:rPr>
        <w:t xml:space="preserve"> </w:t>
      </w:r>
      <w:r w:rsidR="0031531C">
        <w:rPr>
          <w:szCs w:val="24"/>
        </w:rPr>
        <w:t>and 20</w:t>
      </w:r>
      <w:r w:rsidR="00856DA2">
        <w:rPr>
          <w:szCs w:val="24"/>
        </w:rPr>
        <w:t>5</w:t>
      </w:r>
      <w:r w:rsidR="00B461A5">
        <w:rPr>
          <w:szCs w:val="24"/>
        </w:rPr>
        <w:t xml:space="preserve">, </w:t>
      </w:r>
      <w:r w:rsidRPr="00A81848">
        <w:rPr>
          <w:szCs w:val="24"/>
        </w:rPr>
        <w:t xml:space="preserve">and </w:t>
      </w:r>
      <w:r w:rsidR="001D2F5A">
        <w:rPr>
          <w:szCs w:val="24"/>
        </w:rPr>
        <w:t xml:space="preserve">authority delegated by sections 0.91 and 0.291 of the Commission’s rules, 47 C.F.R. §§ 0.91, 0.291, the </w:t>
      </w:r>
      <w:r w:rsidR="007E2D6B">
        <w:rPr>
          <w:szCs w:val="24"/>
        </w:rPr>
        <w:t xml:space="preserve">language pertaining to grandfathering in the </w:t>
      </w:r>
      <w:r w:rsidR="00D8255F">
        <w:rPr>
          <w:szCs w:val="24"/>
        </w:rPr>
        <w:t xml:space="preserve">proposed </w:t>
      </w:r>
      <w:r w:rsidR="00B43E28">
        <w:rPr>
          <w:szCs w:val="22"/>
        </w:rPr>
        <w:t>Ameritech Operating Companies Tariff F.C.C. No. 2 contained in Transmittal No. 1847</w:t>
      </w:r>
      <w:r w:rsidR="00E26D40">
        <w:rPr>
          <w:szCs w:val="22"/>
        </w:rPr>
        <w:t>, Section</w:t>
      </w:r>
      <w:r w:rsidR="001F6F9B">
        <w:rPr>
          <w:szCs w:val="22"/>
        </w:rPr>
        <w:t xml:space="preserve"> </w:t>
      </w:r>
      <w:r w:rsidR="00E26D40">
        <w:t>7.4.13(A)</w:t>
      </w:r>
      <w:r w:rsidR="00B43E28">
        <w:rPr>
          <w:szCs w:val="22"/>
        </w:rPr>
        <w:t>; Pacific Bell Telephone Company Tariff F.C.C. No. 1 contained in Transmittal No. 539</w:t>
      </w:r>
      <w:r w:rsidR="001F6F9B">
        <w:rPr>
          <w:szCs w:val="22"/>
        </w:rPr>
        <w:t>, Sections</w:t>
      </w:r>
      <w:r w:rsidR="00E26D40">
        <w:rPr>
          <w:szCs w:val="22"/>
        </w:rPr>
        <w:t xml:space="preserve"> </w:t>
      </w:r>
      <w:r w:rsidR="001F6F9B">
        <w:t>7.4.18(E)</w:t>
      </w:r>
      <w:r w:rsidR="00B43E28">
        <w:rPr>
          <w:szCs w:val="22"/>
        </w:rPr>
        <w:t xml:space="preserve">; and Southwestern Bell Telephone Company Tariff F.C.C. No. 73 </w:t>
      </w:r>
      <w:r w:rsidR="001D2F5A">
        <w:rPr>
          <w:szCs w:val="24"/>
        </w:rPr>
        <w:t>contained in Transmittal No.</w:t>
      </w:r>
      <w:r w:rsidR="001E6F20">
        <w:rPr>
          <w:szCs w:val="24"/>
        </w:rPr>
        <w:t xml:space="preserve"> </w:t>
      </w:r>
      <w:r w:rsidR="00B43E28">
        <w:rPr>
          <w:szCs w:val="24"/>
        </w:rPr>
        <w:t>3428</w:t>
      </w:r>
      <w:r w:rsidR="001F6F9B">
        <w:rPr>
          <w:szCs w:val="24"/>
        </w:rPr>
        <w:t>,</w:t>
      </w:r>
      <w:r w:rsidR="00914B11">
        <w:rPr>
          <w:szCs w:val="24"/>
        </w:rPr>
        <w:t xml:space="preserve"> </w:t>
      </w:r>
      <w:r w:rsidR="001F6F9B">
        <w:t>Section 7.2.22(E)</w:t>
      </w:r>
      <w:r w:rsidR="001F6F9B">
        <w:rPr>
          <w:szCs w:val="22"/>
        </w:rPr>
        <w:t xml:space="preserve"> </w:t>
      </w:r>
      <w:r w:rsidR="00B43E28">
        <w:rPr>
          <w:szCs w:val="24"/>
        </w:rPr>
        <w:t>ARE</w:t>
      </w:r>
      <w:r w:rsidR="00F22884">
        <w:rPr>
          <w:szCs w:val="24"/>
        </w:rPr>
        <w:t xml:space="preserve"> </w:t>
      </w:r>
      <w:r w:rsidR="001D2F5A">
        <w:rPr>
          <w:szCs w:val="24"/>
        </w:rPr>
        <w:t>HEREBY REJECTED</w:t>
      </w:r>
      <w:r w:rsidR="003D66F7">
        <w:rPr>
          <w:szCs w:val="24"/>
        </w:rPr>
        <w:t>;</w:t>
      </w:r>
    </w:p>
    <w:p w:rsidR="003D66F7" w:rsidRPr="001516CF" w:rsidRDefault="003D66F7">
      <w:pPr>
        <w:pStyle w:val="ParaNum"/>
        <w:rPr>
          <w:szCs w:val="24"/>
        </w:rPr>
      </w:pPr>
      <w:r w:rsidRPr="00A81848">
        <w:rPr>
          <w:szCs w:val="24"/>
        </w:rPr>
        <w:t>IT IS FURTHER ORDERED that</w:t>
      </w:r>
      <w:r>
        <w:rPr>
          <w:szCs w:val="24"/>
        </w:rPr>
        <w:t xml:space="preserve">, </w:t>
      </w:r>
      <w:r w:rsidRPr="00A81848">
        <w:rPr>
          <w:szCs w:val="24"/>
        </w:rPr>
        <w:t>pursuant to sec</w:t>
      </w:r>
      <w:r>
        <w:rPr>
          <w:szCs w:val="24"/>
        </w:rPr>
        <w:t>tion 61.69 of the Commission’s rules, 47 C.F.R. § 61.69</w:t>
      </w:r>
      <w:r w:rsidR="00553C75">
        <w:rPr>
          <w:szCs w:val="24"/>
        </w:rPr>
        <w:t xml:space="preserve">, </w:t>
      </w:r>
      <w:r w:rsidR="001516CF">
        <w:rPr>
          <w:szCs w:val="22"/>
        </w:rPr>
        <w:t xml:space="preserve">Ameritech Operating Companies, Pacific Bell Telephone Company, Southwestern Bell Telephone Company </w:t>
      </w:r>
      <w:r w:rsidR="00553C75">
        <w:rPr>
          <w:szCs w:val="24"/>
        </w:rPr>
        <w:t xml:space="preserve">SHALL FILE </w:t>
      </w:r>
      <w:r w:rsidR="00CF6678">
        <w:rPr>
          <w:szCs w:val="24"/>
        </w:rPr>
        <w:t xml:space="preserve">tariff revisions, </w:t>
      </w:r>
      <w:r w:rsidR="00553C75" w:rsidRPr="00D12B10">
        <w:t>within five business days from the release date of this order</w:t>
      </w:r>
      <w:r w:rsidR="00CF6678">
        <w:t xml:space="preserve">, </w:t>
      </w:r>
      <w:r w:rsidR="00E26D40">
        <w:t xml:space="preserve">to remove the specified </w:t>
      </w:r>
      <w:r w:rsidR="007E2D6B">
        <w:t>lang</w:t>
      </w:r>
      <w:r w:rsidR="00F91588">
        <w:t>u</w:t>
      </w:r>
      <w:r w:rsidR="007E2D6B">
        <w:t>age</w:t>
      </w:r>
      <w:r w:rsidR="00E26D40">
        <w:t xml:space="preserve"> from its tariffs and </w:t>
      </w:r>
      <w:r w:rsidR="00A84824">
        <w:t>noting that</w:t>
      </w:r>
      <w:r w:rsidR="001516CF">
        <w:t xml:space="preserve"> </w:t>
      </w:r>
      <w:r w:rsidR="00A21A93">
        <w:t>its proposed replacement language was</w:t>
      </w:r>
      <w:r w:rsidR="00CF6678">
        <w:t xml:space="preserve"> </w:t>
      </w:r>
      <w:r w:rsidR="00A84824">
        <w:t>rejected</w:t>
      </w:r>
      <w:r w:rsidR="006219D0">
        <w:t xml:space="preserve"> by the Federal Communications Commission</w:t>
      </w:r>
      <w:r w:rsidR="00553C75">
        <w:t>.</w:t>
      </w:r>
    </w:p>
    <w:p w:rsidR="0047732B" w:rsidRPr="0047732B" w:rsidRDefault="0047732B" w:rsidP="00CA2B7B">
      <w:pPr>
        <w:pStyle w:val="ParaNum"/>
        <w:rPr>
          <w:szCs w:val="24"/>
        </w:rPr>
      </w:pPr>
      <w:r>
        <w:t xml:space="preserve">IT IS FURTHER ORDERED that we direct AT&amp;T within thirty (30) days from the date of this Order to file tariff revisions consistent with the direction provided in paragraph </w:t>
      </w:r>
      <w:r w:rsidR="00F91588">
        <w:t>12</w:t>
      </w:r>
      <w:r>
        <w:t xml:space="preserve"> of this Order.</w:t>
      </w:r>
    </w:p>
    <w:p w:rsidR="006E1C7D" w:rsidRPr="0047732B" w:rsidRDefault="0047732B" w:rsidP="00CA2B7B">
      <w:pPr>
        <w:pStyle w:val="ParaNum"/>
        <w:rPr>
          <w:szCs w:val="24"/>
        </w:rPr>
      </w:pPr>
      <w:r>
        <w:t xml:space="preserve"> </w:t>
      </w:r>
      <w:r w:rsidR="006E1C7D">
        <w:t>IT IS FURTHER ORDERED that the Petition</w:t>
      </w:r>
      <w:r w:rsidR="00185095">
        <w:t xml:space="preserve">s of Windstream Services, LLC; Birch Communications, Inc., EarthLink, Inc., INCOMPAS, Level 3 Communications, LLC, Sprint Corporation, and Windstream Services, LLC; and U.S. TelePacific Corp. d/b/a TelePacific Communications and Alpheus Communications, LLC </w:t>
      </w:r>
      <w:r w:rsidR="006E1C7D">
        <w:t>to Reject or Suspend and Investigate</w:t>
      </w:r>
      <w:r w:rsidR="00A83AC9">
        <w:t xml:space="preserve"> the </w:t>
      </w:r>
      <w:r w:rsidR="00A159A8">
        <w:t>proposed</w:t>
      </w:r>
      <w:r w:rsidR="00B921B3">
        <w:t xml:space="preserve"> </w:t>
      </w:r>
      <w:r w:rsidR="00A159A8">
        <w:t xml:space="preserve">tariff revisions contained in </w:t>
      </w:r>
      <w:r w:rsidR="00A159A8" w:rsidRPr="0047732B">
        <w:rPr>
          <w:szCs w:val="22"/>
        </w:rPr>
        <w:t>Ameritech Operating Companies Transmittal No. 1847, Pacific Bell Telephone Company Transmittal No. 539, and Southwestern Bell Telephone Company</w:t>
      </w:r>
      <w:r w:rsidR="00A159A8" w:rsidRPr="0047732B">
        <w:rPr>
          <w:szCs w:val="24"/>
        </w:rPr>
        <w:t xml:space="preserve"> Transmittal No. 3428</w:t>
      </w:r>
      <w:r w:rsidR="00A159A8">
        <w:t xml:space="preserve"> are</w:t>
      </w:r>
      <w:r w:rsidR="00A83AC9">
        <w:t xml:space="preserve"> GRANTED </w:t>
      </w:r>
      <w:r w:rsidR="00A159A8">
        <w:t xml:space="preserve">to the extent </w:t>
      </w:r>
      <w:r w:rsidR="00A83AC9">
        <w:t>indicated herein.</w:t>
      </w:r>
    </w:p>
    <w:p w:rsidR="006E1C7D" w:rsidRDefault="006E1C7D">
      <w:pPr>
        <w:pStyle w:val="ParaNum"/>
        <w:numPr>
          <w:ilvl w:val="0"/>
          <w:numId w:val="0"/>
        </w:numPr>
        <w:ind w:left="720"/>
        <w:rPr>
          <w:szCs w:val="24"/>
        </w:rPr>
      </w:pPr>
    </w:p>
    <w:p w:rsidR="00063493" w:rsidRDefault="00063493">
      <w:pPr>
        <w:pStyle w:val="ParaNum"/>
        <w:numPr>
          <w:ilvl w:val="0"/>
          <w:numId w:val="0"/>
        </w:numPr>
        <w:rPr>
          <w:szCs w:val="24"/>
        </w:rPr>
      </w:pPr>
    </w:p>
    <w:p w:rsidR="00C35AB5" w:rsidRDefault="00C35AB5">
      <w:pPr>
        <w:pStyle w:val="ParaNum"/>
        <w:numPr>
          <w:ilvl w:val="0"/>
          <w:numId w:val="0"/>
        </w:numPr>
        <w:rPr>
          <w:szCs w:val="24"/>
        </w:rPr>
      </w:pPr>
    </w:p>
    <w:p w:rsidR="00F845EF" w:rsidRPr="00A81848" w:rsidRDefault="00F845EF">
      <w:pPr>
        <w:pStyle w:val="ParaNum"/>
        <w:numPr>
          <w:ilvl w:val="0"/>
          <w:numId w:val="0"/>
        </w:numPr>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t>FEDERAL COMMUNICATIONS COMMISSION</w:t>
      </w:r>
      <w:r w:rsidRPr="00A81848">
        <w:rPr>
          <w:szCs w:val="24"/>
        </w:rPr>
        <w:tab/>
      </w:r>
    </w:p>
    <w:p w:rsidR="00F845EF" w:rsidRDefault="00F845EF">
      <w:pPr>
        <w:pStyle w:val="ParaNum"/>
        <w:numPr>
          <w:ilvl w:val="0"/>
          <w:numId w:val="0"/>
        </w:numPr>
        <w:spacing w:after="0"/>
        <w:rPr>
          <w:szCs w:val="24"/>
        </w:rPr>
      </w:pPr>
      <w:r w:rsidRPr="00A81848">
        <w:rPr>
          <w:szCs w:val="24"/>
        </w:rPr>
        <w:tab/>
      </w:r>
      <w:r w:rsidRPr="00A81848">
        <w:rPr>
          <w:szCs w:val="24"/>
        </w:rPr>
        <w:tab/>
      </w:r>
    </w:p>
    <w:p w:rsidR="00DA5750" w:rsidRDefault="00DA5750">
      <w:pPr>
        <w:pStyle w:val="ParaNum"/>
        <w:numPr>
          <w:ilvl w:val="0"/>
          <w:numId w:val="0"/>
        </w:numPr>
        <w:spacing w:after="0"/>
        <w:rPr>
          <w:szCs w:val="24"/>
        </w:rPr>
      </w:pPr>
    </w:p>
    <w:p w:rsidR="00B461A5" w:rsidRPr="00A81848" w:rsidRDefault="00B461A5">
      <w:pPr>
        <w:pStyle w:val="ParaNum"/>
        <w:numPr>
          <w:ilvl w:val="0"/>
          <w:numId w:val="0"/>
        </w:numPr>
        <w:spacing w:after="0"/>
        <w:rPr>
          <w:szCs w:val="24"/>
        </w:rPr>
      </w:pPr>
    </w:p>
    <w:p w:rsidR="00B461A5" w:rsidRDefault="00B461A5">
      <w:pPr>
        <w:pStyle w:val="ParaNum"/>
        <w:numPr>
          <w:ilvl w:val="0"/>
          <w:numId w:val="0"/>
        </w:numPr>
        <w:spacing w:after="0"/>
        <w:rPr>
          <w:szCs w:val="24"/>
        </w:rPr>
      </w:pPr>
    </w:p>
    <w:p w:rsidR="00F845EF" w:rsidRDefault="00F845EF">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57039C">
        <w:rPr>
          <w:szCs w:val="24"/>
        </w:rPr>
        <w:t>Matthew S. DelNero</w:t>
      </w:r>
    </w:p>
    <w:p w:rsidR="00F845EF" w:rsidRPr="00A81848" w:rsidRDefault="00F845EF">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763032">
        <w:rPr>
          <w:szCs w:val="24"/>
        </w:rPr>
        <w:t>Chief,</w:t>
      </w:r>
      <w:r w:rsidR="0057039C">
        <w:rPr>
          <w:szCs w:val="24"/>
        </w:rPr>
        <w:t xml:space="preserve"> </w:t>
      </w:r>
      <w:r w:rsidRPr="00A81848">
        <w:rPr>
          <w:szCs w:val="24"/>
        </w:rPr>
        <w:t>Wireline Competition Bureau</w:t>
      </w:r>
    </w:p>
    <w:p w:rsidR="00701A97" w:rsidRPr="00A81848" w:rsidRDefault="00701A97"/>
    <w:sectPr w:rsidR="00701A97" w:rsidRPr="00A818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A5" w:rsidRDefault="00610BA5">
      <w:r>
        <w:separator/>
      </w:r>
    </w:p>
  </w:endnote>
  <w:endnote w:type="continuationSeparator" w:id="0">
    <w:p w:rsidR="00610BA5" w:rsidRDefault="00610BA5">
      <w:r>
        <w:continuationSeparator/>
      </w:r>
    </w:p>
  </w:endnote>
  <w:endnote w:type="continuationNotice" w:id="1">
    <w:p w:rsidR="00610BA5" w:rsidRDefault="00610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3" w:rsidRDefault="00DF4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Default="006E1ECD">
    <w:pPr>
      <w:pStyle w:val="Footer"/>
      <w:jc w:val="center"/>
    </w:pPr>
    <w:r>
      <w:rPr>
        <w:rStyle w:val="PageNumber"/>
      </w:rPr>
      <w:fldChar w:fldCharType="begin"/>
    </w:r>
    <w:r>
      <w:rPr>
        <w:rStyle w:val="PageNumber"/>
      </w:rPr>
      <w:instrText xml:space="preserve"> PAGE </w:instrText>
    </w:r>
    <w:r>
      <w:rPr>
        <w:rStyle w:val="PageNumber"/>
      </w:rPr>
      <w:fldChar w:fldCharType="separate"/>
    </w:r>
    <w:r w:rsidR="000D17D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3" w:rsidRDefault="00DF4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A5" w:rsidRDefault="00610BA5">
      <w:r>
        <w:separator/>
      </w:r>
    </w:p>
  </w:footnote>
  <w:footnote w:type="continuationSeparator" w:id="0">
    <w:p w:rsidR="00610BA5" w:rsidRDefault="00610BA5">
      <w:pPr>
        <w:rPr>
          <w:sz w:val="20"/>
        </w:rPr>
      </w:pPr>
      <w:r>
        <w:rPr>
          <w:sz w:val="20"/>
        </w:rPr>
        <w:t>______________________________</w:t>
      </w:r>
    </w:p>
    <w:p w:rsidR="00610BA5" w:rsidRPr="00325FE7" w:rsidRDefault="00610BA5">
      <w:pPr>
        <w:rPr>
          <w:sz w:val="20"/>
        </w:rPr>
      </w:pPr>
      <w:r w:rsidRPr="00325FE7">
        <w:rPr>
          <w:sz w:val="20"/>
        </w:rPr>
        <w:t>(continued from previous page . . . )</w:t>
      </w:r>
    </w:p>
  </w:footnote>
  <w:footnote w:type="continuationNotice" w:id="1">
    <w:p w:rsidR="00610BA5" w:rsidRDefault="00610BA5" w:rsidP="00325FE7">
      <w:pPr>
        <w:jc w:val="right"/>
      </w:pPr>
      <w:r>
        <w:t>(</w:t>
      </w:r>
      <w:r w:rsidRPr="00325FE7">
        <w:rPr>
          <w:sz w:val="20"/>
        </w:rPr>
        <w:t>continued . . .</w:t>
      </w:r>
      <w:r>
        <w:t xml:space="preserve"> )</w:t>
      </w:r>
    </w:p>
  </w:footnote>
  <w:footnote w:id="2">
    <w:p w:rsidR="006446D7" w:rsidRPr="006446D7" w:rsidRDefault="006446D7" w:rsidP="00C4032E">
      <w:pPr>
        <w:pStyle w:val="FootnoteText"/>
      </w:pPr>
      <w:r>
        <w:rPr>
          <w:rStyle w:val="FootnoteReference"/>
        </w:rPr>
        <w:footnoteRef/>
      </w:r>
      <w:r>
        <w:t xml:space="preserve"> </w:t>
      </w:r>
      <w:r w:rsidR="00BD3854">
        <w:t>Ameritech Operatin</w:t>
      </w:r>
      <w:r w:rsidR="00035027">
        <w:t>g Companies Tariff F.C.C. No. 2;</w:t>
      </w:r>
      <w:r w:rsidR="00BD3854">
        <w:t xml:space="preserve"> Pacific Bell Telephone Company Tariff F.C.C. No. 1</w:t>
      </w:r>
      <w:r w:rsidR="00035027">
        <w:t>;</w:t>
      </w:r>
      <w:r w:rsidR="00BD3854">
        <w:t xml:space="preserve"> Southwestern Bell Telephone Company Tariff F.C.C. No. 73 </w:t>
      </w:r>
      <w:r w:rsidR="009873B1">
        <w:t xml:space="preserve">(filed </w:t>
      </w:r>
      <w:r w:rsidR="00BD3854">
        <w:t>July 1, 2016</w:t>
      </w:r>
      <w:r w:rsidR="009873B1">
        <w:t>)</w:t>
      </w:r>
      <w:r>
        <w:t xml:space="preserve">; </w:t>
      </w:r>
      <w:r>
        <w:rPr>
          <w:i/>
        </w:rPr>
        <w:t>see</w:t>
      </w:r>
      <w:r w:rsidR="00035027">
        <w:t xml:space="preserve"> Letter from Kristin Shore, Executive-Director, Regulatory</w:t>
      </w:r>
      <w:r>
        <w:t xml:space="preserve">, to Marlene </w:t>
      </w:r>
      <w:r w:rsidR="00035027">
        <w:t xml:space="preserve">H. </w:t>
      </w:r>
      <w:r>
        <w:t>Dortch, Secretary, Federal Communications Commission, Transmittal No. 1</w:t>
      </w:r>
      <w:r w:rsidR="00035027">
        <w:t>847</w:t>
      </w:r>
      <w:r w:rsidR="005E7AF6">
        <w:t xml:space="preserve"> (filed </w:t>
      </w:r>
      <w:r w:rsidR="00035027">
        <w:t>July 1, 2016</w:t>
      </w:r>
      <w:r w:rsidR="005E7AF6">
        <w:t>)</w:t>
      </w:r>
      <w:r w:rsidR="00EA126B">
        <w:t xml:space="preserve"> (</w:t>
      </w:r>
      <w:r w:rsidR="00035027">
        <w:t xml:space="preserve">Ameritech </w:t>
      </w:r>
      <w:r w:rsidR="00EA126B">
        <w:t>Transmittal Letter)</w:t>
      </w:r>
      <w:r w:rsidR="00035027">
        <w:t>; Letter from Kristin Shore, Executive-Director, Regulatory, to Marlene H. Dortch, Secretary, Federal Communications Commission, Transmittal No. 539 (filed July 1, 2016) (Pacific Bell Telephone Company Transmittal Letter); Letter from Kristin Shore, Executive-Director, Regulatory, to Marlene H. Dortch, Secretary, Federal Communications Commission, Transmittal No. 3428 (filed July 1, 2016) (Southwestern Bell Telephone Company Transmittal Letter)</w:t>
      </w:r>
      <w:r w:rsidR="00FE750F">
        <w:t xml:space="preserve"> (collectively Transmittal Letters)</w:t>
      </w:r>
      <w:r w:rsidR="00035027">
        <w:t>.</w:t>
      </w:r>
    </w:p>
  </w:footnote>
  <w:footnote w:id="3">
    <w:p w:rsidR="00EA126B" w:rsidRDefault="00EA126B" w:rsidP="002D3727">
      <w:pPr>
        <w:pStyle w:val="FootnoteText"/>
      </w:pPr>
      <w:r>
        <w:rPr>
          <w:rStyle w:val="FootnoteReference"/>
        </w:rPr>
        <w:footnoteRef/>
      </w:r>
      <w:r>
        <w:t xml:space="preserve"> </w:t>
      </w:r>
      <w:r w:rsidR="00FE750F">
        <w:rPr>
          <w:i/>
        </w:rPr>
        <w:t xml:space="preserve">See </w:t>
      </w:r>
      <w:r w:rsidR="00FE750F">
        <w:t>Transmittal Letters at 1.</w:t>
      </w:r>
    </w:p>
  </w:footnote>
  <w:footnote w:id="4">
    <w:p w:rsidR="00965A3C" w:rsidRDefault="00965A3C" w:rsidP="00965A3C">
      <w:pPr>
        <w:pStyle w:val="FootnoteText"/>
      </w:pPr>
      <w:r>
        <w:rPr>
          <w:rStyle w:val="FootnoteReference"/>
        </w:rPr>
        <w:footnoteRef/>
      </w:r>
      <w:r>
        <w:t xml:space="preserve"> </w:t>
      </w:r>
      <w:r>
        <w:rPr>
          <w:i/>
        </w:rPr>
        <w:t xml:space="preserve">See </w:t>
      </w:r>
      <w:r w:rsidRPr="00641C6B">
        <w:rPr>
          <w:i/>
        </w:rPr>
        <w:t>Investigation of Certain Price Cap Local Exchange Carrier Business Data Services Tariff Pricing Plans</w:t>
      </w:r>
      <w:r>
        <w:t>, WC Docket No. 15-247, Tariff Investigation Order, FCC 16-54, 31 FCC Rcd 4723 (rel. May 2, 2016) (</w:t>
      </w:r>
      <w:r w:rsidRPr="00F67538">
        <w:rPr>
          <w:i/>
        </w:rPr>
        <w:t>Tariff Investigation Order</w:t>
      </w:r>
      <w:r>
        <w:t xml:space="preserve">). </w:t>
      </w:r>
    </w:p>
    <w:p w:rsidR="00965A3C" w:rsidRDefault="00965A3C" w:rsidP="00965A3C">
      <w:pPr>
        <w:pStyle w:val="FootnoteText"/>
      </w:pPr>
    </w:p>
  </w:footnote>
  <w:footnote w:id="5">
    <w:p w:rsidR="00B63D06" w:rsidRPr="00B63D06" w:rsidRDefault="00B63D06">
      <w:pPr>
        <w:pStyle w:val="FootnoteText"/>
      </w:pPr>
      <w:r>
        <w:rPr>
          <w:rStyle w:val="FootnoteReference"/>
        </w:rPr>
        <w:footnoteRef/>
      </w:r>
      <w:r>
        <w:t xml:space="preserve"> </w:t>
      </w:r>
      <w:r w:rsidRPr="00B63D06">
        <w:t>The Bureau is concurrently releasing an Order suspending and designati</w:t>
      </w:r>
      <w:r w:rsidR="007F3CDB">
        <w:t xml:space="preserve">ng </w:t>
      </w:r>
      <w:r w:rsidRPr="00B63D06">
        <w:t>for investigation the proposed shortfall and early termination penalty language submitted in the PBTC and SWBT transmittals.</w:t>
      </w:r>
    </w:p>
  </w:footnote>
  <w:footnote w:id="6">
    <w:p w:rsidR="00F15E4D" w:rsidRDefault="00F15E4D" w:rsidP="00F15E4D">
      <w:pPr>
        <w:pStyle w:val="FootnoteText"/>
      </w:pPr>
      <w:r>
        <w:rPr>
          <w:rStyle w:val="FootnoteReference"/>
        </w:rPr>
        <w:footnoteRef/>
      </w:r>
      <w:r>
        <w:t xml:space="preserve"> </w:t>
      </w:r>
      <w:r w:rsidR="00A2541D" w:rsidRPr="00F67538">
        <w:rPr>
          <w:i/>
        </w:rPr>
        <w:t>Tariff Investigation Order</w:t>
      </w:r>
      <w:r w:rsidR="00DA5750">
        <w:t>, 31 FCC Rcd at 4772,</w:t>
      </w:r>
      <w:r>
        <w:t xml:space="preserve"> para. 110.</w:t>
      </w:r>
    </w:p>
  </w:footnote>
  <w:footnote w:id="7">
    <w:p w:rsidR="00F15E4D" w:rsidRDefault="00F15E4D" w:rsidP="00F15E4D">
      <w:pPr>
        <w:pStyle w:val="FootnoteText"/>
      </w:pPr>
      <w:r>
        <w:rPr>
          <w:rStyle w:val="FootnoteReference"/>
        </w:rPr>
        <w:footnoteRef/>
      </w:r>
      <w:r>
        <w:t xml:space="preserve"> </w:t>
      </w:r>
      <w:r w:rsidRPr="00F67538">
        <w:rPr>
          <w:i/>
        </w:rPr>
        <w:t>Id.</w:t>
      </w:r>
      <w:r>
        <w:t xml:space="preserve"> </w:t>
      </w:r>
    </w:p>
  </w:footnote>
  <w:footnote w:id="8">
    <w:p w:rsidR="00305222" w:rsidRDefault="00305222" w:rsidP="009775E5">
      <w:pPr>
        <w:pStyle w:val="FootnoteText"/>
      </w:pPr>
      <w:r>
        <w:rPr>
          <w:rStyle w:val="FootnoteReference"/>
        </w:rPr>
        <w:footnoteRef/>
      </w:r>
      <w:r>
        <w:t xml:space="preserve"> </w:t>
      </w:r>
      <w:r w:rsidR="009035F7">
        <w:rPr>
          <w:i/>
        </w:rPr>
        <w:t xml:space="preserve">See </w:t>
      </w:r>
      <w:r>
        <w:t>Transmittal Letter</w:t>
      </w:r>
      <w:r w:rsidR="009035F7">
        <w:t>s</w:t>
      </w:r>
      <w:r>
        <w:t>.</w:t>
      </w:r>
    </w:p>
  </w:footnote>
  <w:footnote w:id="9">
    <w:p w:rsidR="00305222" w:rsidRDefault="00305222" w:rsidP="009775E5">
      <w:pPr>
        <w:pStyle w:val="FootnoteText"/>
      </w:pPr>
      <w:r>
        <w:rPr>
          <w:rStyle w:val="FootnoteReference"/>
        </w:rPr>
        <w:footnoteRef/>
      </w:r>
      <w:r>
        <w:t xml:space="preserve"> </w:t>
      </w:r>
      <w:r w:rsidR="00D22B73">
        <w:rPr>
          <w:i/>
        </w:rPr>
        <w:t xml:space="preserve">See </w:t>
      </w:r>
      <w:r w:rsidR="00D22B73">
        <w:t xml:space="preserve">Petition of </w:t>
      </w:r>
      <w:r w:rsidR="002D7219">
        <w:t xml:space="preserve">Windstream Services, LLC to Reject or Suspend and Investigate (filed July 8, 2016); Petition of Birch Communications, Inc., EarthLink, Inc., INCOMPAS, Level 3 Communications, LLC, Sprint Corporation, and Windstream Services, LLC to Reject or Suspend and Investigate (filed July 8, 2016); Petition of U.S. TelePacfiic d/b/a TelePacific Communications and Alpheus Communications LLC to Reject or Suspend and Investigate (filed July 8, 2016). </w:t>
      </w:r>
    </w:p>
  </w:footnote>
  <w:footnote w:id="10">
    <w:p w:rsidR="00D21735" w:rsidRPr="00D21735" w:rsidRDefault="00D21735">
      <w:pPr>
        <w:pStyle w:val="FootnoteText"/>
      </w:pPr>
      <w:r>
        <w:rPr>
          <w:rStyle w:val="FootnoteReference"/>
        </w:rPr>
        <w:footnoteRef/>
      </w:r>
      <w:r>
        <w:t xml:space="preserve"> Birch Petition at 6-8.  Birch also urges the Commission to find that there is a significant question as to whether AT&amp;T’s proposed grandfather</w:t>
      </w:r>
      <w:r w:rsidR="006B37B1">
        <w:t>ing</w:t>
      </w:r>
      <w:r>
        <w:t xml:space="preserve"> of critically important portability plans constitutes an unjust and unreasonable practice under Section 201(b) because it would deny competitors access to a necessary wholesale input and would yield rate structures that would cause substantial harm to competition and consumer welfare.  </w:t>
      </w:r>
      <w:r>
        <w:rPr>
          <w:i/>
        </w:rPr>
        <w:t xml:space="preserve">Id. </w:t>
      </w:r>
      <w:r>
        <w:t>at 9-11.</w:t>
      </w:r>
    </w:p>
  </w:footnote>
  <w:footnote w:id="11">
    <w:p w:rsidR="009B584B" w:rsidRDefault="009B584B">
      <w:pPr>
        <w:pStyle w:val="FootnoteText"/>
      </w:pPr>
      <w:r>
        <w:rPr>
          <w:rStyle w:val="FootnoteReference"/>
        </w:rPr>
        <w:footnoteRef/>
      </w:r>
      <w:r>
        <w:t xml:space="preserve"> Windstream Petition at 3-5.</w:t>
      </w:r>
    </w:p>
  </w:footnote>
  <w:footnote w:id="12">
    <w:p w:rsidR="00305222" w:rsidRPr="00AE2EDE" w:rsidRDefault="00305222" w:rsidP="009775E5">
      <w:pPr>
        <w:pStyle w:val="FootnoteText"/>
      </w:pPr>
      <w:r>
        <w:rPr>
          <w:rStyle w:val="FootnoteReference"/>
        </w:rPr>
        <w:footnoteRef/>
      </w:r>
      <w:r w:rsidR="00D40C46">
        <w:t xml:space="preserve"> </w:t>
      </w:r>
      <w:r w:rsidR="007602F5">
        <w:t>TeleP</w:t>
      </w:r>
      <w:r w:rsidR="00D21735">
        <w:t>acific/Alpheus Petition at 10, 11-12</w:t>
      </w:r>
      <w:r>
        <w:rPr>
          <w:i/>
        </w:rPr>
        <w:t>.</w:t>
      </w:r>
    </w:p>
  </w:footnote>
  <w:footnote w:id="13">
    <w:p w:rsidR="00D45CBB" w:rsidRDefault="00D45CBB">
      <w:pPr>
        <w:pStyle w:val="FootnoteText"/>
      </w:pPr>
      <w:r>
        <w:rPr>
          <w:rStyle w:val="FootnoteReference"/>
        </w:rPr>
        <w:footnoteRef/>
      </w:r>
      <w:r>
        <w:t xml:space="preserve"> “Effective July 16, 2016, the Discount Commitment Program (DCP) is no longer effective for new subscriptions.  DCP will continue to be available to existing subscribers for the remainder of each subscriber’s 3 or 5 year DCP term.”</w:t>
      </w:r>
    </w:p>
  </w:footnote>
  <w:footnote w:id="14">
    <w:p w:rsidR="00D45CBB" w:rsidRDefault="00D45CBB">
      <w:pPr>
        <w:pStyle w:val="FootnoteText"/>
      </w:pPr>
      <w:r>
        <w:rPr>
          <w:rStyle w:val="FootnoteReference"/>
        </w:rPr>
        <w:footnoteRef/>
      </w:r>
      <w:r>
        <w:t xml:space="preserve"> </w:t>
      </w:r>
      <w:r>
        <w:rPr>
          <w:i/>
        </w:rPr>
        <w:t xml:space="preserve">See </w:t>
      </w:r>
      <w:r>
        <w:t>Section 7.4.18 (E) (“Effective July 16, 2016, the DS1 High Capacity Service Portability Commitment is no longer available for new subscriptions or renewals.  The DS1 High Capacity Service Portability Commitment will continue to be available to existing subscribers for the remainder of each subscriber’s 3 year DS1 High Capacity Serv</w:t>
      </w:r>
      <w:r w:rsidR="004C3759">
        <w:t>ice Portability Commitment term</w:t>
      </w:r>
      <w:r>
        <w:t>”</w:t>
      </w:r>
      <w:r w:rsidR="004C3759">
        <w:t>).</w:t>
      </w:r>
    </w:p>
  </w:footnote>
  <w:footnote w:id="15">
    <w:p w:rsidR="00D45CBB" w:rsidRDefault="00D45CBB">
      <w:pPr>
        <w:pStyle w:val="FootnoteText"/>
      </w:pPr>
      <w:r>
        <w:rPr>
          <w:rStyle w:val="FootnoteReference"/>
        </w:rPr>
        <w:footnoteRef/>
      </w:r>
      <w:r>
        <w:t xml:space="preserve"> </w:t>
      </w:r>
      <w:r w:rsidR="004C3759">
        <w:t>Effective July 16, 2016, the DS1 High Capacity Service Portability Commitment is no longer available for new subscriptions or renewals.  The DS1 High Capacity Service Portability Commitment will continue to be available to existing subscribers for the remainder of each subscriber’s 3 year DS1 High Capacity Service Portability Commitment term”).</w:t>
      </w:r>
    </w:p>
  </w:footnote>
  <w:footnote w:id="16">
    <w:p w:rsidR="006E1ECD" w:rsidRDefault="006E1ECD" w:rsidP="009775E5">
      <w:pPr>
        <w:pStyle w:val="FootnoteText"/>
      </w:pPr>
      <w:r>
        <w:rPr>
          <w:rStyle w:val="FootnoteReference"/>
        </w:rPr>
        <w:footnoteRef/>
      </w:r>
      <w:r>
        <w:t xml:space="preserve"> </w:t>
      </w:r>
      <w:r w:rsidRPr="00047708">
        <w:rPr>
          <w:i/>
        </w:rPr>
        <w:t>Municipal Light Bds. v. FPC</w:t>
      </w:r>
      <w:r>
        <w:t>, 450 F.2d 1341, 1346 (D.C. Cir. 1971)</w:t>
      </w:r>
      <w:r w:rsidR="00E30C19">
        <w:t>,</w:t>
      </w:r>
      <w:r>
        <w:t xml:space="preserve"> </w:t>
      </w:r>
      <w:r w:rsidRPr="00047708">
        <w:rPr>
          <w:i/>
        </w:rPr>
        <w:t>cert</w:t>
      </w:r>
      <w:r w:rsidR="00856DA2">
        <w:rPr>
          <w:i/>
        </w:rPr>
        <w:t>.</w:t>
      </w:r>
      <w:r w:rsidRPr="00047708">
        <w:rPr>
          <w:i/>
        </w:rPr>
        <w:t xml:space="preserve"> denied</w:t>
      </w:r>
      <w:r>
        <w:t xml:space="preserve">, 405 U.S. 989 (1972); </w:t>
      </w:r>
      <w:r w:rsidRPr="00047708">
        <w:rPr>
          <w:i/>
        </w:rPr>
        <w:t>see also</w:t>
      </w:r>
      <w:r>
        <w:t xml:space="preserve"> </w:t>
      </w:r>
      <w:r w:rsidRPr="00047708">
        <w:rPr>
          <w:i/>
        </w:rPr>
        <w:t>Capital Network Sys., Inc. v. FCC</w:t>
      </w:r>
      <w:r>
        <w:t xml:space="preserve">, 28 F.3d 201, 204 (D.C. Cir. 1994); </w:t>
      </w:r>
      <w:r w:rsidRPr="00047708">
        <w:rPr>
          <w:i/>
        </w:rPr>
        <w:t xml:space="preserve">American Broadcasting Cos. </w:t>
      </w:r>
      <w:r>
        <w:rPr>
          <w:i/>
        </w:rPr>
        <w:t>v</w:t>
      </w:r>
      <w:r w:rsidRPr="00047708">
        <w:rPr>
          <w:i/>
        </w:rPr>
        <w:t>. FCC</w:t>
      </w:r>
      <w:r>
        <w:t xml:space="preserve">, 663 F.2d 133, 138 (D.C. Cir. 1980). </w:t>
      </w:r>
    </w:p>
  </w:footnote>
  <w:footnote w:id="17">
    <w:p w:rsidR="006E1ECD" w:rsidRDefault="006E1ECD" w:rsidP="009775E5">
      <w:pPr>
        <w:pStyle w:val="FootnoteText"/>
      </w:pPr>
      <w:r>
        <w:rPr>
          <w:rStyle w:val="FootnoteReference"/>
        </w:rPr>
        <w:footnoteRef/>
      </w:r>
      <w:r>
        <w:t xml:space="preserve"> </w:t>
      </w:r>
      <w:r w:rsidRPr="00047708">
        <w:rPr>
          <w:i/>
        </w:rPr>
        <w:t>Associated Press v. FCC</w:t>
      </w:r>
      <w:r>
        <w:t>, 448 F.2d 1095, 1103 (D.C. Cir. 1971).</w:t>
      </w:r>
    </w:p>
  </w:footnote>
  <w:footnote w:id="18">
    <w:p w:rsidR="00EA2193" w:rsidRDefault="00EA2193">
      <w:pPr>
        <w:pStyle w:val="FootnoteText"/>
      </w:pPr>
      <w:r>
        <w:rPr>
          <w:rStyle w:val="FootnoteReference"/>
        </w:rPr>
        <w:footnoteRef/>
      </w:r>
      <w:r>
        <w:t xml:space="preserve"> </w:t>
      </w:r>
      <w:r>
        <w:rPr>
          <w:i/>
          <w:iCs/>
        </w:rPr>
        <w:t>Policy and Rules Concerning Rates for Dominant Carriers</w:t>
      </w:r>
      <w:r>
        <w:t>, CC Docket No. 87-313, Second Report and Order, 5 FCC Rcd 6786, 6824, para. 312 (1990) (</w:t>
      </w:r>
      <w:r>
        <w:rPr>
          <w:i/>
          <w:iCs/>
        </w:rPr>
        <w:t>1990 Price Cap Order</w:t>
      </w:r>
      <w:r>
        <w:t xml:space="preserve">), </w:t>
      </w:r>
      <w:r>
        <w:rPr>
          <w:i/>
          <w:iCs/>
        </w:rPr>
        <w:t>aff’d, Nat’l Rural Telecom Ass’n v. FCC</w:t>
      </w:r>
      <w:r>
        <w:t>, 988 F.2d 174 (D.C. Cir. 1993)</w:t>
      </w:r>
      <w:r w:rsidR="00BC3901">
        <w:t xml:space="preserve"> (“We define restructured services as any that modify a method of charging or provisioning a service that does not result in a net increase of service options available to customers”)</w:t>
      </w:r>
      <w:r>
        <w:t xml:space="preserve">.  </w:t>
      </w:r>
    </w:p>
  </w:footnote>
  <w:footnote w:id="19">
    <w:p w:rsidR="00E77127" w:rsidRPr="00E77127" w:rsidRDefault="00E77127">
      <w:pPr>
        <w:pStyle w:val="FootnoteText"/>
      </w:pPr>
      <w:r>
        <w:rPr>
          <w:rStyle w:val="FootnoteReference"/>
        </w:rPr>
        <w:footnoteRef/>
      </w:r>
      <w:r>
        <w:t xml:space="preserve"> </w:t>
      </w:r>
      <w:r>
        <w:rPr>
          <w:i/>
        </w:rPr>
        <w:t xml:space="preserve">See </w:t>
      </w:r>
      <w:r w:rsidR="00A2541D">
        <w:rPr>
          <w:i/>
        </w:rPr>
        <w:t xml:space="preserve">infra </w:t>
      </w:r>
      <w:r>
        <w:t xml:space="preserve">para. </w:t>
      </w:r>
      <w:r w:rsidR="00F91588">
        <w:t>11</w:t>
      </w:r>
      <w:r>
        <w:t>.</w:t>
      </w:r>
    </w:p>
  </w:footnote>
  <w:footnote w:id="20">
    <w:p w:rsidR="006F60F0" w:rsidRPr="005014E2" w:rsidRDefault="006F60F0" w:rsidP="006F60F0">
      <w:pPr>
        <w:pStyle w:val="FootnoteText"/>
      </w:pPr>
      <w:r>
        <w:rPr>
          <w:rStyle w:val="FootnoteReference"/>
        </w:rPr>
        <w:footnoteRef/>
      </w:r>
      <w:r>
        <w:t xml:space="preserve"> 47 C.F.R. § 61.3(mm).  </w:t>
      </w:r>
    </w:p>
  </w:footnote>
  <w:footnote w:id="21">
    <w:p w:rsidR="00316787" w:rsidRDefault="00316787" w:rsidP="00316787">
      <w:pPr>
        <w:pStyle w:val="FootnoteText"/>
      </w:pPr>
      <w:r>
        <w:rPr>
          <w:rStyle w:val="FootnoteReference"/>
        </w:rPr>
        <w:footnoteRef/>
      </w:r>
      <w:r>
        <w:t xml:space="preserve"> 47 C.F.R. § 61.3(i).</w:t>
      </w:r>
    </w:p>
  </w:footnote>
  <w:footnote w:id="22">
    <w:p w:rsidR="00A3544C" w:rsidRDefault="00A3544C">
      <w:pPr>
        <w:pStyle w:val="FootnoteText"/>
      </w:pPr>
      <w:r>
        <w:rPr>
          <w:rStyle w:val="FootnoteReference"/>
        </w:rPr>
        <w:footnoteRef/>
      </w:r>
      <w:r>
        <w:t xml:space="preserve"> </w:t>
      </w:r>
      <w:r w:rsidR="00B63D06" w:rsidRPr="0078773E">
        <w:rPr>
          <w:i/>
        </w:rPr>
        <w:t>See</w:t>
      </w:r>
      <w:r w:rsidR="00B63D06">
        <w:t xml:space="preserve"> 47 C.F.R. §§ 61.3(i) and (mm).</w:t>
      </w:r>
    </w:p>
  </w:footnote>
  <w:footnote w:id="23">
    <w:p w:rsidR="004D03EB" w:rsidRPr="004D03EB" w:rsidRDefault="004D03EB">
      <w:pPr>
        <w:pStyle w:val="FootnoteText"/>
      </w:pPr>
      <w:r>
        <w:rPr>
          <w:rStyle w:val="FootnoteReference"/>
        </w:rPr>
        <w:footnoteRef/>
      </w:r>
      <w:r>
        <w:t xml:space="preserve"> </w:t>
      </w:r>
      <w:r>
        <w:rPr>
          <w:i/>
        </w:rPr>
        <w:t xml:space="preserve">See </w:t>
      </w:r>
      <w:r>
        <w:t>Birch Petition at 6-7.</w:t>
      </w:r>
    </w:p>
  </w:footnote>
  <w:footnote w:id="24">
    <w:p w:rsidR="004D03EB" w:rsidRPr="004D03EB" w:rsidRDefault="004D03EB">
      <w:pPr>
        <w:pStyle w:val="FootnoteText"/>
      </w:pPr>
      <w:r>
        <w:rPr>
          <w:rStyle w:val="FootnoteReference"/>
        </w:rPr>
        <w:footnoteRef/>
      </w:r>
      <w:r>
        <w:t xml:space="preserve"> </w:t>
      </w:r>
      <w:r>
        <w:rPr>
          <w:i/>
        </w:rPr>
        <w:t xml:space="preserve">See </w:t>
      </w:r>
      <w:r>
        <w:t>Windstream Petition at 4.</w:t>
      </w:r>
    </w:p>
  </w:footnote>
  <w:footnote w:id="25">
    <w:p w:rsidR="00174C54" w:rsidRPr="00174C54" w:rsidRDefault="00174C54">
      <w:pPr>
        <w:pStyle w:val="FootnoteText"/>
      </w:pPr>
      <w:r>
        <w:rPr>
          <w:rStyle w:val="FootnoteReference"/>
        </w:rPr>
        <w:footnoteRef/>
      </w:r>
      <w:r>
        <w:t xml:space="preserve"> </w:t>
      </w:r>
      <w:r>
        <w:rPr>
          <w:i/>
        </w:rPr>
        <w:t xml:space="preserve">See </w:t>
      </w:r>
      <w:r>
        <w:t>Ameritech D&amp;J at 3-4, n.6; PBTC D&amp;J at 5-6, n.6; SWBT D&amp;J at 5-6, n.6.</w:t>
      </w:r>
    </w:p>
  </w:footnote>
  <w:footnote w:id="26">
    <w:p w:rsidR="003E03C7" w:rsidRDefault="003E03C7">
      <w:pPr>
        <w:pStyle w:val="FootnoteText"/>
      </w:pPr>
      <w:r>
        <w:rPr>
          <w:rStyle w:val="FootnoteReference"/>
        </w:rPr>
        <w:footnoteRef/>
      </w:r>
      <w:r>
        <w:t xml:space="preserve"> AT&amp;T Reply at 1</w:t>
      </w:r>
      <w:r w:rsidR="00504E7E">
        <w:t>3</w:t>
      </w:r>
      <w:r>
        <w:t xml:space="preserve"> (emphasis </w:t>
      </w:r>
      <w:r w:rsidR="002445A5">
        <w:t>in original</w:t>
      </w:r>
      <w:r>
        <w:t>).</w:t>
      </w:r>
    </w:p>
  </w:footnote>
  <w:footnote w:id="27">
    <w:p w:rsidR="00504E7E" w:rsidRDefault="00504E7E">
      <w:pPr>
        <w:pStyle w:val="FootnoteText"/>
      </w:pPr>
      <w:r>
        <w:rPr>
          <w:rStyle w:val="FootnoteReference"/>
        </w:rPr>
        <w:footnoteRef/>
      </w:r>
      <w:r>
        <w:t xml:space="preserve"> </w:t>
      </w:r>
      <w:r w:rsidRPr="005B525F">
        <w:rPr>
          <w:i/>
        </w:rPr>
        <w:t>Id</w:t>
      </w:r>
      <w:r>
        <w:t>. at 14.</w:t>
      </w:r>
    </w:p>
  </w:footnote>
  <w:footnote w:id="28">
    <w:p w:rsidR="003517B5" w:rsidRPr="003517B5" w:rsidRDefault="003517B5" w:rsidP="003517B5">
      <w:pPr>
        <w:pStyle w:val="FootnoteText"/>
      </w:pPr>
      <w:r>
        <w:rPr>
          <w:rStyle w:val="FootnoteReference"/>
        </w:rPr>
        <w:footnoteRef/>
      </w:r>
      <w:r>
        <w:t xml:space="preserve"> </w:t>
      </w:r>
      <w:r w:rsidR="002A6313">
        <w:t xml:space="preserve"> </w:t>
      </w:r>
      <w:r w:rsidR="002A6313">
        <w:rPr>
          <w:i/>
        </w:rPr>
        <w:t xml:space="preserve">See </w:t>
      </w:r>
      <w:r w:rsidR="002A6313">
        <w:t xml:space="preserve">Birch Petition at 7-8; Windstream Petition at 4.  </w:t>
      </w:r>
    </w:p>
  </w:footnote>
  <w:footnote w:id="29">
    <w:p w:rsidR="004D03EB" w:rsidRDefault="004D03EB">
      <w:pPr>
        <w:pStyle w:val="FootnoteText"/>
      </w:pPr>
      <w:r>
        <w:rPr>
          <w:rStyle w:val="FootnoteReference"/>
        </w:rPr>
        <w:footnoteRef/>
      </w:r>
      <w:r>
        <w:t xml:space="preserve"> </w:t>
      </w:r>
      <w:r w:rsidR="004C6426">
        <w:rPr>
          <w:i/>
        </w:rPr>
        <w:t xml:space="preserve">See </w:t>
      </w:r>
      <w:r w:rsidR="00914B11">
        <w:t>47 CFR §§ 61.46(c),</w:t>
      </w:r>
      <w:r w:rsidR="00CF6678">
        <w:t xml:space="preserve"> 61.47(d)</w:t>
      </w:r>
      <w:r w:rsidR="00914B11">
        <w:t>,</w:t>
      </w:r>
      <w:r w:rsidR="000369CB">
        <w:t xml:space="preserve"> 61.49(e)</w:t>
      </w:r>
      <w:r w:rsidR="004C6426">
        <w:t xml:space="preserve">.  </w:t>
      </w:r>
    </w:p>
  </w:footnote>
  <w:footnote w:id="30">
    <w:p w:rsidR="00701D36" w:rsidRDefault="00701D36" w:rsidP="00701D36">
      <w:pPr>
        <w:pStyle w:val="FootnoteText"/>
      </w:pPr>
      <w:r>
        <w:rPr>
          <w:rStyle w:val="FootnoteReference"/>
        </w:rPr>
        <w:footnoteRef/>
      </w:r>
      <w:r>
        <w:t xml:space="preserve"> We note that, in contrast to the approach taken by AT&amp;T, Verizon modified its proposed shortfall penalties in the form of a rate restructure.</w:t>
      </w:r>
    </w:p>
  </w:footnote>
  <w:footnote w:id="31">
    <w:p w:rsidR="00251236" w:rsidRDefault="00251236">
      <w:pPr>
        <w:pStyle w:val="FootnoteText"/>
      </w:pPr>
      <w:r>
        <w:rPr>
          <w:rStyle w:val="FootnoteReference"/>
        </w:rPr>
        <w:footnoteRef/>
      </w:r>
      <w:r>
        <w:t xml:space="preserve"> </w:t>
      </w:r>
      <w:r>
        <w:rPr>
          <w:i/>
        </w:rPr>
        <w:t xml:space="preserve">See </w:t>
      </w:r>
      <w:r>
        <w:t>47 CFR §§ 61.46(c)</w:t>
      </w:r>
      <w:r w:rsidR="00914B11">
        <w:t>,</w:t>
      </w:r>
      <w:r>
        <w:t xml:space="preserve"> 61.47(d)</w:t>
      </w:r>
      <w:r w:rsidR="00914B11">
        <w:t>,</w:t>
      </w:r>
      <w:r>
        <w:t xml:space="preserve"> 61.49(e).  </w:t>
      </w:r>
    </w:p>
  </w:footnote>
  <w:footnote w:id="32">
    <w:p w:rsidR="00251236" w:rsidRPr="005B525F" w:rsidRDefault="00251236">
      <w:pPr>
        <w:pStyle w:val="FootnoteText"/>
        <w:rPr>
          <w:i/>
        </w:rPr>
      </w:pPr>
      <w:r>
        <w:rPr>
          <w:rStyle w:val="FootnoteReference"/>
        </w:rPr>
        <w:footnoteRef/>
      </w:r>
      <w:r>
        <w:t xml:space="preserve"> </w:t>
      </w:r>
      <w:r w:rsidRPr="005B525F">
        <w:rPr>
          <w:i/>
        </w:rPr>
        <w:t>Id.</w:t>
      </w:r>
    </w:p>
  </w:footnote>
  <w:footnote w:id="33">
    <w:p w:rsidR="005B583D" w:rsidRDefault="005B583D">
      <w:pPr>
        <w:pStyle w:val="FootnoteText"/>
      </w:pPr>
      <w:r>
        <w:rPr>
          <w:rStyle w:val="FootnoteReference"/>
        </w:rPr>
        <w:footnoteRef/>
      </w:r>
      <w:r>
        <w:t xml:space="preserve"> </w:t>
      </w:r>
      <w:r w:rsidRPr="005B525F">
        <w:rPr>
          <w:i/>
        </w:rPr>
        <w:t>See</w:t>
      </w:r>
      <w:r>
        <w:t xml:space="preserve"> Birch Petition at 7-8.</w:t>
      </w:r>
    </w:p>
  </w:footnote>
  <w:footnote w:id="34">
    <w:p w:rsidR="006649D0" w:rsidRPr="006649D0" w:rsidRDefault="006649D0">
      <w:pPr>
        <w:pStyle w:val="FootnoteText"/>
      </w:pPr>
      <w:r>
        <w:rPr>
          <w:rStyle w:val="FootnoteReference"/>
        </w:rPr>
        <w:footnoteRef/>
      </w:r>
      <w:r>
        <w:t xml:space="preserve"> The SWBT and PBTC D&amp;Js generally state that the grandfathering “does not constitute a ‘restructuring’” and provide none of the requisite detail that would be required substantiate such a claim.  </w:t>
      </w:r>
      <w:r>
        <w:rPr>
          <w:i/>
        </w:rPr>
        <w:t xml:space="preserve">See </w:t>
      </w:r>
      <w:r>
        <w:t xml:space="preserve">SWBT D&amp;J at </w:t>
      </w:r>
      <w:r w:rsidR="00F91588">
        <w:t>5</w:t>
      </w:r>
      <w:r>
        <w:t xml:space="preserve">; PBTC D&amp;J at </w:t>
      </w:r>
      <w:r w:rsidR="00F91588">
        <w:t>5</w:t>
      </w:r>
      <w:r>
        <w:t>.</w:t>
      </w:r>
    </w:p>
  </w:footnote>
  <w:footnote w:id="35">
    <w:p w:rsidR="00B475E9" w:rsidRDefault="00B475E9" w:rsidP="00B475E9">
      <w:pPr>
        <w:pStyle w:val="FootnoteText"/>
      </w:pPr>
      <w:r>
        <w:rPr>
          <w:rStyle w:val="FootnoteReference"/>
        </w:rPr>
        <w:footnoteRef/>
      </w:r>
      <w:r>
        <w:t xml:space="preserve"> </w:t>
      </w:r>
      <w:r>
        <w:rPr>
          <w:i/>
          <w:iCs/>
        </w:rPr>
        <w:t>RCA American Communications, Inc.</w:t>
      </w:r>
      <w:r>
        <w:t>, CC Docket No. 80-766, Memorandum Opinion and Order, 86 F.C.C.2d 1197 (1981) (“In balancing the carrier’s right to adjust its tariff in accordance with its business needs and objectives against the legitimate expectations of customers for stability in term arrangements, we conclude that the reasonableness of a proposal to revise material provisions in the middle of a term must hinge to a great extent on the carrier’s explanation of the factors necessitating the desired changes at that particular time.  If a carrier can make a showing of substantial cause, its decision to alter tariff terms will be considered reasonable”).</w:t>
      </w:r>
    </w:p>
  </w:footnote>
  <w:footnote w:id="36">
    <w:p w:rsidR="00D773AA" w:rsidRPr="00233E74" w:rsidRDefault="00D773AA">
      <w:pPr>
        <w:pStyle w:val="FootnoteText"/>
      </w:pPr>
      <w:r>
        <w:rPr>
          <w:rStyle w:val="FootnoteReference"/>
        </w:rPr>
        <w:footnoteRef/>
      </w:r>
      <w:r>
        <w:t xml:space="preserve"> </w:t>
      </w:r>
      <w:r w:rsidRPr="005E1D2A">
        <w:rPr>
          <w:i/>
        </w:rPr>
        <w:t>Tariff Investigation Order</w:t>
      </w:r>
      <w:r w:rsidR="00B63D06">
        <w:t>, 31 FCC Rcd</w:t>
      </w:r>
      <w:r w:rsidRPr="00233E74">
        <w:t xml:space="preserve"> at </w:t>
      </w:r>
      <w:r w:rsidR="00B63D06">
        <w:t xml:space="preserve">4768, </w:t>
      </w:r>
      <w:r w:rsidRPr="00233E74">
        <w:t>para. 102 n.263.</w:t>
      </w:r>
    </w:p>
  </w:footnote>
  <w:footnote w:id="37">
    <w:p w:rsidR="003517B5" w:rsidRPr="005E1D2A" w:rsidRDefault="003517B5" w:rsidP="003517B5">
      <w:pPr>
        <w:pStyle w:val="FootnoteText"/>
      </w:pPr>
      <w:r w:rsidRPr="00233E74">
        <w:rPr>
          <w:rStyle w:val="FootnoteReference"/>
        </w:rPr>
        <w:footnoteRef/>
      </w:r>
      <w:r w:rsidRPr="00233E74">
        <w:t xml:space="preserve"> </w:t>
      </w:r>
      <w:r w:rsidR="00B63D06">
        <w:rPr>
          <w:i/>
        </w:rPr>
        <w:t xml:space="preserve">Id. </w:t>
      </w:r>
      <w:r w:rsidR="00B63D06">
        <w:t>at 4768-69, paras. 102-103.</w:t>
      </w:r>
    </w:p>
  </w:footnote>
  <w:footnote w:id="38">
    <w:p w:rsidR="003517B5" w:rsidRPr="005E1D2A" w:rsidRDefault="003517B5" w:rsidP="003517B5">
      <w:pPr>
        <w:pStyle w:val="FootnoteText"/>
      </w:pPr>
      <w:r w:rsidRPr="003517B5">
        <w:rPr>
          <w:rStyle w:val="FootnoteReference"/>
        </w:rPr>
        <w:footnoteRef/>
      </w:r>
      <w:r w:rsidRPr="00233E74">
        <w:t xml:space="preserve"> </w:t>
      </w:r>
      <w:r w:rsidRPr="005E1D2A">
        <w:rPr>
          <w:i/>
        </w:rPr>
        <w:t>Id</w:t>
      </w:r>
      <w:r w:rsidRPr="005E1D2A">
        <w:t xml:space="preserve">. at </w:t>
      </w:r>
      <w:r w:rsidR="00B63D06">
        <w:t xml:space="preserve">4772, </w:t>
      </w:r>
      <w:r w:rsidRPr="005E1D2A">
        <w:t>paras. 110-111.</w:t>
      </w:r>
    </w:p>
  </w:footnote>
  <w:footnote w:id="39">
    <w:p w:rsidR="000E5DA3" w:rsidRPr="000E5DA3" w:rsidRDefault="000E5DA3">
      <w:pPr>
        <w:pStyle w:val="FootnoteText"/>
      </w:pPr>
      <w:r>
        <w:rPr>
          <w:rStyle w:val="FootnoteReference"/>
        </w:rPr>
        <w:footnoteRef/>
      </w:r>
      <w:r>
        <w:t xml:space="preserve"> We note that Frontier, which had similar all-or-nothing language in its Optional Payment Plan, was able to comply with the </w:t>
      </w:r>
      <w:r w:rsidRPr="000E5DA3">
        <w:rPr>
          <w:i/>
        </w:rPr>
        <w:t>Tariff Investigation Order</w:t>
      </w:r>
      <w:r>
        <w:t>.  Birch Petition at 5 n.12.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3" w:rsidRDefault="00DF4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Pr="00A81848" w:rsidRDefault="006E1ECD">
    <w:pPr>
      <w:pStyle w:val="Header"/>
      <w:rPr>
        <w:b w:val="0"/>
        <w:szCs w:val="24"/>
      </w:rPr>
    </w:pPr>
    <w:r w:rsidRPr="00CA6FDE">
      <w:rPr>
        <w:sz w:val="24"/>
        <w:szCs w:val="24"/>
      </w:rPr>
      <w:tab/>
    </w:r>
    <w:r w:rsidRPr="00A81848">
      <w:rPr>
        <w:szCs w:val="24"/>
      </w:rPr>
      <w:t>Federal Communications Commission</w:t>
    </w:r>
    <w:r w:rsidRPr="00A81848">
      <w:rPr>
        <w:szCs w:val="24"/>
      </w:rPr>
      <w:tab/>
      <w:t xml:space="preserve">DA </w:t>
    </w:r>
    <w:r w:rsidR="000565A4">
      <w:rPr>
        <w:szCs w:val="24"/>
      </w:rPr>
      <w:t>16-</w:t>
    </w:r>
    <w:r w:rsidR="00A2541D">
      <w:rPr>
        <w:szCs w:val="24"/>
      </w:rPr>
      <w:t>806</w:t>
    </w:r>
    <w:r w:rsidRPr="00A81848">
      <w:rPr>
        <w:szCs w:val="24"/>
      </w:rPr>
      <w:t xml:space="preserve"> </w:t>
    </w:r>
  </w:p>
  <w:p w:rsidR="006E1ECD" w:rsidRDefault="00C645BA">
    <w:pPr>
      <w:pStyle w:val="Header"/>
    </w:pPr>
    <w:r>
      <w:rPr>
        <w:noProof/>
      </w:rPr>
      <mc:AlternateContent>
        <mc:Choice Requires="wps">
          <w:drawing>
            <wp:anchor distT="0" distB="0" distL="114300" distR="114300" simplePos="0" relativeHeight="251658240" behindDoc="0" locked="0" layoutInCell="0" allowOverlap="1" wp14:anchorId="778CFD73" wp14:editId="76E40C66">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EEF5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E1ECD" w:rsidRDefault="006E1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Pr="00A81848" w:rsidRDefault="006E1ECD" w:rsidP="00CC190D">
    <w:pPr>
      <w:pStyle w:val="Header"/>
      <w:rPr>
        <w:b w:val="0"/>
        <w:szCs w:val="24"/>
      </w:rPr>
    </w:pPr>
    <w:r w:rsidRPr="00B12E9C">
      <w:rPr>
        <w:sz w:val="24"/>
        <w:szCs w:val="24"/>
      </w:rPr>
      <w:tab/>
    </w:r>
    <w:r w:rsidRPr="00A81848">
      <w:rPr>
        <w:szCs w:val="24"/>
      </w:rPr>
      <w:t>Federal Communications Commission</w:t>
    </w:r>
    <w:r>
      <w:rPr>
        <w:szCs w:val="24"/>
      </w:rPr>
      <w:tab/>
      <w:t xml:space="preserve">DA </w:t>
    </w:r>
    <w:r w:rsidR="000565A4">
      <w:rPr>
        <w:szCs w:val="24"/>
      </w:rPr>
      <w:t>16-</w:t>
    </w:r>
    <w:r w:rsidR="00A2541D">
      <w:rPr>
        <w:szCs w:val="24"/>
      </w:rPr>
      <w:t>806</w:t>
    </w:r>
  </w:p>
  <w:p w:rsidR="006E1ECD" w:rsidRDefault="00C645BA">
    <w:pPr>
      <w:pStyle w:val="Header"/>
    </w:pPr>
    <w:r>
      <w:rPr>
        <w:noProof/>
      </w:rPr>
      <mc:AlternateContent>
        <mc:Choice Requires="wps">
          <w:drawing>
            <wp:anchor distT="0" distB="0" distL="114300" distR="114300" simplePos="0" relativeHeight="251657216" behindDoc="0" locked="0" layoutInCell="0" allowOverlap="1" wp14:anchorId="25BCAD5A" wp14:editId="525318C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3E6F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3"/>
  </w:num>
  <w:num w:numId="4">
    <w:abstractNumId w:val="0"/>
  </w:num>
  <w:num w:numId="5">
    <w:abstractNumId w:val="5"/>
  </w:num>
  <w:num w:numId="6">
    <w:abstractNumId w:val="5"/>
  </w:num>
  <w:num w:numId="7">
    <w:abstractNumId w:val="5"/>
    <w:lvlOverride w:ilvl="0">
      <w:startOverride w:val="1"/>
    </w:lvlOverride>
  </w:num>
  <w:num w:numId="8">
    <w:abstractNumId w:val="5"/>
  </w:num>
  <w:num w:numId="9">
    <w:abstractNumId w:val="5"/>
    <w:lvlOverride w:ilvl="0">
      <w:startOverride w:val="1"/>
    </w:lvlOverride>
  </w:num>
  <w:num w:numId="10">
    <w:abstractNumId w:val="2"/>
  </w:num>
  <w:num w:numId="11">
    <w:abstractNumId w:val="8"/>
  </w:num>
  <w:num w:numId="12">
    <w:abstractNumId w:val="4"/>
  </w:num>
  <w:num w:numId="13">
    <w:abstractNumId w:val="6"/>
  </w:num>
  <w:num w:numId="14">
    <w:abstractNumId w:val="1"/>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312F"/>
    <w:rsid w:val="00003807"/>
    <w:rsid w:val="00011754"/>
    <w:rsid w:val="00020FC8"/>
    <w:rsid w:val="00033188"/>
    <w:rsid w:val="000341D4"/>
    <w:rsid w:val="00035027"/>
    <w:rsid w:val="000369CB"/>
    <w:rsid w:val="000411C4"/>
    <w:rsid w:val="00047708"/>
    <w:rsid w:val="000565A4"/>
    <w:rsid w:val="00063493"/>
    <w:rsid w:val="000652E6"/>
    <w:rsid w:val="00065AE4"/>
    <w:rsid w:val="000764C6"/>
    <w:rsid w:val="00077F20"/>
    <w:rsid w:val="00083006"/>
    <w:rsid w:val="00083A82"/>
    <w:rsid w:val="000851C5"/>
    <w:rsid w:val="00085533"/>
    <w:rsid w:val="0008670F"/>
    <w:rsid w:val="000877E9"/>
    <w:rsid w:val="00096387"/>
    <w:rsid w:val="000B37FB"/>
    <w:rsid w:val="000B6D36"/>
    <w:rsid w:val="000D17DC"/>
    <w:rsid w:val="000D4F64"/>
    <w:rsid w:val="000E08A6"/>
    <w:rsid w:val="000E48FE"/>
    <w:rsid w:val="000E5DA3"/>
    <w:rsid w:val="000F1B46"/>
    <w:rsid w:val="000F23AE"/>
    <w:rsid w:val="000F2C15"/>
    <w:rsid w:val="000F4189"/>
    <w:rsid w:val="00113175"/>
    <w:rsid w:val="00114DB3"/>
    <w:rsid w:val="0011636D"/>
    <w:rsid w:val="00133E6F"/>
    <w:rsid w:val="00136407"/>
    <w:rsid w:val="00141655"/>
    <w:rsid w:val="00141953"/>
    <w:rsid w:val="00146303"/>
    <w:rsid w:val="001516CF"/>
    <w:rsid w:val="00151773"/>
    <w:rsid w:val="00174C54"/>
    <w:rsid w:val="00185095"/>
    <w:rsid w:val="00186A47"/>
    <w:rsid w:val="0019383C"/>
    <w:rsid w:val="00195076"/>
    <w:rsid w:val="001A010E"/>
    <w:rsid w:val="001A04DB"/>
    <w:rsid w:val="001A39EB"/>
    <w:rsid w:val="001A5CF5"/>
    <w:rsid w:val="001B12D3"/>
    <w:rsid w:val="001B2E20"/>
    <w:rsid w:val="001B6E15"/>
    <w:rsid w:val="001D052E"/>
    <w:rsid w:val="001D0FDB"/>
    <w:rsid w:val="001D1F62"/>
    <w:rsid w:val="001D2F5A"/>
    <w:rsid w:val="001D338C"/>
    <w:rsid w:val="001D42B9"/>
    <w:rsid w:val="001D4D18"/>
    <w:rsid w:val="001D73CD"/>
    <w:rsid w:val="001D7AD5"/>
    <w:rsid w:val="001E6F20"/>
    <w:rsid w:val="001F0624"/>
    <w:rsid w:val="001F6F9B"/>
    <w:rsid w:val="00210EAD"/>
    <w:rsid w:val="00230219"/>
    <w:rsid w:val="00232C40"/>
    <w:rsid w:val="00233E74"/>
    <w:rsid w:val="00234E82"/>
    <w:rsid w:val="00236559"/>
    <w:rsid w:val="002445A5"/>
    <w:rsid w:val="00244D48"/>
    <w:rsid w:val="00251236"/>
    <w:rsid w:val="00253C52"/>
    <w:rsid w:val="00254276"/>
    <w:rsid w:val="00254F99"/>
    <w:rsid w:val="002561EE"/>
    <w:rsid w:val="002604F5"/>
    <w:rsid w:val="00260925"/>
    <w:rsid w:val="002637FD"/>
    <w:rsid w:val="00264E72"/>
    <w:rsid w:val="00267F7D"/>
    <w:rsid w:val="00271795"/>
    <w:rsid w:val="002763AF"/>
    <w:rsid w:val="00283D70"/>
    <w:rsid w:val="00291184"/>
    <w:rsid w:val="00291F0D"/>
    <w:rsid w:val="002969F5"/>
    <w:rsid w:val="002A06F5"/>
    <w:rsid w:val="002A51C7"/>
    <w:rsid w:val="002A6313"/>
    <w:rsid w:val="002A64C5"/>
    <w:rsid w:val="002B0750"/>
    <w:rsid w:val="002B2BC1"/>
    <w:rsid w:val="002C1234"/>
    <w:rsid w:val="002C214F"/>
    <w:rsid w:val="002C4232"/>
    <w:rsid w:val="002C5F76"/>
    <w:rsid w:val="002D3727"/>
    <w:rsid w:val="002D7219"/>
    <w:rsid w:val="002E0904"/>
    <w:rsid w:val="002E0E30"/>
    <w:rsid w:val="002E5AFB"/>
    <w:rsid w:val="002E6AF3"/>
    <w:rsid w:val="002F1DEC"/>
    <w:rsid w:val="002F240F"/>
    <w:rsid w:val="002F3E2E"/>
    <w:rsid w:val="002F6D3C"/>
    <w:rsid w:val="002F7079"/>
    <w:rsid w:val="00301204"/>
    <w:rsid w:val="0030216F"/>
    <w:rsid w:val="00305222"/>
    <w:rsid w:val="0031531C"/>
    <w:rsid w:val="00316787"/>
    <w:rsid w:val="00323350"/>
    <w:rsid w:val="00325FE7"/>
    <w:rsid w:val="00326B7A"/>
    <w:rsid w:val="0033026F"/>
    <w:rsid w:val="00341166"/>
    <w:rsid w:val="003517B5"/>
    <w:rsid w:val="0035408E"/>
    <w:rsid w:val="0036406D"/>
    <w:rsid w:val="00390D40"/>
    <w:rsid w:val="00392006"/>
    <w:rsid w:val="003940DD"/>
    <w:rsid w:val="003A1EB8"/>
    <w:rsid w:val="003A36A0"/>
    <w:rsid w:val="003A3840"/>
    <w:rsid w:val="003A68B9"/>
    <w:rsid w:val="003B6DDE"/>
    <w:rsid w:val="003B7494"/>
    <w:rsid w:val="003B7902"/>
    <w:rsid w:val="003C5B8A"/>
    <w:rsid w:val="003C6230"/>
    <w:rsid w:val="003D0408"/>
    <w:rsid w:val="003D3186"/>
    <w:rsid w:val="003D3B6A"/>
    <w:rsid w:val="003D66F7"/>
    <w:rsid w:val="003E03C7"/>
    <w:rsid w:val="003E233A"/>
    <w:rsid w:val="00403076"/>
    <w:rsid w:val="00403F1B"/>
    <w:rsid w:val="0040603B"/>
    <w:rsid w:val="00406908"/>
    <w:rsid w:val="00423B8B"/>
    <w:rsid w:val="00431A34"/>
    <w:rsid w:val="00433790"/>
    <w:rsid w:val="00442258"/>
    <w:rsid w:val="00444020"/>
    <w:rsid w:val="00450EBC"/>
    <w:rsid w:val="00456EC4"/>
    <w:rsid w:val="00461DA9"/>
    <w:rsid w:val="00471517"/>
    <w:rsid w:val="0047732B"/>
    <w:rsid w:val="00491C46"/>
    <w:rsid w:val="004929C1"/>
    <w:rsid w:val="00492D6E"/>
    <w:rsid w:val="004940AD"/>
    <w:rsid w:val="00497E92"/>
    <w:rsid w:val="004A13AB"/>
    <w:rsid w:val="004A3C42"/>
    <w:rsid w:val="004B1954"/>
    <w:rsid w:val="004C3759"/>
    <w:rsid w:val="004C6426"/>
    <w:rsid w:val="004D03EB"/>
    <w:rsid w:val="004D494F"/>
    <w:rsid w:val="004F051A"/>
    <w:rsid w:val="004F2F46"/>
    <w:rsid w:val="004F6D5E"/>
    <w:rsid w:val="00503980"/>
    <w:rsid w:val="00503DEB"/>
    <w:rsid w:val="00504552"/>
    <w:rsid w:val="00504D2C"/>
    <w:rsid w:val="00504E7E"/>
    <w:rsid w:val="00506E19"/>
    <w:rsid w:val="00515297"/>
    <w:rsid w:val="0052119E"/>
    <w:rsid w:val="00523DA2"/>
    <w:rsid w:val="005242CA"/>
    <w:rsid w:val="00526FD3"/>
    <w:rsid w:val="00532DED"/>
    <w:rsid w:val="005341C1"/>
    <w:rsid w:val="00534787"/>
    <w:rsid w:val="00540E7C"/>
    <w:rsid w:val="00543E90"/>
    <w:rsid w:val="00544EF2"/>
    <w:rsid w:val="00545DC1"/>
    <w:rsid w:val="00546902"/>
    <w:rsid w:val="00547BC7"/>
    <w:rsid w:val="00550487"/>
    <w:rsid w:val="00550D3E"/>
    <w:rsid w:val="00552593"/>
    <w:rsid w:val="00553C75"/>
    <w:rsid w:val="005545CF"/>
    <w:rsid w:val="00554EA8"/>
    <w:rsid w:val="00561AC4"/>
    <w:rsid w:val="0056259C"/>
    <w:rsid w:val="0056518C"/>
    <w:rsid w:val="005662CA"/>
    <w:rsid w:val="0057039C"/>
    <w:rsid w:val="00573D5C"/>
    <w:rsid w:val="00576D10"/>
    <w:rsid w:val="005A211E"/>
    <w:rsid w:val="005A533F"/>
    <w:rsid w:val="005A571D"/>
    <w:rsid w:val="005B525F"/>
    <w:rsid w:val="005B583D"/>
    <w:rsid w:val="005B5BA2"/>
    <w:rsid w:val="005B64DF"/>
    <w:rsid w:val="005C08DC"/>
    <w:rsid w:val="005C25CF"/>
    <w:rsid w:val="005C54C3"/>
    <w:rsid w:val="005C694B"/>
    <w:rsid w:val="005C6BC3"/>
    <w:rsid w:val="005D0813"/>
    <w:rsid w:val="005D5496"/>
    <w:rsid w:val="005D75CA"/>
    <w:rsid w:val="005E1D2A"/>
    <w:rsid w:val="005E4A08"/>
    <w:rsid w:val="005E7AF6"/>
    <w:rsid w:val="005F484C"/>
    <w:rsid w:val="005F7256"/>
    <w:rsid w:val="005F7AE2"/>
    <w:rsid w:val="005F7E35"/>
    <w:rsid w:val="00601B8A"/>
    <w:rsid w:val="0060371A"/>
    <w:rsid w:val="00603B67"/>
    <w:rsid w:val="00606A44"/>
    <w:rsid w:val="00606AE0"/>
    <w:rsid w:val="00607D85"/>
    <w:rsid w:val="00610BA5"/>
    <w:rsid w:val="006142F2"/>
    <w:rsid w:val="006213A1"/>
    <w:rsid w:val="006219D0"/>
    <w:rsid w:val="006446D7"/>
    <w:rsid w:val="0064506F"/>
    <w:rsid w:val="006464FC"/>
    <w:rsid w:val="006649D0"/>
    <w:rsid w:val="00670F66"/>
    <w:rsid w:val="00671E9B"/>
    <w:rsid w:val="006734AE"/>
    <w:rsid w:val="00676FF5"/>
    <w:rsid w:val="00682B4F"/>
    <w:rsid w:val="00694DBC"/>
    <w:rsid w:val="00696888"/>
    <w:rsid w:val="006A19D8"/>
    <w:rsid w:val="006B37B1"/>
    <w:rsid w:val="006B5241"/>
    <w:rsid w:val="006B5542"/>
    <w:rsid w:val="006C06E6"/>
    <w:rsid w:val="006C39E9"/>
    <w:rsid w:val="006D49C8"/>
    <w:rsid w:val="006D6CFB"/>
    <w:rsid w:val="006E1C7D"/>
    <w:rsid w:val="006E1ECD"/>
    <w:rsid w:val="006E61E9"/>
    <w:rsid w:val="006F4AA3"/>
    <w:rsid w:val="006F60F0"/>
    <w:rsid w:val="006F6957"/>
    <w:rsid w:val="006F7F1B"/>
    <w:rsid w:val="00700294"/>
    <w:rsid w:val="00701A97"/>
    <w:rsid w:val="00701D36"/>
    <w:rsid w:val="007023B8"/>
    <w:rsid w:val="0070432F"/>
    <w:rsid w:val="0070769E"/>
    <w:rsid w:val="007226F8"/>
    <w:rsid w:val="00726BA7"/>
    <w:rsid w:val="007326A8"/>
    <w:rsid w:val="0075091B"/>
    <w:rsid w:val="0075605C"/>
    <w:rsid w:val="00760030"/>
    <w:rsid w:val="007602F5"/>
    <w:rsid w:val="007609EF"/>
    <w:rsid w:val="00761737"/>
    <w:rsid w:val="00763032"/>
    <w:rsid w:val="007632ED"/>
    <w:rsid w:val="00764B58"/>
    <w:rsid w:val="00766BCF"/>
    <w:rsid w:val="007705DD"/>
    <w:rsid w:val="00773DCD"/>
    <w:rsid w:val="0078540E"/>
    <w:rsid w:val="00791176"/>
    <w:rsid w:val="00792F8A"/>
    <w:rsid w:val="00795AA6"/>
    <w:rsid w:val="0079699B"/>
    <w:rsid w:val="00796A27"/>
    <w:rsid w:val="007A1842"/>
    <w:rsid w:val="007A2959"/>
    <w:rsid w:val="007A3034"/>
    <w:rsid w:val="007A42C7"/>
    <w:rsid w:val="007B01DA"/>
    <w:rsid w:val="007B0291"/>
    <w:rsid w:val="007B3939"/>
    <w:rsid w:val="007B530F"/>
    <w:rsid w:val="007B6199"/>
    <w:rsid w:val="007C50F5"/>
    <w:rsid w:val="007C5357"/>
    <w:rsid w:val="007D23A3"/>
    <w:rsid w:val="007D2A0F"/>
    <w:rsid w:val="007E10EE"/>
    <w:rsid w:val="007E2D6B"/>
    <w:rsid w:val="007E4056"/>
    <w:rsid w:val="007E46FC"/>
    <w:rsid w:val="007E5B15"/>
    <w:rsid w:val="007E64D1"/>
    <w:rsid w:val="007F1AFD"/>
    <w:rsid w:val="007F3CDB"/>
    <w:rsid w:val="007F642A"/>
    <w:rsid w:val="007F6C20"/>
    <w:rsid w:val="00802BD7"/>
    <w:rsid w:val="00805B79"/>
    <w:rsid w:val="008101BF"/>
    <w:rsid w:val="00810501"/>
    <w:rsid w:val="008120E1"/>
    <w:rsid w:val="008137A7"/>
    <w:rsid w:val="00813BB2"/>
    <w:rsid w:val="008157BB"/>
    <w:rsid w:val="0082161D"/>
    <w:rsid w:val="0082288F"/>
    <w:rsid w:val="008274B3"/>
    <w:rsid w:val="00832F88"/>
    <w:rsid w:val="00842D31"/>
    <w:rsid w:val="00846873"/>
    <w:rsid w:val="00851E83"/>
    <w:rsid w:val="00856DA2"/>
    <w:rsid w:val="008600E0"/>
    <w:rsid w:val="00864C72"/>
    <w:rsid w:val="0087262E"/>
    <w:rsid w:val="00883542"/>
    <w:rsid w:val="00883E11"/>
    <w:rsid w:val="00883F76"/>
    <w:rsid w:val="00893AD4"/>
    <w:rsid w:val="00895D79"/>
    <w:rsid w:val="00897B8C"/>
    <w:rsid w:val="008A453C"/>
    <w:rsid w:val="008C0228"/>
    <w:rsid w:val="008C2F3A"/>
    <w:rsid w:val="008C3634"/>
    <w:rsid w:val="008C4613"/>
    <w:rsid w:val="008D13D1"/>
    <w:rsid w:val="008D75C4"/>
    <w:rsid w:val="008E2B91"/>
    <w:rsid w:val="008E6405"/>
    <w:rsid w:val="008F10D1"/>
    <w:rsid w:val="009005A8"/>
    <w:rsid w:val="009019C5"/>
    <w:rsid w:val="009031B3"/>
    <w:rsid w:val="009035F7"/>
    <w:rsid w:val="009060FA"/>
    <w:rsid w:val="00906C9D"/>
    <w:rsid w:val="00914B11"/>
    <w:rsid w:val="00932DE6"/>
    <w:rsid w:val="00936782"/>
    <w:rsid w:val="00940768"/>
    <w:rsid w:val="00941119"/>
    <w:rsid w:val="009441CE"/>
    <w:rsid w:val="009511CE"/>
    <w:rsid w:val="0095124A"/>
    <w:rsid w:val="00953C83"/>
    <w:rsid w:val="009629E9"/>
    <w:rsid w:val="00965A3C"/>
    <w:rsid w:val="009775E5"/>
    <w:rsid w:val="0098100F"/>
    <w:rsid w:val="009873B1"/>
    <w:rsid w:val="009929E2"/>
    <w:rsid w:val="009954D9"/>
    <w:rsid w:val="00995D48"/>
    <w:rsid w:val="00997A4A"/>
    <w:rsid w:val="00997CAA"/>
    <w:rsid w:val="009B2460"/>
    <w:rsid w:val="009B492E"/>
    <w:rsid w:val="009B584B"/>
    <w:rsid w:val="009C0715"/>
    <w:rsid w:val="009D2F93"/>
    <w:rsid w:val="009E23A0"/>
    <w:rsid w:val="009E7712"/>
    <w:rsid w:val="009E7CF4"/>
    <w:rsid w:val="009F271B"/>
    <w:rsid w:val="009F3F22"/>
    <w:rsid w:val="00A0155C"/>
    <w:rsid w:val="00A033FA"/>
    <w:rsid w:val="00A12E25"/>
    <w:rsid w:val="00A146E9"/>
    <w:rsid w:val="00A14A59"/>
    <w:rsid w:val="00A14F28"/>
    <w:rsid w:val="00A159A8"/>
    <w:rsid w:val="00A21A93"/>
    <w:rsid w:val="00A229A8"/>
    <w:rsid w:val="00A23E4F"/>
    <w:rsid w:val="00A2541D"/>
    <w:rsid w:val="00A270ED"/>
    <w:rsid w:val="00A3544C"/>
    <w:rsid w:val="00A41076"/>
    <w:rsid w:val="00A503B5"/>
    <w:rsid w:val="00A5052B"/>
    <w:rsid w:val="00A518AA"/>
    <w:rsid w:val="00A564C1"/>
    <w:rsid w:val="00A57A33"/>
    <w:rsid w:val="00A64C18"/>
    <w:rsid w:val="00A77023"/>
    <w:rsid w:val="00A81848"/>
    <w:rsid w:val="00A83AC9"/>
    <w:rsid w:val="00A84824"/>
    <w:rsid w:val="00A949C1"/>
    <w:rsid w:val="00A97B6E"/>
    <w:rsid w:val="00AA482D"/>
    <w:rsid w:val="00AB1B04"/>
    <w:rsid w:val="00AB3EC7"/>
    <w:rsid w:val="00AB448B"/>
    <w:rsid w:val="00AD36B2"/>
    <w:rsid w:val="00AE2DBD"/>
    <w:rsid w:val="00AE2EDE"/>
    <w:rsid w:val="00AF2546"/>
    <w:rsid w:val="00AF2D59"/>
    <w:rsid w:val="00AF3B15"/>
    <w:rsid w:val="00AF4FC9"/>
    <w:rsid w:val="00B02094"/>
    <w:rsid w:val="00B06CE9"/>
    <w:rsid w:val="00B070FE"/>
    <w:rsid w:val="00B1719C"/>
    <w:rsid w:val="00B17410"/>
    <w:rsid w:val="00B26C8E"/>
    <w:rsid w:val="00B35D82"/>
    <w:rsid w:val="00B43E28"/>
    <w:rsid w:val="00B461A5"/>
    <w:rsid w:val="00B475E9"/>
    <w:rsid w:val="00B50F7B"/>
    <w:rsid w:val="00B60CB0"/>
    <w:rsid w:val="00B61020"/>
    <w:rsid w:val="00B61D8D"/>
    <w:rsid w:val="00B63248"/>
    <w:rsid w:val="00B63D06"/>
    <w:rsid w:val="00B71346"/>
    <w:rsid w:val="00B7750A"/>
    <w:rsid w:val="00B81EB1"/>
    <w:rsid w:val="00B87CEE"/>
    <w:rsid w:val="00B91309"/>
    <w:rsid w:val="00B921B3"/>
    <w:rsid w:val="00B94C29"/>
    <w:rsid w:val="00B97898"/>
    <w:rsid w:val="00BA0F94"/>
    <w:rsid w:val="00BC0F42"/>
    <w:rsid w:val="00BC254D"/>
    <w:rsid w:val="00BC2F19"/>
    <w:rsid w:val="00BC36EB"/>
    <w:rsid w:val="00BC3901"/>
    <w:rsid w:val="00BD3854"/>
    <w:rsid w:val="00BD4D2A"/>
    <w:rsid w:val="00BD725D"/>
    <w:rsid w:val="00BF2A5D"/>
    <w:rsid w:val="00C22B45"/>
    <w:rsid w:val="00C26395"/>
    <w:rsid w:val="00C27E2A"/>
    <w:rsid w:val="00C337D9"/>
    <w:rsid w:val="00C35AB5"/>
    <w:rsid w:val="00C4032E"/>
    <w:rsid w:val="00C45362"/>
    <w:rsid w:val="00C47BDC"/>
    <w:rsid w:val="00C506A9"/>
    <w:rsid w:val="00C51981"/>
    <w:rsid w:val="00C5386D"/>
    <w:rsid w:val="00C54671"/>
    <w:rsid w:val="00C60995"/>
    <w:rsid w:val="00C61873"/>
    <w:rsid w:val="00C62A5A"/>
    <w:rsid w:val="00C640AC"/>
    <w:rsid w:val="00C645BA"/>
    <w:rsid w:val="00C65017"/>
    <w:rsid w:val="00C7081D"/>
    <w:rsid w:val="00C710FE"/>
    <w:rsid w:val="00C81DBD"/>
    <w:rsid w:val="00C8340E"/>
    <w:rsid w:val="00C846C8"/>
    <w:rsid w:val="00C86934"/>
    <w:rsid w:val="00C901B8"/>
    <w:rsid w:val="00C95797"/>
    <w:rsid w:val="00C97FEB"/>
    <w:rsid w:val="00CA5D02"/>
    <w:rsid w:val="00CA7969"/>
    <w:rsid w:val="00CB2404"/>
    <w:rsid w:val="00CB24B0"/>
    <w:rsid w:val="00CB6499"/>
    <w:rsid w:val="00CC190D"/>
    <w:rsid w:val="00CC5173"/>
    <w:rsid w:val="00CD18EC"/>
    <w:rsid w:val="00CE6374"/>
    <w:rsid w:val="00CF3BE6"/>
    <w:rsid w:val="00CF6678"/>
    <w:rsid w:val="00D01517"/>
    <w:rsid w:val="00D04739"/>
    <w:rsid w:val="00D2103B"/>
    <w:rsid w:val="00D2165A"/>
    <w:rsid w:val="00D21735"/>
    <w:rsid w:val="00D22B73"/>
    <w:rsid w:val="00D232EA"/>
    <w:rsid w:val="00D32CC5"/>
    <w:rsid w:val="00D32E92"/>
    <w:rsid w:val="00D3626B"/>
    <w:rsid w:val="00D40C46"/>
    <w:rsid w:val="00D44F80"/>
    <w:rsid w:val="00D45CBB"/>
    <w:rsid w:val="00D47FEF"/>
    <w:rsid w:val="00D55516"/>
    <w:rsid w:val="00D7718D"/>
    <w:rsid w:val="00D773AA"/>
    <w:rsid w:val="00D8255F"/>
    <w:rsid w:val="00D827B2"/>
    <w:rsid w:val="00D90DA9"/>
    <w:rsid w:val="00D915B6"/>
    <w:rsid w:val="00D91F38"/>
    <w:rsid w:val="00D93910"/>
    <w:rsid w:val="00DA155A"/>
    <w:rsid w:val="00DA5750"/>
    <w:rsid w:val="00DB5E6D"/>
    <w:rsid w:val="00DC3058"/>
    <w:rsid w:val="00DD0E8E"/>
    <w:rsid w:val="00DD3D31"/>
    <w:rsid w:val="00DD4620"/>
    <w:rsid w:val="00DD5C6C"/>
    <w:rsid w:val="00DE24FC"/>
    <w:rsid w:val="00DF4913"/>
    <w:rsid w:val="00E061DB"/>
    <w:rsid w:val="00E1216F"/>
    <w:rsid w:val="00E22604"/>
    <w:rsid w:val="00E25C33"/>
    <w:rsid w:val="00E25EB9"/>
    <w:rsid w:val="00E26D40"/>
    <w:rsid w:val="00E30BFA"/>
    <w:rsid w:val="00E30C19"/>
    <w:rsid w:val="00E34647"/>
    <w:rsid w:val="00E4627C"/>
    <w:rsid w:val="00E465D8"/>
    <w:rsid w:val="00E5211C"/>
    <w:rsid w:val="00E54A53"/>
    <w:rsid w:val="00E54D2B"/>
    <w:rsid w:val="00E62519"/>
    <w:rsid w:val="00E63E4F"/>
    <w:rsid w:val="00E6784E"/>
    <w:rsid w:val="00E710F3"/>
    <w:rsid w:val="00E755AD"/>
    <w:rsid w:val="00E77127"/>
    <w:rsid w:val="00E8142F"/>
    <w:rsid w:val="00E91080"/>
    <w:rsid w:val="00E94FC3"/>
    <w:rsid w:val="00E979AB"/>
    <w:rsid w:val="00EA126B"/>
    <w:rsid w:val="00EA2193"/>
    <w:rsid w:val="00EC35BF"/>
    <w:rsid w:val="00ED15A6"/>
    <w:rsid w:val="00ED34B3"/>
    <w:rsid w:val="00EE342D"/>
    <w:rsid w:val="00EE35B6"/>
    <w:rsid w:val="00EF239F"/>
    <w:rsid w:val="00EF5253"/>
    <w:rsid w:val="00F000E6"/>
    <w:rsid w:val="00F10E86"/>
    <w:rsid w:val="00F1260D"/>
    <w:rsid w:val="00F15E42"/>
    <w:rsid w:val="00F15E4D"/>
    <w:rsid w:val="00F1699C"/>
    <w:rsid w:val="00F22884"/>
    <w:rsid w:val="00F2502D"/>
    <w:rsid w:val="00F25169"/>
    <w:rsid w:val="00F325D4"/>
    <w:rsid w:val="00F57A51"/>
    <w:rsid w:val="00F650AA"/>
    <w:rsid w:val="00F6572F"/>
    <w:rsid w:val="00F67BFA"/>
    <w:rsid w:val="00F73A6A"/>
    <w:rsid w:val="00F82A20"/>
    <w:rsid w:val="00F845EF"/>
    <w:rsid w:val="00F857DB"/>
    <w:rsid w:val="00F87C26"/>
    <w:rsid w:val="00F91588"/>
    <w:rsid w:val="00FB1385"/>
    <w:rsid w:val="00FC2AEB"/>
    <w:rsid w:val="00FC65F8"/>
    <w:rsid w:val="00FD2670"/>
    <w:rsid w:val="00FD3AB8"/>
    <w:rsid w:val="00FD711A"/>
    <w:rsid w:val="00FD7BEC"/>
    <w:rsid w:val="00FD7C9F"/>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DC"/>
    <w:pPr>
      <w:widowControl w:val="0"/>
    </w:pPr>
    <w:rPr>
      <w:snapToGrid w:val="0"/>
      <w:kern w:val="28"/>
      <w:sz w:val="22"/>
    </w:rPr>
  </w:style>
  <w:style w:type="paragraph" w:styleId="Heading1">
    <w:name w:val="heading 1"/>
    <w:basedOn w:val="Normal"/>
    <w:next w:val="ParaNum"/>
    <w:qFormat/>
    <w:rsid w:val="000D17DC"/>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17DC"/>
    <w:pPr>
      <w:keepNext/>
      <w:numPr>
        <w:ilvl w:val="1"/>
        <w:numId w:val="12"/>
      </w:numPr>
      <w:spacing w:after="120"/>
      <w:outlineLvl w:val="1"/>
    </w:pPr>
    <w:rPr>
      <w:b/>
    </w:rPr>
  </w:style>
  <w:style w:type="paragraph" w:styleId="Heading3">
    <w:name w:val="heading 3"/>
    <w:basedOn w:val="Normal"/>
    <w:next w:val="ParaNum"/>
    <w:qFormat/>
    <w:rsid w:val="000D17DC"/>
    <w:pPr>
      <w:keepNext/>
      <w:numPr>
        <w:ilvl w:val="2"/>
        <w:numId w:val="12"/>
      </w:numPr>
      <w:tabs>
        <w:tab w:val="left" w:pos="2160"/>
      </w:tabs>
      <w:spacing w:after="120"/>
      <w:outlineLvl w:val="2"/>
    </w:pPr>
    <w:rPr>
      <w:b/>
    </w:rPr>
  </w:style>
  <w:style w:type="paragraph" w:styleId="Heading4">
    <w:name w:val="heading 4"/>
    <w:basedOn w:val="Normal"/>
    <w:next w:val="ParaNum"/>
    <w:qFormat/>
    <w:rsid w:val="000D17DC"/>
    <w:pPr>
      <w:keepNext/>
      <w:numPr>
        <w:ilvl w:val="3"/>
        <w:numId w:val="12"/>
      </w:numPr>
      <w:tabs>
        <w:tab w:val="left" w:pos="2880"/>
      </w:tabs>
      <w:spacing w:after="120"/>
      <w:outlineLvl w:val="3"/>
    </w:pPr>
    <w:rPr>
      <w:b/>
    </w:rPr>
  </w:style>
  <w:style w:type="paragraph" w:styleId="Heading5">
    <w:name w:val="heading 5"/>
    <w:basedOn w:val="Normal"/>
    <w:next w:val="ParaNum"/>
    <w:qFormat/>
    <w:rsid w:val="000D17DC"/>
    <w:pPr>
      <w:keepNext/>
      <w:numPr>
        <w:ilvl w:val="4"/>
        <w:numId w:val="12"/>
      </w:numPr>
      <w:tabs>
        <w:tab w:val="left" w:pos="3600"/>
      </w:tabs>
      <w:suppressAutoHyphens/>
      <w:spacing w:after="120"/>
      <w:outlineLvl w:val="4"/>
    </w:pPr>
    <w:rPr>
      <w:b/>
    </w:rPr>
  </w:style>
  <w:style w:type="paragraph" w:styleId="Heading6">
    <w:name w:val="heading 6"/>
    <w:basedOn w:val="Normal"/>
    <w:next w:val="ParaNum"/>
    <w:qFormat/>
    <w:rsid w:val="000D17DC"/>
    <w:pPr>
      <w:numPr>
        <w:ilvl w:val="5"/>
        <w:numId w:val="12"/>
      </w:numPr>
      <w:tabs>
        <w:tab w:val="left" w:pos="4320"/>
      </w:tabs>
      <w:spacing w:after="120"/>
      <w:outlineLvl w:val="5"/>
    </w:pPr>
    <w:rPr>
      <w:b/>
    </w:rPr>
  </w:style>
  <w:style w:type="paragraph" w:styleId="Heading7">
    <w:name w:val="heading 7"/>
    <w:basedOn w:val="Normal"/>
    <w:next w:val="ParaNum"/>
    <w:qFormat/>
    <w:rsid w:val="000D17DC"/>
    <w:pPr>
      <w:numPr>
        <w:ilvl w:val="6"/>
        <w:numId w:val="12"/>
      </w:numPr>
      <w:tabs>
        <w:tab w:val="left" w:pos="5040"/>
      </w:tabs>
      <w:spacing w:after="120"/>
      <w:ind w:left="5040" w:hanging="720"/>
      <w:outlineLvl w:val="6"/>
    </w:pPr>
    <w:rPr>
      <w:b/>
    </w:rPr>
  </w:style>
  <w:style w:type="paragraph" w:styleId="Heading8">
    <w:name w:val="heading 8"/>
    <w:basedOn w:val="Normal"/>
    <w:next w:val="ParaNum"/>
    <w:qFormat/>
    <w:rsid w:val="000D17DC"/>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qFormat/>
    <w:rsid w:val="000D17DC"/>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7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7DC"/>
  </w:style>
  <w:style w:type="paragraph" w:customStyle="1" w:styleId="ParaNum">
    <w:name w:val="ParaNum"/>
    <w:basedOn w:val="Normal"/>
    <w:link w:val="ParaNumCharChar1"/>
    <w:rsid w:val="000D17DC"/>
    <w:pPr>
      <w:numPr>
        <w:numId w:val="11"/>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D17DC"/>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0D17DC"/>
    <w:rPr>
      <w:rFonts w:ascii="Times New Roman" w:hAnsi="Times New Roman"/>
      <w:dstrike w:val="0"/>
      <w:color w:val="auto"/>
      <w:sz w:val="20"/>
      <w:vertAlign w:val="superscript"/>
    </w:rPr>
  </w:style>
  <w:style w:type="paragraph" w:styleId="Header">
    <w:name w:val="header"/>
    <w:basedOn w:val="Normal"/>
    <w:autoRedefine/>
    <w:rsid w:val="000D17DC"/>
    <w:pPr>
      <w:tabs>
        <w:tab w:val="center" w:pos="4680"/>
        <w:tab w:val="right" w:pos="9360"/>
      </w:tabs>
    </w:pPr>
    <w:rPr>
      <w:b/>
    </w:rPr>
  </w:style>
  <w:style w:type="paragraph" w:styleId="Footer">
    <w:name w:val="footer"/>
    <w:basedOn w:val="Normal"/>
    <w:rsid w:val="000D17DC"/>
    <w:pPr>
      <w:tabs>
        <w:tab w:val="center" w:pos="4320"/>
        <w:tab w:val="right" w:pos="8640"/>
      </w:tabs>
    </w:pPr>
  </w:style>
  <w:style w:type="character" w:styleId="PageNumber">
    <w:name w:val="page number"/>
    <w:basedOn w:val="DefaultParagraphFont"/>
    <w:rsid w:val="000D17DC"/>
  </w:style>
  <w:style w:type="character" w:styleId="EndnoteReference">
    <w:name w:val="endnote reference"/>
    <w:semiHidden/>
    <w:rsid w:val="000D17DC"/>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documentbody">
    <w:name w:val="documentbody"/>
    <w:basedOn w:val="DefaultParagraphFont"/>
    <w:rsid w:val="001B6E15"/>
  </w:style>
  <w:style w:type="character" w:customStyle="1" w:styleId="searchterm">
    <w:name w:val="searchterm"/>
    <w:basedOn w:val="DefaultParagraphFont"/>
    <w:rsid w:val="001B6E15"/>
  </w:style>
  <w:style w:type="character" w:customStyle="1" w:styleId="informationalsmall">
    <w:name w:val="informationalsmall"/>
    <w:basedOn w:val="DefaultParagraphFont"/>
    <w:rsid w:val="001B6E15"/>
  </w:style>
  <w:style w:type="character" w:styleId="Hyperlink">
    <w:name w:val="Hyperlink"/>
    <w:rsid w:val="000D17DC"/>
    <w:rPr>
      <w:color w:val="0000FF"/>
      <w:u w:val="single"/>
    </w:rPr>
  </w:style>
  <w:style w:type="character" w:customStyle="1" w:styleId="bestsection">
    <w:name w:val="bestsection"/>
    <w:basedOn w:val="DefaultParagraphFont"/>
    <w:rsid w:val="00BC36EB"/>
  </w:style>
  <w:style w:type="character" w:styleId="CommentReference">
    <w:name w:val="annotation reference"/>
    <w:basedOn w:val="DefaultParagraphFont"/>
    <w:rsid w:val="00F57A51"/>
    <w:rPr>
      <w:sz w:val="16"/>
      <w:szCs w:val="16"/>
    </w:rPr>
  </w:style>
  <w:style w:type="paragraph" w:styleId="CommentText">
    <w:name w:val="annotation text"/>
    <w:basedOn w:val="Normal"/>
    <w:link w:val="CommentTextChar"/>
    <w:rsid w:val="00F57A51"/>
    <w:rPr>
      <w:sz w:val="20"/>
    </w:rPr>
  </w:style>
  <w:style w:type="character" w:customStyle="1" w:styleId="CommentTextChar">
    <w:name w:val="Comment Text Char"/>
    <w:basedOn w:val="DefaultParagraphFont"/>
    <w:link w:val="CommentText"/>
    <w:rsid w:val="00F57A51"/>
  </w:style>
  <w:style w:type="paragraph" w:styleId="CommentSubject">
    <w:name w:val="annotation subject"/>
    <w:basedOn w:val="CommentText"/>
    <w:next w:val="CommentText"/>
    <w:link w:val="CommentSubjectChar"/>
    <w:rsid w:val="00F57A51"/>
    <w:rPr>
      <w:b/>
      <w:bCs/>
    </w:rPr>
  </w:style>
  <w:style w:type="character" w:customStyle="1" w:styleId="CommentSubjectChar">
    <w:name w:val="Comment Subject Char"/>
    <w:basedOn w:val="CommentTextChar"/>
    <w:link w:val="CommentSubject"/>
    <w:rsid w:val="00F57A51"/>
    <w:rPr>
      <w:b/>
      <w:bCs/>
    </w:rPr>
  </w:style>
  <w:style w:type="paragraph" w:styleId="EndnoteText">
    <w:name w:val="endnote text"/>
    <w:basedOn w:val="Normal"/>
    <w:link w:val="EndnoteTextChar"/>
    <w:rsid w:val="000D17DC"/>
    <w:rPr>
      <w:sz w:val="20"/>
    </w:rPr>
  </w:style>
  <w:style w:type="character" w:customStyle="1" w:styleId="EndnoteTextChar">
    <w:name w:val="Endnote Text Char"/>
    <w:basedOn w:val="DefaultParagraphFont"/>
    <w:link w:val="EndnoteText"/>
    <w:rsid w:val="00E8142F"/>
    <w:rPr>
      <w:snapToGrid w:val="0"/>
      <w:kern w:val="28"/>
    </w:rPr>
  </w:style>
  <w:style w:type="paragraph" w:styleId="TOC1">
    <w:name w:val="toc 1"/>
    <w:basedOn w:val="Normal"/>
    <w:next w:val="Normal"/>
    <w:rsid w:val="000D17DC"/>
    <w:pPr>
      <w:tabs>
        <w:tab w:val="left" w:pos="360"/>
        <w:tab w:val="right" w:leader="dot" w:pos="9360"/>
      </w:tabs>
      <w:suppressAutoHyphens/>
      <w:ind w:left="360" w:right="720" w:hanging="360"/>
    </w:pPr>
    <w:rPr>
      <w:caps/>
      <w:noProof/>
    </w:rPr>
  </w:style>
  <w:style w:type="paragraph" w:styleId="TOC2">
    <w:name w:val="toc 2"/>
    <w:basedOn w:val="Normal"/>
    <w:next w:val="Normal"/>
    <w:rsid w:val="000D17DC"/>
    <w:pPr>
      <w:tabs>
        <w:tab w:val="left" w:pos="720"/>
        <w:tab w:val="right" w:leader="dot" w:pos="9360"/>
      </w:tabs>
      <w:suppressAutoHyphens/>
      <w:ind w:left="720" w:right="720" w:hanging="360"/>
    </w:pPr>
    <w:rPr>
      <w:noProof/>
    </w:rPr>
  </w:style>
  <w:style w:type="paragraph" w:styleId="TOC3">
    <w:name w:val="toc 3"/>
    <w:basedOn w:val="Normal"/>
    <w:next w:val="Normal"/>
    <w:rsid w:val="000D17D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D17D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D17D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D17DC"/>
    <w:pPr>
      <w:tabs>
        <w:tab w:val="left" w:pos="2160"/>
        <w:tab w:val="right" w:leader="dot" w:pos="9360"/>
      </w:tabs>
      <w:suppressAutoHyphens/>
      <w:ind w:left="2160" w:hanging="360"/>
    </w:pPr>
    <w:rPr>
      <w:noProof/>
    </w:rPr>
  </w:style>
  <w:style w:type="paragraph" w:styleId="TOC7">
    <w:name w:val="toc 7"/>
    <w:basedOn w:val="Normal"/>
    <w:next w:val="Normal"/>
    <w:autoRedefine/>
    <w:rsid w:val="000D17DC"/>
    <w:pPr>
      <w:tabs>
        <w:tab w:val="left" w:pos="2520"/>
        <w:tab w:val="right" w:leader="dot" w:pos="9360"/>
      </w:tabs>
      <w:suppressAutoHyphens/>
      <w:ind w:left="2520" w:hanging="360"/>
    </w:pPr>
    <w:rPr>
      <w:noProof/>
    </w:rPr>
  </w:style>
  <w:style w:type="paragraph" w:styleId="TOC8">
    <w:name w:val="toc 8"/>
    <w:basedOn w:val="Normal"/>
    <w:next w:val="Normal"/>
    <w:autoRedefine/>
    <w:rsid w:val="000D17DC"/>
    <w:pPr>
      <w:tabs>
        <w:tab w:val="left" w:pos="2880"/>
        <w:tab w:val="right" w:leader="dot" w:pos="9360"/>
      </w:tabs>
      <w:suppressAutoHyphens/>
      <w:ind w:left="2880" w:hanging="360"/>
    </w:pPr>
    <w:rPr>
      <w:noProof/>
    </w:rPr>
  </w:style>
  <w:style w:type="paragraph" w:styleId="TOC9">
    <w:name w:val="toc 9"/>
    <w:basedOn w:val="Normal"/>
    <w:next w:val="Normal"/>
    <w:autoRedefine/>
    <w:rsid w:val="000D17DC"/>
    <w:pPr>
      <w:tabs>
        <w:tab w:val="left" w:pos="3240"/>
        <w:tab w:val="right" w:leader="dot" w:pos="9360"/>
      </w:tabs>
      <w:suppressAutoHyphens/>
      <w:ind w:left="3240" w:hanging="360"/>
    </w:pPr>
    <w:rPr>
      <w:noProof/>
    </w:rPr>
  </w:style>
  <w:style w:type="paragraph" w:styleId="TOAHeading">
    <w:name w:val="toa heading"/>
    <w:basedOn w:val="Normal"/>
    <w:next w:val="Normal"/>
    <w:rsid w:val="000D17DC"/>
    <w:pPr>
      <w:tabs>
        <w:tab w:val="right" w:pos="9360"/>
      </w:tabs>
      <w:suppressAutoHyphens/>
    </w:pPr>
  </w:style>
  <w:style w:type="character" w:customStyle="1" w:styleId="EquationCaption">
    <w:name w:val="_Equation Caption"/>
    <w:rsid w:val="000D17DC"/>
  </w:style>
  <w:style w:type="paragraph" w:styleId="BlockText">
    <w:name w:val="Block Text"/>
    <w:basedOn w:val="Normal"/>
    <w:rsid w:val="000D17DC"/>
    <w:pPr>
      <w:spacing w:after="240"/>
      <w:ind w:left="1440" w:right="1440"/>
    </w:pPr>
  </w:style>
  <w:style w:type="paragraph" w:customStyle="1" w:styleId="Paratitle">
    <w:name w:val="Para title"/>
    <w:basedOn w:val="Normal"/>
    <w:rsid w:val="000D17DC"/>
    <w:pPr>
      <w:tabs>
        <w:tab w:val="center" w:pos="9270"/>
      </w:tabs>
      <w:spacing w:after="240"/>
    </w:pPr>
    <w:rPr>
      <w:spacing w:val="-2"/>
    </w:rPr>
  </w:style>
  <w:style w:type="paragraph" w:customStyle="1" w:styleId="Bullet">
    <w:name w:val="Bullet"/>
    <w:basedOn w:val="Normal"/>
    <w:rsid w:val="000D17DC"/>
    <w:pPr>
      <w:tabs>
        <w:tab w:val="left" w:pos="2160"/>
      </w:tabs>
      <w:spacing w:after="220"/>
      <w:ind w:left="2160" w:hanging="720"/>
    </w:pPr>
  </w:style>
  <w:style w:type="paragraph" w:customStyle="1" w:styleId="TableFormat">
    <w:name w:val="TableFormat"/>
    <w:basedOn w:val="Bullet"/>
    <w:rsid w:val="000D17DC"/>
    <w:pPr>
      <w:tabs>
        <w:tab w:val="clear" w:pos="2160"/>
        <w:tab w:val="left" w:pos="5040"/>
      </w:tabs>
      <w:ind w:left="5040" w:hanging="3600"/>
    </w:pPr>
  </w:style>
  <w:style w:type="paragraph" w:customStyle="1" w:styleId="TOCTitle">
    <w:name w:val="TOC Title"/>
    <w:basedOn w:val="Normal"/>
    <w:rsid w:val="000D17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7DC"/>
    <w:pPr>
      <w:jc w:val="center"/>
    </w:pPr>
    <w:rPr>
      <w:rFonts w:ascii="Times New Roman Bold" w:hAnsi="Times New Roman Bold"/>
      <w:b/>
      <w:bCs/>
      <w:caps/>
      <w:szCs w:val="22"/>
    </w:rPr>
  </w:style>
  <w:style w:type="character" w:customStyle="1" w:styleId="ALTSFOOTNOTEChar1">
    <w:name w:val="ALTS FOOTNOTE Char1"/>
    <w:aliases w:val="Footnote Text Char2 Char Char Char Char,Footnote Text Char1 Char1 Char Char Char Char,f Char"/>
    <w:rsid w:val="009035F7"/>
  </w:style>
  <w:style w:type="character" w:customStyle="1" w:styleId="ParaNumCharChar1">
    <w:name w:val="ParaNum Char Char1"/>
    <w:link w:val="ParaNum"/>
    <w:locked/>
    <w:rsid w:val="006F60F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DC"/>
    <w:pPr>
      <w:widowControl w:val="0"/>
    </w:pPr>
    <w:rPr>
      <w:snapToGrid w:val="0"/>
      <w:kern w:val="28"/>
      <w:sz w:val="22"/>
    </w:rPr>
  </w:style>
  <w:style w:type="paragraph" w:styleId="Heading1">
    <w:name w:val="heading 1"/>
    <w:basedOn w:val="Normal"/>
    <w:next w:val="ParaNum"/>
    <w:qFormat/>
    <w:rsid w:val="000D17DC"/>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17DC"/>
    <w:pPr>
      <w:keepNext/>
      <w:numPr>
        <w:ilvl w:val="1"/>
        <w:numId w:val="12"/>
      </w:numPr>
      <w:spacing w:after="120"/>
      <w:outlineLvl w:val="1"/>
    </w:pPr>
    <w:rPr>
      <w:b/>
    </w:rPr>
  </w:style>
  <w:style w:type="paragraph" w:styleId="Heading3">
    <w:name w:val="heading 3"/>
    <w:basedOn w:val="Normal"/>
    <w:next w:val="ParaNum"/>
    <w:qFormat/>
    <w:rsid w:val="000D17DC"/>
    <w:pPr>
      <w:keepNext/>
      <w:numPr>
        <w:ilvl w:val="2"/>
        <w:numId w:val="12"/>
      </w:numPr>
      <w:tabs>
        <w:tab w:val="left" w:pos="2160"/>
      </w:tabs>
      <w:spacing w:after="120"/>
      <w:outlineLvl w:val="2"/>
    </w:pPr>
    <w:rPr>
      <w:b/>
    </w:rPr>
  </w:style>
  <w:style w:type="paragraph" w:styleId="Heading4">
    <w:name w:val="heading 4"/>
    <w:basedOn w:val="Normal"/>
    <w:next w:val="ParaNum"/>
    <w:qFormat/>
    <w:rsid w:val="000D17DC"/>
    <w:pPr>
      <w:keepNext/>
      <w:numPr>
        <w:ilvl w:val="3"/>
        <w:numId w:val="12"/>
      </w:numPr>
      <w:tabs>
        <w:tab w:val="left" w:pos="2880"/>
      </w:tabs>
      <w:spacing w:after="120"/>
      <w:outlineLvl w:val="3"/>
    </w:pPr>
    <w:rPr>
      <w:b/>
    </w:rPr>
  </w:style>
  <w:style w:type="paragraph" w:styleId="Heading5">
    <w:name w:val="heading 5"/>
    <w:basedOn w:val="Normal"/>
    <w:next w:val="ParaNum"/>
    <w:qFormat/>
    <w:rsid w:val="000D17DC"/>
    <w:pPr>
      <w:keepNext/>
      <w:numPr>
        <w:ilvl w:val="4"/>
        <w:numId w:val="12"/>
      </w:numPr>
      <w:tabs>
        <w:tab w:val="left" w:pos="3600"/>
      </w:tabs>
      <w:suppressAutoHyphens/>
      <w:spacing w:after="120"/>
      <w:outlineLvl w:val="4"/>
    </w:pPr>
    <w:rPr>
      <w:b/>
    </w:rPr>
  </w:style>
  <w:style w:type="paragraph" w:styleId="Heading6">
    <w:name w:val="heading 6"/>
    <w:basedOn w:val="Normal"/>
    <w:next w:val="ParaNum"/>
    <w:qFormat/>
    <w:rsid w:val="000D17DC"/>
    <w:pPr>
      <w:numPr>
        <w:ilvl w:val="5"/>
        <w:numId w:val="12"/>
      </w:numPr>
      <w:tabs>
        <w:tab w:val="left" w:pos="4320"/>
      </w:tabs>
      <w:spacing w:after="120"/>
      <w:outlineLvl w:val="5"/>
    </w:pPr>
    <w:rPr>
      <w:b/>
    </w:rPr>
  </w:style>
  <w:style w:type="paragraph" w:styleId="Heading7">
    <w:name w:val="heading 7"/>
    <w:basedOn w:val="Normal"/>
    <w:next w:val="ParaNum"/>
    <w:qFormat/>
    <w:rsid w:val="000D17DC"/>
    <w:pPr>
      <w:numPr>
        <w:ilvl w:val="6"/>
        <w:numId w:val="12"/>
      </w:numPr>
      <w:tabs>
        <w:tab w:val="left" w:pos="5040"/>
      </w:tabs>
      <w:spacing w:after="120"/>
      <w:ind w:left="5040" w:hanging="720"/>
      <w:outlineLvl w:val="6"/>
    </w:pPr>
    <w:rPr>
      <w:b/>
    </w:rPr>
  </w:style>
  <w:style w:type="paragraph" w:styleId="Heading8">
    <w:name w:val="heading 8"/>
    <w:basedOn w:val="Normal"/>
    <w:next w:val="ParaNum"/>
    <w:qFormat/>
    <w:rsid w:val="000D17DC"/>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qFormat/>
    <w:rsid w:val="000D17DC"/>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7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7DC"/>
  </w:style>
  <w:style w:type="paragraph" w:customStyle="1" w:styleId="ParaNum">
    <w:name w:val="ParaNum"/>
    <w:basedOn w:val="Normal"/>
    <w:link w:val="ParaNumCharChar1"/>
    <w:rsid w:val="000D17DC"/>
    <w:pPr>
      <w:numPr>
        <w:numId w:val="11"/>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D17DC"/>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0D17DC"/>
    <w:rPr>
      <w:rFonts w:ascii="Times New Roman" w:hAnsi="Times New Roman"/>
      <w:dstrike w:val="0"/>
      <w:color w:val="auto"/>
      <w:sz w:val="20"/>
      <w:vertAlign w:val="superscript"/>
    </w:rPr>
  </w:style>
  <w:style w:type="paragraph" w:styleId="Header">
    <w:name w:val="header"/>
    <w:basedOn w:val="Normal"/>
    <w:autoRedefine/>
    <w:rsid w:val="000D17DC"/>
    <w:pPr>
      <w:tabs>
        <w:tab w:val="center" w:pos="4680"/>
        <w:tab w:val="right" w:pos="9360"/>
      </w:tabs>
    </w:pPr>
    <w:rPr>
      <w:b/>
    </w:rPr>
  </w:style>
  <w:style w:type="paragraph" w:styleId="Footer">
    <w:name w:val="footer"/>
    <w:basedOn w:val="Normal"/>
    <w:rsid w:val="000D17DC"/>
    <w:pPr>
      <w:tabs>
        <w:tab w:val="center" w:pos="4320"/>
        <w:tab w:val="right" w:pos="8640"/>
      </w:tabs>
    </w:pPr>
  </w:style>
  <w:style w:type="character" w:styleId="PageNumber">
    <w:name w:val="page number"/>
    <w:basedOn w:val="DefaultParagraphFont"/>
    <w:rsid w:val="000D17DC"/>
  </w:style>
  <w:style w:type="character" w:styleId="EndnoteReference">
    <w:name w:val="endnote reference"/>
    <w:semiHidden/>
    <w:rsid w:val="000D17DC"/>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documentbody">
    <w:name w:val="documentbody"/>
    <w:basedOn w:val="DefaultParagraphFont"/>
    <w:rsid w:val="001B6E15"/>
  </w:style>
  <w:style w:type="character" w:customStyle="1" w:styleId="searchterm">
    <w:name w:val="searchterm"/>
    <w:basedOn w:val="DefaultParagraphFont"/>
    <w:rsid w:val="001B6E15"/>
  </w:style>
  <w:style w:type="character" w:customStyle="1" w:styleId="informationalsmall">
    <w:name w:val="informationalsmall"/>
    <w:basedOn w:val="DefaultParagraphFont"/>
    <w:rsid w:val="001B6E15"/>
  </w:style>
  <w:style w:type="character" w:styleId="Hyperlink">
    <w:name w:val="Hyperlink"/>
    <w:rsid w:val="000D17DC"/>
    <w:rPr>
      <w:color w:val="0000FF"/>
      <w:u w:val="single"/>
    </w:rPr>
  </w:style>
  <w:style w:type="character" w:customStyle="1" w:styleId="bestsection">
    <w:name w:val="bestsection"/>
    <w:basedOn w:val="DefaultParagraphFont"/>
    <w:rsid w:val="00BC36EB"/>
  </w:style>
  <w:style w:type="character" w:styleId="CommentReference">
    <w:name w:val="annotation reference"/>
    <w:basedOn w:val="DefaultParagraphFont"/>
    <w:rsid w:val="00F57A51"/>
    <w:rPr>
      <w:sz w:val="16"/>
      <w:szCs w:val="16"/>
    </w:rPr>
  </w:style>
  <w:style w:type="paragraph" w:styleId="CommentText">
    <w:name w:val="annotation text"/>
    <w:basedOn w:val="Normal"/>
    <w:link w:val="CommentTextChar"/>
    <w:rsid w:val="00F57A51"/>
    <w:rPr>
      <w:sz w:val="20"/>
    </w:rPr>
  </w:style>
  <w:style w:type="character" w:customStyle="1" w:styleId="CommentTextChar">
    <w:name w:val="Comment Text Char"/>
    <w:basedOn w:val="DefaultParagraphFont"/>
    <w:link w:val="CommentText"/>
    <w:rsid w:val="00F57A51"/>
  </w:style>
  <w:style w:type="paragraph" w:styleId="CommentSubject">
    <w:name w:val="annotation subject"/>
    <w:basedOn w:val="CommentText"/>
    <w:next w:val="CommentText"/>
    <w:link w:val="CommentSubjectChar"/>
    <w:rsid w:val="00F57A51"/>
    <w:rPr>
      <w:b/>
      <w:bCs/>
    </w:rPr>
  </w:style>
  <w:style w:type="character" w:customStyle="1" w:styleId="CommentSubjectChar">
    <w:name w:val="Comment Subject Char"/>
    <w:basedOn w:val="CommentTextChar"/>
    <w:link w:val="CommentSubject"/>
    <w:rsid w:val="00F57A51"/>
    <w:rPr>
      <w:b/>
      <w:bCs/>
    </w:rPr>
  </w:style>
  <w:style w:type="paragraph" w:styleId="EndnoteText">
    <w:name w:val="endnote text"/>
    <w:basedOn w:val="Normal"/>
    <w:link w:val="EndnoteTextChar"/>
    <w:rsid w:val="000D17DC"/>
    <w:rPr>
      <w:sz w:val="20"/>
    </w:rPr>
  </w:style>
  <w:style w:type="character" w:customStyle="1" w:styleId="EndnoteTextChar">
    <w:name w:val="Endnote Text Char"/>
    <w:basedOn w:val="DefaultParagraphFont"/>
    <w:link w:val="EndnoteText"/>
    <w:rsid w:val="00E8142F"/>
    <w:rPr>
      <w:snapToGrid w:val="0"/>
      <w:kern w:val="28"/>
    </w:rPr>
  </w:style>
  <w:style w:type="paragraph" w:styleId="TOC1">
    <w:name w:val="toc 1"/>
    <w:basedOn w:val="Normal"/>
    <w:next w:val="Normal"/>
    <w:rsid w:val="000D17DC"/>
    <w:pPr>
      <w:tabs>
        <w:tab w:val="left" w:pos="360"/>
        <w:tab w:val="right" w:leader="dot" w:pos="9360"/>
      </w:tabs>
      <w:suppressAutoHyphens/>
      <w:ind w:left="360" w:right="720" w:hanging="360"/>
    </w:pPr>
    <w:rPr>
      <w:caps/>
      <w:noProof/>
    </w:rPr>
  </w:style>
  <w:style w:type="paragraph" w:styleId="TOC2">
    <w:name w:val="toc 2"/>
    <w:basedOn w:val="Normal"/>
    <w:next w:val="Normal"/>
    <w:rsid w:val="000D17DC"/>
    <w:pPr>
      <w:tabs>
        <w:tab w:val="left" w:pos="720"/>
        <w:tab w:val="right" w:leader="dot" w:pos="9360"/>
      </w:tabs>
      <w:suppressAutoHyphens/>
      <w:ind w:left="720" w:right="720" w:hanging="360"/>
    </w:pPr>
    <w:rPr>
      <w:noProof/>
    </w:rPr>
  </w:style>
  <w:style w:type="paragraph" w:styleId="TOC3">
    <w:name w:val="toc 3"/>
    <w:basedOn w:val="Normal"/>
    <w:next w:val="Normal"/>
    <w:rsid w:val="000D17D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D17D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D17D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D17DC"/>
    <w:pPr>
      <w:tabs>
        <w:tab w:val="left" w:pos="2160"/>
        <w:tab w:val="right" w:leader="dot" w:pos="9360"/>
      </w:tabs>
      <w:suppressAutoHyphens/>
      <w:ind w:left="2160" w:hanging="360"/>
    </w:pPr>
    <w:rPr>
      <w:noProof/>
    </w:rPr>
  </w:style>
  <w:style w:type="paragraph" w:styleId="TOC7">
    <w:name w:val="toc 7"/>
    <w:basedOn w:val="Normal"/>
    <w:next w:val="Normal"/>
    <w:autoRedefine/>
    <w:rsid w:val="000D17DC"/>
    <w:pPr>
      <w:tabs>
        <w:tab w:val="left" w:pos="2520"/>
        <w:tab w:val="right" w:leader="dot" w:pos="9360"/>
      </w:tabs>
      <w:suppressAutoHyphens/>
      <w:ind w:left="2520" w:hanging="360"/>
    </w:pPr>
    <w:rPr>
      <w:noProof/>
    </w:rPr>
  </w:style>
  <w:style w:type="paragraph" w:styleId="TOC8">
    <w:name w:val="toc 8"/>
    <w:basedOn w:val="Normal"/>
    <w:next w:val="Normal"/>
    <w:autoRedefine/>
    <w:rsid w:val="000D17DC"/>
    <w:pPr>
      <w:tabs>
        <w:tab w:val="left" w:pos="2880"/>
        <w:tab w:val="right" w:leader="dot" w:pos="9360"/>
      </w:tabs>
      <w:suppressAutoHyphens/>
      <w:ind w:left="2880" w:hanging="360"/>
    </w:pPr>
    <w:rPr>
      <w:noProof/>
    </w:rPr>
  </w:style>
  <w:style w:type="paragraph" w:styleId="TOC9">
    <w:name w:val="toc 9"/>
    <w:basedOn w:val="Normal"/>
    <w:next w:val="Normal"/>
    <w:autoRedefine/>
    <w:rsid w:val="000D17DC"/>
    <w:pPr>
      <w:tabs>
        <w:tab w:val="left" w:pos="3240"/>
        <w:tab w:val="right" w:leader="dot" w:pos="9360"/>
      </w:tabs>
      <w:suppressAutoHyphens/>
      <w:ind w:left="3240" w:hanging="360"/>
    </w:pPr>
    <w:rPr>
      <w:noProof/>
    </w:rPr>
  </w:style>
  <w:style w:type="paragraph" w:styleId="TOAHeading">
    <w:name w:val="toa heading"/>
    <w:basedOn w:val="Normal"/>
    <w:next w:val="Normal"/>
    <w:rsid w:val="000D17DC"/>
    <w:pPr>
      <w:tabs>
        <w:tab w:val="right" w:pos="9360"/>
      </w:tabs>
      <w:suppressAutoHyphens/>
    </w:pPr>
  </w:style>
  <w:style w:type="character" w:customStyle="1" w:styleId="EquationCaption">
    <w:name w:val="_Equation Caption"/>
    <w:rsid w:val="000D17DC"/>
  </w:style>
  <w:style w:type="paragraph" w:styleId="BlockText">
    <w:name w:val="Block Text"/>
    <w:basedOn w:val="Normal"/>
    <w:rsid w:val="000D17DC"/>
    <w:pPr>
      <w:spacing w:after="240"/>
      <w:ind w:left="1440" w:right="1440"/>
    </w:pPr>
  </w:style>
  <w:style w:type="paragraph" w:customStyle="1" w:styleId="Paratitle">
    <w:name w:val="Para title"/>
    <w:basedOn w:val="Normal"/>
    <w:rsid w:val="000D17DC"/>
    <w:pPr>
      <w:tabs>
        <w:tab w:val="center" w:pos="9270"/>
      </w:tabs>
      <w:spacing w:after="240"/>
    </w:pPr>
    <w:rPr>
      <w:spacing w:val="-2"/>
    </w:rPr>
  </w:style>
  <w:style w:type="paragraph" w:customStyle="1" w:styleId="Bullet">
    <w:name w:val="Bullet"/>
    <w:basedOn w:val="Normal"/>
    <w:rsid w:val="000D17DC"/>
    <w:pPr>
      <w:tabs>
        <w:tab w:val="left" w:pos="2160"/>
      </w:tabs>
      <w:spacing w:after="220"/>
      <w:ind w:left="2160" w:hanging="720"/>
    </w:pPr>
  </w:style>
  <w:style w:type="paragraph" w:customStyle="1" w:styleId="TableFormat">
    <w:name w:val="TableFormat"/>
    <w:basedOn w:val="Bullet"/>
    <w:rsid w:val="000D17DC"/>
    <w:pPr>
      <w:tabs>
        <w:tab w:val="clear" w:pos="2160"/>
        <w:tab w:val="left" w:pos="5040"/>
      </w:tabs>
      <w:ind w:left="5040" w:hanging="3600"/>
    </w:pPr>
  </w:style>
  <w:style w:type="paragraph" w:customStyle="1" w:styleId="TOCTitle">
    <w:name w:val="TOC Title"/>
    <w:basedOn w:val="Normal"/>
    <w:rsid w:val="000D17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7DC"/>
    <w:pPr>
      <w:jc w:val="center"/>
    </w:pPr>
    <w:rPr>
      <w:rFonts w:ascii="Times New Roman Bold" w:hAnsi="Times New Roman Bold"/>
      <w:b/>
      <w:bCs/>
      <w:caps/>
      <w:szCs w:val="22"/>
    </w:rPr>
  </w:style>
  <w:style w:type="character" w:customStyle="1" w:styleId="ALTSFOOTNOTEChar1">
    <w:name w:val="ALTS FOOTNOTE Char1"/>
    <w:aliases w:val="Footnote Text Char2 Char Char Char Char,Footnote Text Char1 Char1 Char Char Char Char,f Char"/>
    <w:rsid w:val="009035F7"/>
  </w:style>
  <w:style w:type="character" w:customStyle="1" w:styleId="ParaNumCharChar1">
    <w:name w:val="ParaNum Char Char1"/>
    <w:link w:val="ParaNum"/>
    <w:locked/>
    <w:rsid w:val="006F60F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2243</Words>
  <Characters>12702</Characters>
  <Application>Microsoft Office Word</Application>
  <DocSecurity>0</DocSecurity>
  <Lines>216</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2016-07-15T19:56:00Z</dcterms:created>
  <dcterms:modified xsi:type="dcterms:W3CDTF">2016-07-15T19:56:00Z</dcterms:modified>
  <cp:category> </cp:category>
  <cp:contentStatus> </cp:contentStatus>
</cp:coreProperties>
</file>