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01E7" w14:textId="77777777" w:rsidR="00CC07CD" w:rsidRDefault="00CC07CD" w:rsidP="00B76F1F">
      <w:pPr>
        <w:pStyle w:val="Title"/>
        <w:widowControl/>
        <w:rPr>
          <w:szCs w:val="22"/>
        </w:rPr>
      </w:pPr>
      <w:bookmarkStart w:id="0" w:name="_GoBack"/>
      <w:bookmarkEnd w:id="0"/>
      <w:r>
        <w:rPr>
          <w:szCs w:val="22"/>
        </w:rPr>
        <w:t>Before the</w:t>
      </w:r>
    </w:p>
    <w:p w14:paraId="41BBE70A" w14:textId="77777777" w:rsidR="00CC07CD" w:rsidRDefault="00CC07CD" w:rsidP="00B76F1F">
      <w:pPr>
        <w:pStyle w:val="Title"/>
        <w:widowControl/>
        <w:rPr>
          <w:szCs w:val="22"/>
        </w:rPr>
      </w:pPr>
      <w:r>
        <w:rPr>
          <w:szCs w:val="22"/>
        </w:rPr>
        <w:t>Federal Communications Commission</w:t>
      </w:r>
    </w:p>
    <w:p w14:paraId="609B4897" w14:textId="77777777" w:rsidR="00CC07CD" w:rsidRDefault="00CC07CD" w:rsidP="00B76F1F">
      <w:pPr>
        <w:pStyle w:val="Title"/>
        <w:widowControl/>
        <w:rPr>
          <w:szCs w:val="22"/>
        </w:rPr>
      </w:pPr>
      <w:r>
        <w:rPr>
          <w:szCs w:val="22"/>
        </w:rPr>
        <w:t>Washington, D.C. 20554</w:t>
      </w:r>
    </w:p>
    <w:p w14:paraId="403CC084" w14:textId="77777777" w:rsidR="00CC07CD" w:rsidRDefault="00CC07CD" w:rsidP="00B76F1F">
      <w:pPr>
        <w:widowControl/>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CC07CD" w14:paraId="4D1CB053" w14:textId="77777777" w:rsidTr="00976212">
        <w:tc>
          <w:tcPr>
            <w:tcW w:w="4698" w:type="dxa"/>
          </w:tcPr>
          <w:p w14:paraId="75B264DC" w14:textId="77777777" w:rsidR="00CC07CD" w:rsidRDefault="00CC07CD" w:rsidP="00B76F1F">
            <w:pPr>
              <w:widowControl/>
              <w:tabs>
                <w:tab w:val="center" w:pos="4680"/>
              </w:tabs>
              <w:suppressAutoHyphens/>
              <w:rPr>
                <w:spacing w:val="-2"/>
                <w:szCs w:val="22"/>
              </w:rPr>
            </w:pPr>
            <w:r>
              <w:rPr>
                <w:spacing w:val="-2"/>
                <w:szCs w:val="22"/>
              </w:rPr>
              <w:t>In the Matter of</w:t>
            </w:r>
          </w:p>
          <w:p w14:paraId="57D4551D" w14:textId="77777777" w:rsidR="00CC07CD" w:rsidRDefault="00CC07CD" w:rsidP="00B76F1F">
            <w:pPr>
              <w:widowControl/>
              <w:tabs>
                <w:tab w:val="center" w:pos="4680"/>
              </w:tabs>
              <w:suppressAutoHyphens/>
              <w:rPr>
                <w:spacing w:val="-2"/>
                <w:szCs w:val="22"/>
              </w:rPr>
            </w:pPr>
          </w:p>
          <w:p w14:paraId="07D229DB" w14:textId="77777777" w:rsidR="00CC07CD" w:rsidRDefault="00CC07CD" w:rsidP="00B76F1F">
            <w:pPr>
              <w:pStyle w:val="BodyText"/>
              <w:widowControl/>
              <w:numPr>
                <w:ilvl w:val="0"/>
                <w:numId w:val="0"/>
              </w:numPr>
              <w:rPr>
                <w:szCs w:val="22"/>
              </w:rPr>
            </w:pPr>
            <w:r>
              <w:rPr>
                <w:szCs w:val="22"/>
              </w:rPr>
              <w:t>Charter Communications</w:t>
            </w:r>
          </w:p>
          <w:p w14:paraId="249C74C0" w14:textId="77777777" w:rsidR="00CC07CD" w:rsidRDefault="00CC07CD" w:rsidP="00B76F1F">
            <w:pPr>
              <w:pStyle w:val="BodyText"/>
              <w:widowControl/>
              <w:numPr>
                <w:ilvl w:val="0"/>
                <w:numId w:val="0"/>
              </w:numPr>
              <w:rPr>
                <w:szCs w:val="22"/>
              </w:rPr>
            </w:pPr>
          </w:p>
          <w:p w14:paraId="2137BA73" w14:textId="77777777" w:rsidR="00CC07CD" w:rsidRDefault="00CC07CD" w:rsidP="00B76F1F">
            <w:pPr>
              <w:pStyle w:val="BodyText"/>
              <w:widowControl/>
              <w:numPr>
                <w:ilvl w:val="0"/>
                <w:numId w:val="0"/>
              </w:numPr>
              <w:rPr>
                <w:b/>
                <w:szCs w:val="22"/>
              </w:rPr>
            </w:pPr>
            <w:r>
              <w:rPr>
                <w:szCs w:val="22"/>
              </w:rPr>
              <w:t>Twelve Petitions for Determination of Effective Competition in Twenty-Three Local Franchise Areas in Oregon</w:t>
            </w:r>
          </w:p>
        </w:tc>
        <w:tc>
          <w:tcPr>
            <w:tcW w:w="630" w:type="dxa"/>
          </w:tcPr>
          <w:p w14:paraId="71F8994D" w14:textId="77777777" w:rsidR="00CC07CD" w:rsidRDefault="00CC07CD" w:rsidP="00B76F1F">
            <w:pPr>
              <w:widowControl/>
              <w:tabs>
                <w:tab w:val="center" w:pos="4680"/>
              </w:tabs>
              <w:suppressAutoHyphens/>
              <w:rPr>
                <w:b/>
                <w:spacing w:val="-2"/>
                <w:szCs w:val="22"/>
              </w:rPr>
            </w:pPr>
            <w:r>
              <w:rPr>
                <w:b/>
                <w:spacing w:val="-2"/>
                <w:szCs w:val="22"/>
              </w:rPr>
              <w:t>)</w:t>
            </w:r>
          </w:p>
          <w:p w14:paraId="691E22C5" w14:textId="77777777" w:rsidR="00CC07CD" w:rsidRDefault="00CC07CD" w:rsidP="00B76F1F">
            <w:pPr>
              <w:widowControl/>
              <w:tabs>
                <w:tab w:val="center" w:pos="4680"/>
              </w:tabs>
              <w:suppressAutoHyphens/>
              <w:rPr>
                <w:b/>
                <w:spacing w:val="-2"/>
                <w:szCs w:val="22"/>
              </w:rPr>
            </w:pPr>
            <w:r>
              <w:rPr>
                <w:b/>
                <w:spacing w:val="-2"/>
                <w:szCs w:val="22"/>
              </w:rPr>
              <w:t>)</w:t>
            </w:r>
          </w:p>
          <w:p w14:paraId="4428CCE3" w14:textId="77777777" w:rsidR="00CC07CD" w:rsidRDefault="00CC07CD" w:rsidP="00B76F1F">
            <w:pPr>
              <w:widowControl/>
              <w:tabs>
                <w:tab w:val="center" w:pos="4680"/>
              </w:tabs>
              <w:suppressAutoHyphens/>
              <w:rPr>
                <w:b/>
                <w:spacing w:val="-2"/>
                <w:szCs w:val="22"/>
              </w:rPr>
            </w:pPr>
            <w:r>
              <w:rPr>
                <w:b/>
                <w:spacing w:val="-2"/>
                <w:szCs w:val="22"/>
              </w:rPr>
              <w:t>)</w:t>
            </w:r>
          </w:p>
          <w:p w14:paraId="6C48FAD3" w14:textId="77777777" w:rsidR="00CC07CD" w:rsidRDefault="00CC07CD" w:rsidP="00B76F1F">
            <w:pPr>
              <w:widowControl/>
              <w:tabs>
                <w:tab w:val="center" w:pos="4680"/>
              </w:tabs>
              <w:suppressAutoHyphens/>
              <w:rPr>
                <w:b/>
                <w:spacing w:val="-2"/>
                <w:szCs w:val="22"/>
              </w:rPr>
            </w:pPr>
            <w:r>
              <w:rPr>
                <w:b/>
                <w:spacing w:val="-2"/>
                <w:szCs w:val="22"/>
              </w:rPr>
              <w:t>)</w:t>
            </w:r>
          </w:p>
          <w:p w14:paraId="46CB731A" w14:textId="77777777" w:rsidR="00CC07CD" w:rsidRDefault="00CC07CD" w:rsidP="00B76F1F">
            <w:pPr>
              <w:widowControl/>
              <w:tabs>
                <w:tab w:val="center" w:pos="4680"/>
              </w:tabs>
              <w:suppressAutoHyphens/>
              <w:rPr>
                <w:b/>
                <w:spacing w:val="-2"/>
                <w:szCs w:val="22"/>
              </w:rPr>
            </w:pPr>
            <w:r>
              <w:rPr>
                <w:b/>
                <w:spacing w:val="-2"/>
                <w:szCs w:val="22"/>
              </w:rPr>
              <w:t>)</w:t>
            </w:r>
          </w:p>
          <w:p w14:paraId="060B8F6E" w14:textId="77777777" w:rsidR="00CC07CD" w:rsidRDefault="00CC07CD" w:rsidP="00B76F1F">
            <w:pPr>
              <w:widowControl/>
              <w:tabs>
                <w:tab w:val="center" w:pos="4680"/>
              </w:tabs>
              <w:suppressAutoHyphens/>
              <w:rPr>
                <w:b/>
                <w:spacing w:val="-2"/>
                <w:szCs w:val="22"/>
              </w:rPr>
            </w:pPr>
            <w:r>
              <w:rPr>
                <w:b/>
                <w:spacing w:val="-2"/>
                <w:szCs w:val="22"/>
              </w:rPr>
              <w:t>)</w:t>
            </w:r>
          </w:p>
          <w:p w14:paraId="048A206B" w14:textId="77777777" w:rsidR="00CC07CD" w:rsidRDefault="00CC07CD" w:rsidP="00B76F1F">
            <w:pPr>
              <w:widowControl/>
              <w:tabs>
                <w:tab w:val="center" w:pos="4680"/>
              </w:tabs>
              <w:suppressAutoHyphens/>
              <w:rPr>
                <w:b/>
                <w:spacing w:val="-2"/>
                <w:szCs w:val="22"/>
              </w:rPr>
            </w:pPr>
            <w:r>
              <w:rPr>
                <w:b/>
                <w:spacing w:val="-2"/>
                <w:szCs w:val="22"/>
              </w:rPr>
              <w:t>)</w:t>
            </w:r>
          </w:p>
        </w:tc>
        <w:tc>
          <w:tcPr>
            <w:tcW w:w="4248" w:type="dxa"/>
          </w:tcPr>
          <w:p w14:paraId="420A57DA" w14:textId="77777777" w:rsidR="00CC07CD" w:rsidRDefault="00CC07CD" w:rsidP="00B76F1F">
            <w:pPr>
              <w:widowControl/>
              <w:tabs>
                <w:tab w:val="center" w:pos="4680"/>
              </w:tabs>
              <w:suppressAutoHyphens/>
              <w:rPr>
                <w:spacing w:val="-2"/>
                <w:szCs w:val="22"/>
              </w:rPr>
            </w:pPr>
            <w:r>
              <w:rPr>
                <w:spacing w:val="-2"/>
                <w:szCs w:val="22"/>
              </w:rPr>
              <w:t xml:space="preserve">          </w:t>
            </w:r>
          </w:p>
          <w:p w14:paraId="21D91BC4" w14:textId="77777777" w:rsidR="00CC07CD" w:rsidRDefault="00CC07CD" w:rsidP="00B76F1F">
            <w:pPr>
              <w:widowControl/>
              <w:tabs>
                <w:tab w:val="center" w:pos="4680"/>
              </w:tabs>
              <w:suppressAutoHyphens/>
              <w:rPr>
                <w:spacing w:val="-2"/>
                <w:szCs w:val="22"/>
              </w:rPr>
            </w:pPr>
            <w:r>
              <w:rPr>
                <w:spacing w:val="-2"/>
                <w:szCs w:val="22"/>
              </w:rPr>
              <w:t xml:space="preserve">           </w:t>
            </w:r>
          </w:p>
          <w:p w14:paraId="210AF251" w14:textId="77777777" w:rsidR="00CC07CD" w:rsidRDefault="00CC07CD" w:rsidP="00B76F1F">
            <w:pPr>
              <w:widowControl/>
              <w:tabs>
                <w:tab w:val="center" w:pos="4680"/>
              </w:tabs>
              <w:suppressAutoHyphens/>
              <w:rPr>
                <w:spacing w:val="-2"/>
                <w:szCs w:val="22"/>
              </w:rPr>
            </w:pPr>
          </w:p>
          <w:p w14:paraId="3BFEC52C" w14:textId="77777777" w:rsidR="00CC07CD" w:rsidRDefault="00CC07CD" w:rsidP="00B76F1F">
            <w:pPr>
              <w:widowControl/>
              <w:tabs>
                <w:tab w:val="center" w:pos="4680"/>
              </w:tabs>
              <w:suppressAutoHyphens/>
              <w:rPr>
                <w:spacing w:val="-2"/>
                <w:szCs w:val="22"/>
              </w:rPr>
            </w:pPr>
            <w:r>
              <w:rPr>
                <w:spacing w:val="-2"/>
                <w:szCs w:val="22"/>
              </w:rPr>
              <w:t>CSR-6461-E (Lane County)</w:t>
            </w:r>
          </w:p>
          <w:p w14:paraId="37DF0838" w14:textId="77777777" w:rsidR="00CC07CD" w:rsidRDefault="00CC07CD" w:rsidP="00B76F1F">
            <w:pPr>
              <w:widowControl/>
              <w:tabs>
                <w:tab w:val="center" w:pos="4680"/>
              </w:tabs>
              <w:suppressAutoHyphens/>
              <w:rPr>
                <w:spacing w:val="-2"/>
                <w:szCs w:val="22"/>
              </w:rPr>
            </w:pPr>
            <w:r>
              <w:rPr>
                <w:spacing w:val="-2"/>
                <w:szCs w:val="22"/>
              </w:rPr>
              <w:t>CSR-6464-E (Lincoln County)</w:t>
            </w:r>
          </w:p>
          <w:p w14:paraId="024B2104" w14:textId="77777777" w:rsidR="00CC07CD" w:rsidRDefault="00CC07CD" w:rsidP="00B76F1F">
            <w:pPr>
              <w:pStyle w:val="EndnoteText"/>
              <w:widowControl/>
              <w:tabs>
                <w:tab w:val="center" w:pos="4680"/>
              </w:tabs>
              <w:suppressAutoHyphens/>
              <w:rPr>
                <w:spacing w:val="-2"/>
                <w:szCs w:val="22"/>
              </w:rPr>
            </w:pPr>
          </w:p>
          <w:p w14:paraId="173E53AC" w14:textId="77777777" w:rsidR="00CC07CD" w:rsidRDefault="00CC07CD" w:rsidP="00B76F1F">
            <w:pPr>
              <w:pStyle w:val="EndnoteText"/>
              <w:widowControl/>
              <w:tabs>
                <w:tab w:val="center" w:pos="4680"/>
              </w:tabs>
              <w:suppressAutoHyphens/>
              <w:rPr>
                <w:spacing w:val="-2"/>
                <w:szCs w:val="22"/>
              </w:rPr>
            </w:pPr>
            <w:r>
              <w:rPr>
                <w:spacing w:val="-2"/>
                <w:szCs w:val="22"/>
              </w:rPr>
              <w:t xml:space="preserve">           </w:t>
            </w:r>
          </w:p>
        </w:tc>
      </w:tr>
    </w:tbl>
    <w:p w14:paraId="60A52B87" w14:textId="77777777" w:rsidR="00CC07CD" w:rsidRDefault="00CC07CD" w:rsidP="00B76F1F">
      <w:pPr>
        <w:pStyle w:val="Title"/>
        <w:widowControl/>
        <w:rPr>
          <w:szCs w:val="22"/>
        </w:rPr>
      </w:pPr>
    </w:p>
    <w:p w14:paraId="3B83CFE8" w14:textId="77777777" w:rsidR="00CC07CD" w:rsidRDefault="00CC07CD" w:rsidP="00B76F1F">
      <w:pPr>
        <w:pStyle w:val="Title"/>
        <w:widowControl/>
        <w:rPr>
          <w:szCs w:val="22"/>
        </w:rPr>
      </w:pP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r>
        <w:rPr>
          <w:szCs w:val="22"/>
        </w:rPr>
        <w:t xml:space="preserve"> ON RECONSIDERATION</w:t>
      </w:r>
    </w:p>
    <w:p w14:paraId="4ACBC668" w14:textId="77777777" w:rsidR="00CC07CD" w:rsidRDefault="00CC07CD" w:rsidP="00B76F1F">
      <w:pPr>
        <w:widowControl/>
        <w:tabs>
          <w:tab w:val="left" w:pos="720"/>
          <w:tab w:val="left" w:pos="5760"/>
        </w:tabs>
        <w:suppressAutoHyphens/>
        <w:spacing w:line="227" w:lineRule="auto"/>
        <w:rPr>
          <w:b/>
          <w:spacing w:val="-2"/>
          <w:szCs w:val="22"/>
        </w:rPr>
      </w:pPr>
    </w:p>
    <w:p w14:paraId="0687566E" w14:textId="364D6512" w:rsidR="00CC07CD" w:rsidRDefault="00CC07CD" w:rsidP="00B76F1F">
      <w:pPr>
        <w:widowControl/>
        <w:tabs>
          <w:tab w:val="left" w:pos="720"/>
          <w:tab w:val="left" w:pos="5760"/>
        </w:tabs>
        <w:suppressAutoHyphens/>
        <w:spacing w:line="227" w:lineRule="auto"/>
        <w:rPr>
          <w:b/>
          <w:spacing w:val="-2"/>
          <w:szCs w:val="22"/>
        </w:rPr>
      </w:pPr>
      <w:r>
        <w:rPr>
          <w:b/>
          <w:spacing w:val="-2"/>
          <w:szCs w:val="22"/>
        </w:rPr>
        <w:t>Adopted:  Ju</w:t>
      </w:r>
      <w:r w:rsidR="00C446E6">
        <w:rPr>
          <w:b/>
          <w:spacing w:val="-2"/>
          <w:szCs w:val="22"/>
        </w:rPr>
        <w:t>ly</w:t>
      </w:r>
      <w:r>
        <w:rPr>
          <w:b/>
          <w:spacing w:val="-2"/>
          <w:szCs w:val="22"/>
        </w:rPr>
        <w:t xml:space="preserve"> </w:t>
      </w:r>
      <w:r w:rsidR="00A648FE">
        <w:rPr>
          <w:b/>
          <w:spacing w:val="-2"/>
          <w:szCs w:val="22"/>
        </w:rPr>
        <w:t>18</w:t>
      </w:r>
      <w:r>
        <w:rPr>
          <w:b/>
          <w:spacing w:val="-2"/>
          <w:szCs w:val="22"/>
        </w:rPr>
        <w:t xml:space="preserve">, 2016         </w:t>
      </w:r>
      <w:r>
        <w:rPr>
          <w:b/>
          <w:spacing w:val="-2"/>
          <w:szCs w:val="22"/>
        </w:rPr>
        <w:tab/>
        <w:t>Released:  Ju</w:t>
      </w:r>
      <w:r w:rsidR="00C446E6">
        <w:rPr>
          <w:b/>
          <w:spacing w:val="-2"/>
          <w:szCs w:val="22"/>
        </w:rPr>
        <w:t>ly</w:t>
      </w:r>
      <w:r>
        <w:rPr>
          <w:b/>
          <w:spacing w:val="-2"/>
          <w:szCs w:val="22"/>
        </w:rPr>
        <w:t xml:space="preserve"> </w:t>
      </w:r>
      <w:r w:rsidR="00A648FE">
        <w:rPr>
          <w:b/>
          <w:spacing w:val="-2"/>
          <w:szCs w:val="22"/>
        </w:rPr>
        <w:t>18</w:t>
      </w:r>
      <w:r>
        <w:rPr>
          <w:b/>
          <w:spacing w:val="-2"/>
          <w:szCs w:val="22"/>
        </w:rPr>
        <w:t>, 2016</w:t>
      </w:r>
    </w:p>
    <w:p w14:paraId="110B7ADA" w14:textId="77777777" w:rsidR="00CC07CD" w:rsidRDefault="00CC07CD" w:rsidP="00B76F1F">
      <w:pPr>
        <w:widowControl/>
        <w:rPr>
          <w:szCs w:val="22"/>
        </w:rPr>
      </w:pPr>
    </w:p>
    <w:p w14:paraId="0074BC37" w14:textId="77777777" w:rsidR="00CC07CD" w:rsidRDefault="00CC07CD" w:rsidP="00B76F1F">
      <w:pPr>
        <w:widowControl/>
        <w:rPr>
          <w:spacing w:val="-2"/>
          <w:szCs w:val="22"/>
        </w:rPr>
      </w:pPr>
      <w:r>
        <w:rPr>
          <w:szCs w:val="22"/>
        </w:rPr>
        <w:t xml:space="preserve">By the Senior </w:t>
      </w:r>
      <w:r>
        <w:rPr>
          <w:spacing w:val="-2"/>
          <w:szCs w:val="22"/>
        </w:rPr>
        <w:t>Deputy Chief, Policy Division, Media Bureau:</w:t>
      </w:r>
    </w:p>
    <w:p w14:paraId="1965343E" w14:textId="77777777" w:rsidR="00CC07CD" w:rsidRDefault="00CC07CD" w:rsidP="00B76F1F">
      <w:pPr>
        <w:widowControl/>
        <w:rPr>
          <w:spacing w:val="-2"/>
          <w:szCs w:val="22"/>
        </w:rPr>
      </w:pPr>
    </w:p>
    <w:p w14:paraId="5A91F315" w14:textId="77777777" w:rsidR="00CC07CD" w:rsidRDefault="00CC07CD" w:rsidP="00B76F1F">
      <w:pPr>
        <w:pStyle w:val="Heading1"/>
        <w:widowControl/>
        <w:rPr>
          <w:szCs w:val="22"/>
        </w:rPr>
      </w:pPr>
      <w:r>
        <w:rPr>
          <w:szCs w:val="22"/>
        </w:rPr>
        <w:t xml:space="preserve">introduction </w:t>
      </w:r>
    </w:p>
    <w:p w14:paraId="2C2759B0" w14:textId="08C81034" w:rsidR="00CC07CD" w:rsidRPr="00A641EB" w:rsidRDefault="00A574D5" w:rsidP="00B76F1F">
      <w:pPr>
        <w:pStyle w:val="ParaNum"/>
        <w:widowControl/>
      </w:pPr>
      <w:r>
        <w:rPr>
          <w:color w:val="000000"/>
          <w:szCs w:val="22"/>
        </w:rPr>
        <w:t xml:space="preserve">Charter Communications (Charter) </w:t>
      </w:r>
      <w:r w:rsidRPr="008A240C">
        <w:rPr>
          <w:szCs w:val="22"/>
        </w:rPr>
        <w:t xml:space="preserve">filed a Petition for </w:t>
      </w:r>
      <w:r w:rsidR="00B20361">
        <w:rPr>
          <w:szCs w:val="22"/>
        </w:rPr>
        <w:t xml:space="preserve">Partial </w:t>
      </w:r>
      <w:r w:rsidRPr="008A240C">
        <w:rPr>
          <w:szCs w:val="22"/>
        </w:rPr>
        <w:t>Reconsideration</w:t>
      </w:r>
      <w:r w:rsidR="00C446E6">
        <w:rPr>
          <w:szCs w:val="22"/>
        </w:rPr>
        <w:t>,</w:t>
      </w:r>
      <w:r w:rsidR="00F06AD5">
        <w:rPr>
          <w:rStyle w:val="FootnoteReference"/>
          <w:szCs w:val="22"/>
        </w:rPr>
        <w:footnoteReference w:id="1"/>
      </w:r>
      <w:r>
        <w:rPr>
          <w:szCs w:val="22"/>
        </w:rPr>
        <w:t xml:space="preserve"> </w:t>
      </w:r>
      <w:r w:rsidRPr="008A240C">
        <w:rPr>
          <w:szCs w:val="22"/>
        </w:rPr>
        <w:t>pursuant to Section 1.106 of the Commission’s rules,</w:t>
      </w:r>
      <w:r w:rsidRPr="008A240C">
        <w:rPr>
          <w:rStyle w:val="FootnoteReference"/>
          <w:szCs w:val="22"/>
        </w:rPr>
        <w:footnoteReference w:id="2"/>
      </w:r>
      <w:r w:rsidRPr="008A240C">
        <w:rPr>
          <w:szCs w:val="22"/>
        </w:rPr>
        <w:t xml:space="preserve"> of the Media Bureau’s </w:t>
      </w:r>
      <w:r w:rsidRPr="008A240C">
        <w:rPr>
          <w:i/>
          <w:iCs/>
          <w:szCs w:val="22"/>
        </w:rPr>
        <w:t>Memorandum Opinion and Order</w:t>
      </w:r>
      <w:r w:rsidRPr="008A240C">
        <w:rPr>
          <w:szCs w:val="22"/>
        </w:rPr>
        <w:t xml:space="preserve"> (</w:t>
      </w:r>
      <w:r w:rsidRPr="008A240C">
        <w:rPr>
          <w:i/>
          <w:iCs/>
          <w:szCs w:val="22"/>
        </w:rPr>
        <w:t>Order</w:t>
      </w:r>
      <w:r w:rsidRPr="008A240C">
        <w:rPr>
          <w:szCs w:val="22"/>
        </w:rPr>
        <w:t xml:space="preserve">), </w:t>
      </w:r>
      <w:r w:rsidRPr="008A240C">
        <w:rPr>
          <w:color w:val="000000"/>
          <w:szCs w:val="22"/>
        </w:rPr>
        <w:t xml:space="preserve">granting in part and denying in part </w:t>
      </w:r>
      <w:r>
        <w:rPr>
          <w:color w:val="000000"/>
          <w:szCs w:val="22"/>
        </w:rPr>
        <w:t>Charter’s</w:t>
      </w:r>
      <w:r w:rsidRPr="008A240C">
        <w:rPr>
          <w:color w:val="000000"/>
          <w:szCs w:val="22"/>
        </w:rPr>
        <w:t xml:space="preserve"> Petition for Special Relief in the above-referenced proceeding</w:t>
      </w:r>
      <w:r w:rsidRPr="008A240C">
        <w:rPr>
          <w:szCs w:val="22"/>
        </w:rPr>
        <w:t>.</w:t>
      </w:r>
      <w:r w:rsidRPr="008A240C">
        <w:rPr>
          <w:rStyle w:val="FootnoteReference"/>
          <w:szCs w:val="22"/>
        </w:rPr>
        <w:footnoteReference w:id="3"/>
      </w:r>
      <w:r w:rsidRPr="008A240C">
        <w:rPr>
          <w:szCs w:val="22"/>
        </w:rPr>
        <w:t xml:space="preserve">  In its Petition for </w:t>
      </w:r>
      <w:r w:rsidR="008324F0">
        <w:rPr>
          <w:szCs w:val="22"/>
        </w:rPr>
        <w:t xml:space="preserve">Partial </w:t>
      </w:r>
      <w:r w:rsidRPr="008A240C">
        <w:rPr>
          <w:szCs w:val="22"/>
        </w:rPr>
        <w:t xml:space="preserve">Reconsideration, </w:t>
      </w:r>
      <w:r w:rsidR="00367292">
        <w:rPr>
          <w:color w:val="000000"/>
          <w:szCs w:val="22"/>
        </w:rPr>
        <w:t xml:space="preserve">Charter </w:t>
      </w:r>
      <w:r w:rsidRPr="008A240C">
        <w:rPr>
          <w:szCs w:val="22"/>
        </w:rPr>
        <w:t xml:space="preserve">contends that the Media Bureau denied its </w:t>
      </w:r>
      <w:r>
        <w:rPr>
          <w:szCs w:val="22"/>
        </w:rPr>
        <w:t>initial</w:t>
      </w:r>
      <w:r w:rsidR="009A7DA1">
        <w:rPr>
          <w:szCs w:val="22"/>
        </w:rPr>
        <w:t xml:space="preserve"> Petition with respect to Lane County and Lincoln County because </w:t>
      </w:r>
      <w:r w:rsidR="00B1480A">
        <w:rPr>
          <w:szCs w:val="22"/>
        </w:rPr>
        <w:t>Charter</w:t>
      </w:r>
      <w:r w:rsidR="009A7DA1">
        <w:rPr>
          <w:szCs w:val="22"/>
        </w:rPr>
        <w:t xml:space="preserve"> derived its DBS allocation figures from the total number of homes passed by the systems rather than from the 2000 Census Household data</w:t>
      </w:r>
      <w:r w:rsidR="00EE5A90">
        <w:rPr>
          <w:szCs w:val="22"/>
        </w:rPr>
        <w:t xml:space="preserve">, and that use of </w:t>
      </w:r>
      <w:r w:rsidR="008324F0">
        <w:rPr>
          <w:szCs w:val="22"/>
        </w:rPr>
        <w:t xml:space="preserve">the homes passed figure </w:t>
      </w:r>
      <w:r w:rsidR="00EE5A90">
        <w:rPr>
          <w:szCs w:val="22"/>
        </w:rPr>
        <w:t xml:space="preserve">was justified </w:t>
      </w:r>
      <w:r w:rsidR="008324F0">
        <w:rPr>
          <w:szCs w:val="22"/>
        </w:rPr>
        <w:t>with</w:t>
      </w:r>
      <w:r w:rsidR="00EE5A90">
        <w:rPr>
          <w:szCs w:val="22"/>
        </w:rPr>
        <w:t xml:space="preserve"> respect to these two counties</w:t>
      </w:r>
      <w:r w:rsidR="009A7DA1">
        <w:rPr>
          <w:szCs w:val="22"/>
        </w:rPr>
        <w:t>.</w:t>
      </w:r>
      <w:r w:rsidRPr="008A240C">
        <w:rPr>
          <w:rStyle w:val="FootnoteReference"/>
          <w:szCs w:val="22"/>
        </w:rPr>
        <w:footnoteReference w:id="4"/>
      </w:r>
      <w:r w:rsidRPr="008A240C">
        <w:rPr>
          <w:szCs w:val="22"/>
        </w:rPr>
        <w:t xml:space="preserve"> </w:t>
      </w:r>
      <w:r w:rsidR="00B1480A">
        <w:rPr>
          <w:szCs w:val="22"/>
        </w:rPr>
        <w:t xml:space="preserve"> </w:t>
      </w:r>
      <w:r w:rsidR="00602546">
        <w:rPr>
          <w:szCs w:val="22"/>
        </w:rPr>
        <w:t xml:space="preserve">No </w:t>
      </w:r>
      <w:r w:rsidR="00540CBB">
        <w:rPr>
          <w:szCs w:val="22"/>
        </w:rPr>
        <w:t>o</w:t>
      </w:r>
      <w:r w:rsidR="00602546">
        <w:rPr>
          <w:szCs w:val="22"/>
        </w:rPr>
        <w:t xml:space="preserve">pposition was filed.  </w:t>
      </w:r>
      <w:r w:rsidRPr="008A240C">
        <w:rPr>
          <w:szCs w:val="22"/>
        </w:rPr>
        <w:t xml:space="preserve">For the reasons set forth below, </w:t>
      </w:r>
      <w:r w:rsidRPr="008A240C">
        <w:rPr>
          <w:color w:val="000000"/>
          <w:szCs w:val="22"/>
        </w:rPr>
        <w:t xml:space="preserve">we </w:t>
      </w:r>
      <w:r>
        <w:rPr>
          <w:color w:val="000000"/>
          <w:szCs w:val="22"/>
        </w:rPr>
        <w:t>grant</w:t>
      </w:r>
      <w:r w:rsidRPr="008A240C">
        <w:rPr>
          <w:color w:val="000000"/>
          <w:szCs w:val="22"/>
        </w:rPr>
        <w:t xml:space="preserve"> </w:t>
      </w:r>
      <w:r w:rsidR="00B20361">
        <w:rPr>
          <w:color w:val="000000"/>
          <w:szCs w:val="22"/>
        </w:rPr>
        <w:t>Charter</w:t>
      </w:r>
      <w:r w:rsidRPr="008A240C">
        <w:rPr>
          <w:color w:val="000000"/>
          <w:szCs w:val="22"/>
        </w:rPr>
        <w:t xml:space="preserve">’s Petition for </w:t>
      </w:r>
      <w:r w:rsidR="008324F0">
        <w:rPr>
          <w:color w:val="000000"/>
          <w:szCs w:val="22"/>
        </w:rPr>
        <w:t xml:space="preserve">Partial </w:t>
      </w:r>
      <w:r w:rsidRPr="008A240C">
        <w:rPr>
          <w:color w:val="000000"/>
          <w:szCs w:val="22"/>
        </w:rPr>
        <w:t>Reconsideration</w:t>
      </w:r>
      <w:r w:rsidRPr="00C076D3">
        <w:rPr>
          <w:szCs w:val="22"/>
        </w:rPr>
        <w:t>.</w:t>
      </w:r>
    </w:p>
    <w:p w14:paraId="7CA88A0D" w14:textId="77777777" w:rsidR="00A641EB" w:rsidRDefault="00A641EB" w:rsidP="00B76F1F">
      <w:pPr>
        <w:pStyle w:val="Heading1"/>
        <w:widowControl/>
      </w:pPr>
      <w:r>
        <w:t>Background</w:t>
      </w:r>
    </w:p>
    <w:p w14:paraId="6DBA8315" w14:textId="6A7EC3C5" w:rsidR="00A641EB" w:rsidRPr="000746EA" w:rsidRDefault="00A641EB" w:rsidP="005779DB">
      <w:pPr>
        <w:pStyle w:val="ParaNum"/>
        <w:widowControl/>
        <w:rPr>
          <w:szCs w:val="22"/>
        </w:rPr>
      </w:pPr>
      <w:r w:rsidRPr="008A240C">
        <w:rPr>
          <w:szCs w:val="22"/>
        </w:rPr>
        <w:t xml:space="preserve">In June 2015, a Commission order adopted a rebuttable presumption that cable operators are subject to one type of effective competition, commonly referred to as </w:t>
      </w:r>
      <w:r>
        <w:rPr>
          <w:szCs w:val="22"/>
        </w:rPr>
        <w:t>“</w:t>
      </w:r>
      <w:r w:rsidRPr="008A240C">
        <w:rPr>
          <w:szCs w:val="22"/>
        </w:rPr>
        <w:t>competing provider effective competition.</w:t>
      </w:r>
      <w:r>
        <w:rPr>
          <w:szCs w:val="22"/>
        </w:rPr>
        <w:t>”</w:t>
      </w:r>
      <w:r w:rsidRPr="008A240C">
        <w:rPr>
          <w:rStyle w:val="FootnoteReference"/>
          <w:szCs w:val="22"/>
        </w:rPr>
        <w:footnoteReference w:id="5"/>
      </w:r>
      <w:r w:rsidRPr="008A240C">
        <w:rPr>
          <w:szCs w:val="22"/>
        </w:rPr>
        <w:t xml:space="preserve">  Accordingly, in the absence of a demonstration to the contrary, the Commission now presumes that cable systems are subject to competing provider effective competition, and it continues to </w:t>
      </w:r>
      <w:r w:rsidRPr="008A240C">
        <w:rPr>
          <w:szCs w:val="22"/>
        </w:rPr>
        <w:lastRenderedPageBreak/>
        <w:t>presume that cable systems are not subject to any of the other three types of effective competition, as defined by Section 623(l) of the Communications Act and Section 76.905 of the Commission’s rules.</w:t>
      </w:r>
      <w:r w:rsidRPr="008A240C">
        <w:rPr>
          <w:szCs w:val="22"/>
          <w:vertAlign w:val="superscript"/>
        </w:rPr>
        <w:footnoteReference w:id="6"/>
      </w:r>
      <w:r w:rsidRPr="00957E68">
        <w:t xml:space="preserve"> </w:t>
      </w:r>
      <w:r>
        <w:t xml:space="preserve">  </w:t>
      </w:r>
      <w:r w:rsidRPr="008C3612">
        <w:t xml:space="preserve">  </w:t>
      </w:r>
    </w:p>
    <w:p w14:paraId="687459F4" w14:textId="73D103F3" w:rsidR="007106FE" w:rsidRDefault="00A641EB" w:rsidP="00B76F1F">
      <w:pPr>
        <w:pStyle w:val="ParaNum"/>
        <w:widowControl/>
        <w:rPr>
          <w:szCs w:val="22"/>
        </w:rPr>
      </w:pPr>
      <w:r w:rsidRPr="007106FE">
        <w:rPr>
          <w:szCs w:val="22"/>
        </w:rPr>
        <w:t xml:space="preserve">In its initial Petition, </w:t>
      </w:r>
      <w:r w:rsidR="00C75830" w:rsidRPr="007106FE">
        <w:rPr>
          <w:szCs w:val="22"/>
        </w:rPr>
        <w:t>Charter</w:t>
      </w:r>
      <w:r w:rsidRPr="007106FE">
        <w:rPr>
          <w:szCs w:val="22"/>
        </w:rPr>
        <w:t xml:space="preserve"> argued that it </w:t>
      </w:r>
      <w:r w:rsidR="0039488D" w:rsidRPr="007106FE">
        <w:rPr>
          <w:szCs w:val="22"/>
        </w:rPr>
        <w:t>was</w:t>
      </w:r>
      <w:r w:rsidRPr="007106FE">
        <w:rPr>
          <w:szCs w:val="22"/>
        </w:rPr>
        <w:t xml:space="preserve"> subject to competing provider effective competition in </w:t>
      </w:r>
      <w:r w:rsidR="00C75830" w:rsidRPr="007106FE">
        <w:rPr>
          <w:szCs w:val="22"/>
        </w:rPr>
        <w:t>twenty-three Oregon communities (the Communities)</w:t>
      </w:r>
      <w:r w:rsidRPr="007106FE">
        <w:rPr>
          <w:szCs w:val="22"/>
        </w:rPr>
        <w:t>.</w:t>
      </w:r>
      <w:bookmarkStart w:id="1" w:name="co_tablefootnote_12_1"/>
      <w:bookmarkEnd w:id="1"/>
      <w:r w:rsidRPr="008A240C">
        <w:rPr>
          <w:rStyle w:val="FootnoteReference"/>
          <w:szCs w:val="22"/>
        </w:rPr>
        <w:footnoteReference w:id="7"/>
      </w:r>
      <w:r w:rsidRPr="007106FE">
        <w:rPr>
          <w:szCs w:val="22"/>
        </w:rPr>
        <w:t xml:space="preserve">  The </w:t>
      </w:r>
      <w:r w:rsidR="005779DB">
        <w:rPr>
          <w:szCs w:val="22"/>
        </w:rPr>
        <w:t>I</w:t>
      </w:r>
      <w:r w:rsidR="0039488D" w:rsidRPr="007106FE">
        <w:rPr>
          <w:szCs w:val="22"/>
        </w:rPr>
        <w:t>nitial Petition was unopposed.</w:t>
      </w:r>
      <w:r w:rsidRPr="007106FE">
        <w:rPr>
          <w:szCs w:val="22"/>
        </w:rPr>
        <w:t xml:space="preserve"> </w:t>
      </w:r>
      <w:r w:rsidR="005779DB">
        <w:rPr>
          <w:szCs w:val="22"/>
        </w:rPr>
        <w:t xml:space="preserve"> </w:t>
      </w:r>
      <w:r w:rsidRPr="007106FE">
        <w:rPr>
          <w:szCs w:val="22"/>
        </w:rPr>
        <w:t xml:space="preserve">The </w:t>
      </w:r>
      <w:r w:rsidRPr="007106FE">
        <w:rPr>
          <w:i/>
          <w:szCs w:val="22"/>
        </w:rPr>
        <w:t>Order</w:t>
      </w:r>
      <w:r w:rsidRPr="007106FE">
        <w:rPr>
          <w:szCs w:val="22"/>
        </w:rPr>
        <w:t xml:space="preserve"> found that </w:t>
      </w:r>
      <w:r w:rsidR="001A53D0" w:rsidRPr="007106FE">
        <w:rPr>
          <w:szCs w:val="22"/>
        </w:rPr>
        <w:t>twenty communities</w:t>
      </w:r>
      <w:r w:rsidRPr="007106FE">
        <w:rPr>
          <w:szCs w:val="22"/>
        </w:rPr>
        <w:t xml:space="preserve"> were subject to effective competition and granted </w:t>
      </w:r>
      <w:r w:rsidR="008C7FA8" w:rsidRPr="007106FE">
        <w:rPr>
          <w:szCs w:val="22"/>
        </w:rPr>
        <w:t>Charter</w:t>
      </w:r>
      <w:r w:rsidRPr="007106FE">
        <w:rPr>
          <w:szCs w:val="22"/>
        </w:rPr>
        <w:t xml:space="preserve">’s </w:t>
      </w:r>
      <w:r w:rsidR="005779DB">
        <w:rPr>
          <w:szCs w:val="22"/>
        </w:rPr>
        <w:t>I</w:t>
      </w:r>
      <w:r w:rsidRPr="007106FE">
        <w:rPr>
          <w:szCs w:val="22"/>
        </w:rPr>
        <w:t>nitial Petition for a determination of effective competition in those communities.</w:t>
      </w:r>
      <w:r w:rsidRPr="008A240C">
        <w:rPr>
          <w:rStyle w:val="FootnoteReference"/>
          <w:szCs w:val="22"/>
        </w:rPr>
        <w:footnoteReference w:id="8"/>
      </w:r>
      <w:r w:rsidRPr="007106FE">
        <w:rPr>
          <w:szCs w:val="22"/>
        </w:rPr>
        <w:t xml:space="preserve">  However, in the</w:t>
      </w:r>
      <w:r w:rsidR="00194B49" w:rsidRPr="007106FE">
        <w:rPr>
          <w:szCs w:val="22"/>
        </w:rPr>
        <w:t xml:space="preserve"> unincorporated areas within Clackamas, Lane and Lincoln Counties, </w:t>
      </w:r>
      <w:r w:rsidR="00BE7C97" w:rsidRPr="007106FE">
        <w:rPr>
          <w:szCs w:val="22"/>
        </w:rPr>
        <w:t xml:space="preserve">the Bureau found that </w:t>
      </w:r>
      <w:r w:rsidR="00194B49" w:rsidRPr="007106FE">
        <w:rPr>
          <w:szCs w:val="22"/>
        </w:rPr>
        <w:t xml:space="preserve">Charter failed to justify its use of </w:t>
      </w:r>
      <w:r w:rsidR="00BE7C97" w:rsidRPr="007106FE">
        <w:rPr>
          <w:szCs w:val="22"/>
        </w:rPr>
        <w:t xml:space="preserve">the </w:t>
      </w:r>
      <w:r w:rsidR="00194B49" w:rsidRPr="007106FE">
        <w:rPr>
          <w:szCs w:val="22"/>
        </w:rPr>
        <w:t xml:space="preserve">homes passed </w:t>
      </w:r>
      <w:r w:rsidR="00BE7C97" w:rsidRPr="007106FE">
        <w:rPr>
          <w:szCs w:val="22"/>
        </w:rPr>
        <w:t xml:space="preserve">figure </w:t>
      </w:r>
      <w:r w:rsidR="00194B49" w:rsidRPr="007106FE">
        <w:rPr>
          <w:szCs w:val="22"/>
        </w:rPr>
        <w:t>to calcul</w:t>
      </w:r>
      <w:r w:rsidR="002C0AD2" w:rsidRPr="007106FE">
        <w:rPr>
          <w:szCs w:val="22"/>
        </w:rPr>
        <w:t>ate</w:t>
      </w:r>
      <w:r w:rsidR="00194B49" w:rsidRPr="007106FE">
        <w:rPr>
          <w:szCs w:val="22"/>
        </w:rPr>
        <w:t xml:space="preserve"> </w:t>
      </w:r>
      <w:r w:rsidR="00BE7C97" w:rsidRPr="007106FE">
        <w:rPr>
          <w:szCs w:val="22"/>
        </w:rPr>
        <w:t xml:space="preserve">the respective </w:t>
      </w:r>
      <w:r w:rsidR="00194B49" w:rsidRPr="007106FE">
        <w:rPr>
          <w:szCs w:val="22"/>
        </w:rPr>
        <w:t>DBS penetration rate</w:t>
      </w:r>
      <w:r w:rsidR="00BE7C97" w:rsidRPr="007106FE">
        <w:rPr>
          <w:szCs w:val="22"/>
        </w:rPr>
        <w:t>s</w:t>
      </w:r>
      <w:r w:rsidR="002C0AD2" w:rsidRPr="007106FE">
        <w:rPr>
          <w:szCs w:val="22"/>
        </w:rPr>
        <w:t>.</w:t>
      </w:r>
      <w:r w:rsidR="004D5C80">
        <w:rPr>
          <w:rStyle w:val="FootnoteReference"/>
          <w:szCs w:val="22"/>
        </w:rPr>
        <w:footnoteReference w:id="9"/>
      </w:r>
      <w:r w:rsidR="002C0AD2" w:rsidRPr="007106FE">
        <w:rPr>
          <w:szCs w:val="22"/>
        </w:rPr>
        <w:t xml:space="preserve"> Therefore</w:t>
      </w:r>
      <w:r w:rsidR="006814AB" w:rsidRPr="007106FE">
        <w:rPr>
          <w:szCs w:val="22"/>
        </w:rPr>
        <w:t>,</w:t>
      </w:r>
      <w:r w:rsidR="002C0AD2" w:rsidRPr="007106FE">
        <w:rPr>
          <w:szCs w:val="22"/>
        </w:rPr>
        <w:t xml:space="preserve"> the </w:t>
      </w:r>
      <w:r w:rsidR="00390909" w:rsidRPr="007106FE">
        <w:rPr>
          <w:szCs w:val="22"/>
        </w:rPr>
        <w:t>Bureau</w:t>
      </w:r>
      <w:r w:rsidR="002C0AD2" w:rsidRPr="007106FE">
        <w:rPr>
          <w:szCs w:val="22"/>
        </w:rPr>
        <w:t xml:space="preserve"> was unable to </w:t>
      </w:r>
      <w:r w:rsidR="00390909" w:rsidRPr="007106FE">
        <w:rPr>
          <w:szCs w:val="22"/>
        </w:rPr>
        <w:t xml:space="preserve">accurately </w:t>
      </w:r>
      <w:r w:rsidR="002C0AD2" w:rsidRPr="007106FE">
        <w:rPr>
          <w:szCs w:val="22"/>
        </w:rPr>
        <w:t xml:space="preserve">conclude </w:t>
      </w:r>
      <w:r w:rsidR="00390909" w:rsidRPr="007106FE">
        <w:rPr>
          <w:szCs w:val="22"/>
        </w:rPr>
        <w:t xml:space="preserve">with the data presented </w:t>
      </w:r>
      <w:r w:rsidR="002C0AD2" w:rsidRPr="007106FE">
        <w:rPr>
          <w:szCs w:val="22"/>
        </w:rPr>
        <w:t xml:space="preserve">that in the unincorporated areas within Clackamas, Lane and Lincoln Counties, the number of households subscribing to programming services offered by </w:t>
      </w:r>
      <w:r w:rsidR="00BE0D26">
        <w:rPr>
          <w:szCs w:val="22"/>
        </w:rPr>
        <w:t>multichannel video programming distributors (</w:t>
      </w:r>
      <w:r w:rsidR="002C0AD2" w:rsidRPr="007106FE">
        <w:rPr>
          <w:szCs w:val="22"/>
        </w:rPr>
        <w:t>MVPDs</w:t>
      </w:r>
      <w:r w:rsidR="00BE0D26">
        <w:rPr>
          <w:szCs w:val="22"/>
        </w:rPr>
        <w:t>)</w:t>
      </w:r>
      <w:r w:rsidR="002C0AD2" w:rsidRPr="007106FE">
        <w:rPr>
          <w:szCs w:val="22"/>
        </w:rPr>
        <w:t xml:space="preserve"> other than the largest MVPD exceeded </w:t>
      </w:r>
      <w:r w:rsidR="00390909" w:rsidRPr="007106FE">
        <w:rPr>
          <w:szCs w:val="22"/>
        </w:rPr>
        <w:t xml:space="preserve">the </w:t>
      </w:r>
      <w:r w:rsidR="002C0AD2" w:rsidRPr="007106FE">
        <w:rPr>
          <w:szCs w:val="22"/>
        </w:rPr>
        <w:t>15</w:t>
      </w:r>
      <w:r w:rsidR="00390909" w:rsidRPr="007106FE">
        <w:rPr>
          <w:szCs w:val="22"/>
        </w:rPr>
        <w:t xml:space="preserve"> percent penetration threshold.</w:t>
      </w:r>
      <w:r w:rsidR="002C0AD2">
        <w:rPr>
          <w:rStyle w:val="FootnoteReference"/>
          <w:szCs w:val="22"/>
        </w:rPr>
        <w:footnoteReference w:id="10"/>
      </w:r>
      <w:r w:rsidRPr="007106FE">
        <w:rPr>
          <w:szCs w:val="22"/>
        </w:rPr>
        <w:t xml:space="preserve">  Accordingly, the </w:t>
      </w:r>
      <w:r w:rsidRPr="007106FE">
        <w:rPr>
          <w:i/>
          <w:szCs w:val="22"/>
        </w:rPr>
        <w:t>Order</w:t>
      </w:r>
      <w:r w:rsidRPr="007106FE">
        <w:rPr>
          <w:szCs w:val="22"/>
        </w:rPr>
        <w:t xml:space="preserve"> denied </w:t>
      </w:r>
      <w:r w:rsidR="004D5C80" w:rsidRPr="007106FE">
        <w:rPr>
          <w:szCs w:val="22"/>
        </w:rPr>
        <w:t>Charter</w:t>
      </w:r>
      <w:r w:rsidRPr="007106FE">
        <w:rPr>
          <w:szCs w:val="22"/>
        </w:rPr>
        <w:t xml:space="preserve">’s initial Petition for a determination of effective competition </w:t>
      </w:r>
      <w:r w:rsidR="007106FE" w:rsidRPr="007106FE">
        <w:rPr>
          <w:szCs w:val="22"/>
        </w:rPr>
        <w:t xml:space="preserve">in the unincorporated areas of </w:t>
      </w:r>
      <w:r w:rsidR="0061560F" w:rsidRPr="007106FE">
        <w:rPr>
          <w:szCs w:val="22"/>
        </w:rPr>
        <w:t>Clackamas</w:t>
      </w:r>
      <w:r w:rsidR="007106FE" w:rsidRPr="007106FE">
        <w:rPr>
          <w:szCs w:val="22"/>
        </w:rPr>
        <w:t>, Lane and Lincoln Counties.</w:t>
      </w:r>
      <w:r w:rsidRPr="008A240C">
        <w:rPr>
          <w:rStyle w:val="FootnoteReference"/>
          <w:szCs w:val="22"/>
        </w:rPr>
        <w:footnoteReference w:id="11"/>
      </w:r>
      <w:r w:rsidR="007106FE" w:rsidRPr="007106FE">
        <w:rPr>
          <w:szCs w:val="22"/>
        </w:rPr>
        <w:t xml:space="preserve">  </w:t>
      </w:r>
    </w:p>
    <w:p w14:paraId="52ABE013" w14:textId="0C94F425" w:rsidR="00CC07CD" w:rsidRPr="000D53DD" w:rsidRDefault="00030478" w:rsidP="00B76F1F">
      <w:pPr>
        <w:pStyle w:val="Heading1"/>
        <w:widowControl/>
        <w:jc w:val="both"/>
      </w:pPr>
      <w:r>
        <w:t xml:space="preserve"> </w:t>
      </w:r>
      <w:r w:rsidR="007106FE" w:rsidRPr="00030478">
        <w:t>D</w:t>
      </w:r>
      <w:r w:rsidR="00CC07CD" w:rsidRPr="00030478">
        <w:t>ISCUSSION</w:t>
      </w:r>
    </w:p>
    <w:p w14:paraId="26C00B1A" w14:textId="08F27F47" w:rsidR="00CC07CD" w:rsidRDefault="005779DB" w:rsidP="00B76F1F">
      <w:pPr>
        <w:pStyle w:val="ParaNum"/>
        <w:widowControl/>
      </w:pPr>
      <w:r w:rsidRPr="008A240C">
        <w:rPr>
          <w:szCs w:val="22"/>
        </w:rPr>
        <w:t xml:space="preserve">Section 623(l)(1)(B) of the Communications Act provides that a cable operator is subject to </w:t>
      </w:r>
      <w:r>
        <w:rPr>
          <w:szCs w:val="22"/>
        </w:rPr>
        <w:t xml:space="preserve">competing provider </w:t>
      </w:r>
      <w:r w:rsidRPr="008A240C">
        <w:rPr>
          <w:szCs w:val="22"/>
        </w:rPr>
        <w:t>effective competition if the franchise area is (a) served by at least two unaffiliated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sidRPr="008A240C">
        <w:rPr>
          <w:rStyle w:val="FootnoteReference"/>
          <w:szCs w:val="22"/>
        </w:rPr>
        <w:footnoteReference w:id="12"/>
      </w:r>
      <w:r w:rsidRPr="008A240C">
        <w:rPr>
          <w:szCs w:val="22"/>
        </w:rPr>
        <w:t xml:space="preserve">  Pursuant to the </w:t>
      </w:r>
      <w:r w:rsidRPr="008A240C">
        <w:rPr>
          <w:i/>
          <w:szCs w:val="22"/>
        </w:rPr>
        <w:t>Effective Competition Order</w:t>
      </w:r>
      <w:r w:rsidRPr="008A240C">
        <w:rPr>
          <w:szCs w:val="22"/>
        </w:rPr>
        <w:t>, absent evidence to the contrary, the Commission presumes that the competing provider test is met.</w:t>
      </w:r>
      <w:r>
        <w:rPr>
          <w:rStyle w:val="FootnoteReference"/>
          <w:szCs w:val="22"/>
        </w:rPr>
        <w:footnoteReference w:id="13"/>
      </w:r>
      <w:r w:rsidRPr="008A240C">
        <w:rPr>
          <w:szCs w:val="22"/>
        </w:rPr>
        <w:t xml:space="preserve"> </w:t>
      </w:r>
      <w:r>
        <w:rPr>
          <w:szCs w:val="22"/>
        </w:rPr>
        <w:t xml:space="preserve"> </w:t>
      </w:r>
      <w:r w:rsidRPr="008C3612">
        <w:t>Under the modified rules, franchising authorities remain fr</w:t>
      </w:r>
      <w:r>
        <w:t>ee to rebut the presumption of competing provider effective c</w:t>
      </w:r>
      <w:r w:rsidRPr="008C3612">
        <w:t>ompetition.</w:t>
      </w:r>
      <w:r w:rsidRPr="008C3612">
        <w:rPr>
          <w:rStyle w:val="FootnoteReference"/>
        </w:rPr>
        <w:footnoteReference w:id="14"/>
      </w:r>
      <w:r w:rsidR="00AC2B14">
        <w:t xml:space="preserve">  </w:t>
      </w:r>
      <w:r w:rsidR="00FC4C1D">
        <w:t xml:space="preserve"> </w:t>
      </w:r>
    </w:p>
    <w:p w14:paraId="3076A1E3" w14:textId="77777777" w:rsidR="00CC07CD" w:rsidRDefault="00CC07CD" w:rsidP="00B76F1F">
      <w:pPr>
        <w:pStyle w:val="Heading2"/>
        <w:widowControl/>
      </w:pPr>
      <w:r>
        <w:t>First Part</w:t>
      </w:r>
    </w:p>
    <w:p w14:paraId="522D5935" w14:textId="390BF615" w:rsidR="0071363F" w:rsidRPr="0071363F" w:rsidRDefault="0071363F" w:rsidP="00B76F1F">
      <w:pPr>
        <w:pStyle w:val="ParaNum"/>
        <w:widowControl/>
      </w:pPr>
      <w:r w:rsidRPr="00AC3E55">
        <w:t xml:space="preserve">The first part of this test has three elements: </w:t>
      </w:r>
      <w:r>
        <w:t xml:space="preserve"> </w:t>
      </w:r>
      <w:r w:rsidRPr="00AC3E55">
        <w:t>the franchise area must be “served by” at least two unaffiliated MVPDs who offer “comparable programming” to at least “50 percent” of the households in the franchise area.</w:t>
      </w:r>
      <w:r w:rsidRPr="00AC3E55">
        <w:rPr>
          <w:rStyle w:val="FootnoteReference"/>
          <w:szCs w:val="22"/>
        </w:rPr>
        <w:footnoteReference w:id="15"/>
      </w:r>
      <w:r>
        <w:t xml:space="preserve">  As explained in the </w:t>
      </w:r>
      <w:r>
        <w:rPr>
          <w:i/>
        </w:rPr>
        <w:t>Effective Competition Order</w:t>
      </w:r>
      <w:r>
        <w:t xml:space="preserve">, “we find that the </w:t>
      </w:r>
      <w:r w:rsidRPr="007C677C">
        <w:t>ubiquitous nationwide presence of DBS providers, DIRECTV and DISH</w:t>
      </w:r>
      <w:r>
        <w:t xml:space="preserve"> Network</w:t>
      </w:r>
      <w:r w:rsidRPr="007C677C">
        <w:t>, presumptively satisfies</w:t>
      </w:r>
      <w:r>
        <w:t>”</w:t>
      </w:r>
      <w:r w:rsidRPr="007C677C">
        <w:t xml:space="preserve"> the first part of the test for competing provider effective competition, absent evidence to the contrary.</w:t>
      </w:r>
      <w:r w:rsidRPr="007C677C">
        <w:rPr>
          <w:rStyle w:val="FootnoteReference"/>
        </w:rPr>
        <w:footnoteReference w:id="16"/>
      </w:r>
      <w:r w:rsidR="00642BC6">
        <w:t xml:space="preserve">  </w:t>
      </w:r>
      <w:r w:rsidR="00526FD5">
        <w:t xml:space="preserve">The </w:t>
      </w:r>
      <w:r w:rsidR="00526FD5">
        <w:rPr>
          <w:i/>
        </w:rPr>
        <w:t>Order</w:t>
      </w:r>
      <w:r w:rsidR="00526FD5">
        <w:t xml:space="preserve"> found under the old presumption </w:t>
      </w:r>
      <w:r w:rsidR="00663078">
        <w:t xml:space="preserve">that </w:t>
      </w:r>
      <w:r>
        <w:t xml:space="preserve">Charter adequately demonstrated the presence of DBS providers in the communities </w:t>
      </w:r>
      <w:r w:rsidR="00663078">
        <w:t xml:space="preserve">in order </w:t>
      </w:r>
      <w:r w:rsidR="00526FD5">
        <w:t>to satisfy the first part of the test.</w:t>
      </w:r>
      <w:r w:rsidR="004F29FE">
        <w:rPr>
          <w:rStyle w:val="FootnoteReference"/>
        </w:rPr>
        <w:footnoteReference w:id="17"/>
      </w:r>
      <w:r w:rsidR="00526FD5">
        <w:t xml:space="preserve">  </w:t>
      </w:r>
      <w:r w:rsidR="0087097E">
        <w:t>No party seeks</w:t>
      </w:r>
      <w:r w:rsidR="00526FD5">
        <w:t xml:space="preserve"> reconsideration of the findings regarding this part of the test.  </w:t>
      </w:r>
      <w:r w:rsidR="0087097E">
        <w:t xml:space="preserve">In accordance with the presumption </w:t>
      </w:r>
      <w:r w:rsidR="0087097E">
        <w:lastRenderedPageBreak/>
        <w:t>of competing provider effective competition, as well as the Bureau’s previous findings, we thus find that the first part of the test is satisfied.</w:t>
      </w:r>
    </w:p>
    <w:p w14:paraId="30C414A1" w14:textId="77777777" w:rsidR="00CC07CD" w:rsidRDefault="00CC07CD" w:rsidP="00B76F1F">
      <w:pPr>
        <w:pStyle w:val="Heading2"/>
        <w:widowControl/>
      </w:pPr>
      <w:r>
        <w:t>Second Part</w:t>
      </w:r>
    </w:p>
    <w:p w14:paraId="6D583E2D" w14:textId="7C343B96" w:rsidR="00E5531B" w:rsidRDefault="00DC01C4" w:rsidP="00B76F1F">
      <w:pPr>
        <w:pStyle w:val="ParaNum"/>
        <w:widowControl/>
      </w:pPr>
      <w:r w:rsidRPr="007572CF">
        <w:t>The second part of the competing provider test requires that the number of households subscribing to MVPDs, other than the largest MVPD, exceeds 15 percen</w:t>
      </w:r>
      <w:r w:rsidRPr="00953747">
        <w:t>t of the households in a franchise area.</w:t>
      </w:r>
      <w:r>
        <w:rPr>
          <w:rStyle w:val="FootnoteReference"/>
          <w:szCs w:val="22"/>
        </w:rPr>
        <w:footnoteReference w:id="18"/>
      </w:r>
      <w:r w:rsidRPr="007572CF">
        <w:t xml:space="preserve">  </w:t>
      </w:r>
      <w:r>
        <w:t xml:space="preserve">As explained in the </w:t>
      </w:r>
      <w:r w:rsidRPr="007572CF">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19"/>
      </w:r>
    </w:p>
    <w:p w14:paraId="1E40AD0C" w14:textId="34917F9C" w:rsidR="000943BF" w:rsidRDefault="007572CF" w:rsidP="00B76F1F">
      <w:pPr>
        <w:pStyle w:val="ParaNum"/>
        <w:widowControl/>
      </w:pPr>
      <w:r>
        <w:t xml:space="preserve"> </w:t>
      </w:r>
      <w:r w:rsidR="00262AC5">
        <w:t>C</w:t>
      </w:r>
      <w:r w:rsidR="0051653F">
        <w:t xml:space="preserve">harter is seeking reconsideration of the </w:t>
      </w:r>
      <w:r w:rsidR="0051653F" w:rsidRPr="00262AC5">
        <w:rPr>
          <w:i/>
        </w:rPr>
        <w:t xml:space="preserve">Order’s </w:t>
      </w:r>
      <w:r w:rsidR="0051653F">
        <w:t xml:space="preserve">findings </w:t>
      </w:r>
      <w:r w:rsidR="00953747">
        <w:t xml:space="preserve">under the old presumption </w:t>
      </w:r>
      <w:r w:rsidR="0051653F">
        <w:t xml:space="preserve">regarding the method used to calculate the DBS penetration rates </w:t>
      </w:r>
      <w:r w:rsidR="008B5016">
        <w:t>of the unincorporated areas of</w:t>
      </w:r>
      <w:r w:rsidR="0051653F">
        <w:t xml:space="preserve"> L</w:t>
      </w:r>
      <w:r w:rsidR="008B5016">
        <w:t>ane and Lincoln Counties.</w:t>
      </w:r>
      <w:r w:rsidR="00F2338D">
        <w:rPr>
          <w:rStyle w:val="FootnoteReference"/>
        </w:rPr>
        <w:footnoteReference w:id="20"/>
      </w:r>
      <w:r w:rsidR="008B5016">
        <w:t xml:space="preserve"> </w:t>
      </w:r>
      <w:r w:rsidR="00F2338D">
        <w:t xml:space="preserve"> In its initial petition, </w:t>
      </w:r>
      <w:r w:rsidR="00A035DF">
        <w:t xml:space="preserve">the Bureau found that </w:t>
      </w:r>
      <w:r w:rsidR="00F2338D">
        <w:t>Charter failed to justify its use of homes passed by to calculate the DBS penetration rate.</w:t>
      </w:r>
      <w:r w:rsidR="00F2338D">
        <w:rPr>
          <w:rStyle w:val="FootnoteReference"/>
        </w:rPr>
        <w:footnoteReference w:id="21"/>
      </w:r>
      <w:r w:rsidR="00F2338D">
        <w:t xml:space="preserve">  </w:t>
      </w:r>
      <w:r w:rsidR="00953747">
        <w:t>The Bureau found that Charter did not provide sufficient evidence that the number of homes passed by its systems was a suitable equivalent for the number of households, meaning occupied households units, in the franchise areas.</w:t>
      </w:r>
      <w:r w:rsidR="00953747">
        <w:rPr>
          <w:rStyle w:val="FootnoteReference"/>
        </w:rPr>
        <w:footnoteReference w:id="22"/>
      </w:r>
      <w:r w:rsidR="0076735D">
        <w:t xml:space="preserve">  In seeking reconsideration regarding the DBS penetration figures for</w:t>
      </w:r>
      <w:r w:rsidR="000D1B18">
        <w:t xml:space="preserve"> the unincorporated areas of Lane and Lincoln Counties, Charter asserts that the use of homes passed was the most logical method for measuring DBS penetration rate.</w:t>
      </w:r>
      <w:r w:rsidR="000D1B18">
        <w:rPr>
          <w:rStyle w:val="FootnoteReference"/>
        </w:rPr>
        <w:footnoteReference w:id="23"/>
      </w:r>
    </w:p>
    <w:p w14:paraId="2DB42E69" w14:textId="4CD940BD" w:rsidR="00631C05" w:rsidRDefault="000D1B18" w:rsidP="00B76F1F">
      <w:pPr>
        <w:pStyle w:val="ParaNum"/>
        <w:widowControl/>
      </w:pPr>
      <w:r>
        <w:t xml:space="preserve">For the unincorporated areas of Lane County, Charter asserts that </w:t>
      </w:r>
      <w:r w:rsidR="00FE237A">
        <w:t xml:space="preserve">it was correct in its use of homes passed for determining </w:t>
      </w:r>
      <w:r w:rsidR="003B187D">
        <w:t xml:space="preserve">the </w:t>
      </w:r>
      <w:r w:rsidR="00FE237A">
        <w:t xml:space="preserve">DBS penetration rate </w:t>
      </w:r>
      <w:r w:rsidR="003B187D">
        <w:t xml:space="preserve">there </w:t>
      </w:r>
      <w:r w:rsidR="00FE237A">
        <w:t>because it accurately reflects the franchise area and the limited portion of the county served by Charter.</w:t>
      </w:r>
      <w:r w:rsidR="00FE237A">
        <w:rPr>
          <w:rStyle w:val="FootnoteReference"/>
        </w:rPr>
        <w:footnoteReference w:id="24"/>
      </w:r>
      <w:r w:rsidR="00FE237A">
        <w:t xml:space="preserve">  Charter </w:t>
      </w:r>
      <w:r w:rsidR="0005036D">
        <w:t xml:space="preserve">asserts </w:t>
      </w:r>
      <w:r w:rsidR="00FE237A">
        <w:t>that, with regard to Lane County, the franchise area is defined as the unincorporated areas of Lane County served by the system.</w:t>
      </w:r>
      <w:r w:rsidR="00FE237A">
        <w:rPr>
          <w:rStyle w:val="FootnoteReference"/>
        </w:rPr>
        <w:footnoteReference w:id="25"/>
      </w:r>
      <w:r w:rsidR="00FE237A">
        <w:t xml:space="preserve">  </w:t>
      </w:r>
      <w:r w:rsidR="0005036D">
        <w:t>Charter contends that</w:t>
      </w:r>
      <w:r w:rsidR="00A32E6A">
        <w:t>,</w:t>
      </w:r>
      <w:r w:rsidR="00FE237A">
        <w:t xml:space="preserve"> </w:t>
      </w:r>
      <w:r w:rsidR="0005036D">
        <w:t xml:space="preserve">by definition, </w:t>
      </w:r>
      <w:r w:rsidR="00FE237A">
        <w:t xml:space="preserve">the number of </w:t>
      </w:r>
      <w:r w:rsidR="00A32E6A">
        <w:t xml:space="preserve">homes passed is effectively equivalent to the number </w:t>
      </w:r>
      <w:r w:rsidR="00FE237A">
        <w:t xml:space="preserve">of </w:t>
      </w:r>
      <w:r w:rsidR="00A32E6A">
        <w:t>households in the Lane County franchise area</w:t>
      </w:r>
      <w:r w:rsidR="00FE237A">
        <w:t>.</w:t>
      </w:r>
      <w:r w:rsidR="00FE237A">
        <w:rPr>
          <w:rStyle w:val="FootnoteReference"/>
        </w:rPr>
        <w:footnoteReference w:id="26"/>
      </w:r>
      <w:r w:rsidR="00FE237A">
        <w:t xml:space="preserve">  </w:t>
      </w:r>
      <w:r w:rsidR="00B36B8B">
        <w:t xml:space="preserve">While homes passed by may not exactly match the number of households in the franchise area, Charter contends that the calculated DBS penetration rate of 32.3 percent is sufficiently above the </w:t>
      </w:r>
      <w:r w:rsidR="00087499">
        <w:t>15 percent threshold as to render insignificant any minor discrepancies</w:t>
      </w:r>
      <w:r w:rsidR="00765C33">
        <w:t xml:space="preserve"> between the </w:t>
      </w:r>
      <w:r w:rsidR="00631C05">
        <w:t>two figures.</w:t>
      </w:r>
      <w:r w:rsidR="00631C05">
        <w:rPr>
          <w:rStyle w:val="FootnoteReference"/>
        </w:rPr>
        <w:footnoteReference w:id="27"/>
      </w:r>
      <w:r w:rsidR="00631C05">
        <w:t xml:space="preserve">  </w:t>
      </w:r>
    </w:p>
    <w:p w14:paraId="74653CD8" w14:textId="45956DEC" w:rsidR="00087499" w:rsidRDefault="00631C05" w:rsidP="00B76F1F">
      <w:pPr>
        <w:pStyle w:val="ParaNum"/>
        <w:widowControl/>
      </w:pPr>
      <w:r>
        <w:t>With</w:t>
      </w:r>
      <w:r w:rsidR="00087499">
        <w:t xml:space="preserve"> regard to the unincorporated areas of Lincoln County, Charter asserts that it has provided </w:t>
      </w:r>
      <w:r w:rsidR="000C0905">
        <w:t>service to subscribers in the unincorporated portions of the county without a franchise agreement, pursuant to the grandfather</w:t>
      </w:r>
      <w:r w:rsidR="00D87C83">
        <w:t>ing</w:t>
      </w:r>
      <w:r w:rsidR="000C0905">
        <w:t xml:space="preserve"> clause of Section 621(b)(2) of the Communications Act.</w:t>
      </w:r>
      <w:r w:rsidR="000C0905">
        <w:rPr>
          <w:rStyle w:val="FootnoteReference"/>
        </w:rPr>
        <w:footnoteReference w:id="28"/>
      </w:r>
      <w:r w:rsidR="00E23151">
        <w:t xml:space="preserve">  </w:t>
      </w:r>
      <w:r w:rsidR="00072816">
        <w:t xml:space="preserve">According to Charter, since its service in the county without a franchise agreement was grandfathered and was limited to a portion of the county, </w:t>
      </w:r>
      <w:r w:rsidR="001802CE">
        <w:t xml:space="preserve">it reasoned </w:t>
      </w:r>
      <w:r w:rsidR="00072816">
        <w:t xml:space="preserve">that </w:t>
      </w:r>
      <w:r w:rsidR="001802CE">
        <w:t>the use of homes passed was the most logical method of calculating DBS penetration.</w:t>
      </w:r>
      <w:r w:rsidR="001802CE">
        <w:rPr>
          <w:rStyle w:val="FootnoteReference"/>
        </w:rPr>
        <w:footnoteReference w:id="29"/>
      </w:r>
      <w:r w:rsidR="001802CE">
        <w:t xml:space="preserve">  </w:t>
      </w:r>
      <w:r w:rsidR="00EB0184">
        <w:t>This calculation yield</w:t>
      </w:r>
      <w:r w:rsidR="00072816">
        <w:t>ed</w:t>
      </w:r>
      <w:r w:rsidR="00EB0184">
        <w:t xml:space="preserve"> a DBS penetration rate of 21.7 percent.</w:t>
      </w:r>
      <w:r w:rsidR="00EB0184">
        <w:rPr>
          <w:rStyle w:val="FootnoteReference"/>
        </w:rPr>
        <w:footnoteReference w:id="30"/>
      </w:r>
      <w:r w:rsidR="00EB0184">
        <w:t xml:space="preserve">  Alternatively, Charter </w:t>
      </w:r>
      <w:r w:rsidR="001B04C8">
        <w:t>submits that the only other way to analyze the DBS penetration rate in Lincoln County is to assume that, absent specific franchise boundaries pursuant to a franchise agreement, Charter is entitled to serve the entire unincorporated portion of the county and can use the 2000 Census Household figure to derive the DBS figure.</w:t>
      </w:r>
      <w:r w:rsidR="001B04C8">
        <w:rPr>
          <w:rStyle w:val="FootnoteReference"/>
        </w:rPr>
        <w:footnoteReference w:id="31"/>
      </w:r>
      <w:r w:rsidR="0090468B">
        <w:t xml:space="preserve">  Charter as</w:t>
      </w:r>
      <w:r w:rsidR="00EB0184">
        <w:t>serts</w:t>
      </w:r>
      <w:r w:rsidR="0090468B">
        <w:t xml:space="preserve"> </w:t>
      </w:r>
      <w:r w:rsidR="00FB4C6C">
        <w:t xml:space="preserve">that by </w:t>
      </w:r>
      <w:r w:rsidR="00EB0184">
        <w:t xml:space="preserve">using a combination of </w:t>
      </w:r>
      <w:r w:rsidR="003667EC">
        <w:t>C</w:t>
      </w:r>
      <w:r w:rsidR="00EB0184">
        <w:t xml:space="preserve">ensus </w:t>
      </w:r>
      <w:r w:rsidR="00FB4C6C">
        <w:t>and</w:t>
      </w:r>
      <w:r w:rsidR="00EB0184">
        <w:t xml:space="preserve"> postal code data </w:t>
      </w:r>
      <w:r w:rsidR="00FB4C6C">
        <w:t xml:space="preserve">the resulting </w:t>
      </w:r>
      <w:r w:rsidR="00EB0184">
        <w:t xml:space="preserve">DBS penetration rate </w:t>
      </w:r>
      <w:r w:rsidR="00B47BE7">
        <w:t>for</w:t>
      </w:r>
      <w:r w:rsidR="00FB4C6C">
        <w:t xml:space="preserve"> the entire unincorporated portion of Lincoln County increases to</w:t>
      </w:r>
      <w:r w:rsidR="00EB0184">
        <w:t xml:space="preserve"> 25.2 percent.</w:t>
      </w:r>
      <w:r w:rsidR="00EB0184">
        <w:rPr>
          <w:rStyle w:val="FootnoteReference"/>
        </w:rPr>
        <w:footnoteReference w:id="32"/>
      </w:r>
    </w:p>
    <w:p w14:paraId="6ADC2E57" w14:textId="265C94C9" w:rsidR="00EB0184" w:rsidRPr="00F865E5" w:rsidRDefault="00CA1277" w:rsidP="00B76F1F">
      <w:pPr>
        <w:pStyle w:val="ParaNum"/>
        <w:widowControl/>
      </w:pPr>
      <w:r>
        <w:t xml:space="preserve">For </w:t>
      </w:r>
      <w:r w:rsidR="00C34834">
        <w:t>the above reasons,</w:t>
      </w:r>
      <w:r w:rsidR="00EB0184">
        <w:t xml:space="preserve"> Charter effectively demonstrated </w:t>
      </w:r>
      <w:r w:rsidR="009C08DA">
        <w:t xml:space="preserve">that the DBS penetration rate </w:t>
      </w:r>
      <w:r w:rsidR="00C34834">
        <w:t>in Lane and Lincoln Count</w:t>
      </w:r>
      <w:r w:rsidR="009C08DA">
        <w:t>ies exceed</w:t>
      </w:r>
      <w:r>
        <w:t>s</w:t>
      </w:r>
      <w:r w:rsidR="009C08DA">
        <w:t xml:space="preserve"> 15</w:t>
      </w:r>
      <w:r w:rsidR="00833AE0">
        <w:t xml:space="preserve"> percent</w:t>
      </w:r>
      <w:r>
        <w:t>, and the record does not contain arguments to the contrary</w:t>
      </w:r>
      <w:r w:rsidR="0016469B">
        <w:t xml:space="preserve">. </w:t>
      </w:r>
      <w:r>
        <w:t>In accordance with the presumption of competing provider effective competition, and based on the information submitted by Charter, we thus find that</w:t>
      </w:r>
      <w:r w:rsidR="0016469B">
        <w:t xml:space="preserve"> </w:t>
      </w:r>
      <w:r w:rsidR="00833AE0">
        <w:t>the second p</w:t>
      </w:r>
      <w:r>
        <w:t>rong</w:t>
      </w:r>
      <w:r w:rsidR="00833AE0">
        <w:t xml:space="preserve"> of the test</w:t>
      </w:r>
      <w:r w:rsidR="0016469B">
        <w:t xml:space="preserve"> is satisfied</w:t>
      </w:r>
      <w:r w:rsidR="00833AE0">
        <w:t xml:space="preserve"> for these </w:t>
      </w:r>
      <w:r w:rsidR="003916F9">
        <w:t>C</w:t>
      </w:r>
      <w:r w:rsidR="00833AE0">
        <w:t>ommunities</w:t>
      </w:r>
      <w:r w:rsidR="009C08DA">
        <w:t>.</w:t>
      </w:r>
    </w:p>
    <w:p w14:paraId="1BEAB3D2" w14:textId="77777777" w:rsidR="00CC07CD" w:rsidRDefault="00CC07CD" w:rsidP="00B76F1F">
      <w:pPr>
        <w:pStyle w:val="Heading1"/>
        <w:widowControl/>
        <w:rPr>
          <w:szCs w:val="22"/>
        </w:rPr>
      </w:pPr>
      <w:r>
        <w:rPr>
          <w:szCs w:val="22"/>
        </w:rPr>
        <w:t>ordering clauses</w:t>
      </w:r>
    </w:p>
    <w:p w14:paraId="35802372" w14:textId="3BD954C3" w:rsidR="00CA1277" w:rsidRDefault="00CC07CD" w:rsidP="00B76F1F">
      <w:pPr>
        <w:pStyle w:val="ParaNum"/>
        <w:widowControl/>
      </w:pPr>
      <w:r>
        <w:t xml:space="preserve">Accordingly, </w:t>
      </w:r>
      <w:r w:rsidRPr="00974B07">
        <w:rPr>
          <w:b/>
        </w:rPr>
        <w:t>IT IS ORDERED</w:t>
      </w:r>
      <w:r>
        <w:t xml:space="preserve"> that </w:t>
      </w:r>
      <w:r w:rsidR="00CA1277">
        <w:t>pursuant to Section 1.106 of the Commission’s rules,</w:t>
      </w:r>
      <w:r w:rsidR="00CA1277">
        <w:rPr>
          <w:rStyle w:val="FootnoteReference"/>
        </w:rPr>
        <w:footnoteReference w:id="33"/>
      </w:r>
      <w:r w:rsidR="00CA1277">
        <w:t xml:space="preserve"> </w:t>
      </w:r>
      <w:r>
        <w:t xml:space="preserve">the </w:t>
      </w:r>
      <w:r w:rsidR="00511462">
        <w:t>P</w:t>
      </w:r>
      <w:r>
        <w:t>etition</w:t>
      </w:r>
      <w:r w:rsidR="00511462">
        <w:t xml:space="preserve"> </w:t>
      </w:r>
      <w:r>
        <w:t xml:space="preserve">for </w:t>
      </w:r>
      <w:r w:rsidR="00511462">
        <w:t xml:space="preserve">Partial Reconsideration filed by </w:t>
      </w:r>
      <w:r w:rsidR="00F24C19">
        <w:t>Charter Communications</w:t>
      </w:r>
      <w:r>
        <w:t xml:space="preserve"> </w:t>
      </w:r>
      <w:r w:rsidR="00511462" w:rsidRPr="00974B07">
        <w:rPr>
          <w:b/>
        </w:rPr>
        <w:t>IS</w:t>
      </w:r>
      <w:r w:rsidRPr="00974B07">
        <w:rPr>
          <w:b/>
        </w:rPr>
        <w:t xml:space="preserve"> GRANTED</w:t>
      </w:r>
      <w:r w:rsidR="00511462">
        <w:t>.</w:t>
      </w:r>
      <w:r>
        <w:t xml:space="preserve"> </w:t>
      </w:r>
    </w:p>
    <w:p w14:paraId="03BDBE60" w14:textId="4EE34D92" w:rsidR="00FE2B07" w:rsidRDefault="00FE2B07" w:rsidP="00B76F1F">
      <w:pPr>
        <w:pStyle w:val="ParaNum"/>
        <w:widowControl/>
      </w:pPr>
      <w:r>
        <w:rPr>
          <w:b/>
        </w:rPr>
        <w:t>IT IS FURTHER ORDERED</w:t>
      </w:r>
      <w:r>
        <w:t xml:space="preserve"> that the certification to regulate basic cable service rates granted to any local franchising authorit</w:t>
      </w:r>
      <w:r w:rsidR="005838E7">
        <w:t>y</w:t>
      </w:r>
      <w:r>
        <w:t xml:space="preserve"> overseeing </w:t>
      </w:r>
      <w:r w:rsidR="005F0A99">
        <w:t>C</w:t>
      </w:r>
      <w:r>
        <w:t xml:space="preserve">harter Communications in the unincorporated portions of Lane County and Lincoln County, Oregon </w:t>
      </w:r>
      <w:r w:rsidR="005838E7">
        <w:rPr>
          <w:b/>
        </w:rPr>
        <w:t>IS</w:t>
      </w:r>
      <w:r>
        <w:rPr>
          <w:b/>
        </w:rPr>
        <w:t xml:space="preserve"> REVOKED</w:t>
      </w:r>
      <w:r w:rsidRPr="00F24C19">
        <w:rPr>
          <w:b/>
        </w:rPr>
        <w:t>.</w:t>
      </w:r>
    </w:p>
    <w:p w14:paraId="4B32AAC4" w14:textId="77777777" w:rsidR="00511462" w:rsidRDefault="00511462" w:rsidP="00B76F1F">
      <w:pPr>
        <w:pStyle w:val="ParaNum"/>
        <w:widowControl/>
      </w:pPr>
      <w:r>
        <w:t>This action is taken pursuant to delegated authority under Section 0.283 of the Commission’s rules.</w:t>
      </w:r>
      <w:r>
        <w:rPr>
          <w:rStyle w:val="FootnoteReference"/>
        </w:rPr>
        <w:footnoteReference w:id="34"/>
      </w:r>
    </w:p>
    <w:p w14:paraId="17911DA8" w14:textId="77777777" w:rsidR="00CC07CD" w:rsidRDefault="00CC07CD" w:rsidP="00B76F1F">
      <w:pPr>
        <w:pStyle w:val="ParaNum"/>
        <w:widowControl/>
        <w:numPr>
          <w:ilvl w:val="0"/>
          <w:numId w:val="0"/>
        </w:numPr>
        <w:rPr>
          <w:szCs w:val="22"/>
        </w:rPr>
      </w:pPr>
      <w:r>
        <w:rPr>
          <w:szCs w:val="22"/>
        </w:rPr>
        <w:tab/>
      </w:r>
      <w:r>
        <w:rPr>
          <w:szCs w:val="22"/>
        </w:rPr>
        <w:tab/>
      </w:r>
      <w:r>
        <w:rPr>
          <w:szCs w:val="22"/>
        </w:rPr>
        <w:tab/>
      </w:r>
    </w:p>
    <w:p w14:paraId="352B76D8" w14:textId="77777777" w:rsidR="00CC07CD" w:rsidRDefault="00CC07CD" w:rsidP="00B76F1F">
      <w:pPr>
        <w:pStyle w:val="ParaNum"/>
        <w:widowControl/>
        <w:numPr>
          <w:ilvl w:val="0"/>
          <w:numId w:val="0"/>
        </w:numPr>
        <w:rPr>
          <w:szCs w:val="22"/>
        </w:rPr>
      </w:pPr>
      <w:r>
        <w:rPr>
          <w:szCs w:val="22"/>
        </w:rPr>
        <w:tab/>
      </w:r>
      <w:r>
        <w:rPr>
          <w:szCs w:val="22"/>
        </w:rPr>
        <w:tab/>
      </w:r>
      <w:r>
        <w:rPr>
          <w:szCs w:val="22"/>
        </w:rPr>
        <w:tab/>
      </w:r>
      <w:r>
        <w:rPr>
          <w:szCs w:val="22"/>
        </w:rPr>
        <w:tab/>
        <w:t>FEDERAL COMMUNICATIONS COMMISSION</w:t>
      </w:r>
    </w:p>
    <w:p w14:paraId="5F7B1AE0" w14:textId="77777777" w:rsidR="00CC07CD" w:rsidRDefault="00CC07CD" w:rsidP="000F003F">
      <w:pPr>
        <w:pStyle w:val="DocText"/>
        <w:jc w:val="left"/>
        <w:rPr>
          <w:sz w:val="22"/>
          <w:szCs w:val="22"/>
        </w:rPr>
      </w:pPr>
    </w:p>
    <w:p w14:paraId="10C2FE7C" w14:textId="77777777" w:rsidR="00CC07CD" w:rsidRDefault="00CC07CD">
      <w:pPr>
        <w:pStyle w:val="DocText"/>
        <w:ind w:left="0"/>
        <w:jc w:val="left"/>
        <w:rPr>
          <w:sz w:val="22"/>
          <w:szCs w:val="22"/>
        </w:rPr>
      </w:pPr>
    </w:p>
    <w:p w14:paraId="23A99F3C" w14:textId="77777777" w:rsidR="00CC07CD" w:rsidRDefault="00CC07CD">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14:paraId="3D4E7F83" w14:textId="77777777" w:rsidR="00CC07CD" w:rsidRDefault="00CC07CD">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14:paraId="077E9FB5" w14:textId="77777777" w:rsidR="00CC07CD" w:rsidRDefault="00CC07CD" w:rsidP="00CA1277">
      <w:pPr>
        <w:pStyle w:val="ParaNum"/>
        <w:widowControl/>
        <w:numPr>
          <w:ilvl w:val="0"/>
          <w:numId w:val="0"/>
        </w:numPr>
        <w:rPr>
          <w:sz w:val="20"/>
        </w:rPr>
      </w:pPr>
    </w:p>
    <w:p w14:paraId="1FC19170" w14:textId="77777777" w:rsidR="00AE45B1" w:rsidRDefault="00AE45B1" w:rsidP="00CA1277">
      <w:pPr>
        <w:widowControl/>
      </w:pPr>
    </w:p>
    <w:sectPr w:rsidR="00AE45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503A0" w14:textId="77777777" w:rsidR="00C66CC7" w:rsidRDefault="00C66CC7" w:rsidP="00CC07CD">
      <w:r>
        <w:separator/>
      </w:r>
    </w:p>
  </w:endnote>
  <w:endnote w:type="continuationSeparator" w:id="0">
    <w:p w14:paraId="22E3051D" w14:textId="77777777" w:rsidR="00C66CC7" w:rsidRDefault="00C66CC7" w:rsidP="00CC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77C4" w14:textId="77777777" w:rsidR="00E46DAA" w:rsidRDefault="00E46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2803" w14:textId="77777777" w:rsidR="00F90BE8" w:rsidRDefault="00737907">
    <w:pPr>
      <w:pStyle w:val="Footer"/>
      <w:jc w:val="center"/>
    </w:pPr>
    <w:r>
      <w:rPr>
        <w:rStyle w:val="PageNumber"/>
      </w:rPr>
      <w:fldChar w:fldCharType="begin"/>
    </w:r>
    <w:r>
      <w:rPr>
        <w:rStyle w:val="PageNumber"/>
      </w:rPr>
      <w:instrText xml:space="preserve"> PAGE </w:instrText>
    </w:r>
    <w:r>
      <w:rPr>
        <w:rStyle w:val="PageNumber"/>
      </w:rPr>
      <w:fldChar w:fldCharType="separate"/>
    </w:r>
    <w:r w:rsidR="0097434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E83A" w14:textId="77777777" w:rsidR="00E46DAA" w:rsidRDefault="00E4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E3CB7" w14:textId="77777777" w:rsidR="00C66CC7" w:rsidRDefault="00C66CC7" w:rsidP="00CC07CD">
      <w:r>
        <w:separator/>
      </w:r>
    </w:p>
  </w:footnote>
  <w:footnote w:type="continuationSeparator" w:id="0">
    <w:p w14:paraId="63A03EEC" w14:textId="77777777" w:rsidR="00C66CC7" w:rsidRDefault="00C66CC7" w:rsidP="00CC07CD">
      <w:r>
        <w:continuationSeparator/>
      </w:r>
    </w:p>
  </w:footnote>
  <w:footnote w:id="1">
    <w:p w14:paraId="0061D65B" w14:textId="47736039" w:rsidR="00F06AD5" w:rsidRDefault="00F06AD5">
      <w:pPr>
        <w:pStyle w:val="FootnoteText"/>
      </w:pPr>
      <w:r>
        <w:rPr>
          <w:rStyle w:val="FootnoteReference"/>
        </w:rPr>
        <w:footnoteRef/>
      </w:r>
      <w:r>
        <w:t xml:space="preserve"> </w:t>
      </w:r>
      <w:r w:rsidR="00782C08">
        <w:t xml:space="preserve">Charter Communications </w:t>
      </w:r>
      <w:r w:rsidR="00CE7793" w:rsidRPr="001F176B">
        <w:t xml:space="preserve">Petition for </w:t>
      </w:r>
      <w:r w:rsidR="00CE7793">
        <w:t xml:space="preserve">Partial </w:t>
      </w:r>
      <w:r w:rsidR="00CE7793" w:rsidRPr="001F176B">
        <w:t xml:space="preserve">Reconsideration at 1 </w:t>
      </w:r>
      <w:r w:rsidR="00CE7793">
        <w:t>(Jul</w:t>
      </w:r>
      <w:r w:rsidR="00B76F1F">
        <w:t>.</w:t>
      </w:r>
      <w:r w:rsidR="00CE7793">
        <w:t xml:space="preserve"> 13, 2005)</w:t>
      </w:r>
      <w:r w:rsidR="00782C08">
        <w:t xml:space="preserve"> (Petition for Partial Reconsideration)</w:t>
      </w:r>
      <w:r w:rsidR="00CE7793">
        <w:t>.</w:t>
      </w:r>
    </w:p>
  </w:footnote>
  <w:footnote w:id="2">
    <w:p w14:paraId="44691E0D" w14:textId="57DE4DD6" w:rsidR="00A574D5" w:rsidRPr="001F176B" w:rsidRDefault="00A574D5" w:rsidP="00A574D5">
      <w:pPr>
        <w:autoSpaceDE w:val="0"/>
        <w:autoSpaceDN w:val="0"/>
        <w:adjustRightInd w:val="0"/>
        <w:spacing w:after="120"/>
        <w:rPr>
          <w:color w:val="000000"/>
          <w:sz w:val="20"/>
        </w:rPr>
      </w:pPr>
      <w:r w:rsidRPr="001F176B">
        <w:rPr>
          <w:rStyle w:val="FootnoteReference"/>
          <w:color w:val="000000"/>
        </w:rPr>
        <w:footnoteRef/>
      </w:r>
      <w:r w:rsidRPr="001F176B">
        <w:rPr>
          <w:color w:val="000000"/>
          <w:sz w:val="20"/>
        </w:rPr>
        <w:t xml:space="preserve"> </w:t>
      </w:r>
      <w:r w:rsidR="00D3681D">
        <w:rPr>
          <w:color w:val="000000"/>
          <w:sz w:val="20"/>
        </w:rPr>
        <w:t>47 C</w:t>
      </w:r>
      <w:r w:rsidR="009507C6">
        <w:rPr>
          <w:color w:val="000000"/>
          <w:sz w:val="20"/>
        </w:rPr>
        <w:t>.</w:t>
      </w:r>
      <w:r w:rsidR="00D3681D">
        <w:rPr>
          <w:color w:val="000000"/>
          <w:sz w:val="20"/>
        </w:rPr>
        <w:t>F</w:t>
      </w:r>
      <w:r w:rsidR="009507C6">
        <w:rPr>
          <w:color w:val="000000"/>
          <w:sz w:val="20"/>
        </w:rPr>
        <w:t>.</w:t>
      </w:r>
      <w:r w:rsidR="00255295">
        <w:rPr>
          <w:color w:val="000000"/>
          <w:sz w:val="20"/>
        </w:rPr>
        <w:t>R. § 1.106</w:t>
      </w:r>
      <w:r w:rsidR="00CE7793">
        <w:rPr>
          <w:color w:val="000000"/>
          <w:sz w:val="20"/>
        </w:rPr>
        <w:t>.</w:t>
      </w:r>
      <w:r w:rsidR="00255295">
        <w:t xml:space="preserve"> </w:t>
      </w:r>
    </w:p>
  </w:footnote>
  <w:footnote w:id="3">
    <w:p w14:paraId="0FB2AD06" w14:textId="0899C4FD" w:rsidR="00A574D5" w:rsidRPr="001F176B" w:rsidRDefault="00A574D5" w:rsidP="00A574D5">
      <w:pPr>
        <w:pStyle w:val="FootnoteText"/>
      </w:pPr>
      <w:r w:rsidRPr="001F176B">
        <w:rPr>
          <w:rStyle w:val="FootnoteReference"/>
        </w:rPr>
        <w:footnoteRef/>
      </w:r>
      <w:r w:rsidRPr="001F176B">
        <w:t xml:space="preserve"> </w:t>
      </w:r>
      <w:r w:rsidR="00367292">
        <w:rPr>
          <w:i/>
          <w:color w:val="000000"/>
        </w:rPr>
        <w:t>Charter Communications</w:t>
      </w:r>
      <w:r w:rsidR="00190F9D">
        <w:rPr>
          <w:i/>
          <w:color w:val="000000"/>
        </w:rPr>
        <w:t>:</w:t>
      </w:r>
      <w:r w:rsidRPr="001F176B">
        <w:rPr>
          <w:i/>
          <w:color w:val="000000"/>
        </w:rPr>
        <w:t xml:space="preserve"> </w:t>
      </w:r>
      <w:r w:rsidR="00367292">
        <w:rPr>
          <w:i/>
          <w:color w:val="000000"/>
        </w:rPr>
        <w:t>Twelve Petitions for Determination of Effective Competition in Twenty-Three Local Franchise Areas in Oregon</w:t>
      </w:r>
      <w:r>
        <w:rPr>
          <w:color w:val="000000"/>
        </w:rPr>
        <w:t xml:space="preserve">, </w:t>
      </w:r>
      <w:r w:rsidRPr="001F176B">
        <w:rPr>
          <w:color w:val="000000"/>
        </w:rPr>
        <w:t xml:space="preserve">Memorandum Opinion and Order, </w:t>
      </w:r>
      <w:r w:rsidR="00367292">
        <w:rPr>
          <w:iCs/>
          <w:color w:val="000000"/>
          <w:shd w:val="clear" w:color="auto" w:fill="FFFFFF"/>
        </w:rPr>
        <w:t>20</w:t>
      </w:r>
      <w:r w:rsidRPr="001F176B">
        <w:rPr>
          <w:iCs/>
          <w:color w:val="000000"/>
          <w:shd w:val="clear" w:color="auto" w:fill="FFFFFF"/>
        </w:rPr>
        <w:t xml:space="preserve"> FCC Rcd </w:t>
      </w:r>
      <w:r w:rsidR="00367292">
        <w:rPr>
          <w:iCs/>
          <w:color w:val="000000"/>
          <w:shd w:val="clear" w:color="auto" w:fill="FFFFFF"/>
        </w:rPr>
        <w:t>10679 (MB 2005</w:t>
      </w:r>
      <w:r w:rsidRPr="001F176B">
        <w:rPr>
          <w:iCs/>
          <w:color w:val="000000"/>
          <w:shd w:val="clear" w:color="auto" w:fill="FFFFFF"/>
        </w:rPr>
        <w:t>) (</w:t>
      </w:r>
      <w:r w:rsidRPr="001F176B">
        <w:rPr>
          <w:i/>
          <w:iCs/>
          <w:color w:val="000000"/>
          <w:shd w:val="clear" w:color="auto" w:fill="FFFFFF"/>
        </w:rPr>
        <w:t>Order</w:t>
      </w:r>
      <w:r w:rsidRPr="001F176B">
        <w:rPr>
          <w:iCs/>
          <w:color w:val="000000"/>
          <w:shd w:val="clear" w:color="auto" w:fill="FFFFFF"/>
        </w:rPr>
        <w:t>)</w:t>
      </w:r>
      <w:r w:rsidRPr="001F176B">
        <w:t xml:space="preserve">.  The </w:t>
      </w:r>
      <w:r w:rsidRPr="001F176B">
        <w:rPr>
          <w:i/>
        </w:rPr>
        <w:t>Order</w:t>
      </w:r>
      <w:r w:rsidRPr="001F176B">
        <w:t xml:space="preserve"> found</w:t>
      </w:r>
      <w:r w:rsidR="00367292">
        <w:t xml:space="preserve"> all </w:t>
      </w:r>
      <w:r w:rsidR="00B76F1F">
        <w:t>that all franchise areas at issue were subject to competing provider effective competition except</w:t>
      </w:r>
      <w:r w:rsidR="00367292">
        <w:t xml:space="preserve"> the unincorporated areas within Clackamas, Lane, and Lincoln Counties</w:t>
      </w:r>
      <w:r w:rsidRPr="001F176B">
        <w:t>.</w:t>
      </w:r>
    </w:p>
  </w:footnote>
  <w:footnote w:id="4">
    <w:p w14:paraId="54A467F1" w14:textId="02D073CD" w:rsidR="00A574D5" w:rsidRPr="001F176B" w:rsidRDefault="00A574D5" w:rsidP="00A574D5">
      <w:pPr>
        <w:pStyle w:val="FootnoteText"/>
      </w:pPr>
      <w:r w:rsidRPr="001F176B">
        <w:rPr>
          <w:rStyle w:val="FootnoteReference"/>
        </w:rPr>
        <w:footnoteRef/>
      </w:r>
      <w:r w:rsidRPr="001F176B">
        <w:t xml:space="preserve"> Petition for </w:t>
      </w:r>
      <w:r w:rsidR="0075296A">
        <w:t xml:space="preserve">Partial </w:t>
      </w:r>
      <w:r w:rsidRPr="001F176B">
        <w:t xml:space="preserve">Reconsideration at 1. </w:t>
      </w:r>
      <w:r w:rsidR="00F6661E">
        <w:t xml:space="preserve">Charter states that it also disagrees with the </w:t>
      </w:r>
      <w:r w:rsidR="00F6661E">
        <w:rPr>
          <w:i/>
        </w:rPr>
        <w:t>Order</w:t>
      </w:r>
      <w:r w:rsidR="00F6661E" w:rsidRPr="00974B07">
        <w:t>’s</w:t>
      </w:r>
      <w:r w:rsidR="00F6661E">
        <w:rPr>
          <w:i/>
        </w:rPr>
        <w:t xml:space="preserve"> </w:t>
      </w:r>
      <w:r w:rsidR="00F6661E">
        <w:t xml:space="preserve">denial of its Petition with respect to Clackamas County, Oregon, but </w:t>
      </w:r>
      <w:r w:rsidR="00B1480A">
        <w:t xml:space="preserve">it </w:t>
      </w:r>
      <w:r w:rsidR="00F6661E">
        <w:t xml:space="preserve">is not seeking reconsideration of that portion of the decision at this time.  Charter states that it intends to gather more information regarding DBS penetration in Clackamas County and will file a separate petition if warranted.  </w:t>
      </w:r>
      <w:r w:rsidR="00F6661E">
        <w:rPr>
          <w:i/>
        </w:rPr>
        <w:t>Id.</w:t>
      </w:r>
      <w:r w:rsidR="00F6661E">
        <w:t xml:space="preserve"> at n.1.  To date, we have not received any filings from Charter with regard to Clackamas County.  </w:t>
      </w:r>
      <w:r w:rsidRPr="001F176B">
        <w:t xml:space="preserve"> </w:t>
      </w:r>
    </w:p>
  </w:footnote>
  <w:footnote w:id="5">
    <w:p w14:paraId="42345B32" w14:textId="77777777" w:rsidR="00A641EB" w:rsidRPr="001F176B" w:rsidRDefault="00A641EB" w:rsidP="00A641EB">
      <w:pPr>
        <w:pStyle w:val="FootnoteText"/>
      </w:pPr>
      <w:r w:rsidRPr="001F176B">
        <w:rPr>
          <w:rStyle w:val="FootnoteReference"/>
        </w:rPr>
        <w:footnoteRef/>
      </w:r>
      <w:r w:rsidRPr="001F176B">
        <w:t xml:space="preserve"> </w:t>
      </w:r>
      <w:r w:rsidRPr="001F176B">
        <w:rPr>
          <w:i/>
          <w:spacing w:val="-2"/>
        </w:rPr>
        <w:t>See Amendment to the Commission’s Rules Concerning Effective Competition; Implementation of Section 111 of the STELA Reauthorization Act</w:t>
      </w:r>
      <w:r w:rsidRPr="001F176B">
        <w:rPr>
          <w:spacing w:val="-2"/>
        </w:rPr>
        <w:t>, Report and Order, 30 FCC Rcd 6574 (2015) (</w:t>
      </w:r>
      <w:r w:rsidRPr="001F176B">
        <w:rPr>
          <w:i/>
          <w:spacing w:val="-2"/>
        </w:rPr>
        <w:t>Effective Competition Order</w:t>
      </w:r>
      <w:r w:rsidRPr="001F176B">
        <w:rPr>
          <w:spacing w:val="-2"/>
        </w:rPr>
        <w:t>).</w:t>
      </w:r>
    </w:p>
  </w:footnote>
  <w:footnote w:id="6">
    <w:p w14:paraId="6D9B746A" w14:textId="77777777" w:rsidR="00A641EB" w:rsidRPr="001F176B" w:rsidRDefault="00A641EB" w:rsidP="00A641EB">
      <w:pPr>
        <w:pStyle w:val="FootnoteText"/>
        <w:tabs>
          <w:tab w:val="left" w:pos="-720"/>
        </w:tabs>
        <w:rPr>
          <w:spacing w:val="-2"/>
        </w:rPr>
      </w:pPr>
      <w:r w:rsidRPr="001F176B">
        <w:rPr>
          <w:rStyle w:val="FootnoteReference"/>
          <w:spacing w:val="-2"/>
        </w:rPr>
        <w:footnoteRef/>
      </w:r>
      <w:r w:rsidRPr="001F176B">
        <w:rPr>
          <w:i/>
          <w:spacing w:val="-2"/>
        </w:rPr>
        <w:t xml:space="preserve"> See</w:t>
      </w:r>
      <w:r w:rsidR="00D3681D">
        <w:rPr>
          <w:spacing w:val="-2"/>
        </w:rPr>
        <w:t xml:space="preserve"> 47 U.S.C. § 543(l)(1); 47 CF</w:t>
      </w:r>
      <w:r w:rsidRPr="001F176B">
        <w:rPr>
          <w:spacing w:val="-2"/>
        </w:rPr>
        <w:t>R §§ 76.905(b)</w:t>
      </w:r>
      <w:r>
        <w:rPr>
          <w:spacing w:val="-2"/>
        </w:rPr>
        <w:t>, 76.906</w:t>
      </w:r>
      <w:r w:rsidRPr="001F176B">
        <w:rPr>
          <w:spacing w:val="-2"/>
        </w:rPr>
        <w:t>.</w:t>
      </w:r>
    </w:p>
  </w:footnote>
  <w:footnote w:id="7">
    <w:p w14:paraId="22E0FADD" w14:textId="5295E674" w:rsidR="00A641EB" w:rsidRPr="001F176B" w:rsidRDefault="00A641EB" w:rsidP="00A641EB">
      <w:pPr>
        <w:pStyle w:val="FootnoteText"/>
      </w:pPr>
      <w:r w:rsidRPr="001F176B">
        <w:rPr>
          <w:rStyle w:val="FootnoteReference"/>
        </w:rPr>
        <w:footnoteRef/>
      </w:r>
      <w:r w:rsidRPr="001F176B">
        <w:t xml:space="preserve"> </w:t>
      </w:r>
      <w:r w:rsidR="00C75830">
        <w:t>Charter Communications</w:t>
      </w:r>
      <w:r w:rsidRPr="001F176B">
        <w:t xml:space="preserve"> Petition for Special Relief at 1 </w:t>
      </w:r>
      <w:r>
        <w:t>(</w:t>
      </w:r>
      <w:r w:rsidR="00C75830">
        <w:t>Nov. 30, 2004</w:t>
      </w:r>
      <w:r>
        <w:t xml:space="preserve">) (Initial </w:t>
      </w:r>
      <w:r w:rsidRPr="001F176B">
        <w:t>Petition).</w:t>
      </w:r>
    </w:p>
  </w:footnote>
  <w:footnote w:id="8">
    <w:p w14:paraId="2C04AE54" w14:textId="75F136DA" w:rsidR="00A641EB" w:rsidRPr="001F176B" w:rsidRDefault="00A641EB" w:rsidP="00A641EB">
      <w:pPr>
        <w:pStyle w:val="FootnoteText"/>
      </w:pPr>
      <w:r w:rsidRPr="001F176B">
        <w:rPr>
          <w:rStyle w:val="FootnoteReference"/>
        </w:rPr>
        <w:footnoteRef/>
      </w:r>
      <w:r w:rsidRPr="001F176B">
        <w:t xml:space="preserve"> </w:t>
      </w:r>
      <w:r w:rsidRPr="001F176B">
        <w:rPr>
          <w:i/>
          <w:iCs/>
          <w:color w:val="000000"/>
          <w:shd w:val="clear" w:color="auto" w:fill="FFFFFF"/>
        </w:rPr>
        <w:t>Order</w:t>
      </w:r>
      <w:r w:rsidRPr="001F176B">
        <w:rPr>
          <w:iCs/>
          <w:color w:val="000000"/>
          <w:shd w:val="clear" w:color="auto" w:fill="FFFFFF"/>
        </w:rPr>
        <w:t xml:space="preserve">, </w:t>
      </w:r>
      <w:r w:rsidR="004D5C80">
        <w:rPr>
          <w:iCs/>
          <w:color w:val="000000"/>
          <w:shd w:val="clear" w:color="auto" w:fill="FFFFFF"/>
        </w:rPr>
        <w:t>20</w:t>
      </w:r>
      <w:r w:rsidRPr="001F176B">
        <w:rPr>
          <w:iCs/>
          <w:color w:val="000000"/>
          <w:shd w:val="clear" w:color="auto" w:fill="FFFFFF"/>
        </w:rPr>
        <w:t xml:space="preserve"> FCC Rcd at 10</w:t>
      </w:r>
      <w:r w:rsidR="004D5C80">
        <w:rPr>
          <w:iCs/>
          <w:color w:val="000000"/>
          <w:shd w:val="clear" w:color="auto" w:fill="FFFFFF"/>
        </w:rPr>
        <w:t>679</w:t>
      </w:r>
      <w:r>
        <w:rPr>
          <w:iCs/>
          <w:color w:val="000000"/>
          <w:shd w:val="clear" w:color="auto" w:fill="FFFFFF"/>
        </w:rPr>
        <w:t>,</w:t>
      </w:r>
      <w:r w:rsidR="001D5B25">
        <w:rPr>
          <w:iCs/>
          <w:color w:val="000000"/>
          <w:shd w:val="clear" w:color="auto" w:fill="FFFFFF"/>
        </w:rPr>
        <w:t xml:space="preserve"> 10680-81</w:t>
      </w:r>
      <w:r w:rsidR="005779DB">
        <w:rPr>
          <w:iCs/>
          <w:color w:val="000000"/>
          <w:shd w:val="clear" w:color="auto" w:fill="FFFFFF"/>
        </w:rPr>
        <w:t>,</w:t>
      </w:r>
      <w:r>
        <w:rPr>
          <w:iCs/>
          <w:color w:val="000000"/>
          <w:shd w:val="clear" w:color="auto" w:fill="FFFFFF"/>
        </w:rPr>
        <w:t xml:space="preserve"> pa</w:t>
      </w:r>
      <w:r w:rsidR="004D5C80">
        <w:rPr>
          <w:iCs/>
          <w:color w:val="000000"/>
          <w:shd w:val="clear" w:color="auto" w:fill="FFFFFF"/>
        </w:rPr>
        <w:t>ra</w:t>
      </w:r>
      <w:r w:rsidR="005779DB">
        <w:rPr>
          <w:iCs/>
          <w:color w:val="000000"/>
          <w:shd w:val="clear" w:color="auto" w:fill="FFFFFF"/>
        </w:rPr>
        <w:t>s</w:t>
      </w:r>
      <w:r w:rsidR="004D5C80">
        <w:rPr>
          <w:iCs/>
          <w:color w:val="000000"/>
          <w:shd w:val="clear" w:color="auto" w:fill="FFFFFF"/>
        </w:rPr>
        <w:t>. 4-5</w:t>
      </w:r>
      <w:r w:rsidRPr="001F176B">
        <w:rPr>
          <w:iCs/>
          <w:color w:val="000000"/>
          <w:shd w:val="clear" w:color="auto" w:fill="FFFFFF"/>
        </w:rPr>
        <w:t>.</w:t>
      </w:r>
    </w:p>
  </w:footnote>
  <w:footnote w:id="9">
    <w:p w14:paraId="4AA08F47" w14:textId="77777777" w:rsidR="004D5C80" w:rsidRDefault="004D5C80">
      <w:pPr>
        <w:pStyle w:val="FootnoteText"/>
      </w:pPr>
      <w:r>
        <w:rPr>
          <w:rStyle w:val="FootnoteReference"/>
        </w:rPr>
        <w:footnoteRef/>
      </w:r>
      <w:r>
        <w:t xml:space="preserve"> </w:t>
      </w:r>
      <w:r w:rsidR="002C0AD2">
        <w:rPr>
          <w:i/>
          <w:iCs/>
          <w:color w:val="000000"/>
          <w:shd w:val="clear" w:color="auto" w:fill="FFFFFF"/>
        </w:rPr>
        <w:t>Id</w:t>
      </w:r>
      <w:r w:rsidR="002C0AD2">
        <w:rPr>
          <w:iCs/>
          <w:color w:val="000000"/>
          <w:shd w:val="clear" w:color="auto" w:fill="FFFFFF"/>
        </w:rPr>
        <w:t>.</w:t>
      </w:r>
      <w:r w:rsidRPr="001F176B">
        <w:rPr>
          <w:iCs/>
          <w:color w:val="000000"/>
          <w:shd w:val="clear" w:color="auto" w:fill="FFFFFF"/>
        </w:rPr>
        <w:t xml:space="preserve"> at </w:t>
      </w:r>
      <w:r w:rsidR="00D3681D">
        <w:rPr>
          <w:iCs/>
          <w:color w:val="000000"/>
          <w:shd w:val="clear" w:color="auto" w:fill="FFFFFF"/>
        </w:rPr>
        <w:t>10681-82</w:t>
      </w:r>
      <w:r>
        <w:rPr>
          <w:iCs/>
          <w:color w:val="000000"/>
          <w:shd w:val="clear" w:color="auto" w:fill="FFFFFF"/>
        </w:rPr>
        <w:t>, para. 6</w:t>
      </w:r>
      <w:r w:rsidRPr="001F176B">
        <w:rPr>
          <w:iCs/>
          <w:color w:val="000000"/>
          <w:shd w:val="clear" w:color="auto" w:fill="FFFFFF"/>
        </w:rPr>
        <w:t>.</w:t>
      </w:r>
    </w:p>
  </w:footnote>
  <w:footnote w:id="10">
    <w:p w14:paraId="0CA56A91" w14:textId="77777777" w:rsidR="002C0AD2" w:rsidRPr="00D3681D" w:rsidRDefault="002C0AD2">
      <w:pPr>
        <w:pStyle w:val="FootnoteText"/>
      </w:pPr>
      <w:r>
        <w:rPr>
          <w:rStyle w:val="FootnoteReference"/>
        </w:rPr>
        <w:footnoteRef/>
      </w:r>
      <w:r>
        <w:t xml:space="preserve"> </w:t>
      </w:r>
      <w:r w:rsidR="00D3681D">
        <w:rPr>
          <w:i/>
        </w:rPr>
        <w:t>Id.</w:t>
      </w:r>
      <w:r w:rsidR="00D3681D">
        <w:t xml:space="preserve"> at 10682, para. 6.</w:t>
      </w:r>
    </w:p>
  </w:footnote>
  <w:footnote w:id="11">
    <w:p w14:paraId="40F5F300" w14:textId="77777777" w:rsidR="00A641EB" w:rsidRPr="009C7B22" w:rsidRDefault="00A641EB" w:rsidP="00A641EB">
      <w:pPr>
        <w:pStyle w:val="FootnoteText"/>
      </w:pPr>
      <w:r w:rsidRPr="001F176B">
        <w:rPr>
          <w:rStyle w:val="FootnoteReference"/>
        </w:rPr>
        <w:footnoteRef/>
      </w:r>
      <w:r w:rsidRPr="001F176B">
        <w:t xml:space="preserve"> </w:t>
      </w:r>
      <w:r w:rsidR="002C0AD2">
        <w:rPr>
          <w:i/>
        </w:rPr>
        <w:t>Id</w:t>
      </w:r>
      <w:r w:rsidR="002C0AD2">
        <w:t xml:space="preserve">. at </w:t>
      </w:r>
      <w:r w:rsidR="00D3681D">
        <w:t>10682</w:t>
      </w:r>
      <w:r w:rsidR="002C0AD2">
        <w:t>,</w:t>
      </w:r>
      <w:r>
        <w:t xml:space="preserve"> para. 1</w:t>
      </w:r>
      <w:r w:rsidR="002C0AD2">
        <w:t>0</w:t>
      </w:r>
      <w:r>
        <w:t>.</w:t>
      </w:r>
    </w:p>
  </w:footnote>
  <w:footnote w:id="12">
    <w:p w14:paraId="269C3863" w14:textId="77777777" w:rsidR="005779DB" w:rsidRPr="001F176B" w:rsidRDefault="005779DB" w:rsidP="005779DB">
      <w:pPr>
        <w:pStyle w:val="FootnoteText"/>
      </w:pPr>
      <w:r w:rsidRPr="001F176B">
        <w:rPr>
          <w:rStyle w:val="FootnoteReference"/>
        </w:rPr>
        <w:footnoteRef/>
      </w:r>
      <w:r w:rsidRPr="001F176B">
        <w:t xml:space="preserve"> 4</w:t>
      </w:r>
      <w:r>
        <w:t>7 U.S.C. § 543(l)(1)(B); 47 CF</w:t>
      </w:r>
      <w:r w:rsidRPr="001F176B">
        <w:t>R § 76.905(b)(2).</w:t>
      </w:r>
    </w:p>
  </w:footnote>
  <w:footnote w:id="13">
    <w:p w14:paraId="522BF5F8" w14:textId="77777777" w:rsidR="005779DB" w:rsidRDefault="005779DB" w:rsidP="005779DB">
      <w:pPr>
        <w:pStyle w:val="FootnoteText"/>
      </w:pPr>
      <w:r>
        <w:rPr>
          <w:rStyle w:val="FootnoteReference"/>
        </w:rPr>
        <w:footnoteRef/>
      </w:r>
      <w:r>
        <w:t xml:space="preserve"> </w:t>
      </w:r>
      <w:r w:rsidRPr="00957E68">
        <w:rPr>
          <w:i/>
        </w:rPr>
        <w:t>Effective Competition Order</w:t>
      </w:r>
      <w:r>
        <w:t>, 30 FCC Rcd at 6587, para. 17.</w:t>
      </w:r>
    </w:p>
  </w:footnote>
  <w:footnote w:id="14">
    <w:p w14:paraId="7B881A49" w14:textId="77777777" w:rsidR="005779DB" w:rsidRPr="00957E68" w:rsidRDefault="005779DB" w:rsidP="005779DB">
      <w:pPr>
        <w:pStyle w:val="FootnoteText"/>
      </w:pPr>
      <w:r w:rsidRPr="00C82F4D">
        <w:rPr>
          <w:rStyle w:val="FootnoteReference"/>
        </w:rPr>
        <w:footnoteRef/>
      </w:r>
      <w:r w:rsidRPr="00C82F4D">
        <w:t xml:space="preserve"> </w:t>
      </w:r>
      <w:r>
        <w:rPr>
          <w:i/>
        </w:rPr>
        <w:t>Id</w:t>
      </w:r>
      <w:r w:rsidRPr="00660DE4">
        <w:rPr>
          <w:i/>
        </w:rPr>
        <w:t>.</w:t>
      </w:r>
    </w:p>
  </w:footnote>
  <w:footnote w:id="15">
    <w:p w14:paraId="37C79E57" w14:textId="77777777" w:rsidR="0071363F" w:rsidRDefault="0071363F" w:rsidP="0071363F">
      <w:pPr>
        <w:pStyle w:val="FootnoteText"/>
      </w:pPr>
      <w:r>
        <w:rPr>
          <w:rStyle w:val="FootnoteReference"/>
        </w:rPr>
        <w:footnoteRef/>
      </w:r>
      <w:r w:rsidR="00D3681D">
        <w:t xml:space="preserve"> 47 CFR</w:t>
      </w:r>
      <w:r>
        <w:t xml:space="preserve"> § 76.905(b)(2)(i).</w:t>
      </w:r>
    </w:p>
  </w:footnote>
  <w:footnote w:id="16">
    <w:p w14:paraId="00124C12" w14:textId="77777777" w:rsidR="0071363F" w:rsidRDefault="0071363F" w:rsidP="0071363F">
      <w:pPr>
        <w:pStyle w:val="FootnoteText"/>
      </w:pPr>
      <w:r>
        <w:rPr>
          <w:rStyle w:val="FootnoteReference"/>
        </w:rPr>
        <w:footnoteRef/>
      </w:r>
      <w:r>
        <w:t xml:space="preserve"> </w:t>
      </w:r>
      <w:r>
        <w:rPr>
          <w:i/>
        </w:rPr>
        <w:t>Effective Competition Order</w:t>
      </w:r>
      <w:r>
        <w:t>, 30 FCC Rcd at 6580-81, para. 8.</w:t>
      </w:r>
    </w:p>
  </w:footnote>
  <w:footnote w:id="17">
    <w:p w14:paraId="49B8AD80" w14:textId="3FD641FB" w:rsidR="004F29FE" w:rsidRDefault="004F29FE">
      <w:pPr>
        <w:pStyle w:val="FootnoteText"/>
      </w:pPr>
      <w:r>
        <w:rPr>
          <w:rStyle w:val="FootnoteReference"/>
        </w:rPr>
        <w:footnoteRef/>
      </w:r>
      <w:r>
        <w:t xml:space="preserve"> </w:t>
      </w:r>
      <w:r>
        <w:rPr>
          <w:i/>
        </w:rPr>
        <w:t>Order</w:t>
      </w:r>
      <w:r>
        <w:t>, 20 FCC Rcd at 10680, para. 3.</w:t>
      </w:r>
    </w:p>
  </w:footnote>
  <w:footnote w:id="18">
    <w:p w14:paraId="7E17DB8E" w14:textId="77777777" w:rsidR="00DC01C4" w:rsidRDefault="00DC01C4" w:rsidP="00DC01C4">
      <w:pPr>
        <w:pStyle w:val="FootnoteText"/>
      </w:pPr>
      <w:r>
        <w:rPr>
          <w:rStyle w:val="FootnoteReference"/>
        </w:rPr>
        <w:footnoteRef/>
      </w:r>
      <w:r>
        <w:t xml:space="preserve"> 47 C.F.R. § 76.905(b)(2)(ii).</w:t>
      </w:r>
    </w:p>
  </w:footnote>
  <w:footnote w:id="19">
    <w:p w14:paraId="744EBF8F" w14:textId="77777777" w:rsidR="00DC01C4" w:rsidRDefault="00DC01C4" w:rsidP="00DC01C4">
      <w:pPr>
        <w:pStyle w:val="FootnoteText"/>
      </w:pPr>
      <w:r>
        <w:rPr>
          <w:rStyle w:val="FootnoteReference"/>
        </w:rPr>
        <w:footnoteRef/>
      </w:r>
      <w:r>
        <w:t xml:space="preserve"> </w:t>
      </w:r>
      <w:r>
        <w:rPr>
          <w:i/>
        </w:rPr>
        <w:t>Effective Competition Order</w:t>
      </w:r>
      <w:r>
        <w:t xml:space="preserve">, 30 FCC Rcd at 6581-82, para. 9.  </w:t>
      </w:r>
      <w:r w:rsidR="00833AE0">
        <w:t>Charter</w:t>
      </w:r>
      <w:r w:rsidRPr="00AC3E55">
        <w:rPr>
          <w:szCs w:val="22"/>
        </w:rPr>
        <w:t xml:space="preserve"> asserts that it is the largest MVPD in the Communities.</w:t>
      </w:r>
      <w:r>
        <w:rPr>
          <w:szCs w:val="22"/>
        </w:rPr>
        <w:t xml:space="preserve">  </w:t>
      </w:r>
      <w:r w:rsidRPr="00B31B48">
        <w:rPr>
          <w:i/>
          <w:spacing w:val="-2"/>
        </w:rPr>
        <w:t>See</w:t>
      </w:r>
      <w:r w:rsidRPr="00AC3E55">
        <w:rPr>
          <w:spacing w:val="-2"/>
        </w:rPr>
        <w:t xml:space="preserve"> </w:t>
      </w:r>
      <w:r>
        <w:rPr>
          <w:spacing w:val="-2"/>
        </w:rPr>
        <w:t xml:space="preserve">Petition </w:t>
      </w:r>
      <w:r w:rsidRPr="00AC3E55">
        <w:rPr>
          <w:spacing w:val="-2"/>
        </w:rPr>
        <w:t xml:space="preserve">at </w:t>
      </w:r>
      <w:r>
        <w:rPr>
          <w:spacing w:val="-2"/>
        </w:rPr>
        <w:t>7</w:t>
      </w:r>
      <w:r w:rsidRPr="00AC3E55">
        <w:rPr>
          <w:spacing w:val="-2"/>
        </w:rPr>
        <w:t>.</w:t>
      </w:r>
    </w:p>
  </w:footnote>
  <w:footnote w:id="20">
    <w:p w14:paraId="0C17BD39" w14:textId="4FCA572C" w:rsidR="00F2338D" w:rsidRPr="00C22F17" w:rsidRDefault="00F2338D">
      <w:pPr>
        <w:pStyle w:val="FootnoteText"/>
      </w:pPr>
      <w:r>
        <w:rPr>
          <w:rStyle w:val="FootnoteReference"/>
        </w:rPr>
        <w:footnoteRef/>
      </w:r>
      <w:r>
        <w:t xml:space="preserve"> </w:t>
      </w:r>
      <w:r w:rsidR="0051653F">
        <w:rPr>
          <w:iCs/>
          <w:color w:val="000000"/>
          <w:shd w:val="clear" w:color="auto" w:fill="FFFFFF"/>
        </w:rPr>
        <w:t>Petition for Partial Reconsideration at 1</w:t>
      </w:r>
      <w:r w:rsidR="0076735D">
        <w:rPr>
          <w:iCs/>
          <w:color w:val="000000"/>
          <w:shd w:val="clear" w:color="auto" w:fill="FFFFFF"/>
        </w:rPr>
        <w:t>.</w:t>
      </w:r>
    </w:p>
  </w:footnote>
  <w:footnote w:id="21">
    <w:p w14:paraId="05C2F952" w14:textId="0E26D583" w:rsidR="00F2338D" w:rsidRPr="00C22F17" w:rsidRDefault="00F2338D">
      <w:pPr>
        <w:pStyle w:val="FootnoteText"/>
      </w:pPr>
      <w:r>
        <w:rPr>
          <w:rStyle w:val="FootnoteReference"/>
        </w:rPr>
        <w:footnoteRef/>
      </w:r>
      <w:r>
        <w:t xml:space="preserve"> </w:t>
      </w:r>
      <w:r w:rsidR="00A035DF">
        <w:rPr>
          <w:i/>
        </w:rPr>
        <w:t>Order</w:t>
      </w:r>
      <w:r w:rsidR="00A035DF">
        <w:t>, 20 FCC Rcd at</w:t>
      </w:r>
      <w:r w:rsidR="001D5B25">
        <w:t xml:space="preserve"> 10681,</w:t>
      </w:r>
      <w:r w:rsidR="00C22F17">
        <w:t xml:space="preserve"> para. 6.</w:t>
      </w:r>
    </w:p>
  </w:footnote>
  <w:footnote w:id="22">
    <w:p w14:paraId="23E36874" w14:textId="77777777" w:rsidR="00953747" w:rsidRPr="00953747" w:rsidRDefault="00953747">
      <w:pPr>
        <w:pStyle w:val="FootnoteText"/>
      </w:pPr>
      <w:r>
        <w:rPr>
          <w:rStyle w:val="FootnoteReference"/>
        </w:rPr>
        <w:footnoteRef/>
      </w:r>
      <w:r>
        <w:t xml:space="preserve"> </w:t>
      </w:r>
      <w:r>
        <w:rPr>
          <w:i/>
        </w:rPr>
        <w:t>Id.</w:t>
      </w:r>
    </w:p>
  </w:footnote>
  <w:footnote w:id="23">
    <w:p w14:paraId="662ADD51" w14:textId="54362A28" w:rsidR="000D1B18" w:rsidRDefault="000D1B18">
      <w:pPr>
        <w:pStyle w:val="FootnoteText"/>
      </w:pPr>
      <w:r>
        <w:rPr>
          <w:rStyle w:val="FootnoteReference"/>
        </w:rPr>
        <w:footnoteRef/>
      </w:r>
      <w:r>
        <w:t xml:space="preserve"> </w:t>
      </w:r>
      <w:r w:rsidR="001D5B25">
        <w:t>Petit</w:t>
      </w:r>
      <w:r w:rsidR="00D27289">
        <w:t xml:space="preserve">ion for </w:t>
      </w:r>
      <w:r w:rsidR="00286586">
        <w:t xml:space="preserve">Partial </w:t>
      </w:r>
      <w:r w:rsidR="00D27289">
        <w:t>Reconsideration at 1</w:t>
      </w:r>
      <w:r w:rsidR="00D32182">
        <w:t>-3.</w:t>
      </w:r>
      <w:r w:rsidR="001D5B25">
        <w:t xml:space="preserve"> </w:t>
      </w:r>
    </w:p>
  </w:footnote>
  <w:footnote w:id="24">
    <w:p w14:paraId="15794897" w14:textId="02535679" w:rsidR="00FE237A" w:rsidRPr="00D27289" w:rsidRDefault="00FE237A">
      <w:pPr>
        <w:pStyle w:val="FootnoteText"/>
      </w:pPr>
      <w:r>
        <w:rPr>
          <w:rStyle w:val="FootnoteReference"/>
        </w:rPr>
        <w:footnoteRef/>
      </w:r>
      <w:r>
        <w:t xml:space="preserve"> </w:t>
      </w:r>
      <w:r w:rsidR="00D27289">
        <w:rPr>
          <w:i/>
        </w:rPr>
        <w:t>Id.</w:t>
      </w:r>
      <w:r w:rsidR="00D27289">
        <w:t xml:space="preserve"> </w:t>
      </w:r>
      <w:r w:rsidR="0061560F">
        <w:t>at 2</w:t>
      </w:r>
      <w:r w:rsidR="00E5531B">
        <w:t>.</w:t>
      </w:r>
    </w:p>
  </w:footnote>
  <w:footnote w:id="25">
    <w:p w14:paraId="68E28C5D" w14:textId="52291169" w:rsidR="00FE237A" w:rsidRDefault="00FE237A">
      <w:pPr>
        <w:pStyle w:val="FootnoteText"/>
      </w:pPr>
      <w:r>
        <w:rPr>
          <w:rStyle w:val="FootnoteReference"/>
        </w:rPr>
        <w:footnoteRef/>
      </w:r>
      <w:r>
        <w:t xml:space="preserve"> </w:t>
      </w:r>
      <w:r w:rsidR="005311E3">
        <w:rPr>
          <w:i/>
        </w:rPr>
        <w:t>Id.</w:t>
      </w:r>
      <w:r w:rsidR="005311E3">
        <w:t xml:space="preserve"> </w:t>
      </w:r>
    </w:p>
  </w:footnote>
  <w:footnote w:id="26">
    <w:p w14:paraId="562FBEE0" w14:textId="77777777" w:rsidR="005311E3" w:rsidRPr="005311E3" w:rsidRDefault="00FE237A">
      <w:pPr>
        <w:pStyle w:val="FootnoteText"/>
      </w:pPr>
      <w:r>
        <w:rPr>
          <w:rStyle w:val="FootnoteReference"/>
        </w:rPr>
        <w:footnoteRef/>
      </w:r>
      <w:r>
        <w:t xml:space="preserve"> </w:t>
      </w:r>
      <w:r w:rsidR="005311E3">
        <w:rPr>
          <w:i/>
        </w:rPr>
        <w:t>Id.</w:t>
      </w:r>
    </w:p>
  </w:footnote>
  <w:footnote w:id="27">
    <w:p w14:paraId="00BA7138" w14:textId="77777777" w:rsidR="00631C05" w:rsidRPr="00631C05" w:rsidRDefault="00631C05">
      <w:pPr>
        <w:pStyle w:val="FootnoteText"/>
      </w:pPr>
      <w:r>
        <w:rPr>
          <w:rStyle w:val="FootnoteReference"/>
        </w:rPr>
        <w:footnoteRef/>
      </w:r>
      <w:r>
        <w:t xml:space="preserve"> </w:t>
      </w:r>
      <w:r>
        <w:rPr>
          <w:i/>
        </w:rPr>
        <w:t>Id.</w:t>
      </w:r>
      <w:r>
        <w:t xml:space="preserve"> at n.5.</w:t>
      </w:r>
    </w:p>
  </w:footnote>
  <w:footnote w:id="28">
    <w:p w14:paraId="18D60C10" w14:textId="34D1ADFB" w:rsidR="000C0905" w:rsidRPr="005E43C1" w:rsidRDefault="000C0905">
      <w:pPr>
        <w:pStyle w:val="FootnoteText"/>
      </w:pPr>
      <w:r>
        <w:rPr>
          <w:rStyle w:val="FootnoteReference"/>
        </w:rPr>
        <w:footnoteRef/>
      </w:r>
      <w:r>
        <w:t xml:space="preserve"> </w:t>
      </w:r>
      <w:r w:rsidR="005311E3">
        <w:rPr>
          <w:i/>
        </w:rPr>
        <w:t>Id.</w:t>
      </w:r>
      <w:r w:rsidR="005311E3">
        <w:t xml:space="preserve"> at 2</w:t>
      </w:r>
      <w:r w:rsidR="00D2402F">
        <w:t xml:space="preserve">; 47 U.S.C. § 541(b)(2).  </w:t>
      </w:r>
      <w:r w:rsidR="005E43C1">
        <w:t xml:space="preserve">Charter contends that it is therefore not clear that the County is a franchising authority authorized to regulate cable rates.  Nonetheless, Charter asserts that the Commission does not need to consider this issue, because under any possible circumstances, DBS penetration exceeds the 15 % threshold.  </w:t>
      </w:r>
      <w:r w:rsidR="004F29FE">
        <w:t>Petition for Partial Reconsideration at 2</w:t>
      </w:r>
      <w:r w:rsidR="005E43C1">
        <w:rPr>
          <w:i/>
        </w:rPr>
        <w:t>.</w:t>
      </w:r>
    </w:p>
  </w:footnote>
  <w:footnote w:id="29">
    <w:p w14:paraId="6699752C" w14:textId="53891ACA" w:rsidR="001802CE" w:rsidRPr="005311E3" w:rsidRDefault="001802CE">
      <w:pPr>
        <w:pStyle w:val="FootnoteText"/>
      </w:pPr>
      <w:r>
        <w:rPr>
          <w:rStyle w:val="FootnoteReference"/>
        </w:rPr>
        <w:footnoteRef/>
      </w:r>
      <w:r>
        <w:t xml:space="preserve"> </w:t>
      </w:r>
      <w:r w:rsidR="004F29FE">
        <w:t>Petition for Partial Reconsideration at</w:t>
      </w:r>
      <w:r w:rsidR="004F29FE" w:rsidDel="004F29FE">
        <w:rPr>
          <w:i/>
        </w:rPr>
        <w:t xml:space="preserve"> </w:t>
      </w:r>
      <w:r w:rsidR="005311E3">
        <w:t>3.</w:t>
      </w:r>
    </w:p>
  </w:footnote>
  <w:footnote w:id="30">
    <w:p w14:paraId="283119C0" w14:textId="77777777" w:rsidR="0088662A" w:rsidRPr="0088662A" w:rsidRDefault="00EB0184">
      <w:pPr>
        <w:pStyle w:val="FootnoteText"/>
      </w:pPr>
      <w:r>
        <w:rPr>
          <w:rStyle w:val="FootnoteReference"/>
        </w:rPr>
        <w:footnoteRef/>
      </w:r>
      <w:r>
        <w:t xml:space="preserve"> </w:t>
      </w:r>
      <w:r w:rsidR="0088662A">
        <w:rPr>
          <w:i/>
        </w:rPr>
        <w:t>Id.</w:t>
      </w:r>
    </w:p>
  </w:footnote>
  <w:footnote w:id="31">
    <w:p w14:paraId="7EB5A72C" w14:textId="77777777" w:rsidR="001B04C8" w:rsidRPr="001B04C8" w:rsidRDefault="001B04C8">
      <w:pPr>
        <w:pStyle w:val="FootnoteText"/>
      </w:pPr>
      <w:r>
        <w:rPr>
          <w:rStyle w:val="FootnoteReference"/>
        </w:rPr>
        <w:footnoteRef/>
      </w:r>
      <w:r>
        <w:t xml:space="preserve"> </w:t>
      </w:r>
      <w:r>
        <w:rPr>
          <w:i/>
        </w:rPr>
        <w:t>Id.</w:t>
      </w:r>
    </w:p>
  </w:footnote>
  <w:footnote w:id="32">
    <w:p w14:paraId="19DB4DAE" w14:textId="77777777" w:rsidR="00EB0184" w:rsidRPr="0088662A" w:rsidRDefault="00EB0184">
      <w:pPr>
        <w:pStyle w:val="FootnoteText"/>
      </w:pPr>
      <w:r>
        <w:rPr>
          <w:rStyle w:val="FootnoteReference"/>
        </w:rPr>
        <w:footnoteRef/>
      </w:r>
      <w:r>
        <w:t xml:space="preserve"> </w:t>
      </w:r>
      <w:r w:rsidR="0088662A">
        <w:rPr>
          <w:i/>
        </w:rPr>
        <w:t>Id.</w:t>
      </w:r>
    </w:p>
  </w:footnote>
  <w:footnote w:id="33">
    <w:p w14:paraId="72F914B6" w14:textId="2E9F6F5E" w:rsidR="00CA1277" w:rsidRDefault="00CA1277">
      <w:pPr>
        <w:pStyle w:val="FootnoteText"/>
      </w:pPr>
      <w:r>
        <w:rPr>
          <w:rStyle w:val="FootnoteReference"/>
        </w:rPr>
        <w:footnoteRef/>
      </w:r>
      <w:r>
        <w:t xml:space="preserve"> 47 CFR § 1.106.</w:t>
      </w:r>
    </w:p>
  </w:footnote>
  <w:footnote w:id="34">
    <w:p w14:paraId="0D3FC815" w14:textId="02D9AD87" w:rsidR="00511462" w:rsidRDefault="00511462">
      <w:pPr>
        <w:pStyle w:val="FootnoteText"/>
      </w:pPr>
      <w:r>
        <w:rPr>
          <w:rStyle w:val="FootnoteReference"/>
        </w:rPr>
        <w:footnoteRef/>
      </w:r>
      <w:r>
        <w:t xml:space="preserve"> </w:t>
      </w:r>
      <w:r w:rsidR="00CA1277">
        <w:rPr>
          <w:i/>
        </w:rPr>
        <w:t>Id.</w:t>
      </w:r>
      <w:r>
        <w:t xml:space="preserve">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BAEF" w14:textId="77777777" w:rsidR="00E46DAA" w:rsidRDefault="00E4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34E6" w14:textId="0715F9C7" w:rsidR="00F90BE8" w:rsidRDefault="00737907">
    <w:pPr>
      <w:pStyle w:val="Header"/>
      <w:rPr>
        <w:b w:val="0"/>
      </w:rPr>
    </w:pPr>
    <w:r>
      <w:tab/>
      <w:t>Federal Communications Commission</w:t>
    </w:r>
    <w:r>
      <w:tab/>
      <w:t>DA 16-</w:t>
    </w:r>
    <w:r w:rsidR="00D16551">
      <w:t>809</w:t>
    </w:r>
    <w:r>
      <w:t xml:space="preserve"> </w:t>
    </w:r>
  </w:p>
  <w:p w14:paraId="4BCE1B51" w14:textId="77777777" w:rsidR="00F90BE8" w:rsidRDefault="00737907">
    <w:pPr>
      <w:pStyle w:val="Header"/>
    </w:pPr>
    <w:r>
      <w:rPr>
        <w:noProof/>
      </w:rPr>
      <mc:AlternateContent>
        <mc:Choice Requires="wps">
          <w:drawing>
            <wp:anchor distT="0" distB="0" distL="114300" distR="114300" simplePos="0" relativeHeight="251659264" behindDoc="0" locked="0" layoutInCell="0" allowOverlap="1" wp14:anchorId="2515D371" wp14:editId="515D625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D429A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3CFAE25F" w14:textId="77777777" w:rsidR="00F90BE8" w:rsidRDefault="00974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9C10" w14:textId="68B9829C" w:rsidR="004E5D79" w:rsidRDefault="00737907" w:rsidP="004E5D79">
    <w:pPr>
      <w:pStyle w:val="Header"/>
      <w:rPr>
        <w:b w:val="0"/>
      </w:rPr>
    </w:pPr>
    <w:r>
      <w:tab/>
      <w:t>Federal Communications Commission</w:t>
    </w:r>
    <w:r>
      <w:tab/>
      <w:t>DA 16-</w:t>
    </w:r>
    <w:r w:rsidR="00D16551">
      <w:t>809</w:t>
    </w:r>
    <w:r>
      <w:t xml:space="preserve"> </w:t>
    </w:r>
  </w:p>
  <w:p w14:paraId="079C195D" w14:textId="77777777" w:rsidR="00F90BE8" w:rsidRPr="004E5D79" w:rsidRDefault="00737907" w:rsidP="004E5D79">
    <w:pPr>
      <w:pStyle w:val="Header"/>
    </w:pPr>
    <w:r>
      <w:rPr>
        <w:noProof/>
      </w:rPr>
      <mc:AlternateContent>
        <mc:Choice Requires="wps">
          <w:drawing>
            <wp:anchor distT="0" distB="0" distL="114300" distR="114300" simplePos="0" relativeHeight="251660288" behindDoc="0" locked="0" layoutInCell="0" allowOverlap="1" wp14:anchorId="069206E9" wp14:editId="2B1FDCAE">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E0B8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20886EB0"/>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7"/>
  </w:num>
  <w:num w:numId="2">
    <w:abstractNumId w:val="5"/>
  </w:num>
  <w:num w:numId="3">
    <w:abstractNumId w:val="0"/>
  </w:num>
  <w:num w:numId="4">
    <w:abstractNumId w:val="5"/>
    <w:lvlOverride w:ilvl="0">
      <w:startOverride w:val="1"/>
    </w:lvlOverride>
  </w:num>
  <w:num w:numId="5">
    <w:abstractNumId w:val="9"/>
  </w:num>
  <w:num w:numId="6">
    <w:abstractNumId w:val="2"/>
  </w:num>
  <w:num w:numId="7">
    <w:abstractNumId w:val="8"/>
  </w:num>
  <w:num w:numId="8">
    <w:abstractNumId w:val="4"/>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8A"/>
    <w:rsid w:val="00030478"/>
    <w:rsid w:val="0005036D"/>
    <w:rsid w:val="00072816"/>
    <w:rsid w:val="000753AC"/>
    <w:rsid w:val="00087499"/>
    <w:rsid w:val="000943BF"/>
    <w:rsid w:val="000A3FDF"/>
    <w:rsid w:val="000C0905"/>
    <w:rsid w:val="000D1B18"/>
    <w:rsid w:val="000D53DD"/>
    <w:rsid w:val="000F003F"/>
    <w:rsid w:val="0016469B"/>
    <w:rsid w:val="001802CE"/>
    <w:rsid w:val="00190F9D"/>
    <w:rsid w:val="00194B49"/>
    <w:rsid w:val="001A53D0"/>
    <w:rsid w:val="001B04C8"/>
    <w:rsid w:val="001D4188"/>
    <w:rsid w:val="001D5B25"/>
    <w:rsid w:val="001E7BD5"/>
    <w:rsid w:val="002406A3"/>
    <w:rsid w:val="00255295"/>
    <w:rsid w:val="00262AC5"/>
    <w:rsid w:val="00286586"/>
    <w:rsid w:val="002C0AD2"/>
    <w:rsid w:val="002E5C02"/>
    <w:rsid w:val="00320A66"/>
    <w:rsid w:val="003356B5"/>
    <w:rsid w:val="00337B51"/>
    <w:rsid w:val="003667EC"/>
    <w:rsid w:val="00367292"/>
    <w:rsid w:val="00390909"/>
    <w:rsid w:val="003916F9"/>
    <w:rsid w:val="0039488D"/>
    <w:rsid w:val="003B187D"/>
    <w:rsid w:val="00403479"/>
    <w:rsid w:val="004276D4"/>
    <w:rsid w:val="00467C1F"/>
    <w:rsid w:val="00497113"/>
    <w:rsid w:val="004A4B79"/>
    <w:rsid w:val="004D5C80"/>
    <w:rsid w:val="004F29FE"/>
    <w:rsid w:val="00511462"/>
    <w:rsid w:val="00512DED"/>
    <w:rsid w:val="0051653F"/>
    <w:rsid w:val="00526FD5"/>
    <w:rsid w:val="005311E3"/>
    <w:rsid w:val="00540CBB"/>
    <w:rsid w:val="0057309B"/>
    <w:rsid w:val="005779DB"/>
    <w:rsid w:val="005838E7"/>
    <w:rsid w:val="005D1414"/>
    <w:rsid w:val="005E43C1"/>
    <w:rsid w:val="005F0A99"/>
    <w:rsid w:val="00602546"/>
    <w:rsid w:val="00603826"/>
    <w:rsid w:val="0061560F"/>
    <w:rsid w:val="00631C05"/>
    <w:rsid w:val="00642BC6"/>
    <w:rsid w:val="00653AC9"/>
    <w:rsid w:val="00660DE4"/>
    <w:rsid w:val="00663078"/>
    <w:rsid w:val="006814AB"/>
    <w:rsid w:val="00691E86"/>
    <w:rsid w:val="007106FE"/>
    <w:rsid w:val="0071363F"/>
    <w:rsid w:val="00737907"/>
    <w:rsid w:val="00746FF2"/>
    <w:rsid w:val="0075296A"/>
    <w:rsid w:val="007572CF"/>
    <w:rsid w:val="00765C33"/>
    <w:rsid w:val="0076735D"/>
    <w:rsid w:val="00775DD4"/>
    <w:rsid w:val="00782C08"/>
    <w:rsid w:val="007F0E46"/>
    <w:rsid w:val="008324F0"/>
    <w:rsid w:val="00833AE0"/>
    <w:rsid w:val="0087097E"/>
    <w:rsid w:val="0088662A"/>
    <w:rsid w:val="008B5016"/>
    <w:rsid w:val="008C0449"/>
    <w:rsid w:val="008C34CD"/>
    <w:rsid w:val="008C7FA8"/>
    <w:rsid w:val="0090468B"/>
    <w:rsid w:val="009507C6"/>
    <w:rsid w:val="00953747"/>
    <w:rsid w:val="00974349"/>
    <w:rsid w:val="00974B07"/>
    <w:rsid w:val="00980FB9"/>
    <w:rsid w:val="00985462"/>
    <w:rsid w:val="009869B9"/>
    <w:rsid w:val="009A7DA1"/>
    <w:rsid w:val="009C08DA"/>
    <w:rsid w:val="009E5BA3"/>
    <w:rsid w:val="00A035DF"/>
    <w:rsid w:val="00A238C8"/>
    <w:rsid w:val="00A32E6A"/>
    <w:rsid w:val="00A574D5"/>
    <w:rsid w:val="00A641EB"/>
    <w:rsid w:val="00A648FE"/>
    <w:rsid w:val="00AA4851"/>
    <w:rsid w:val="00AC2B14"/>
    <w:rsid w:val="00AE45B1"/>
    <w:rsid w:val="00B06880"/>
    <w:rsid w:val="00B1480A"/>
    <w:rsid w:val="00B20361"/>
    <w:rsid w:val="00B36B8B"/>
    <w:rsid w:val="00B47BE7"/>
    <w:rsid w:val="00B60CCE"/>
    <w:rsid w:val="00B73AF9"/>
    <w:rsid w:val="00B76F1F"/>
    <w:rsid w:val="00BE0D26"/>
    <w:rsid w:val="00BE1627"/>
    <w:rsid w:val="00BE7C97"/>
    <w:rsid w:val="00C00D93"/>
    <w:rsid w:val="00C22F17"/>
    <w:rsid w:val="00C26CB7"/>
    <w:rsid w:val="00C32DAC"/>
    <w:rsid w:val="00C34834"/>
    <w:rsid w:val="00C446E6"/>
    <w:rsid w:val="00C60227"/>
    <w:rsid w:val="00C66CC7"/>
    <w:rsid w:val="00C75830"/>
    <w:rsid w:val="00CA1277"/>
    <w:rsid w:val="00CC07CD"/>
    <w:rsid w:val="00CE7793"/>
    <w:rsid w:val="00D16551"/>
    <w:rsid w:val="00D2402F"/>
    <w:rsid w:val="00D27289"/>
    <w:rsid w:val="00D32182"/>
    <w:rsid w:val="00D3681D"/>
    <w:rsid w:val="00D87C83"/>
    <w:rsid w:val="00DA0220"/>
    <w:rsid w:val="00DB63CD"/>
    <w:rsid w:val="00DC01C4"/>
    <w:rsid w:val="00DD358A"/>
    <w:rsid w:val="00DE168A"/>
    <w:rsid w:val="00DF766D"/>
    <w:rsid w:val="00E20178"/>
    <w:rsid w:val="00E23151"/>
    <w:rsid w:val="00E3587E"/>
    <w:rsid w:val="00E46DAA"/>
    <w:rsid w:val="00E5531B"/>
    <w:rsid w:val="00EB0184"/>
    <w:rsid w:val="00EE5A90"/>
    <w:rsid w:val="00F00068"/>
    <w:rsid w:val="00F06AD5"/>
    <w:rsid w:val="00F2338D"/>
    <w:rsid w:val="00F24C19"/>
    <w:rsid w:val="00F6661E"/>
    <w:rsid w:val="00F74668"/>
    <w:rsid w:val="00F865E5"/>
    <w:rsid w:val="00FB4C6C"/>
    <w:rsid w:val="00FC4C1D"/>
    <w:rsid w:val="00FC6017"/>
    <w:rsid w:val="00FD21DC"/>
    <w:rsid w:val="00FE237A"/>
    <w:rsid w:val="00FE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4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74349"/>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74349"/>
    <w:pPr>
      <w:keepNext/>
      <w:numPr>
        <w:ilvl w:val="1"/>
        <w:numId w:val="8"/>
      </w:numPr>
      <w:spacing w:after="120"/>
      <w:outlineLvl w:val="1"/>
    </w:pPr>
    <w:rPr>
      <w:b/>
    </w:rPr>
  </w:style>
  <w:style w:type="paragraph" w:styleId="Heading3">
    <w:name w:val="heading 3"/>
    <w:basedOn w:val="Normal"/>
    <w:next w:val="ParaNum"/>
    <w:link w:val="Heading3Char"/>
    <w:qFormat/>
    <w:rsid w:val="00974349"/>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974349"/>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974349"/>
    <w:pPr>
      <w:keepNext/>
      <w:numPr>
        <w:ilvl w:val="4"/>
        <w:numId w:val="8"/>
      </w:numPr>
      <w:tabs>
        <w:tab w:val="left" w:pos="3600"/>
      </w:tabs>
      <w:suppressAutoHyphens/>
      <w:spacing w:after="120"/>
      <w:outlineLvl w:val="4"/>
    </w:pPr>
    <w:rPr>
      <w:b/>
    </w:rPr>
  </w:style>
  <w:style w:type="paragraph" w:styleId="Heading6">
    <w:name w:val="heading 6"/>
    <w:basedOn w:val="Normal"/>
    <w:next w:val="ParaNum"/>
    <w:link w:val="Heading6Char"/>
    <w:qFormat/>
    <w:rsid w:val="00974349"/>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974349"/>
    <w:pPr>
      <w:numPr>
        <w:ilvl w:val="6"/>
        <w:numId w:val="8"/>
      </w:numPr>
      <w:tabs>
        <w:tab w:val="left" w:pos="5040"/>
      </w:tabs>
      <w:spacing w:after="120"/>
      <w:ind w:left="5040" w:hanging="720"/>
      <w:outlineLvl w:val="6"/>
    </w:pPr>
    <w:rPr>
      <w:b/>
    </w:rPr>
  </w:style>
  <w:style w:type="paragraph" w:styleId="Heading8">
    <w:name w:val="heading 8"/>
    <w:basedOn w:val="Normal"/>
    <w:next w:val="ParaNum"/>
    <w:link w:val="Heading8Char"/>
    <w:qFormat/>
    <w:rsid w:val="00974349"/>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74349"/>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43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4349"/>
  </w:style>
  <w:style w:type="character" w:customStyle="1" w:styleId="Heading1Char">
    <w:name w:val="Heading 1 Char"/>
    <w:basedOn w:val="DefaultParagraphFont"/>
    <w:link w:val="Heading1"/>
    <w:rsid w:val="00CC07C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C07C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C07C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C07C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C07C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C07C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C07C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C07C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C07CD"/>
    <w:rPr>
      <w:rFonts w:ascii="Times New Roman" w:eastAsia="Times New Roman" w:hAnsi="Times New Roman" w:cs="Times New Roman"/>
      <w:b/>
      <w:snapToGrid w:val="0"/>
      <w:kern w:val="28"/>
      <w:szCs w:val="20"/>
    </w:rPr>
  </w:style>
  <w:style w:type="paragraph" w:customStyle="1" w:styleId="ParaNum">
    <w:name w:val="ParaNum"/>
    <w:basedOn w:val="Normal"/>
    <w:rsid w:val="00974349"/>
    <w:pPr>
      <w:numPr>
        <w:numId w:val="7"/>
      </w:numPr>
      <w:tabs>
        <w:tab w:val="clear" w:pos="1080"/>
        <w:tab w:val="num" w:pos="1440"/>
      </w:tabs>
      <w:spacing w:after="120"/>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97434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basedOn w:val="DefaultParagraphFont"/>
    <w:link w:val="FootnoteText"/>
    <w:rsid w:val="00CC07C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
    <w:rsid w:val="00974349"/>
    <w:rPr>
      <w:rFonts w:ascii="Times New Roman" w:hAnsi="Times New Roman"/>
      <w:dstrike w:val="0"/>
      <w:color w:val="auto"/>
      <w:sz w:val="20"/>
      <w:vertAlign w:val="superscript"/>
    </w:rPr>
  </w:style>
  <w:style w:type="paragraph" w:styleId="Header">
    <w:name w:val="header"/>
    <w:basedOn w:val="Normal"/>
    <w:link w:val="HeaderChar"/>
    <w:autoRedefine/>
    <w:rsid w:val="00974349"/>
    <w:pPr>
      <w:tabs>
        <w:tab w:val="center" w:pos="4680"/>
        <w:tab w:val="right" w:pos="9360"/>
      </w:tabs>
    </w:pPr>
    <w:rPr>
      <w:b/>
    </w:rPr>
  </w:style>
  <w:style w:type="character" w:customStyle="1" w:styleId="HeaderChar">
    <w:name w:val="Header Char"/>
    <w:basedOn w:val="DefaultParagraphFont"/>
    <w:link w:val="Header"/>
    <w:rsid w:val="00CC07CD"/>
    <w:rPr>
      <w:rFonts w:ascii="Times New Roman" w:eastAsia="Times New Roman" w:hAnsi="Times New Roman" w:cs="Times New Roman"/>
      <w:b/>
      <w:snapToGrid w:val="0"/>
      <w:kern w:val="28"/>
      <w:szCs w:val="20"/>
    </w:rPr>
  </w:style>
  <w:style w:type="paragraph" w:styleId="Footer">
    <w:name w:val="footer"/>
    <w:basedOn w:val="Normal"/>
    <w:link w:val="FooterChar"/>
    <w:rsid w:val="00974349"/>
    <w:pPr>
      <w:tabs>
        <w:tab w:val="center" w:pos="4320"/>
        <w:tab w:val="right" w:pos="8640"/>
      </w:tabs>
    </w:pPr>
  </w:style>
  <w:style w:type="character" w:customStyle="1" w:styleId="FooterChar">
    <w:name w:val="Footer Char"/>
    <w:basedOn w:val="DefaultParagraphFont"/>
    <w:link w:val="Footer"/>
    <w:rsid w:val="00CC07CD"/>
    <w:rPr>
      <w:rFonts w:ascii="Times New Roman" w:eastAsia="Times New Roman" w:hAnsi="Times New Roman" w:cs="Times New Roman"/>
      <w:snapToGrid w:val="0"/>
      <w:kern w:val="28"/>
      <w:szCs w:val="20"/>
    </w:rPr>
  </w:style>
  <w:style w:type="character" w:styleId="PageNumber">
    <w:name w:val="page number"/>
    <w:basedOn w:val="DefaultParagraphFont"/>
    <w:rsid w:val="00974349"/>
  </w:style>
  <w:style w:type="paragraph" w:styleId="Title">
    <w:name w:val="Title"/>
    <w:basedOn w:val="Normal"/>
    <w:link w:val="TitleChar"/>
    <w:qFormat/>
    <w:rsid w:val="00CC07CD"/>
    <w:pPr>
      <w:jc w:val="center"/>
    </w:pPr>
    <w:rPr>
      <w:b/>
    </w:rPr>
  </w:style>
  <w:style w:type="character" w:customStyle="1" w:styleId="TitleChar">
    <w:name w:val="Title Char"/>
    <w:basedOn w:val="DefaultParagraphFont"/>
    <w:link w:val="Title"/>
    <w:rsid w:val="00CC07CD"/>
    <w:rPr>
      <w:rFonts w:ascii="Times New Roman" w:eastAsia="Times New Roman" w:hAnsi="Times New Roman" w:cs="Times New Roman"/>
      <w:b/>
      <w:szCs w:val="20"/>
    </w:rPr>
  </w:style>
  <w:style w:type="paragraph" w:styleId="EndnoteText">
    <w:name w:val="endnote text"/>
    <w:basedOn w:val="Normal"/>
    <w:link w:val="EndnoteTextChar"/>
    <w:semiHidden/>
    <w:rsid w:val="00974349"/>
    <w:rPr>
      <w:sz w:val="20"/>
    </w:rPr>
  </w:style>
  <w:style w:type="character" w:customStyle="1" w:styleId="EndnoteTextChar">
    <w:name w:val="Endnote Text Char"/>
    <w:basedOn w:val="DefaultParagraphFont"/>
    <w:link w:val="EndnoteText"/>
    <w:semiHidden/>
    <w:rsid w:val="00CC07CD"/>
    <w:rPr>
      <w:rFonts w:ascii="Times New Roman" w:eastAsia="Times New Roman" w:hAnsi="Times New Roman" w:cs="Times New Roman"/>
      <w:snapToGrid w:val="0"/>
      <w:kern w:val="28"/>
      <w:sz w:val="20"/>
      <w:szCs w:val="20"/>
    </w:rPr>
  </w:style>
  <w:style w:type="paragraph" w:customStyle="1" w:styleId="DocText">
    <w:name w:val="DocText"/>
    <w:autoRedefine/>
    <w:rsid w:val="00CC07CD"/>
    <w:pPr>
      <w:tabs>
        <w:tab w:val="left" w:pos="1440"/>
      </w:tabs>
      <w:spacing w:after="0" w:line="240" w:lineRule="auto"/>
      <w:ind w:left="360"/>
      <w:jc w:val="both"/>
    </w:pPr>
    <w:rPr>
      <w:rFonts w:ascii="Times New Roman" w:eastAsia="Times New Roman" w:hAnsi="Times New Roman" w:cs="Times New Roman"/>
      <w:spacing w:val="-2"/>
      <w:sz w:val="24"/>
      <w:szCs w:val="20"/>
    </w:rPr>
  </w:style>
  <w:style w:type="paragraph" w:styleId="BodyText">
    <w:name w:val="Body Text"/>
    <w:basedOn w:val="Normal"/>
    <w:link w:val="BodyTextChar"/>
    <w:rsid w:val="00CC07CD"/>
    <w:pPr>
      <w:numPr>
        <w:numId w:val="3"/>
      </w:numPr>
      <w:tabs>
        <w:tab w:val="clear" w:pos="1080"/>
        <w:tab w:val="center" w:pos="4680"/>
      </w:tabs>
      <w:suppressAutoHyphens/>
      <w:ind w:firstLine="0"/>
    </w:pPr>
    <w:rPr>
      <w:snapToGrid/>
    </w:rPr>
  </w:style>
  <w:style w:type="character" w:customStyle="1" w:styleId="BodyTextChar">
    <w:name w:val="Body Text Char"/>
    <w:basedOn w:val="DefaultParagraphFont"/>
    <w:link w:val="BodyText"/>
    <w:rsid w:val="00CC07CD"/>
    <w:rPr>
      <w:rFonts w:ascii="Times New Roman" w:eastAsia="Times New Roman" w:hAnsi="Times New Roman" w:cs="Times New Roman"/>
      <w:snapToGrid w:val="0"/>
      <w:kern w:val="28"/>
      <w:szCs w:val="20"/>
    </w:rPr>
  </w:style>
  <w:style w:type="character" w:customStyle="1" w:styleId="apple-converted-space">
    <w:name w:val="apple-converted-space"/>
    <w:basedOn w:val="DefaultParagraphFont"/>
    <w:rsid w:val="00A574D5"/>
  </w:style>
  <w:style w:type="paragraph" w:styleId="TOC2">
    <w:name w:val="toc 2"/>
    <w:basedOn w:val="Normal"/>
    <w:next w:val="Normal"/>
    <w:semiHidden/>
    <w:rsid w:val="00974349"/>
    <w:pPr>
      <w:tabs>
        <w:tab w:val="left" w:pos="720"/>
        <w:tab w:val="right" w:leader="dot" w:pos="9360"/>
      </w:tabs>
      <w:suppressAutoHyphens/>
      <w:ind w:left="720" w:right="720" w:hanging="360"/>
    </w:pPr>
    <w:rPr>
      <w:noProof/>
    </w:rPr>
  </w:style>
  <w:style w:type="paragraph" w:styleId="BalloonText">
    <w:name w:val="Balloon Text"/>
    <w:basedOn w:val="Normal"/>
    <w:link w:val="BalloonTextChar"/>
    <w:uiPriority w:val="99"/>
    <w:semiHidden/>
    <w:unhideWhenUsed/>
    <w:rsid w:val="00DA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20"/>
    <w:rPr>
      <w:rFonts w:ascii="Segoe UI" w:eastAsia="Times New Roman" w:hAnsi="Segoe UI" w:cs="Segoe UI"/>
      <w:sz w:val="18"/>
      <w:szCs w:val="18"/>
    </w:rPr>
  </w:style>
  <w:style w:type="character" w:styleId="EndnoteReference">
    <w:name w:val="endnote reference"/>
    <w:semiHidden/>
    <w:rsid w:val="00974349"/>
    <w:rPr>
      <w:vertAlign w:val="superscript"/>
    </w:rPr>
  </w:style>
  <w:style w:type="paragraph" w:styleId="TOC1">
    <w:name w:val="toc 1"/>
    <w:basedOn w:val="Normal"/>
    <w:next w:val="Normal"/>
    <w:semiHidden/>
    <w:rsid w:val="0097434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743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43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43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43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43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43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43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4349"/>
    <w:pPr>
      <w:tabs>
        <w:tab w:val="right" w:pos="9360"/>
      </w:tabs>
      <w:suppressAutoHyphens/>
    </w:pPr>
  </w:style>
  <w:style w:type="character" w:customStyle="1" w:styleId="EquationCaption">
    <w:name w:val="_Equation Caption"/>
    <w:rsid w:val="00974349"/>
  </w:style>
  <w:style w:type="paragraph" w:styleId="BlockText">
    <w:name w:val="Block Text"/>
    <w:basedOn w:val="Normal"/>
    <w:rsid w:val="00974349"/>
    <w:pPr>
      <w:spacing w:after="240"/>
      <w:ind w:left="1440" w:right="1440"/>
    </w:pPr>
  </w:style>
  <w:style w:type="paragraph" w:customStyle="1" w:styleId="Paratitle">
    <w:name w:val="Para title"/>
    <w:basedOn w:val="Normal"/>
    <w:rsid w:val="00974349"/>
    <w:pPr>
      <w:tabs>
        <w:tab w:val="center" w:pos="9270"/>
      </w:tabs>
      <w:spacing w:after="240"/>
    </w:pPr>
    <w:rPr>
      <w:spacing w:val="-2"/>
    </w:rPr>
  </w:style>
  <w:style w:type="paragraph" w:customStyle="1" w:styleId="Bullet">
    <w:name w:val="Bullet"/>
    <w:basedOn w:val="Normal"/>
    <w:rsid w:val="00974349"/>
    <w:pPr>
      <w:tabs>
        <w:tab w:val="left" w:pos="2160"/>
      </w:tabs>
      <w:spacing w:after="220"/>
      <w:ind w:left="2160" w:hanging="720"/>
    </w:pPr>
  </w:style>
  <w:style w:type="paragraph" w:customStyle="1" w:styleId="TableFormat">
    <w:name w:val="TableFormat"/>
    <w:basedOn w:val="Bullet"/>
    <w:rsid w:val="00974349"/>
    <w:pPr>
      <w:tabs>
        <w:tab w:val="clear" w:pos="2160"/>
        <w:tab w:val="left" w:pos="5040"/>
      </w:tabs>
      <w:ind w:left="5040" w:hanging="3600"/>
    </w:pPr>
  </w:style>
  <w:style w:type="paragraph" w:customStyle="1" w:styleId="TOCTitle">
    <w:name w:val="TOC Title"/>
    <w:basedOn w:val="Normal"/>
    <w:rsid w:val="009743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4349"/>
    <w:pPr>
      <w:jc w:val="center"/>
    </w:pPr>
    <w:rPr>
      <w:rFonts w:ascii="Times New Roman Bold" w:hAnsi="Times New Roman Bold"/>
      <w:b/>
      <w:bCs/>
      <w:caps/>
      <w:szCs w:val="22"/>
    </w:rPr>
  </w:style>
  <w:style w:type="character" w:styleId="Hyperlink">
    <w:name w:val="Hyperlink"/>
    <w:rsid w:val="00974349"/>
    <w:rPr>
      <w:color w:val="0000FF"/>
      <w:u w:val="single"/>
    </w:rPr>
  </w:style>
  <w:style w:type="character" w:styleId="CommentReference">
    <w:name w:val="annotation reference"/>
    <w:basedOn w:val="DefaultParagraphFont"/>
    <w:uiPriority w:val="99"/>
    <w:semiHidden/>
    <w:unhideWhenUsed/>
    <w:rsid w:val="00320A66"/>
    <w:rPr>
      <w:sz w:val="16"/>
      <w:szCs w:val="16"/>
    </w:rPr>
  </w:style>
  <w:style w:type="paragraph" w:styleId="CommentText">
    <w:name w:val="annotation text"/>
    <w:basedOn w:val="Normal"/>
    <w:link w:val="CommentTextChar"/>
    <w:uiPriority w:val="99"/>
    <w:semiHidden/>
    <w:unhideWhenUsed/>
    <w:rsid w:val="00320A66"/>
    <w:rPr>
      <w:sz w:val="20"/>
    </w:rPr>
  </w:style>
  <w:style w:type="character" w:customStyle="1" w:styleId="CommentTextChar">
    <w:name w:val="Comment Text Char"/>
    <w:basedOn w:val="DefaultParagraphFont"/>
    <w:link w:val="CommentText"/>
    <w:uiPriority w:val="99"/>
    <w:semiHidden/>
    <w:rsid w:val="00320A66"/>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320A66"/>
    <w:rPr>
      <w:b/>
      <w:bCs/>
    </w:rPr>
  </w:style>
  <w:style w:type="character" w:customStyle="1" w:styleId="CommentSubjectChar">
    <w:name w:val="Comment Subject Char"/>
    <w:basedOn w:val="CommentTextChar"/>
    <w:link w:val="CommentSubject"/>
    <w:uiPriority w:val="99"/>
    <w:semiHidden/>
    <w:rsid w:val="00320A66"/>
    <w:rPr>
      <w:rFonts w:ascii="Times New Roman" w:eastAsia="Times New Roman" w:hAnsi="Times New Roman" w:cs="Times New Roman"/>
      <w:b/>
      <w:bCs/>
      <w:snapToGrid w:val="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4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74349"/>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74349"/>
    <w:pPr>
      <w:keepNext/>
      <w:numPr>
        <w:ilvl w:val="1"/>
        <w:numId w:val="8"/>
      </w:numPr>
      <w:spacing w:after="120"/>
      <w:outlineLvl w:val="1"/>
    </w:pPr>
    <w:rPr>
      <w:b/>
    </w:rPr>
  </w:style>
  <w:style w:type="paragraph" w:styleId="Heading3">
    <w:name w:val="heading 3"/>
    <w:basedOn w:val="Normal"/>
    <w:next w:val="ParaNum"/>
    <w:link w:val="Heading3Char"/>
    <w:qFormat/>
    <w:rsid w:val="00974349"/>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974349"/>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974349"/>
    <w:pPr>
      <w:keepNext/>
      <w:numPr>
        <w:ilvl w:val="4"/>
        <w:numId w:val="8"/>
      </w:numPr>
      <w:tabs>
        <w:tab w:val="left" w:pos="3600"/>
      </w:tabs>
      <w:suppressAutoHyphens/>
      <w:spacing w:after="120"/>
      <w:outlineLvl w:val="4"/>
    </w:pPr>
    <w:rPr>
      <w:b/>
    </w:rPr>
  </w:style>
  <w:style w:type="paragraph" w:styleId="Heading6">
    <w:name w:val="heading 6"/>
    <w:basedOn w:val="Normal"/>
    <w:next w:val="ParaNum"/>
    <w:link w:val="Heading6Char"/>
    <w:qFormat/>
    <w:rsid w:val="00974349"/>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974349"/>
    <w:pPr>
      <w:numPr>
        <w:ilvl w:val="6"/>
        <w:numId w:val="8"/>
      </w:numPr>
      <w:tabs>
        <w:tab w:val="left" w:pos="5040"/>
      </w:tabs>
      <w:spacing w:after="120"/>
      <w:ind w:left="5040" w:hanging="720"/>
      <w:outlineLvl w:val="6"/>
    </w:pPr>
    <w:rPr>
      <w:b/>
    </w:rPr>
  </w:style>
  <w:style w:type="paragraph" w:styleId="Heading8">
    <w:name w:val="heading 8"/>
    <w:basedOn w:val="Normal"/>
    <w:next w:val="ParaNum"/>
    <w:link w:val="Heading8Char"/>
    <w:qFormat/>
    <w:rsid w:val="00974349"/>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74349"/>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43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4349"/>
  </w:style>
  <w:style w:type="character" w:customStyle="1" w:styleId="Heading1Char">
    <w:name w:val="Heading 1 Char"/>
    <w:basedOn w:val="DefaultParagraphFont"/>
    <w:link w:val="Heading1"/>
    <w:rsid w:val="00CC07C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C07C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C07C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C07C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C07C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C07C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C07C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C07C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C07CD"/>
    <w:rPr>
      <w:rFonts w:ascii="Times New Roman" w:eastAsia="Times New Roman" w:hAnsi="Times New Roman" w:cs="Times New Roman"/>
      <w:b/>
      <w:snapToGrid w:val="0"/>
      <w:kern w:val="28"/>
      <w:szCs w:val="20"/>
    </w:rPr>
  </w:style>
  <w:style w:type="paragraph" w:customStyle="1" w:styleId="ParaNum">
    <w:name w:val="ParaNum"/>
    <w:basedOn w:val="Normal"/>
    <w:rsid w:val="00974349"/>
    <w:pPr>
      <w:numPr>
        <w:numId w:val="7"/>
      </w:numPr>
      <w:tabs>
        <w:tab w:val="clear" w:pos="1080"/>
        <w:tab w:val="num" w:pos="1440"/>
      </w:tabs>
      <w:spacing w:after="120"/>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97434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basedOn w:val="DefaultParagraphFont"/>
    <w:link w:val="FootnoteText"/>
    <w:rsid w:val="00CC07C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
    <w:rsid w:val="00974349"/>
    <w:rPr>
      <w:rFonts w:ascii="Times New Roman" w:hAnsi="Times New Roman"/>
      <w:dstrike w:val="0"/>
      <w:color w:val="auto"/>
      <w:sz w:val="20"/>
      <w:vertAlign w:val="superscript"/>
    </w:rPr>
  </w:style>
  <w:style w:type="paragraph" w:styleId="Header">
    <w:name w:val="header"/>
    <w:basedOn w:val="Normal"/>
    <w:link w:val="HeaderChar"/>
    <w:autoRedefine/>
    <w:rsid w:val="00974349"/>
    <w:pPr>
      <w:tabs>
        <w:tab w:val="center" w:pos="4680"/>
        <w:tab w:val="right" w:pos="9360"/>
      </w:tabs>
    </w:pPr>
    <w:rPr>
      <w:b/>
    </w:rPr>
  </w:style>
  <w:style w:type="character" w:customStyle="1" w:styleId="HeaderChar">
    <w:name w:val="Header Char"/>
    <w:basedOn w:val="DefaultParagraphFont"/>
    <w:link w:val="Header"/>
    <w:rsid w:val="00CC07CD"/>
    <w:rPr>
      <w:rFonts w:ascii="Times New Roman" w:eastAsia="Times New Roman" w:hAnsi="Times New Roman" w:cs="Times New Roman"/>
      <w:b/>
      <w:snapToGrid w:val="0"/>
      <w:kern w:val="28"/>
      <w:szCs w:val="20"/>
    </w:rPr>
  </w:style>
  <w:style w:type="paragraph" w:styleId="Footer">
    <w:name w:val="footer"/>
    <w:basedOn w:val="Normal"/>
    <w:link w:val="FooterChar"/>
    <w:rsid w:val="00974349"/>
    <w:pPr>
      <w:tabs>
        <w:tab w:val="center" w:pos="4320"/>
        <w:tab w:val="right" w:pos="8640"/>
      </w:tabs>
    </w:pPr>
  </w:style>
  <w:style w:type="character" w:customStyle="1" w:styleId="FooterChar">
    <w:name w:val="Footer Char"/>
    <w:basedOn w:val="DefaultParagraphFont"/>
    <w:link w:val="Footer"/>
    <w:rsid w:val="00CC07CD"/>
    <w:rPr>
      <w:rFonts w:ascii="Times New Roman" w:eastAsia="Times New Roman" w:hAnsi="Times New Roman" w:cs="Times New Roman"/>
      <w:snapToGrid w:val="0"/>
      <w:kern w:val="28"/>
      <w:szCs w:val="20"/>
    </w:rPr>
  </w:style>
  <w:style w:type="character" w:styleId="PageNumber">
    <w:name w:val="page number"/>
    <w:basedOn w:val="DefaultParagraphFont"/>
    <w:rsid w:val="00974349"/>
  </w:style>
  <w:style w:type="paragraph" w:styleId="Title">
    <w:name w:val="Title"/>
    <w:basedOn w:val="Normal"/>
    <w:link w:val="TitleChar"/>
    <w:qFormat/>
    <w:rsid w:val="00CC07CD"/>
    <w:pPr>
      <w:jc w:val="center"/>
    </w:pPr>
    <w:rPr>
      <w:b/>
    </w:rPr>
  </w:style>
  <w:style w:type="character" w:customStyle="1" w:styleId="TitleChar">
    <w:name w:val="Title Char"/>
    <w:basedOn w:val="DefaultParagraphFont"/>
    <w:link w:val="Title"/>
    <w:rsid w:val="00CC07CD"/>
    <w:rPr>
      <w:rFonts w:ascii="Times New Roman" w:eastAsia="Times New Roman" w:hAnsi="Times New Roman" w:cs="Times New Roman"/>
      <w:b/>
      <w:szCs w:val="20"/>
    </w:rPr>
  </w:style>
  <w:style w:type="paragraph" w:styleId="EndnoteText">
    <w:name w:val="endnote text"/>
    <w:basedOn w:val="Normal"/>
    <w:link w:val="EndnoteTextChar"/>
    <w:semiHidden/>
    <w:rsid w:val="00974349"/>
    <w:rPr>
      <w:sz w:val="20"/>
    </w:rPr>
  </w:style>
  <w:style w:type="character" w:customStyle="1" w:styleId="EndnoteTextChar">
    <w:name w:val="Endnote Text Char"/>
    <w:basedOn w:val="DefaultParagraphFont"/>
    <w:link w:val="EndnoteText"/>
    <w:semiHidden/>
    <w:rsid w:val="00CC07CD"/>
    <w:rPr>
      <w:rFonts w:ascii="Times New Roman" w:eastAsia="Times New Roman" w:hAnsi="Times New Roman" w:cs="Times New Roman"/>
      <w:snapToGrid w:val="0"/>
      <w:kern w:val="28"/>
      <w:sz w:val="20"/>
      <w:szCs w:val="20"/>
    </w:rPr>
  </w:style>
  <w:style w:type="paragraph" w:customStyle="1" w:styleId="DocText">
    <w:name w:val="DocText"/>
    <w:autoRedefine/>
    <w:rsid w:val="00CC07CD"/>
    <w:pPr>
      <w:tabs>
        <w:tab w:val="left" w:pos="1440"/>
      </w:tabs>
      <w:spacing w:after="0" w:line="240" w:lineRule="auto"/>
      <w:ind w:left="360"/>
      <w:jc w:val="both"/>
    </w:pPr>
    <w:rPr>
      <w:rFonts w:ascii="Times New Roman" w:eastAsia="Times New Roman" w:hAnsi="Times New Roman" w:cs="Times New Roman"/>
      <w:spacing w:val="-2"/>
      <w:sz w:val="24"/>
      <w:szCs w:val="20"/>
    </w:rPr>
  </w:style>
  <w:style w:type="paragraph" w:styleId="BodyText">
    <w:name w:val="Body Text"/>
    <w:basedOn w:val="Normal"/>
    <w:link w:val="BodyTextChar"/>
    <w:rsid w:val="00CC07CD"/>
    <w:pPr>
      <w:numPr>
        <w:numId w:val="3"/>
      </w:numPr>
      <w:tabs>
        <w:tab w:val="clear" w:pos="1080"/>
        <w:tab w:val="center" w:pos="4680"/>
      </w:tabs>
      <w:suppressAutoHyphens/>
      <w:ind w:firstLine="0"/>
    </w:pPr>
    <w:rPr>
      <w:snapToGrid/>
    </w:rPr>
  </w:style>
  <w:style w:type="character" w:customStyle="1" w:styleId="BodyTextChar">
    <w:name w:val="Body Text Char"/>
    <w:basedOn w:val="DefaultParagraphFont"/>
    <w:link w:val="BodyText"/>
    <w:rsid w:val="00CC07CD"/>
    <w:rPr>
      <w:rFonts w:ascii="Times New Roman" w:eastAsia="Times New Roman" w:hAnsi="Times New Roman" w:cs="Times New Roman"/>
      <w:snapToGrid w:val="0"/>
      <w:kern w:val="28"/>
      <w:szCs w:val="20"/>
    </w:rPr>
  </w:style>
  <w:style w:type="character" w:customStyle="1" w:styleId="apple-converted-space">
    <w:name w:val="apple-converted-space"/>
    <w:basedOn w:val="DefaultParagraphFont"/>
    <w:rsid w:val="00A574D5"/>
  </w:style>
  <w:style w:type="paragraph" w:styleId="TOC2">
    <w:name w:val="toc 2"/>
    <w:basedOn w:val="Normal"/>
    <w:next w:val="Normal"/>
    <w:semiHidden/>
    <w:rsid w:val="00974349"/>
    <w:pPr>
      <w:tabs>
        <w:tab w:val="left" w:pos="720"/>
        <w:tab w:val="right" w:leader="dot" w:pos="9360"/>
      </w:tabs>
      <w:suppressAutoHyphens/>
      <w:ind w:left="720" w:right="720" w:hanging="360"/>
    </w:pPr>
    <w:rPr>
      <w:noProof/>
    </w:rPr>
  </w:style>
  <w:style w:type="paragraph" w:styleId="BalloonText">
    <w:name w:val="Balloon Text"/>
    <w:basedOn w:val="Normal"/>
    <w:link w:val="BalloonTextChar"/>
    <w:uiPriority w:val="99"/>
    <w:semiHidden/>
    <w:unhideWhenUsed/>
    <w:rsid w:val="00DA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20"/>
    <w:rPr>
      <w:rFonts w:ascii="Segoe UI" w:eastAsia="Times New Roman" w:hAnsi="Segoe UI" w:cs="Segoe UI"/>
      <w:sz w:val="18"/>
      <w:szCs w:val="18"/>
    </w:rPr>
  </w:style>
  <w:style w:type="character" w:styleId="EndnoteReference">
    <w:name w:val="endnote reference"/>
    <w:semiHidden/>
    <w:rsid w:val="00974349"/>
    <w:rPr>
      <w:vertAlign w:val="superscript"/>
    </w:rPr>
  </w:style>
  <w:style w:type="paragraph" w:styleId="TOC1">
    <w:name w:val="toc 1"/>
    <w:basedOn w:val="Normal"/>
    <w:next w:val="Normal"/>
    <w:semiHidden/>
    <w:rsid w:val="0097434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743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43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43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43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43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43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43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4349"/>
    <w:pPr>
      <w:tabs>
        <w:tab w:val="right" w:pos="9360"/>
      </w:tabs>
      <w:suppressAutoHyphens/>
    </w:pPr>
  </w:style>
  <w:style w:type="character" w:customStyle="1" w:styleId="EquationCaption">
    <w:name w:val="_Equation Caption"/>
    <w:rsid w:val="00974349"/>
  </w:style>
  <w:style w:type="paragraph" w:styleId="BlockText">
    <w:name w:val="Block Text"/>
    <w:basedOn w:val="Normal"/>
    <w:rsid w:val="00974349"/>
    <w:pPr>
      <w:spacing w:after="240"/>
      <w:ind w:left="1440" w:right="1440"/>
    </w:pPr>
  </w:style>
  <w:style w:type="paragraph" w:customStyle="1" w:styleId="Paratitle">
    <w:name w:val="Para title"/>
    <w:basedOn w:val="Normal"/>
    <w:rsid w:val="00974349"/>
    <w:pPr>
      <w:tabs>
        <w:tab w:val="center" w:pos="9270"/>
      </w:tabs>
      <w:spacing w:after="240"/>
    </w:pPr>
    <w:rPr>
      <w:spacing w:val="-2"/>
    </w:rPr>
  </w:style>
  <w:style w:type="paragraph" w:customStyle="1" w:styleId="Bullet">
    <w:name w:val="Bullet"/>
    <w:basedOn w:val="Normal"/>
    <w:rsid w:val="00974349"/>
    <w:pPr>
      <w:tabs>
        <w:tab w:val="left" w:pos="2160"/>
      </w:tabs>
      <w:spacing w:after="220"/>
      <w:ind w:left="2160" w:hanging="720"/>
    </w:pPr>
  </w:style>
  <w:style w:type="paragraph" w:customStyle="1" w:styleId="TableFormat">
    <w:name w:val="TableFormat"/>
    <w:basedOn w:val="Bullet"/>
    <w:rsid w:val="00974349"/>
    <w:pPr>
      <w:tabs>
        <w:tab w:val="clear" w:pos="2160"/>
        <w:tab w:val="left" w:pos="5040"/>
      </w:tabs>
      <w:ind w:left="5040" w:hanging="3600"/>
    </w:pPr>
  </w:style>
  <w:style w:type="paragraph" w:customStyle="1" w:styleId="TOCTitle">
    <w:name w:val="TOC Title"/>
    <w:basedOn w:val="Normal"/>
    <w:rsid w:val="009743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4349"/>
    <w:pPr>
      <w:jc w:val="center"/>
    </w:pPr>
    <w:rPr>
      <w:rFonts w:ascii="Times New Roman Bold" w:hAnsi="Times New Roman Bold"/>
      <w:b/>
      <w:bCs/>
      <w:caps/>
      <w:szCs w:val="22"/>
    </w:rPr>
  </w:style>
  <w:style w:type="character" w:styleId="Hyperlink">
    <w:name w:val="Hyperlink"/>
    <w:rsid w:val="00974349"/>
    <w:rPr>
      <w:color w:val="0000FF"/>
      <w:u w:val="single"/>
    </w:rPr>
  </w:style>
  <w:style w:type="character" w:styleId="CommentReference">
    <w:name w:val="annotation reference"/>
    <w:basedOn w:val="DefaultParagraphFont"/>
    <w:uiPriority w:val="99"/>
    <w:semiHidden/>
    <w:unhideWhenUsed/>
    <w:rsid w:val="00320A66"/>
    <w:rPr>
      <w:sz w:val="16"/>
      <w:szCs w:val="16"/>
    </w:rPr>
  </w:style>
  <w:style w:type="paragraph" w:styleId="CommentText">
    <w:name w:val="annotation text"/>
    <w:basedOn w:val="Normal"/>
    <w:link w:val="CommentTextChar"/>
    <w:uiPriority w:val="99"/>
    <w:semiHidden/>
    <w:unhideWhenUsed/>
    <w:rsid w:val="00320A66"/>
    <w:rPr>
      <w:sz w:val="20"/>
    </w:rPr>
  </w:style>
  <w:style w:type="character" w:customStyle="1" w:styleId="CommentTextChar">
    <w:name w:val="Comment Text Char"/>
    <w:basedOn w:val="DefaultParagraphFont"/>
    <w:link w:val="CommentText"/>
    <w:uiPriority w:val="99"/>
    <w:semiHidden/>
    <w:rsid w:val="00320A66"/>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320A66"/>
    <w:rPr>
      <w:b/>
      <w:bCs/>
    </w:rPr>
  </w:style>
  <w:style w:type="character" w:customStyle="1" w:styleId="CommentSubjectChar">
    <w:name w:val="Comment Subject Char"/>
    <w:basedOn w:val="CommentTextChar"/>
    <w:link w:val="CommentSubject"/>
    <w:uiPriority w:val="99"/>
    <w:semiHidden/>
    <w:rsid w:val="00320A66"/>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1386</Words>
  <Characters>7714</Characters>
  <Application>Microsoft Office Word</Application>
  <DocSecurity>0</DocSecurity>
  <Lines>137</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2016-07-15T13:22:00Z</cp:lastPrinted>
  <dcterms:created xsi:type="dcterms:W3CDTF">2016-07-18T17:54:00Z</dcterms:created>
  <dcterms:modified xsi:type="dcterms:W3CDTF">2016-07-18T17:54:00Z</dcterms:modified>
  <cp:category> </cp:category>
  <cp:contentStatus> </cp:contentStatus>
</cp:coreProperties>
</file>