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0D1119" w:rsidRPr="00190533" w:rsidRDefault="00CF2600" w:rsidP="000D1119">
      <w:pPr>
        <w:jc w:val="right"/>
        <w:rPr>
          <w:b/>
          <w:szCs w:val="22"/>
        </w:rPr>
      </w:pPr>
      <w:r>
        <w:rPr>
          <w:b/>
          <w:szCs w:val="22"/>
        </w:rPr>
        <w:t>DA 16</w:t>
      </w:r>
      <w:r w:rsidR="000D1119" w:rsidRPr="00190533">
        <w:rPr>
          <w:b/>
          <w:szCs w:val="22"/>
        </w:rPr>
        <w:t>-</w:t>
      </w:r>
      <w:r w:rsidR="002724CC">
        <w:rPr>
          <w:b/>
          <w:szCs w:val="22"/>
        </w:rPr>
        <w:t>816</w:t>
      </w:r>
    </w:p>
    <w:p w:rsidR="000D1119" w:rsidRPr="00190533" w:rsidRDefault="00FE78AE" w:rsidP="000D1119">
      <w:pPr>
        <w:jc w:val="right"/>
        <w:rPr>
          <w:b/>
          <w:szCs w:val="22"/>
        </w:rPr>
      </w:pPr>
      <w:r>
        <w:rPr>
          <w:b/>
          <w:szCs w:val="22"/>
        </w:rPr>
        <w:t>July</w:t>
      </w:r>
      <w:r w:rsidR="007F7AF3" w:rsidRPr="00190533">
        <w:rPr>
          <w:b/>
          <w:szCs w:val="22"/>
        </w:rPr>
        <w:t xml:space="preserve"> </w:t>
      </w:r>
      <w:r w:rsidR="000E4852">
        <w:rPr>
          <w:b/>
          <w:szCs w:val="22"/>
        </w:rPr>
        <w:t>20</w:t>
      </w:r>
      <w:r w:rsidR="00CF2600">
        <w:rPr>
          <w:b/>
          <w:szCs w:val="22"/>
        </w:rPr>
        <w:t>, 2016</w:t>
      </w:r>
    </w:p>
    <w:p w:rsidR="000D1119" w:rsidRPr="00190533" w:rsidRDefault="000D1119" w:rsidP="000D1119">
      <w:pPr>
        <w:jc w:val="center"/>
        <w:rPr>
          <w:b/>
          <w:caps/>
          <w:szCs w:val="22"/>
        </w:rPr>
      </w:pPr>
    </w:p>
    <w:p w:rsidR="000D1119" w:rsidRPr="00190533" w:rsidRDefault="000D1119" w:rsidP="000D1119">
      <w:pPr>
        <w:jc w:val="center"/>
        <w:rPr>
          <w:b/>
          <w:caps/>
          <w:szCs w:val="22"/>
        </w:rPr>
      </w:pPr>
      <w:r w:rsidRPr="00190533">
        <w:rPr>
          <w:b/>
          <w:caps/>
          <w:szCs w:val="22"/>
        </w:rPr>
        <w:t>Public safety and homeland security bureau SEEKS COMMENT ON</w:t>
      </w:r>
    </w:p>
    <w:p w:rsidR="000D1119" w:rsidRPr="00190533" w:rsidRDefault="000D1119" w:rsidP="000D1119">
      <w:pPr>
        <w:jc w:val="center"/>
        <w:rPr>
          <w:b/>
          <w:caps/>
          <w:szCs w:val="22"/>
        </w:rPr>
      </w:pPr>
      <w:r w:rsidRPr="00190533">
        <w:rPr>
          <w:b/>
          <w:caps/>
          <w:szCs w:val="22"/>
        </w:rPr>
        <w:t>REGION </w:t>
      </w:r>
      <w:r w:rsidR="00F77E66">
        <w:rPr>
          <w:b/>
          <w:caps/>
          <w:szCs w:val="22"/>
        </w:rPr>
        <w:t>4</w:t>
      </w:r>
      <w:r w:rsidR="00B0409A">
        <w:rPr>
          <w:b/>
          <w:caps/>
          <w:szCs w:val="22"/>
        </w:rPr>
        <w:t>1</w:t>
      </w:r>
      <w:r w:rsidR="00F77E66">
        <w:rPr>
          <w:b/>
          <w:caps/>
          <w:szCs w:val="22"/>
        </w:rPr>
        <w:t xml:space="preserve"> (</w:t>
      </w:r>
      <w:r w:rsidR="00B0409A">
        <w:rPr>
          <w:b/>
          <w:caps/>
          <w:szCs w:val="22"/>
        </w:rPr>
        <w:t>UTAH</w:t>
      </w:r>
      <w:r w:rsidRPr="00190533">
        <w:rPr>
          <w:b/>
          <w:caps/>
          <w:szCs w:val="22"/>
        </w:rPr>
        <w:t>) 700 mhz regional plan AMENDMENT</w:t>
      </w:r>
    </w:p>
    <w:p w:rsidR="000D1119" w:rsidRPr="00190533" w:rsidRDefault="000D1119" w:rsidP="000D1119">
      <w:pPr>
        <w:jc w:val="center"/>
        <w:rPr>
          <w:b/>
          <w:caps/>
          <w:szCs w:val="22"/>
        </w:rPr>
      </w:pPr>
    </w:p>
    <w:p w:rsidR="000D1119" w:rsidRPr="00190533" w:rsidRDefault="000D1119" w:rsidP="000D1119">
      <w:pPr>
        <w:spacing w:after="240"/>
        <w:jc w:val="center"/>
        <w:rPr>
          <w:b/>
          <w:szCs w:val="22"/>
        </w:rPr>
      </w:pPr>
      <w:r w:rsidRPr="00190533">
        <w:rPr>
          <w:b/>
          <w:szCs w:val="22"/>
        </w:rPr>
        <w:t>WT Docket No. 02-378</w:t>
      </w:r>
    </w:p>
    <w:p w:rsidR="000D1119" w:rsidRPr="00190533" w:rsidRDefault="000D1119" w:rsidP="000D1119">
      <w:pPr>
        <w:rPr>
          <w:b/>
          <w:szCs w:val="22"/>
        </w:rPr>
      </w:pPr>
      <w:r w:rsidRPr="00190533">
        <w:rPr>
          <w:b/>
          <w:szCs w:val="22"/>
        </w:rPr>
        <w:t xml:space="preserve">Comments Due:  </w:t>
      </w:r>
      <w:r w:rsidR="00FE78AE">
        <w:rPr>
          <w:b/>
          <w:szCs w:val="22"/>
        </w:rPr>
        <w:t>August</w:t>
      </w:r>
      <w:r w:rsidR="00190533">
        <w:rPr>
          <w:b/>
          <w:szCs w:val="22"/>
        </w:rPr>
        <w:t xml:space="preserve"> </w:t>
      </w:r>
      <w:r w:rsidR="000E4852">
        <w:rPr>
          <w:b/>
          <w:szCs w:val="22"/>
        </w:rPr>
        <w:t>19</w:t>
      </w:r>
      <w:r w:rsidR="00CF2600">
        <w:rPr>
          <w:b/>
          <w:szCs w:val="22"/>
        </w:rPr>
        <w:t>,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0D1119" w:rsidRPr="00190533" w:rsidRDefault="000D1119" w:rsidP="000D1119">
      <w:pPr>
        <w:rPr>
          <w:b/>
          <w:szCs w:val="22"/>
        </w:rPr>
      </w:pPr>
    </w:p>
    <w:p w:rsidR="000D1119" w:rsidRPr="007D594B" w:rsidRDefault="000D1119" w:rsidP="000D1119">
      <w:pPr>
        <w:ind w:firstLine="720"/>
        <w:rPr>
          <w:szCs w:val="22"/>
        </w:rPr>
      </w:pPr>
      <w:r w:rsidRPr="00190533">
        <w:rPr>
          <w:i/>
          <w:iCs/>
          <w:szCs w:val="22"/>
        </w:rPr>
        <w:t xml:space="preserve">Introduction.  </w:t>
      </w:r>
      <w:r w:rsidRPr="00190533">
        <w:rPr>
          <w:szCs w:val="22"/>
        </w:rPr>
        <w:t xml:space="preserve">On </w:t>
      </w:r>
      <w:r w:rsidR="00B0409A">
        <w:rPr>
          <w:szCs w:val="22"/>
        </w:rPr>
        <w:t>April 4, 2016</w:t>
      </w:r>
      <w:r w:rsidRPr="00190533">
        <w:rPr>
          <w:szCs w:val="22"/>
        </w:rPr>
        <w:t xml:space="preserve">, the Region </w:t>
      </w:r>
      <w:r w:rsidR="0076218B">
        <w:rPr>
          <w:szCs w:val="22"/>
        </w:rPr>
        <w:t>4</w:t>
      </w:r>
      <w:r w:rsidR="00B0409A">
        <w:rPr>
          <w:szCs w:val="22"/>
        </w:rPr>
        <w:t>1</w:t>
      </w:r>
      <w:r w:rsidR="0055366A" w:rsidRPr="00190533">
        <w:rPr>
          <w:szCs w:val="22"/>
        </w:rPr>
        <w:t xml:space="preserve"> </w:t>
      </w:r>
      <w:r w:rsidRPr="00190533">
        <w:rPr>
          <w:szCs w:val="22"/>
        </w:rPr>
        <w:t>(</w:t>
      </w:r>
      <w:r w:rsidR="00B0409A">
        <w:rPr>
          <w:szCs w:val="22"/>
        </w:rPr>
        <w:t>Utah</w:t>
      </w:r>
      <w:r w:rsidRPr="00190533">
        <w:rPr>
          <w:szCs w:val="22"/>
        </w:rPr>
        <w:t>)</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w:t>
      </w:r>
      <w:r w:rsidR="00B0409A">
        <w:rPr>
          <w:szCs w:val="22"/>
        </w:rPr>
        <w:t>41</w:t>
      </w:r>
      <w:r w:rsidRPr="00190533">
        <w:rPr>
          <w:szCs w:val="22"/>
        </w:rPr>
        <w:t xml:space="preserve"> 700 MHz Plan Amendment</w:t>
      </w:r>
      <w:r w:rsidR="00FE78AE">
        <w:rPr>
          <w:szCs w:val="22"/>
        </w:rPr>
        <w:t xml:space="preserve"> as amended on June 28, 2016</w:t>
      </w:r>
      <w:r w:rsidRPr="00190533">
        <w:rPr>
          <w:szCs w:val="22"/>
        </w:rPr>
        <w:t>.</w:t>
      </w:r>
      <w:r w:rsidR="00FE78AE">
        <w:rPr>
          <w:rStyle w:val="FootnoteReference"/>
          <w:szCs w:val="22"/>
        </w:rPr>
        <w:footnoteReference w:id="4"/>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5"/>
      </w:r>
      <w:r w:rsidRPr="007D594B">
        <w:rPr>
          <w:szCs w:val="22"/>
        </w:rPr>
        <w:t xml:space="preserve">  The Commission’s rules require each of the fifty-five RPCs to submit its plan for the General Use spectrum.</w:t>
      </w:r>
      <w:r w:rsidRPr="007D594B">
        <w:rPr>
          <w:rStyle w:val="FootnoteReference"/>
          <w:szCs w:val="22"/>
        </w:rPr>
        <w:footnoteReference w:id="6"/>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xml:space="preserve">, requiring notice, opportunity for comment, and reasonable consideration; (3) specifying the elements that </w:t>
      </w:r>
      <w:r w:rsidRPr="007D594B">
        <w:rPr>
          <w:szCs w:val="22"/>
        </w:rPr>
        <w:lastRenderedPageBreak/>
        <w:t>all regional plans must include; and (4) reviewing and accepting proposed plans (or amendments to approved plans) or rejecting them with an explanation.</w:t>
      </w:r>
      <w:r w:rsidRPr="007D594B">
        <w:rPr>
          <w:rStyle w:val="FootnoteReference"/>
          <w:szCs w:val="22"/>
        </w:rPr>
        <w:footnoteReference w:id="7"/>
      </w:r>
      <w:r w:rsidRPr="007D594B">
        <w:rPr>
          <w:szCs w:val="22"/>
        </w:rPr>
        <w:t xml:space="preserve">   </w:t>
      </w:r>
    </w:p>
    <w:p w:rsidR="000D1119" w:rsidRPr="007D594B" w:rsidRDefault="000D1119" w:rsidP="000D1119">
      <w:pPr>
        <w:ind w:firstLine="720"/>
        <w:rPr>
          <w:szCs w:val="22"/>
        </w:rPr>
      </w:pPr>
      <w:r w:rsidRPr="007D594B">
        <w:rPr>
          <w:szCs w:val="22"/>
        </w:rPr>
        <w:t xml:space="preserve"> </w:t>
      </w:r>
    </w:p>
    <w:p w:rsidR="000D1119" w:rsidRPr="007D594B" w:rsidRDefault="000D1119" w:rsidP="000D1119">
      <w:pPr>
        <w:ind w:firstLine="720"/>
        <w:rPr>
          <w:szCs w:val="22"/>
        </w:rPr>
      </w:pPr>
      <w:r w:rsidRPr="007D594B">
        <w:rPr>
          <w:szCs w:val="22"/>
        </w:rPr>
        <w:t>On O</w:t>
      </w:r>
      <w:r w:rsidR="0055366A">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8"/>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9"/>
      </w:r>
      <w:r w:rsidRPr="007D594B">
        <w:rPr>
          <w:szCs w:val="22"/>
        </w:rPr>
        <w:t xml:space="preserve">  </w:t>
      </w:r>
    </w:p>
    <w:p w:rsidR="000D1119" w:rsidRPr="007D594B" w:rsidRDefault="000D1119" w:rsidP="000D1119">
      <w:pPr>
        <w:ind w:firstLine="720"/>
        <w:rPr>
          <w:szCs w:val="22"/>
        </w:rPr>
      </w:pPr>
    </w:p>
    <w:p w:rsidR="000D1119" w:rsidRPr="007D594B" w:rsidRDefault="000D1119" w:rsidP="000D1119">
      <w:pPr>
        <w:ind w:firstLine="720"/>
        <w:rPr>
          <w:szCs w:val="22"/>
        </w:rPr>
      </w:pPr>
      <w:r w:rsidRPr="007D594B">
        <w:rPr>
          <w:szCs w:val="22"/>
        </w:rPr>
        <w:t>In the T-Band markets,</w:t>
      </w:r>
      <w:r w:rsidRPr="007D594B">
        <w:rPr>
          <w:rStyle w:val="FootnoteReference"/>
          <w:rFonts w:eastAsiaTheme="minorEastAsia"/>
          <w:szCs w:val="22"/>
        </w:rPr>
        <w:footnoteReference w:id="10"/>
      </w:r>
      <w:r w:rsidRPr="007D594B">
        <w:rPr>
          <w:szCs w:val="22"/>
        </w:rPr>
        <w:t xml:space="preserve"> the Commission released the reserve channels for General Use under RPC administration with priority access given to T-Band incumbents within </w:t>
      </w:r>
      <w:r w:rsidR="00ED1126">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1"/>
      </w:r>
      <w:r w:rsidRPr="007D594B">
        <w:rPr>
          <w:szCs w:val="22"/>
        </w:rPr>
        <w:t xml:space="preserve"> of the Commission’s rules.  Priority access is also afforded any T-band incumbent that received a waiver of the </w:t>
      </w:r>
      <w:r w:rsidR="00ED1126">
        <w:rPr>
          <w:szCs w:val="22"/>
        </w:rPr>
        <w:t>128</w:t>
      </w:r>
      <w:r w:rsidRPr="007D594B">
        <w:rPr>
          <w:szCs w:val="22"/>
        </w:rPr>
        <w:t xml:space="preserve"> km distance requirement.</w:t>
      </w:r>
      <w:r w:rsidRPr="007D594B">
        <w:rPr>
          <w:rStyle w:val="FootnoteReference"/>
          <w:rFonts w:eastAsiaTheme="minorEastAsia"/>
          <w:szCs w:val="22"/>
        </w:rPr>
        <w:footnoteReference w:id="12"/>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3"/>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4"/>
      </w:r>
      <w:r w:rsidRPr="007D594B">
        <w:rPr>
          <w:szCs w:val="22"/>
        </w:rPr>
        <w:t xml:space="preserve">   </w:t>
      </w:r>
    </w:p>
    <w:p w:rsidR="000D1119" w:rsidRPr="007D594B" w:rsidRDefault="000D1119" w:rsidP="000D1119">
      <w:pPr>
        <w:ind w:firstLine="720"/>
        <w:rPr>
          <w:szCs w:val="22"/>
        </w:rPr>
      </w:pPr>
    </w:p>
    <w:p w:rsidR="0029467F" w:rsidRDefault="000D1119" w:rsidP="0029467F">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5"/>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6"/>
      </w:r>
      <w:r w:rsidRPr="007D594B">
        <w:rPr>
          <w:szCs w:val="22"/>
        </w:rPr>
        <w:t xml:space="preserve">  Regional plan amendments </w:t>
      </w:r>
      <w:r w:rsidR="00955582">
        <w:rPr>
          <w:szCs w:val="22"/>
        </w:rPr>
        <w:t xml:space="preserve">were </w:t>
      </w:r>
      <w:r w:rsidRPr="007D594B">
        <w:rPr>
          <w:szCs w:val="22"/>
        </w:rPr>
        <w:t>due by October 30, 2015.</w:t>
      </w:r>
      <w:r w:rsidRPr="007D594B">
        <w:rPr>
          <w:rStyle w:val="FootnoteReference"/>
          <w:szCs w:val="22"/>
        </w:rPr>
        <w:footnoteReference w:id="17"/>
      </w:r>
      <w:r w:rsidRPr="007D594B">
        <w:rPr>
          <w:szCs w:val="22"/>
        </w:rPr>
        <w:t xml:space="preserve">  </w:t>
      </w:r>
    </w:p>
    <w:p w:rsidR="00B36545" w:rsidRDefault="00B36545" w:rsidP="0029467F">
      <w:pPr>
        <w:ind w:firstLine="720"/>
        <w:rPr>
          <w:szCs w:val="22"/>
        </w:rPr>
      </w:pPr>
    </w:p>
    <w:p w:rsidR="0029467F" w:rsidRPr="000E4852" w:rsidRDefault="000D1119" w:rsidP="00C25A06">
      <w:pPr>
        <w:autoSpaceDE w:val="0"/>
        <w:autoSpaceDN w:val="0"/>
        <w:adjustRightInd w:val="0"/>
        <w:ind w:firstLine="720"/>
        <w:rPr>
          <w:szCs w:val="22"/>
        </w:rPr>
      </w:pPr>
      <w:r w:rsidRPr="000E4852">
        <w:rPr>
          <w:i/>
          <w:szCs w:val="22"/>
        </w:rPr>
        <w:t xml:space="preserve">Region </w:t>
      </w:r>
      <w:r w:rsidR="0076218B" w:rsidRPr="000E4852">
        <w:rPr>
          <w:i/>
          <w:szCs w:val="22"/>
        </w:rPr>
        <w:t>4</w:t>
      </w:r>
      <w:r w:rsidR="00B0409A" w:rsidRPr="000E4852">
        <w:rPr>
          <w:i/>
          <w:szCs w:val="22"/>
        </w:rPr>
        <w:t>1</w:t>
      </w:r>
      <w:r w:rsidRPr="000E4852">
        <w:rPr>
          <w:i/>
          <w:szCs w:val="22"/>
        </w:rPr>
        <w:t xml:space="preserve"> Major Amendments</w:t>
      </w:r>
      <w:r w:rsidRPr="000E4852">
        <w:rPr>
          <w:szCs w:val="22"/>
        </w:rPr>
        <w:t xml:space="preserve">.  </w:t>
      </w:r>
      <w:r w:rsidRPr="000E4852">
        <w:rPr>
          <w:color w:val="010101"/>
          <w:szCs w:val="22"/>
        </w:rPr>
        <w:t xml:space="preserve">The Region </w:t>
      </w:r>
      <w:r w:rsidR="00B0409A" w:rsidRPr="000E4852">
        <w:rPr>
          <w:color w:val="010101"/>
          <w:szCs w:val="22"/>
        </w:rPr>
        <w:t>41</w:t>
      </w:r>
      <w:r w:rsidRPr="000E4852">
        <w:rPr>
          <w:color w:val="010101"/>
          <w:szCs w:val="22"/>
        </w:rPr>
        <w:t xml:space="preserve"> Plan Amendment</w:t>
      </w:r>
      <w:r w:rsidRPr="000E4852">
        <w:rPr>
          <w:szCs w:val="22"/>
        </w:rPr>
        <w:t xml:space="preserve"> changes the plan </w:t>
      </w:r>
      <w:r w:rsidR="00EC1FEC" w:rsidRPr="000E4852">
        <w:rPr>
          <w:szCs w:val="22"/>
        </w:rPr>
        <w:t xml:space="preserve">so as </w:t>
      </w:r>
      <w:r w:rsidRPr="000E4852">
        <w:rPr>
          <w:szCs w:val="22"/>
        </w:rPr>
        <w:t xml:space="preserve">to incorporate </w:t>
      </w:r>
      <w:r w:rsidR="00623878" w:rsidRPr="000E4852">
        <w:rPr>
          <w:szCs w:val="22"/>
        </w:rPr>
        <w:t>the former reserve s</w:t>
      </w:r>
      <w:r w:rsidR="00A34E0D" w:rsidRPr="000E4852">
        <w:rPr>
          <w:szCs w:val="22"/>
        </w:rPr>
        <w:t>pectrum</w:t>
      </w:r>
      <w:r w:rsidRPr="000E4852">
        <w:rPr>
          <w:szCs w:val="22"/>
        </w:rPr>
        <w:t>.</w:t>
      </w:r>
      <w:r w:rsidRPr="000E4852">
        <w:rPr>
          <w:rStyle w:val="FootnoteReference"/>
          <w:szCs w:val="22"/>
        </w:rPr>
        <w:footnoteReference w:id="18"/>
      </w:r>
      <w:r w:rsidR="00C10A08" w:rsidRPr="000E4852">
        <w:rPr>
          <w:szCs w:val="22"/>
        </w:rPr>
        <w:t xml:space="preserve">  </w:t>
      </w:r>
      <w:r w:rsidR="0029467F" w:rsidRPr="000E4852">
        <w:rPr>
          <w:szCs w:val="22"/>
        </w:rPr>
        <w:t xml:space="preserve">Region </w:t>
      </w:r>
      <w:r w:rsidR="00B0409A" w:rsidRPr="000E4852">
        <w:rPr>
          <w:szCs w:val="22"/>
        </w:rPr>
        <w:t>41</w:t>
      </w:r>
      <w:r w:rsidR="0076218B" w:rsidRPr="000E4852">
        <w:rPr>
          <w:szCs w:val="22"/>
        </w:rPr>
        <w:t xml:space="preserve"> </w:t>
      </w:r>
      <w:r w:rsidR="0029467F" w:rsidRPr="000E4852">
        <w:rPr>
          <w:szCs w:val="22"/>
        </w:rPr>
        <w:t xml:space="preserve">divides the </w:t>
      </w:r>
      <w:r w:rsidR="00BD3A46" w:rsidRPr="000E4852">
        <w:rPr>
          <w:szCs w:val="22"/>
        </w:rPr>
        <w:t xml:space="preserve">former </w:t>
      </w:r>
      <w:r w:rsidR="0029467F" w:rsidRPr="000E4852">
        <w:rPr>
          <w:szCs w:val="22"/>
        </w:rPr>
        <w:t xml:space="preserve">Reserve Channels into </w:t>
      </w:r>
      <w:r w:rsidR="00B0409A" w:rsidRPr="000E4852">
        <w:rPr>
          <w:szCs w:val="22"/>
        </w:rPr>
        <w:t>two</w:t>
      </w:r>
      <w:r w:rsidR="0029467F" w:rsidRPr="000E4852">
        <w:rPr>
          <w:szCs w:val="22"/>
        </w:rPr>
        <w:t xml:space="preserve"> categories: </w:t>
      </w:r>
      <w:r w:rsidR="00A8379E" w:rsidRPr="000E4852">
        <w:rPr>
          <w:szCs w:val="22"/>
        </w:rPr>
        <w:t xml:space="preserve">(1) </w:t>
      </w:r>
      <w:r w:rsidR="00B0409A" w:rsidRPr="000E4852">
        <w:rPr>
          <w:szCs w:val="22"/>
        </w:rPr>
        <w:t xml:space="preserve">Deployable Trunked Systems and </w:t>
      </w:r>
      <w:r w:rsidR="00A8379E" w:rsidRPr="000E4852">
        <w:rPr>
          <w:szCs w:val="22"/>
        </w:rPr>
        <w:t xml:space="preserve">(2) </w:t>
      </w:r>
      <w:r w:rsidR="0076218B" w:rsidRPr="000E4852">
        <w:rPr>
          <w:szCs w:val="22"/>
        </w:rPr>
        <w:t>General Use</w:t>
      </w:r>
      <w:r w:rsidR="0029467F" w:rsidRPr="000E4852">
        <w:rPr>
          <w:szCs w:val="22"/>
        </w:rPr>
        <w:t>.</w:t>
      </w:r>
      <w:r w:rsidR="00A8379E" w:rsidRPr="000E4852">
        <w:rPr>
          <w:rStyle w:val="FootnoteReference"/>
          <w:szCs w:val="22"/>
        </w:rPr>
        <w:footnoteReference w:id="19"/>
      </w:r>
      <w:r w:rsidR="0029467F" w:rsidRPr="000E4852">
        <w:rPr>
          <w:szCs w:val="22"/>
        </w:rPr>
        <w:t xml:space="preserve">  Region </w:t>
      </w:r>
      <w:r w:rsidR="00B0409A" w:rsidRPr="000E4852">
        <w:rPr>
          <w:szCs w:val="22"/>
        </w:rPr>
        <w:t>41</w:t>
      </w:r>
      <w:r w:rsidR="0029467F" w:rsidRPr="000E4852">
        <w:rPr>
          <w:szCs w:val="22"/>
        </w:rPr>
        <w:t xml:space="preserve"> allocates </w:t>
      </w:r>
      <w:r w:rsidR="0076218B" w:rsidRPr="000E4852">
        <w:rPr>
          <w:szCs w:val="22"/>
        </w:rPr>
        <w:t>six</w:t>
      </w:r>
      <w:r w:rsidR="0029467F" w:rsidRPr="000E4852">
        <w:rPr>
          <w:szCs w:val="22"/>
        </w:rPr>
        <w:t xml:space="preserve"> of the former reserve chann</w:t>
      </w:r>
      <w:r w:rsidR="0076218B" w:rsidRPr="000E4852">
        <w:rPr>
          <w:szCs w:val="22"/>
        </w:rPr>
        <w:t xml:space="preserve">els for deployable trunked use as </w:t>
      </w:r>
      <w:r w:rsidR="0029467F" w:rsidRPr="000E4852">
        <w:rPr>
          <w:szCs w:val="22"/>
        </w:rPr>
        <w:t>recommended by NPSTC and the NRPC.</w:t>
      </w:r>
      <w:r w:rsidR="00A8379E" w:rsidRPr="000E4852">
        <w:rPr>
          <w:rStyle w:val="FootnoteReference"/>
          <w:szCs w:val="22"/>
        </w:rPr>
        <w:footnoteReference w:id="20"/>
      </w:r>
      <w:r w:rsidR="0029467F" w:rsidRPr="000E4852">
        <w:rPr>
          <w:szCs w:val="22"/>
        </w:rPr>
        <w:t xml:space="preserve">  </w:t>
      </w:r>
      <w:r w:rsidR="002D1F60" w:rsidRPr="000E4852">
        <w:rPr>
          <w:szCs w:val="22"/>
        </w:rPr>
        <w:t xml:space="preserve">The remaining former </w:t>
      </w:r>
      <w:r w:rsidR="001F12F0" w:rsidRPr="000E4852">
        <w:rPr>
          <w:szCs w:val="22"/>
        </w:rPr>
        <w:t>R</w:t>
      </w:r>
      <w:r w:rsidR="002D1F60" w:rsidRPr="000E4852">
        <w:rPr>
          <w:szCs w:val="22"/>
        </w:rPr>
        <w:t>e</w:t>
      </w:r>
      <w:r w:rsidR="0076218B" w:rsidRPr="000E4852">
        <w:rPr>
          <w:szCs w:val="22"/>
        </w:rPr>
        <w:t xml:space="preserve">serve </w:t>
      </w:r>
      <w:r w:rsidR="001F12F0" w:rsidRPr="000E4852">
        <w:rPr>
          <w:szCs w:val="22"/>
        </w:rPr>
        <w:t>C</w:t>
      </w:r>
      <w:r w:rsidR="0076218B" w:rsidRPr="000E4852">
        <w:rPr>
          <w:szCs w:val="22"/>
        </w:rPr>
        <w:t xml:space="preserve">hannels will be available for </w:t>
      </w:r>
      <w:r w:rsidR="002D1F60" w:rsidRPr="000E4852">
        <w:rPr>
          <w:szCs w:val="22"/>
        </w:rPr>
        <w:t xml:space="preserve">General </w:t>
      </w:r>
      <w:r w:rsidR="0076218B" w:rsidRPr="000E4852">
        <w:rPr>
          <w:szCs w:val="22"/>
        </w:rPr>
        <w:t>Use to supplement existing allotments</w:t>
      </w:r>
      <w:r w:rsidR="00A65FB5" w:rsidRPr="000E4852">
        <w:rPr>
          <w:szCs w:val="22"/>
        </w:rPr>
        <w:t>.</w:t>
      </w:r>
      <w:r w:rsidR="00A8379E" w:rsidRPr="000E4852">
        <w:rPr>
          <w:rStyle w:val="FootnoteReference"/>
          <w:szCs w:val="22"/>
        </w:rPr>
        <w:footnoteReference w:id="21"/>
      </w:r>
      <w:r w:rsidR="0029467F" w:rsidRPr="000E4852">
        <w:rPr>
          <w:szCs w:val="22"/>
        </w:rPr>
        <w:t xml:space="preserve"> </w:t>
      </w:r>
      <w:r w:rsidR="0068227D" w:rsidRPr="000E4852">
        <w:rPr>
          <w:szCs w:val="22"/>
        </w:rPr>
        <w:t xml:space="preserve"> </w:t>
      </w:r>
    </w:p>
    <w:p w:rsidR="00531AC5" w:rsidRPr="000E4852" w:rsidRDefault="00531AC5" w:rsidP="00BD3A46">
      <w:pPr>
        <w:ind w:firstLine="720"/>
        <w:rPr>
          <w:szCs w:val="22"/>
        </w:rPr>
      </w:pPr>
    </w:p>
    <w:p w:rsidR="00531AC5" w:rsidRPr="002A1A8A" w:rsidRDefault="001B63AA" w:rsidP="001B63AA">
      <w:pPr>
        <w:autoSpaceDE w:val="0"/>
        <w:autoSpaceDN w:val="0"/>
        <w:adjustRightInd w:val="0"/>
        <w:ind w:firstLine="720"/>
        <w:rPr>
          <w:color w:val="EE2024"/>
          <w:szCs w:val="22"/>
        </w:rPr>
      </w:pPr>
      <w:r w:rsidRPr="000E4852">
        <w:rPr>
          <w:szCs w:val="22"/>
        </w:rPr>
        <w:t xml:space="preserve">Region 41 recognizes that the Commission reallocated the </w:t>
      </w:r>
      <w:r w:rsidR="002A1A8A" w:rsidRPr="000E4852">
        <w:rPr>
          <w:szCs w:val="22"/>
        </w:rPr>
        <w:t xml:space="preserve">former </w:t>
      </w:r>
      <w:r w:rsidRPr="000E4852">
        <w:rPr>
          <w:szCs w:val="22"/>
        </w:rPr>
        <w:t>secondary trunking channels for air-ground use and that each state is responsible for coordinating these channels.</w:t>
      </w:r>
      <w:r w:rsidRPr="000E4852">
        <w:rPr>
          <w:rStyle w:val="FootnoteReference"/>
          <w:szCs w:val="22"/>
        </w:rPr>
        <w:footnoteReference w:id="22"/>
      </w:r>
      <w:r w:rsidRPr="000E4852">
        <w:rPr>
          <w:szCs w:val="22"/>
        </w:rPr>
        <w:t xml:space="preserve">  Region 41 observes that the State of Utah has assigned the responsibility for coordinating the air-ground channels to the Utah Communications Authority.</w:t>
      </w:r>
      <w:r w:rsidRPr="000E4852">
        <w:rPr>
          <w:rStyle w:val="FootnoteReference"/>
          <w:szCs w:val="22"/>
        </w:rPr>
        <w:footnoteReference w:id="23"/>
      </w:r>
      <w:r w:rsidRPr="000E4852">
        <w:rPr>
          <w:szCs w:val="22"/>
        </w:rPr>
        <w:t xml:space="preserve">  </w:t>
      </w:r>
      <w:r w:rsidR="00EC1FEC" w:rsidRPr="000E4852">
        <w:rPr>
          <w:szCs w:val="22"/>
        </w:rPr>
        <w:t xml:space="preserve">The </w:t>
      </w:r>
      <w:r w:rsidR="00531AC5" w:rsidRPr="000E4852">
        <w:rPr>
          <w:szCs w:val="22"/>
        </w:rPr>
        <w:t>Region 41 Plan recognizes that the State of Utah has assigned the responsibility to administer the 700 MHz interoperability channels to the Statewide Interoperability Coordinator Office within the Utah Communications Authority.</w:t>
      </w:r>
      <w:r w:rsidR="00531AC5" w:rsidRPr="000E4852">
        <w:rPr>
          <w:rStyle w:val="FootnoteReference"/>
          <w:szCs w:val="22"/>
        </w:rPr>
        <w:footnoteReference w:id="24"/>
      </w:r>
    </w:p>
    <w:p w:rsidR="0029467F" w:rsidRPr="002A1A8A" w:rsidRDefault="0029467F" w:rsidP="00A65FB5">
      <w:pPr>
        <w:rPr>
          <w:szCs w:val="22"/>
        </w:rPr>
      </w:pPr>
    </w:p>
    <w:p w:rsidR="0029467F" w:rsidRPr="002A1A8A" w:rsidRDefault="000D1119" w:rsidP="0029467F">
      <w:pPr>
        <w:ind w:firstLine="720"/>
        <w:rPr>
          <w:szCs w:val="22"/>
        </w:rPr>
      </w:pPr>
      <w:r w:rsidRPr="002A1A8A">
        <w:rPr>
          <w:szCs w:val="22"/>
        </w:rPr>
        <w:t xml:space="preserve">All regions adjacent to Region </w:t>
      </w:r>
      <w:r w:rsidR="00A65FB5" w:rsidRPr="002A1A8A">
        <w:rPr>
          <w:szCs w:val="22"/>
        </w:rPr>
        <w:t>4</w:t>
      </w:r>
      <w:r w:rsidR="00B0409A" w:rsidRPr="002A1A8A">
        <w:rPr>
          <w:szCs w:val="22"/>
        </w:rPr>
        <w:t>1</w:t>
      </w:r>
      <w:r w:rsidRPr="002A1A8A">
        <w:rPr>
          <w:szCs w:val="22"/>
        </w:rPr>
        <w:t xml:space="preserve"> – Region</w:t>
      </w:r>
      <w:r w:rsidR="00A65FB5" w:rsidRPr="002A1A8A">
        <w:rPr>
          <w:szCs w:val="22"/>
        </w:rPr>
        <w:t xml:space="preserve"> </w:t>
      </w:r>
      <w:r w:rsidR="00531AC5" w:rsidRPr="002A1A8A">
        <w:rPr>
          <w:szCs w:val="22"/>
        </w:rPr>
        <w:t>3</w:t>
      </w:r>
      <w:r w:rsidR="00A85F72" w:rsidRPr="002A1A8A">
        <w:rPr>
          <w:szCs w:val="22"/>
        </w:rPr>
        <w:t xml:space="preserve"> (</w:t>
      </w:r>
      <w:r w:rsidR="00531AC5" w:rsidRPr="002A1A8A">
        <w:rPr>
          <w:szCs w:val="22"/>
        </w:rPr>
        <w:t>Arizona</w:t>
      </w:r>
      <w:r w:rsidR="00A85F72" w:rsidRPr="002A1A8A">
        <w:rPr>
          <w:szCs w:val="22"/>
        </w:rPr>
        <w:t xml:space="preserve">); Region </w:t>
      </w:r>
      <w:r w:rsidR="00531AC5" w:rsidRPr="002A1A8A">
        <w:rPr>
          <w:szCs w:val="22"/>
        </w:rPr>
        <w:t>7</w:t>
      </w:r>
      <w:r w:rsidR="00B36545" w:rsidRPr="002A1A8A">
        <w:rPr>
          <w:szCs w:val="22"/>
        </w:rPr>
        <w:t xml:space="preserve"> (</w:t>
      </w:r>
      <w:r w:rsidR="00531AC5" w:rsidRPr="002A1A8A">
        <w:rPr>
          <w:szCs w:val="22"/>
        </w:rPr>
        <w:t>Colorado</w:t>
      </w:r>
      <w:r w:rsidR="00A85F72" w:rsidRPr="002A1A8A">
        <w:rPr>
          <w:szCs w:val="22"/>
        </w:rPr>
        <w:t xml:space="preserve">); (Region </w:t>
      </w:r>
      <w:r w:rsidR="00531AC5" w:rsidRPr="002A1A8A">
        <w:rPr>
          <w:szCs w:val="22"/>
        </w:rPr>
        <w:t>12</w:t>
      </w:r>
      <w:r w:rsidR="00A85F72" w:rsidRPr="002A1A8A">
        <w:rPr>
          <w:szCs w:val="22"/>
        </w:rPr>
        <w:t xml:space="preserve"> (</w:t>
      </w:r>
      <w:r w:rsidR="00531AC5" w:rsidRPr="002A1A8A">
        <w:rPr>
          <w:szCs w:val="22"/>
        </w:rPr>
        <w:t>Iowa</w:t>
      </w:r>
      <w:r w:rsidR="00A85F72" w:rsidRPr="002A1A8A">
        <w:rPr>
          <w:szCs w:val="22"/>
        </w:rPr>
        <w:t xml:space="preserve">); </w:t>
      </w:r>
      <w:r w:rsidR="00531AC5" w:rsidRPr="002A1A8A">
        <w:rPr>
          <w:szCs w:val="22"/>
        </w:rPr>
        <w:t xml:space="preserve">Region 27 (Nevada); </w:t>
      </w:r>
      <w:r w:rsidR="00A85F72" w:rsidRPr="002A1A8A">
        <w:rPr>
          <w:szCs w:val="22"/>
        </w:rPr>
        <w:t xml:space="preserve">Region </w:t>
      </w:r>
      <w:r w:rsidR="00531AC5" w:rsidRPr="002A1A8A">
        <w:rPr>
          <w:szCs w:val="22"/>
        </w:rPr>
        <w:t>29</w:t>
      </w:r>
      <w:r w:rsidR="00B36545" w:rsidRPr="002A1A8A">
        <w:rPr>
          <w:szCs w:val="22"/>
        </w:rPr>
        <w:t xml:space="preserve"> (</w:t>
      </w:r>
      <w:r w:rsidR="00531AC5" w:rsidRPr="002A1A8A">
        <w:rPr>
          <w:szCs w:val="22"/>
        </w:rPr>
        <w:t>New Mexico</w:t>
      </w:r>
      <w:r w:rsidR="00B36545" w:rsidRPr="002A1A8A">
        <w:rPr>
          <w:szCs w:val="22"/>
        </w:rPr>
        <w:t>);</w:t>
      </w:r>
      <w:r w:rsidR="00A85F72" w:rsidRPr="002A1A8A">
        <w:rPr>
          <w:szCs w:val="22"/>
        </w:rPr>
        <w:t xml:space="preserve"> </w:t>
      </w:r>
      <w:r w:rsidR="00531AC5" w:rsidRPr="002A1A8A">
        <w:rPr>
          <w:szCs w:val="22"/>
        </w:rPr>
        <w:t xml:space="preserve">and </w:t>
      </w:r>
      <w:r w:rsidR="00A85F72" w:rsidRPr="002A1A8A">
        <w:rPr>
          <w:szCs w:val="22"/>
        </w:rPr>
        <w:t xml:space="preserve">Region </w:t>
      </w:r>
      <w:r w:rsidR="00531AC5" w:rsidRPr="002A1A8A">
        <w:rPr>
          <w:szCs w:val="22"/>
        </w:rPr>
        <w:t>46</w:t>
      </w:r>
      <w:r w:rsidR="00A65FB5" w:rsidRPr="002A1A8A">
        <w:rPr>
          <w:szCs w:val="22"/>
        </w:rPr>
        <w:t xml:space="preserve"> (</w:t>
      </w:r>
      <w:r w:rsidR="00531AC5" w:rsidRPr="002A1A8A">
        <w:rPr>
          <w:szCs w:val="22"/>
        </w:rPr>
        <w:t xml:space="preserve">Wyoming) </w:t>
      </w:r>
      <w:r w:rsidRPr="002A1A8A">
        <w:rPr>
          <w:szCs w:val="22"/>
        </w:rPr>
        <w:t xml:space="preserve">– reviewed the Region </w:t>
      </w:r>
      <w:r w:rsidR="00A65FB5" w:rsidRPr="002A1A8A">
        <w:rPr>
          <w:szCs w:val="22"/>
        </w:rPr>
        <w:t>4</w:t>
      </w:r>
      <w:r w:rsidR="00B0409A" w:rsidRPr="002A1A8A">
        <w:rPr>
          <w:szCs w:val="22"/>
        </w:rPr>
        <w:t>1</w:t>
      </w:r>
      <w:r w:rsidRPr="002A1A8A">
        <w:rPr>
          <w:szCs w:val="22"/>
        </w:rPr>
        <w:t xml:space="preserve"> Plan Amendment and provided letters of concurrence.</w:t>
      </w:r>
      <w:r w:rsidRPr="002A1A8A">
        <w:rPr>
          <w:rStyle w:val="FootnoteReference"/>
          <w:szCs w:val="22"/>
        </w:rPr>
        <w:footnoteReference w:id="25"/>
      </w:r>
      <w:r w:rsidRPr="002A1A8A">
        <w:rPr>
          <w:szCs w:val="22"/>
        </w:rPr>
        <w:t xml:space="preserve">  We have reviewed the Region </w:t>
      </w:r>
      <w:r w:rsidR="00B0409A" w:rsidRPr="002A1A8A">
        <w:rPr>
          <w:szCs w:val="22"/>
        </w:rPr>
        <w:t>41</w:t>
      </w:r>
      <w:r w:rsidRPr="002A1A8A">
        <w:rPr>
          <w:szCs w:val="22"/>
        </w:rPr>
        <w:t xml:space="preserve"> Plan Amendment and tentatively accept the Plan Amendment.    </w:t>
      </w:r>
    </w:p>
    <w:p w:rsidR="0029467F" w:rsidRPr="00CF2600" w:rsidRDefault="0029467F" w:rsidP="0029467F">
      <w:pPr>
        <w:ind w:firstLine="720"/>
        <w:rPr>
          <w:szCs w:val="22"/>
        </w:rPr>
      </w:pPr>
    </w:p>
    <w:p w:rsidR="0029467F" w:rsidRPr="00CF2600" w:rsidRDefault="000D1119" w:rsidP="0029467F">
      <w:pPr>
        <w:ind w:firstLine="720"/>
        <w:rPr>
          <w:szCs w:val="22"/>
        </w:rPr>
      </w:pPr>
      <w:r w:rsidRPr="00CF2600">
        <w:rPr>
          <w:i/>
          <w:color w:val="000000"/>
          <w:szCs w:val="22"/>
        </w:rPr>
        <w:t xml:space="preserve">Request for Comments on the Region </w:t>
      </w:r>
      <w:r w:rsidR="00A65FB5" w:rsidRPr="00CF2600">
        <w:rPr>
          <w:i/>
          <w:color w:val="000000"/>
          <w:szCs w:val="22"/>
        </w:rPr>
        <w:t>4</w:t>
      </w:r>
      <w:r w:rsidR="00A85F72">
        <w:rPr>
          <w:i/>
          <w:color w:val="000000"/>
          <w:szCs w:val="22"/>
        </w:rPr>
        <w:t>1</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 solicit comments on the Region </w:t>
      </w:r>
      <w:r w:rsidR="00A65FB5" w:rsidRPr="00CF2600">
        <w:rPr>
          <w:color w:val="000000"/>
          <w:szCs w:val="22"/>
        </w:rPr>
        <w:t>4</w:t>
      </w:r>
      <w:r w:rsidR="00A85F72">
        <w:rPr>
          <w:color w:val="000000"/>
          <w:szCs w:val="22"/>
        </w:rPr>
        <w:t>1</w:t>
      </w:r>
      <w:r w:rsidRPr="00CF2600">
        <w:rPr>
          <w:color w:val="000000"/>
          <w:szCs w:val="22"/>
        </w:rPr>
        <w:t xml:space="preserve"> Plan Amendment.  If no party raises an objection during the comment period, the Region </w:t>
      </w:r>
      <w:r w:rsidR="00A65FB5" w:rsidRPr="00CF2600">
        <w:rPr>
          <w:color w:val="000000"/>
          <w:szCs w:val="22"/>
        </w:rPr>
        <w:t>4</w:t>
      </w:r>
      <w:r w:rsidR="00A85F72">
        <w:rPr>
          <w:color w:val="000000"/>
          <w:szCs w:val="22"/>
        </w:rPr>
        <w:t>1</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color w:val="000000"/>
          <w:szCs w:val="22"/>
        </w:rPr>
        <w:footnoteReference w:id="26"/>
      </w:r>
    </w:p>
    <w:p w:rsidR="0029467F" w:rsidRPr="00CF2600" w:rsidRDefault="0029467F" w:rsidP="0029467F">
      <w:pPr>
        <w:ind w:firstLine="720"/>
        <w:rPr>
          <w:szCs w:val="22"/>
        </w:rPr>
      </w:pPr>
    </w:p>
    <w:p w:rsidR="000D1119" w:rsidRPr="00CF2600" w:rsidRDefault="000D1119" w:rsidP="0029467F">
      <w:pPr>
        <w:ind w:firstLine="720"/>
        <w:rPr>
          <w:szCs w:val="22"/>
        </w:rPr>
      </w:pPr>
      <w:r w:rsidRPr="00CF2600">
        <w:rPr>
          <w:color w:val="000000"/>
          <w:szCs w:val="22"/>
        </w:rPr>
        <w:t xml:space="preserve">Pursuant to Sections 1.415 and 1.419 of the Commission’s rules, 47 </w:t>
      </w:r>
      <w:r w:rsidR="001151E5">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sidR="00FE78AE">
        <w:rPr>
          <w:b/>
          <w:szCs w:val="22"/>
        </w:rPr>
        <w:t>August</w:t>
      </w:r>
      <w:r w:rsidR="000E4852">
        <w:rPr>
          <w:b/>
          <w:szCs w:val="22"/>
        </w:rPr>
        <w:t xml:space="preserve"> 19</w:t>
      </w:r>
      <w:r w:rsidRPr="00CF2600">
        <w:rPr>
          <w:b/>
          <w:szCs w:val="22"/>
        </w:rPr>
        <w:t>, 201</w:t>
      </w:r>
      <w:r w:rsidR="00CF2600">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0D1119" w:rsidRPr="00CF2600" w:rsidRDefault="000D1119" w:rsidP="000D1119">
      <w:pPr>
        <w:ind w:left="720"/>
        <w:rPr>
          <w:szCs w:val="22"/>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0D1119" w:rsidRPr="00CF2600" w:rsidRDefault="000D1119" w:rsidP="000D1119">
      <w:pPr>
        <w:rPr>
          <w:rFonts w:cs="Courier New"/>
          <w:szCs w:val="22"/>
          <w:u w:val="single"/>
        </w:rPr>
      </w:pPr>
    </w:p>
    <w:p w:rsidR="000D1119" w:rsidRPr="00CF2600" w:rsidRDefault="000D1119" w:rsidP="000D1119">
      <w:pPr>
        <w:numPr>
          <w:ilvl w:val="0"/>
          <w:numId w:val="38"/>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0D1119" w:rsidRPr="00CF2600" w:rsidRDefault="000D1119" w:rsidP="000D1119">
      <w:pPr>
        <w:ind w:firstLine="720"/>
        <w:rPr>
          <w:szCs w:val="22"/>
        </w:rPr>
      </w:pPr>
    </w:p>
    <w:p w:rsidR="000D1119" w:rsidRPr="00CF2600" w:rsidRDefault="000D1119" w:rsidP="000D1119">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0D1119" w:rsidRPr="00CF2600" w:rsidRDefault="000D1119" w:rsidP="000D1119">
      <w:pPr>
        <w:ind w:left="1440" w:hanging="720"/>
        <w:rPr>
          <w:szCs w:val="22"/>
        </w:rPr>
      </w:pPr>
    </w:p>
    <w:p w:rsidR="000D1119" w:rsidRPr="00CF2600" w:rsidRDefault="000D1119" w:rsidP="000D1119">
      <w:pPr>
        <w:numPr>
          <w:ilvl w:val="0"/>
          <w:numId w:val="38"/>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0D1119" w:rsidRPr="00CF2600" w:rsidRDefault="000D1119" w:rsidP="000D1119">
      <w:pPr>
        <w:rPr>
          <w:rFonts w:eastAsia="Batang"/>
          <w:szCs w:val="22"/>
        </w:rPr>
      </w:pPr>
    </w:p>
    <w:p w:rsidR="000D1119" w:rsidRPr="00CF2600" w:rsidRDefault="000D1119" w:rsidP="000D1119">
      <w:pPr>
        <w:numPr>
          <w:ilvl w:val="0"/>
          <w:numId w:val="38"/>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0D1119" w:rsidRPr="00CF2600" w:rsidRDefault="000D1119" w:rsidP="000D1119">
      <w:pPr>
        <w:rPr>
          <w:szCs w:val="22"/>
        </w:rPr>
      </w:pPr>
    </w:p>
    <w:p w:rsidR="000D1119" w:rsidRPr="00CF2600" w:rsidRDefault="000D1119" w:rsidP="000D1119">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0D1119" w:rsidRPr="00CF2600" w:rsidRDefault="000D1119" w:rsidP="000D1119">
      <w:pPr>
        <w:ind w:firstLine="720"/>
        <w:rPr>
          <w:szCs w:val="22"/>
        </w:rPr>
      </w:pPr>
    </w:p>
    <w:p w:rsidR="000D1119" w:rsidRPr="00CF2600" w:rsidRDefault="000D1119" w:rsidP="000D1119">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sidR="00CF2600" w:rsidRPr="00CF2600">
        <w:rPr>
          <w:szCs w:val="22"/>
        </w:rPr>
        <w:t>4</w:t>
      </w:r>
      <w:r w:rsidR="00A85F72">
        <w:rPr>
          <w:szCs w:val="22"/>
        </w:rPr>
        <w:t>1</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0D1119" w:rsidRPr="00CF2600" w:rsidRDefault="000D1119" w:rsidP="000D1119">
      <w:pPr>
        <w:tabs>
          <w:tab w:val="left" w:pos="6030"/>
        </w:tabs>
        <w:autoSpaceDE w:val="0"/>
        <w:autoSpaceDN w:val="0"/>
        <w:adjustRightInd w:val="0"/>
        <w:ind w:firstLine="720"/>
        <w:rPr>
          <w:iCs/>
          <w:color w:val="000000"/>
          <w:szCs w:val="22"/>
        </w:rPr>
      </w:pPr>
    </w:p>
    <w:p w:rsidR="000D1119" w:rsidRPr="00CF2600" w:rsidRDefault="000D1119" w:rsidP="000D1119">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rsidR="000D1119" w:rsidRPr="00CF2600" w:rsidRDefault="000D1119" w:rsidP="000D1119">
      <w:pPr>
        <w:rPr>
          <w:szCs w:val="22"/>
        </w:rPr>
      </w:pPr>
    </w:p>
    <w:p w:rsidR="00240F62" w:rsidRPr="00CF2600" w:rsidRDefault="000D1119" w:rsidP="002D1F60">
      <w:pPr>
        <w:autoSpaceDE w:val="0"/>
        <w:autoSpaceDN w:val="0"/>
        <w:adjustRightInd w:val="0"/>
        <w:jc w:val="center"/>
        <w:rPr>
          <w:szCs w:val="22"/>
        </w:rPr>
      </w:pPr>
      <w:r w:rsidRPr="00CF2600">
        <w:rPr>
          <w:szCs w:val="22"/>
        </w:rPr>
        <w:t>- FCC -</w:t>
      </w: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8A" w:rsidRDefault="00026D8A">
      <w:r>
        <w:separator/>
      </w:r>
    </w:p>
  </w:endnote>
  <w:endnote w:type="continuationSeparator" w:id="0">
    <w:p w:rsidR="00026D8A" w:rsidRDefault="0002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581">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8A" w:rsidRDefault="00026D8A">
      <w:r>
        <w:separator/>
      </w:r>
    </w:p>
  </w:footnote>
  <w:footnote w:type="continuationSeparator" w:id="0">
    <w:p w:rsidR="00026D8A" w:rsidRDefault="00026D8A">
      <w:r>
        <w:continuationSeparator/>
      </w:r>
    </w:p>
  </w:footnote>
  <w:footnote w:id="1">
    <w:p w:rsidR="000D1119" w:rsidRPr="00190533" w:rsidRDefault="000D1119" w:rsidP="009E57A2">
      <w:pPr>
        <w:pStyle w:val="BodyText"/>
        <w:kinsoku w:val="0"/>
        <w:overflowPunct w:val="0"/>
        <w:spacing w:line="245" w:lineRule="exact"/>
        <w:rPr>
          <w:sz w:val="20"/>
        </w:rPr>
      </w:pPr>
      <w:r w:rsidRPr="00C40F1C">
        <w:rPr>
          <w:rStyle w:val="FootnoteReference"/>
          <w:sz w:val="20"/>
        </w:rPr>
        <w:footnoteRef/>
      </w:r>
      <w:r w:rsidRPr="00C40F1C">
        <w:rPr>
          <w:sz w:val="20"/>
        </w:rPr>
        <w:t xml:space="preserve"> The </w:t>
      </w:r>
      <w:r w:rsidRPr="00190533">
        <w:rPr>
          <w:sz w:val="20"/>
        </w:rPr>
        <w:t xml:space="preserve">Region </w:t>
      </w:r>
      <w:r w:rsidR="0076218B">
        <w:rPr>
          <w:sz w:val="20"/>
        </w:rPr>
        <w:t>4</w:t>
      </w:r>
      <w:r w:rsidR="00B0409A">
        <w:rPr>
          <w:sz w:val="20"/>
        </w:rPr>
        <w:t>1</w:t>
      </w:r>
      <w:r w:rsidRPr="00190533">
        <w:rPr>
          <w:sz w:val="20"/>
        </w:rPr>
        <w:t xml:space="preserve"> </w:t>
      </w:r>
      <w:r w:rsidRPr="00190533">
        <w:rPr>
          <w:sz w:val="20"/>
          <w:lang w:val="en"/>
        </w:rPr>
        <w:t xml:space="preserve">regional planning area </w:t>
      </w:r>
      <w:r w:rsidR="009E57A2" w:rsidRPr="00190533">
        <w:rPr>
          <w:sz w:val="20"/>
          <w:lang w:val="en"/>
        </w:rPr>
        <w:t>consists of</w:t>
      </w:r>
      <w:r w:rsidR="009E57A2" w:rsidRPr="00190533">
        <w:rPr>
          <w:spacing w:val="-1"/>
          <w:sz w:val="20"/>
        </w:rPr>
        <w:t xml:space="preserve"> </w:t>
      </w:r>
      <w:r w:rsidR="00B0409A">
        <w:rPr>
          <w:sz w:val="20"/>
        </w:rPr>
        <w:t>the entire state of Utah</w:t>
      </w:r>
      <w:r w:rsidR="009E57A2" w:rsidRPr="00190533">
        <w:rPr>
          <w:sz w:val="20"/>
        </w:rPr>
        <w:t>.</w:t>
      </w:r>
      <w:r w:rsidRPr="00190533">
        <w:rPr>
          <w:sz w:val="20"/>
        </w:rPr>
        <w:t xml:space="preserve">  </w:t>
      </w:r>
    </w:p>
  </w:footnote>
  <w:footnote w:id="2">
    <w:p w:rsidR="000D1119" w:rsidRPr="007D594B" w:rsidRDefault="000D1119" w:rsidP="000D1119">
      <w:pPr>
        <w:widowControl w:val="0"/>
        <w:spacing w:after="120"/>
        <w:ind w:right="-18"/>
        <w:rPr>
          <w:sz w:val="20"/>
        </w:rPr>
      </w:pPr>
      <w:r w:rsidRPr="00190533">
        <w:rPr>
          <w:rStyle w:val="FootnoteReference"/>
          <w:sz w:val="20"/>
        </w:rPr>
        <w:footnoteRef/>
      </w:r>
      <w:r w:rsidRPr="00190533">
        <w:rPr>
          <w:sz w:val="20"/>
        </w:rPr>
        <w:t xml:space="preserve"> </w:t>
      </w:r>
      <w:r w:rsidRPr="00190533">
        <w:rPr>
          <w:i/>
          <w:sz w:val="20"/>
        </w:rPr>
        <w:t xml:space="preserve">See </w:t>
      </w:r>
      <w:r w:rsidRPr="00190533">
        <w:rPr>
          <w:sz w:val="20"/>
        </w:rPr>
        <w:t xml:space="preserve">Letter from </w:t>
      </w:r>
      <w:r w:rsidR="00B0409A">
        <w:rPr>
          <w:sz w:val="20"/>
        </w:rPr>
        <w:t>Steve Proctor</w:t>
      </w:r>
      <w:r w:rsidRPr="00190533">
        <w:rPr>
          <w:sz w:val="20"/>
        </w:rPr>
        <w:t xml:space="preserve">, Chair, Region </w:t>
      </w:r>
      <w:r w:rsidR="0076218B">
        <w:rPr>
          <w:sz w:val="20"/>
        </w:rPr>
        <w:t>4</w:t>
      </w:r>
      <w:r w:rsidR="00B0409A">
        <w:rPr>
          <w:sz w:val="20"/>
        </w:rPr>
        <w:t>1</w:t>
      </w:r>
      <w:r w:rsidRPr="00190533">
        <w:rPr>
          <w:sz w:val="20"/>
        </w:rPr>
        <w:t xml:space="preserve"> 700 MHz Regional Planning Committee, to Chief, Public Safety and Homeland Security Bureau, Federal Communications Commission, WT Docket No. 02-378 (filed </w:t>
      </w:r>
      <w:r w:rsidR="00B0409A">
        <w:rPr>
          <w:sz w:val="20"/>
        </w:rPr>
        <w:t>April 4, 2016 and May 27, 2016</w:t>
      </w:r>
      <w:r w:rsidRPr="00190533">
        <w:rPr>
          <w:sz w:val="20"/>
        </w:rPr>
        <w:t>)</w:t>
      </w:r>
      <w:r w:rsidRPr="007D594B">
        <w:rPr>
          <w:sz w:val="20"/>
        </w:rPr>
        <w:t xml:space="preserve"> (Cover Letter)</w:t>
      </w:r>
      <w:r w:rsidR="00FE78AE">
        <w:rPr>
          <w:sz w:val="20"/>
        </w:rPr>
        <w:t xml:space="preserve"> accompanying </w:t>
      </w:r>
      <w:r w:rsidR="00005C4A">
        <w:rPr>
          <w:sz w:val="20"/>
        </w:rPr>
        <w:t xml:space="preserve">the </w:t>
      </w:r>
      <w:r w:rsidR="00FE78AE">
        <w:rPr>
          <w:sz w:val="20"/>
        </w:rPr>
        <w:t>Plan Amendment.</w:t>
      </w:r>
    </w:p>
  </w:footnote>
  <w:footnote w:id="3">
    <w:p w:rsidR="000D1119" w:rsidRPr="007D594B" w:rsidRDefault="000D1119" w:rsidP="000D1119">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rsidR="00FE78AE" w:rsidRDefault="00FE78AE">
      <w:pPr>
        <w:pStyle w:val="FootnoteText"/>
      </w:pPr>
      <w:r>
        <w:rPr>
          <w:rStyle w:val="FootnoteReference"/>
        </w:rPr>
        <w:footnoteRef/>
      </w:r>
      <w:r>
        <w:t xml:space="preserve"> </w:t>
      </w:r>
      <w:r w:rsidRPr="00190533">
        <w:rPr>
          <w:i/>
          <w:sz w:val="20"/>
        </w:rPr>
        <w:t>See</w:t>
      </w:r>
      <w:r w:rsidRPr="00190533">
        <w:rPr>
          <w:sz w:val="20"/>
        </w:rPr>
        <w:t xml:space="preserve"> Letter from </w:t>
      </w:r>
      <w:r>
        <w:rPr>
          <w:sz w:val="20"/>
        </w:rPr>
        <w:t xml:space="preserve">Harold </w:t>
      </w:r>
      <w:r w:rsidR="00A854A6">
        <w:rPr>
          <w:sz w:val="20"/>
        </w:rPr>
        <w:t xml:space="preserve">C. </w:t>
      </w:r>
      <w:r>
        <w:rPr>
          <w:sz w:val="20"/>
        </w:rPr>
        <w:t>Clements</w:t>
      </w:r>
      <w:r w:rsidRPr="00190533">
        <w:rPr>
          <w:sz w:val="20"/>
        </w:rPr>
        <w:t xml:space="preserve">, Chair, Region </w:t>
      </w:r>
      <w:r>
        <w:rPr>
          <w:sz w:val="20"/>
        </w:rPr>
        <w:t>41</w:t>
      </w:r>
      <w:r w:rsidRPr="00190533">
        <w:rPr>
          <w:sz w:val="20"/>
        </w:rPr>
        <w:t xml:space="preserve"> 700 MHz Regional Planning Committee, to Chief, Public Safety and Homeland Security Bureau, Federal Communications Commission, WT Docket No. 02-378 (filed </w:t>
      </w:r>
      <w:r>
        <w:rPr>
          <w:sz w:val="20"/>
        </w:rPr>
        <w:t>June 28, 2016</w:t>
      </w:r>
      <w:r w:rsidRPr="00190533">
        <w:rPr>
          <w:sz w:val="20"/>
        </w:rPr>
        <w:t>)</w:t>
      </w:r>
      <w:r w:rsidRPr="007D594B">
        <w:rPr>
          <w:sz w:val="20"/>
        </w:rPr>
        <w:t xml:space="preserve"> </w:t>
      </w:r>
      <w:r>
        <w:rPr>
          <w:sz w:val="20"/>
        </w:rPr>
        <w:t xml:space="preserve">and </w:t>
      </w:r>
      <w:r w:rsidRPr="007D594B">
        <w:rPr>
          <w:sz w:val="20"/>
        </w:rPr>
        <w:t>accompanying Plan Amendment</w:t>
      </w:r>
      <w:r>
        <w:rPr>
          <w:sz w:val="20"/>
        </w:rPr>
        <w:t xml:space="preserve"> version 2</w:t>
      </w:r>
      <w:r w:rsidRPr="007D594B">
        <w:rPr>
          <w:sz w:val="20"/>
        </w:rPr>
        <w:t>.</w:t>
      </w:r>
      <w:r>
        <w:rPr>
          <w:sz w:val="20"/>
        </w:rPr>
        <w:t>1.</w:t>
      </w:r>
      <w:r w:rsidRPr="007D594B">
        <w:rPr>
          <w:sz w:val="20"/>
        </w:rPr>
        <w:t xml:space="preserve">      </w:t>
      </w:r>
    </w:p>
  </w:footnote>
  <w:footnote w:id="5">
    <w:p w:rsidR="000D1119" w:rsidRPr="007D594B" w:rsidRDefault="000D1119" w:rsidP="00CF2600">
      <w:pPr>
        <w:tabs>
          <w:tab w:val="center" w:pos="4680"/>
        </w:tabs>
        <w:suppressAutoHyphens/>
        <w:spacing w:after="120"/>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CFR § 90.527; </w:t>
      </w:r>
      <w:r w:rsidRPr="007D594B">
        <w:rPr>
          <w:i/>
          <w:sz w:val="20"/>
        </w:rPr>
        <w:t xml:space="preserve">see also </w:t>
      </w:r>
      <w:r w:rsidRPr="00CF2600">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CF2600">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CF2600">
        <w:rPr>
          <w:i/>
          <w:sz w:val="20"/>
        </w:rPr>
        <w:t xml:space="preserve">Development of Operational, Technical and Spectrum Requirements </w:t>
      </w:r>
      <w:r w:rsidR="00005C4A">
        <w:rPr>
          <w:i/>
          <w:sz w:val="20"/>
        </w:rPr>
        <w:t>f</w:t>
      </w:r>
      <w:r w:rsidRPr="00CF2600">
        <w:rPr>
          <w:i/>
          <w:sz w:val="20"/>
        </w:rPr>
        <w:t>or Meeting Federal, State and Local Public Safety Agency Communication Requirements Through the Year 2010</w:t>
      </w:r>
      <w:r w:rsidRPr="007D594B">
        <w:rPr>
          <w:sz w:val="20"/>
        </w:rPr>
        <w:t xml:space="preserve">, </w:t>
      </w:r>
      <w:r w:rsidRPr="00CF2600">
        <w:rPr>
          <w:sz w:val="20"/>
        </w:rPr>
        <w:t>Second Memorandum Opinion and Order</w:t>
      </w:r>
      <w:r w:rsidRPr="007D594B">
        <w:rPr>
          <w:sz w:val="20"/>
        </w:rPr>
        <w:t xml:space="preserve">, 15 FCC Rcd 16844 (2000).  </w:t>
      </w:r>
    </w:p>
  </w:footnote>
  <w:footnote w:id="6">
    <w:p w:rsidR="000D1119" w:rsidRPr="007D594B" w:rsidRDefault="000D1119" w:rsidP="00CF2600">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47 CF</w:t>
      </w:r>
      <w:r w:rsidR="001151E5">
        <w:rPr>
          <w:sz w:val="20"/>
        </w:rPr>
        <w:t>R</w:t>
      </w:r>
      <w:r w:rsidRPr="007D594B">
        <w:rPr>
          <w:sz w:val="20"/>
        </w:rPr>
        <w:t xml:space="preserve"> § 90.527.  Each RPC must incorporate certain common elements into its 700 MHz plan.  A list of 700 MHz RPCs and region activities is available at http://www.fcc.gov/pshs/public-safety-spectrum/700-MHz/.  </w:t>
      </w:r>
    </w:p>
  </w:footnote>
  <w:footnote w:id="7">
    <w:p w:rsidR="000D1119" w:rsidRPr="007D594B" w:rsidRDefault="000D1119" w:rsidP="000D1119">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xml:space="preserve">, 14 FCC Rcd at 195 </w:t>
      </w:r>
      <w:r w:rsidR="00CF2600">
        <w:rPr>
          <w:sz w:val="20"/>
        </w:rPr>
        <w:t>para.</w:t>
      </w:r>
      <w:r w:rsidRPr="007D594B">
        <w:rPr>
          <w:sz w:val="20"/>
        </w:rPr>
        <w:t xml:space="preserve"> 87.</w:t>
      </w:r>
    </w:p>
  </w:footnote>
  <w:footnote w:id="8">
    <w:p w:rsidR="000D1119" w:rsidRPr="001151E5" w:rsidRDefault="000D1119" w:rsidP="000D1119">
      <w:pPr>
        <w:pStyle w:val="FootnoteText"/>
        <w:rPr>
          <w:sz w:val="20"/>
        </w:rPr>
      </w:pPr>
      <w:r w:rsidRPr="001151E5">
        <w:rPr>
          <w:rStyle w:val="FootnoteReference"/>
          <w:rFonts w:eastAsiaTheme="minorEastAsia"/>
          <w:sz w:val="20"/>
        </w:rPr>
        <w:footnoteRef/>
      </w:r>
      <w:r w:rsidRPr="001151E5">
        <w:rPr>
          <w:sz w:val="20"/>
        </w:rPr>
        <w:t xml:space="preserve"> </w:t>
      </w:r>
      <w:r w:rsidRPr="001151E5">
        <w:rPr>
          <w:i/>
          <w:sz w:val="20"/>
        </w:rPr>
        <w:t>Proposed Amendments to the Service Rules Governing Public Safety Narrowband Operations in the 769-775/799-805 MHz Bands</w:t>
      </w:r>
      <w:r w:rsidR="00CF2600" w:rsidRPr="001151E5">
        <w:rPr>
          <w:sz w:val="20"/>
        </w:rPr>
        <w:t xml:space="preserve">, </w:t>
      </w:r>
      <w:r w:rsidRPr="001151E5">
        <w:rPr>
          <w:iCs/>
          <w:sz w:val="20"/>
        </w:rPr>
        <w:t xml:space="preserve">Report and Order, 29 FCC Rcd 13283 (2014) </w:t>
      </w:r>
      <w:r w:rsidRPr="001151E5">
        <w:rPr>
          <w:sz w:val="20"/>
        </w:rPr>
        <w:t>(</w:t>
      </w:r>
      <w:r w:rsidRPr="001151E5">
        <w:rPr>
          <w:i/>
          <w:iCs/>
          <w:sz w:val="20"/>
        </w:rPr>
        <w:t>Report and Order</w:t>
      </w:r>
      <w:r w:rsidRPr="001151E5">
        <w:rPr>
          <w:sz w:val="20"/>
        </w:rPr>
        <w:t>).</w:t>
      </w:r>
    </w:p>
  </w:footnote>
  <w:footnote w:id="9">
    <w:p w:rsidR="000D1119" w:rsidRPr="001151E5" w:rsidRDefault="000D1119" w:rsidP="000D1119">
      <w:pPr>
        <w:pStyle w:val="FootnoteText"/>
        <w:rPr>
          <w:sz w:val="20"/>
        </w:rPr>
      </w:pPr>
      <w:r w:rsidRPr="001151E5">
        <w:rPr>
          <w:rStyle w:val="FootnoteReference"/>
          <w:rFonts w:eastAsiaTheme="minorEastAsia"/>
          <w:sz w:val="20"/>
        </w:rPr>
        <w:footnoteRef/>
      </w:r>
      <w:r w:rsidRPr="001151E5">
        <w:rPr>
          <w:sz w:val="20"/>
        </w:rPr>
        <w:t xml:space="preserve"> </w:t>
      </w:r>
      <w:r w:rsidRPr="001151E5">
        <w:rPr>
          <w:i/>
          <w:sz w:val="20"/>
        </w:rPr>
        <w:t>Id</w:t>
      </w:r>
      <w:r w:rsidRPr="001151E5">
        <w:rPr>
          <w:sz w:val="20"/>
        </w:rPr>
        <w:t xml:space="preserve">. at 13297 </w:t>
      </w:r>
      <w:r w:rsidR="00CF2600" w:rsidRPr="001151E5">
        <w:rPr>
          <w:sz w:val="20"/>
        </w:rPr>
        <w:t>para.</w:t>
      </w:r>
      <w:r w:rsidRPr="001151E5">
        <w:rPr>
          <w:sz w:val="20"/>
        </w:rPr>
        <w:t xml:space="preserve"> 39.  47 CFR § 90.531(b)(2).</w:t>
      </w:r>
    </w:p>
  </w:footnote>
  <w:footnote w:id="10">
    <w:p w:rsidR="000D1119" w:rsidRPr="001151E5" w:rsidRDefault="000D1119" w:rsidP="000D1119">
      <w:pPr>
        <w:pStyle w:val="FootnoteText"/>
        <w:rPr>
          <w:sz w:val="20"/>
        </w:rPr>
      </w:pPr>
      <w:r w:rsidRPr="001151E5">
        <w:rPr>
          <w:rStyle w:val="FootnoteReference"/>
          <w:rFonts w:eastAsiaTheme="minorEastAsia"/>
          <w:sz w:val="20"/>
        </w:rPr>
        <w:footnoteRef/>
      </w:r>
      <w:r w:rsidRPr="001151E5">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1151E5">
        <w:rPr>
          <w:i/>
          <w:sz w:val="20"/>
        </w:rPr>
        <w:t xml:space="preserve">See </w:t>
      </w:r>
      <w:r w:rsidRPr="001151E5">
        <w:rPr>
          <w:sz w:val="20"/>
        </w:rPr>
        <w:t xml:space="preserve">47 </w:t>
      </w:r>
      <w:r w:rsidR="001151E5">
        <w:rPr>
          <w:sz w:val="20"/>
        </w:rPr>
        <w:t>CFR</w:t>
      </w:r>
      <w:r w:rsidRPr="001151E5">
        <w:rPr>
          <w:sz w:val="20"/>
        </w:rPr>
        <w:t xml:space="preserve"> § 90.303.  There are no T-Band public safety incumbents in Cleveland, Ohio, or Detroit, Michigan.  </w:t>
      </w:r>
      <w:r w:rsidRPr="001151E5">
        <w:rPr>
          <w:i/>
          <w:sz w:val="20"/>
        </w:rPr>
        <w:t>Id</w:t>
      </w:r>
      <w:r w:rsidRPr="001151E5">
        <w:rPr>
          <w:sz w:val="20"/>
        </w:rPr>
        <w:t>.</w:t>
      </w:r>
    </w:p>
  </w:footnote>
  <w:footnote w:id="11">
    <w:p w:rsidR="000D1119" w:rsidRPr="00CF2600" w:rsidRDefault="000D1119" w:rsidP="000D1119">
      <w:pPr>
        <w:pStyle w:val="FootnoteText"/>
        <w:rPr>
          <w:sz w:val="20"/>
        </w:rPr>
      </w:pPr>
      <w:r w:rsidRPr="00CF2600">
        <w:rPr>
          <w:rStyle w:val="FootnoteReference"/>
          <w:rFonts w:eastAsiaTheme="minorEastAsia"/>
          <w:sz w:val="20"/>
        </w:rPr>
        <w:footnoteRef/>
      </w:r>
      <w:r w:rsidRPr="00CF2600">
        <w:rPr>
          <w:sz w:val="20"/>
        </w:rPr>
        <w:t xml:space="preserve"> 47 CFR §§ 90.303, 90.305.</w:t>
      </w:r>
    </w:p>
  </w:footnote>
  <w:footnote w:id="12">
    <w:p w:rsidR="000D1119" w:rsidRPr="00CF2600" w:rsidRDefault="000D1119" w:rsidP="000D1119">
      <w:pPr>
        <w:pStyle w:val="FootnoteText"/>
        <w:rPr>
          <w:sz w:val="20"/>
        </w:rPr>
      </w:pPr>
      <w:r w:rsidRPr="00CF2600">
        <w:rPr>
          <w:rStyle w:val="FootnoteReference"/>
          <w:rFonts w:eastAsiaTheme="minorEastAsia"/>
          <w:sz w:val="20"/>
        </w:rPr>
        <w:footnoteRef/>
      </w:r>
      <w:r w:rsidRPr="00CF2600">
        <w:rPr>
          <w:sz w:val="20"/>
        </w:rPr>
        <w:t xml:space="preserve"> </w:t>
      </w:r>
      <w:r w:rsidRPr="00CF2600">
        <w:rPr>
          <w:i/>
          <w:iCs/>
          <w:color w:val="000000"/>
          <w:sz w:val="20"/>
        </w:rPr>
        <w:t>Report and Order</w:t>
      </w:r>
      <w:r w:rsidRPr="00CF2600">
        <w:rPr>
          <w:iCs/>
          <w:color w:val="000000"/>
          <w:sz w:val="20"/>
        </w:rPr>
        <w:t>, 29 FCC Rcd at</w:t>
      </w:r>
      <w:r w:rsidR="001151E5">
        <w:rPr>
          <w:iCs/>
          <w:color w:val="000000"/>
          <w:sz w:val="20"/>
        </w:rPr>
        <w:t xml:space="preserve"> </w:t>
      </w:r>
      <w:r w:rsidRPr="00CF2600">
        <w:rPr>
          <w:iCs/>
          <w:color w:val="000000"/>
          <w:sz w:val="20"/>
        </w:rPr>
        <w:t xml:space="preserve">13298-99 </w:t>
      </w:r>
      <w:r w:rsidR="00CF2600" w:rsidRPr="00CF2600">
        <w:rPr>
          <w:iCs/>
          <w:color w:val="000000"/>
          <w:sz w:val="20"/>
        </w:rPr>
        <w:t>paras.</w:t>
      </w:r>
      <w:r w:rsidRPr="00CF2600">
        <w:rPr>
          <w:iCs/>
          <w:color w:val="000000"/>
          <w:sz w:val="20"/>
        </w:rPr>
        <w:t xml:space="preserve"> 43-45.  </w:t>
      </w:r>
    </w:p>
  </w:footnote>
  <w:footnote w:id="13">
    <w:p w:rsidR="000D1119" w:rsidRPr="00CF2600" w:rsidRDefault="000D1119" w:rsidP="000D1119">
      <w:pPr>
        <w:pStyle w:val="FootnoteText"/>
        <w:rPr>
          <w:sz w:val="20"/>
        </w:rPr>
      </w:pPr>
      <w:r w:rsidRPr="00CF2600">
        <w:rPr>
          <w:rStyle w:val="FootnoteReference"/>
          <w:rFonts w:eastAsiaTheme="minorEastAsia"/>
          <w:sz w:val="20"/>
        </w:rPr>
        <w:footnoteRef/>
      </w:r>
      <w:r w:rsidRPr="00CF2600">
        <w:rPr>
          <w:sz w:val="20"/>
        </w:rPr>
        <w:t xml:space="preserve"> </w:t>
      </w:r>
      <w:r w:rsidRPr="00CF2600">
        <w:rPr>
          <w:i/>
          <w:sz w:val="20"/>
        </w:rPr>
        <w:t>Id</w:t>
      </w:r>
      <w:r w:rsidRPr="00CF2600">
        <w:rPr>
          <w:sz w:val="20"/>
        </w:rPr>
        <w:t xml:space="preserve">. at 13299 </w:t>
      </w:r>
      <w:r w:rsidR="00CF2600" w:rsidRPr="00CF2600">
        <w:rPr>
          <w:iCs/>
          <w:color w:val="000000"/>
          <w:sz w:val="20"/>
        </w:rPr>
        <w:t>para.</w:t>
      </w:r>
      <w:r w:rsidRPr="00CF2600">
        <w:rPr>
          <w:iCs/>
          <w:color w:val="000000"/>
          <w:sz w:val="20"/>
        </w:rPr>
        <w:t xml:space="preserve"> 46, 13301 </w:t>
      </w:r>
      <w:r w:rsidR="00CF2600" w:rsidRPr="00CF2600">
        <w:rPr>
          <w:iCs/>
          <w:color w:val="000000"/>
          <w:sz w:val="20"/>
        </w:rPr>
        <w:t>para.</w:t>
      </w:r>
      <w:r w:rsidRPr="00CF2600">
        <w:rPr>
          <w:iCs/>
          <w:color w:val="000000"/>
          <w:sz w:val="20"/>
        </w:rPr>
        <w:t xml:space="preserve"> 51.  </w:t>
      </w:r>
    </w:p>
  </w:footnote>
  <w:footnote w:id="14">
    <w:p w:rsidR="000D1119" w:rsidRPr="00CF2600" w:rsidRDefault="000D1119" w:rsidP="000D1119">
      <w:pPr>
        <w:pStyle w:val="FootnoteText"/>
        <w:rPr>
          <w:sz w:val="20"/>
        </w:rPr>
      </w:pPr>
      <w:r w:rsidRPr="00CF2600">
        <w:rPr>
          <w:rStyle w:val="FootnoteReference"/>
          <w:rFonts w:eastAsiaTheme="minorEastAsia"/>
          <w:sz w:val="20"/>
        </w:rPr>
        <w:footnoteRef/>
      </w:r>
      <w:r w:rsidRPr="00CF2600">
        <w:rPr>
          <w:sz w:val="20"/>
        </w:rPr>
        <w:t xml:space="preserve"> </w:t>
      </w:r>
      <w:r w:rsidRPr="00CF2600">
        <w:rPr>
          <w:i/>
          <w:sz w:val="20"/>
        </w:rPr>
        <w:t>Id</w:t>
      </w:r>
      <w:r w:rsidRPr="00CF2600">
        <w:rPr>
          <w:sz w:val="20"/>
        </w:rPr>
        <w:t>. at foot</w:t>
      </w:r>
      <w:r w:rsidRPr="00CF2600">
        <w:rPr>
          <w:iCs/>
          <w:color w:val="000000"/>
          <w:sz w:val="20"/>
        </w:rPr>
        <w:t>note 126.</w:t>
      </w:r>
    </w:p>
  </w:footnote>
  <w:footnote w:id="15">
    <w:p w:rsidR="000D1119" w:rsidRPr="00CF2600" w:rsidRDefault="000D1119" w:rsidP="000D1119">
      <w:pPr>
        <w:pStyle w:val="FootnoteText"/>
        <w:rPr>
          <w:sz w:val="20"/>
        </w:rPr>
      </w:pPr>
      <w:r w:rsidRPr="00CF2600">
        <w:rPr>
          <w:rStyle w:val="FootnoteReference"/>
          <w:sz w:val="20"/>
        </w:rPr>
        <w:footnoteRef/>
      </w:r>
      <w:r w:rsidRPr="00CF2600">
        <w:rPr>
          <w:sz w:val="20"/>
        </w:rPr>
        <w:t xml:space="preserve"> </w:t>
      </w:r>
      <w:r w:rsidRPr="00CF2600">
        <w:rPr>
          <w:i/>
          <w:sz w:val="20"/>
        </w:rPr>
        <w:t>Public Safety and Homeland Security Bureau Provides Guidance for Licensing Channels in the Former 700 MHz Narrowband Reserve Spectrum</w:t>
      </w:r>
      <w:r w:rsidRPr="00CF2600">
        <w:rPr>
          <w:sz w:val="20"/>
        </w:rPr>
        <w:t>, Public Notice, 30 FCC Rcd 124 (PSHSB 2015).</w:t>
      </w:r>
    </w:p>
  </w:footnote>
  <w:footnote w:id="16">
    <w:p w:rsidR="000D1119" w:rsidRPr="00CF2600" w:rsidRDefault="000D1119" w:rsidP="000D1119">
      <w:pPr>
        <w:spacing w:after="120"/>
        <w:rPr>
          <w:b/>
          <w:sz w:val="20"/>
        </w:rPr>
      </w:pPr>
      <w:r w:rsidRPr="00CF2600">
        <w:rPr>
          <w:rStyle w:val="FootnoteReference"/>
          <w:sz w:val="20"/>
        </w:rPr>
        <w:footnoteRef/>
      </w:r>
      <w:r w:rsidRPr="00CF2600">
        <w:rPr>
          <w:sz w:val="20"/>
        </w:rPr>
        <w:t xml:space="preserve"> </w:t>
      </w:r>
      <w:r w:rsidRPr="00CF2600">
        <w:rPr>
          <w:i/>
          <w:sz w:val="20"/>
        </w:rPr>
        <w:t>Public Safety and Homeland Security Bureau Approves Recommended Nationwide Channels for Deployable Trunked Systems in the 700 MHz Narrowband Public Safety Band</w:t>
      </w:r>
      <w:r w:rsidRPr="00CF2600">
        <w:rPr>
          <w:sz w:val="20"/>
        </w:rPr>
        <w:t>, Public Notice, 30 FCC Rcd 3723 (PSHSB 2015).</w:t>
      </w:r>
    </w:p>
  </w:footnote>
  <w:footnote w:id="17">
    <w:p w:rsidR="000D1119" w:rsidRPr="00CF2600" w:rsidRDefault="000D1119" w:rsidP="000D1119">
      <w:pPr>
        <w:pStyle w:val="FootnoteText"/>
        <w:spacing w:after="120"/>
        <w:rPr>
          <w:sz w:val="20"/>
        </w:rPr>
      </w:pPr>
      <w:r w:rsidRPr="00CF2600">
        <w:rPr>
          <w:rStyle w:val="FootnoteReference"/>
          <w:sz w:val="20"/>
        </w:rPr>
        <w:footnoteRef/>
      </w:r>
      <w:r w:rsidRPr="00CF2600">
        <w:rPr>
          <w:sz w:val="20"/>
        </w:rPr>
        <w:t xml:space="preserve"> </w:t>
      </w:r>
      <w:r w:rsidRPr="00CF2600">
        <w:rPr>
          <w:i/>
          <w:sz w:val="20"/>
        </w:rPr>
        <w:t>Proposed Amendments to the Service Rules Governing Public Safety Narrowband Operations in the 769-775/799-805 MHz Bands,</w:t>
      </w:r>
      <w:r w:rsidRPr="00CF2600">
        <w:rPr>
          <w:sz w:val="20"/>
        </w:rPr>
        <w:t xml:space="preserve"> </w:t>
      </w:r>
      <w:r w:rsidRPr="00CF2600">
        <w:rPr>
          <w:i/>
          <w:sz w:val="20"/>
        </w:rPr>
        <w:t>et al</w:t>
      </w:r>
      <w:r w:rsidRPr="00CF2600">
        <w:rPr>
          <w:sz w:val="20"/>
        </w:rPr>
        <w:t>, Order, 30 FCC 3699 (PSHSB 2015).</w:t>
      </w:r>
      <w:r w:rsidR="00955582">
        <w:rPr>
          <w:sz w:val="20"/>
        </w:rPr>
        <w:t xml:space="preserve">  </w:t>
      </w:r>
      <w:r w:rsidR="00B0409A">
        <w:rPr>
          <w:sz w:val="20"/>
        </w:rPr>
        <w:t xml:space="preserve"> On our own motion, </w:t>
      </w:r>
      <w:r w:rsidR="00005C4A">
        <w:rPr>
          <w:sz w:val="20"/>
        </w:rPr>
        <w:t xml:space="preserve">and because no party will be prejudiced thereby, </w:t>
      </w:r>
      <w:r w:rsidR="00B0409A">
        <w:rPr>
          <w:sz w:val="20"/>
        </w:rPr>
        <w:t>we find good cause to waive the October 30, 2015 filing deadline and accept the late-filed Plan Amendment.</w:t>
      </w:r>
    </w:p>
  </w:footnote>
  <w:footnote w:id="18">
    <w:p w:rsidR="000D1119" w:rsidRPr="00CF2600" w:rsidRDefault="000D1119" w:rsidP="000D1119">
      <w:pPr>
        <w:pStyle w:val="FootnoteText"/>
        <w:rPr>
          <w:sz w:val="20"/>
        </w:rPr>
      </w:pPr>
      <w:r w:rsidRPr="00CF2600">
        <w:rPr>
          <w:rStyle w:val="FootnoteReference"/>
          <w:sz w:val="20"/>
        </w:rPr>
        <w:footnoteRef/>
      </w:r>
      <w:r w:rsidRPr="00CF2600">
        <w:rPr>
          <w:sz w:val="20"/>
        </w:rPr>
        <w:t xml:space="preserve"> </w:t>
      </w:r>
      <w:r w:rsidR="00007721" w:rsidRPr="00CF2600">
        <w:rPr>
          <w:sz w:val="20"/>
        </w:rPr>
        <w:t xml:space="preserve">Cover Letter and </w:t>
      </w:r>
      <w:r w:rsidR="0076218B" w:rsidRPr="00CF2600">
        <w:rPr>
          <w:sz w:val="20"/>
        </w:rPr>
        <w:t xml:space="preserve">Plan Amendment at </w:t>
      </w:r>
      <w:r w:rsidR="001B63AA">
        <w:rPr>
          <w:sz w:val="20"/>
        </w:rPr>
        <w:t>14-15</w:t>
      </w:r>
      <w:r w:rsidR="00F630E8" w:rsidRPr="00CF2600">
        <w:rPr>
          <w:sz w:val="20"/>
        </w:rPr>
        <w:t>.</w:t>
      </w:r>
    </w:p>
  </w:footnote>
  <w:footnote w:id="19">
    <w:p w:rsidR="00A8379E" w:rsidRPr="00A65FB5" w:rsidRDefault="00A8379E">
      <w:pPr>
        <w:pStyle w:val="FootnoteText"/>
        <w:rPr>
          <w:sz w:val="20"/>
        </w:rPr>
      </w:pPr>
      <w:r w:rsidRPr="00A65FB5">
        <w:rPr>
          <w:rStyle w:val="FootnoteReference"/>
          <w:sz w:val="20"/>
        </w:rPr>
        <w:footnoteRef/>
      </w:r>
      <w:r w:rsidRPr="00A65FB5">
        <w:rPr>
          <w:sz w:val="20"/>
        </w:rPr>
        <w:t xml:space="preserve"> </w:t>
      </w:r>
      <w:r w:rsidR="00BD3A46" w:rsidRPr="00A65FB5">
        <w:rPr>
          <w:i/>
          <w:sz w:val="20"/>
        </w:rPr>
        <w:t>Id</w:t>
      </w:r>
      <w:r w:rsidR="00BD3A46" w:rsidRPr="00A65FB5">
        <w:rPr>
          <w:sz w:val="20"/>
        </w:rPr>
        <w:t>.</w:t>
      </w:r>
      <w:r w:rsidR="001B63AA">
        <w:rPr>
          <w:sz w:val="20"/>
        </w:rPr>
        <w:t xml:space="preserve"> at 15.</w:t>
      </w:r>
    </w:p>
  </w:footnote>
  <w:footnote w:id="20">
    <w:p w:rsidR="00A8379E" w:rsidRPr="00A65FB5" w:rsidRDefault="00A8379E">
      <w:pPr>
        <w:pStyle w:val="FootnoteText"/>
        <w:rPr>
          <w:sz w:val="20"/>
        </w:rPr>
      </w:pPr>
      <w:r w:rsidRPr="00A65FB5">
        <w:rPr>
          <w:rStyle w:val="FootnoteReference"/>
          <w:sz w:val="20"/>
        </w:rPr>
        <w:footnoteRef/>
      </w:r>
      <w:r w:rsidRPr="00A65FB5">
        <w:rPr>
          <w:sz w:val="20"/>
        </w:rPr>
        <w:t xml:space="preserve"> </w:t>
      </w:r>
      <w:r w:rsidRPr="00A65FB5">
        <w:rPr>
          <w:i/>
          <w:sz w:val="20"/>
        </w:rPr>
        <w:t>Id</w:t>
      </w:r>
      <w:r w:rsidRPr="00A65FB5">
        <w:rPr>
          <w:sz w:val="20"/>
        </w:rPr>
        <w:t>.</w:t>
      </w:r>
    </w:p>
  </w:footnote>
  <w:footnote w:id="21">
    <w:p w:rsidR="00A8379E" w:rsidRPr="00E16C2D" w:rsidRDefault="00A8379E">
      <w:pPr>
        <w:pStyle w:val="FootnoteText"/>
        <w:rPr>
          <w:sz w:val="20"/>
        </w:rPr>
      </w:pPr>
      <w:r w:rsidRPr="00531AC5">
        <w:rPr>
          <w:rStyle w:val="FootnoteReference"/>
          <w:sz w:val="20"/>
        </w:rPr>
        <w:footnoteRef/>
      </w:r>
      <w:r w:rsidRPr="00531AC5">
        <w:rPr>
          <w:sz w:val="20"/>
        </w:rPr>
        <w:t xml:space="preserve"> </w:t>
      </w:r>
      <w:r w:rsidR="00513782" w:rsidRPr="00531AC5">
        <w:rPr>
          <w:i/>
          <w:sz w:val="20"/>
        </w:rPr>
        <w:t>Id</w:t>
      </w:r>
      <w:r w:rsidR="00513782" w:rsidRPr="00531AC5">
        <w:rPr>
          <w:sz w:val="20"/>
        </w:rPr>
        <w:t xml:space="preserve">.  </w:t>
      </w:r>
    </w:p>
  </w:footnote>
  <w:footnote w:id="22">
    <w:p w:rsidR="001B63AA" w:rsidRPr="00E16C2D" w:rsidRDefault="001B63AA">
      <w:pPr>
        <w:pStyle w:val="FootnoteText"/>
        <w:rPr>
          <w:sz w:val="20"/>
        </w:rPr>
      </w:pPr>
      <w:r w:rsidRPr="00E16C2D">
        <w:rPr>
          <w:rStyle w:val="FootnoteReference"/>
          <w:sz w:val="20"/>
        </w:rPr>
        <w:footnoteRef/>
      </w:r>
      <w:r w:rsidRPr="00E16C2D">
        <w:rPr>
          <w:sz w:val="20"/>
        </w:rPr>
        <w:t xml:space="preserve"> </w:t>
      </w:r>
      <w:r w:rsidRPr="00E16C2D">
        <w:rPr>
          <w:i/>
          <w:sz w:val="20"/>
        </w:rPr>
        <w:t>Id</w:t>
      </w:r>
      <w:r w:rsidRPr="00E16C2D">
        <w:rPr>
          <w:sz w:val="20"/>
        </w:rPr>
        <w:t>. at 16.</w:t>
      </w:r>
    </w:p>
  </w:footnote>
  <w:footnote w:id="23">
    <w:p w:rsidR="001B63AA" w:rsidRPr="00E16C2D" w:rsidRDefault="001B63AA">
      <w:pPr>
        <w:pStyle w:val="FootnoteText"/>
        <w:rPr>
          <w:sz w:val="20"/>
        </w:rPr>
      </w:pPr>
      <w:r w:rsidRPr="00E16C2D">
        <w:rPr>
          <w:rStyle w:val="FootnoteReference"/>
          <w:sz w:val="20"/>
        </w:rPr>
        <w:footnoteRef/>
      </w:r>
      <w:r w:rsidRPr="00E16C2D">
        <w:rPr>
          <w:sz w:val="20"/>
        </w:rPr>
        <w:t xml:space="preserve"> </w:t>
      </w:r>
      <w:r w:rsidRPr="00E16C2D">
        <w:rPr>
          <w:i/>
          <w:sz w:val="20"/>
        </w:rPr>
        <w:t>Id</w:t>
      </w:r>
      <w:r w:rsidRPr="00E16C2D">
        <w:rPr>
          <w:sz w:val="20"/>
        </w:rPr>
        <w:t xml:space="preserve">.  </w:t>
      </w:r>
    </w:p>
  </w:footnote>
  <w:footnote w:id="24">
    <w:p w:rsidR="00531AC5" w:rsidRPr="00E16C2D" w:rsidRDefault="00531AC5">
      <w:pPr>
        <w:pStyle w:val="FootnoteText"/>
        <w:rPr>
          <w:sz w:val="20"/>
        </w:rPr>
      </w:pPr>
      <w:r w:rsidRPr="00E16C2D">
        <w:rPr>
          <w:rStyle w:val="FootnoteReference"/>
          <w:sz w:val="20"/>
        </w:rPr>
        <w:footnoteRef/>
      </w:r>
      <w:r w:rsidRPr="00E16C2D">
        <w:rPr>
          <w:sz w:val="20"/>
        </w:rPr>
        <w:t xml:space="preserve"> </w:t>
      </w:r>
      <w:r w:rsidRPr="00E16C2D">
        <w:rPr>
          <w:i/>
          <w:sz w:val="20"/>
        </w:rPr>
        <w:t>Id</w:t>
      </w:r>
      <w:r w:rsidRPr="00E16C2D">
        <w:rPr>
          <w:sz w:val="20"/>
        </w:rPr>
        <w:t xml:space="preserve">. at </w:t>
      </w:r>
      <w:r w:rsidR="001B63AA" w:rsidRPr="00E16C2D">
        <w:rPr>
          <w:sz w:val="20"/>
        </w:rPr>
        <w:t>19</w:t>
      </w:r>
      <w:r w:rsidRPr="00E16C2D">
        <w:rPr>
          <w:sz w:val="20"/>
        </w:rPr>
        <w:t>.</w:t>
      </w:r>
    </w:p>
  </w:footnote>
  <w:footnote w:id="25">
    <w:p w:rsidR="000D1119" w:rsidRPr="00E16C2D" w:rsidRDefault="000D1119" w:rsidP="000D1119">
      <w:pPr>
        <w:pStyle w:val="FootnoteText"/>
        <w:rPr>
          <w:sz w:val="20"/>
        </w:rPr>
      </w:pPr>
      <w:r w:rsidRPr="00E16C2D">
        <w:rPr>
          <w:rStyle w:val="FootnoteReference"/>
          <w:sz w:val="20"/>
        </w:rPr>
        <w:footnoteRef/>
      </w:r>
      <w:r w:rsidRPr="00E16C2D">
        <w:rPr>
          <w:sz w:val="20"/>
        </w:rPr>
        <w:t xml:space="preserve"> </w:t>
      </w:r>
      <w:r w:rsidR="00473B0D" w:rsidRPr="00E16C2D">
        <w:rPr>
          <w:sz w:val="20"/>
        </w:rPr>
        <w:t>Letters of Concurrence attached to Plan Amendment.</w:t>
      </w:r>
    </w:p>
  </w:footnote>
  <w:footnote w:id="26">
    <w:p w:rsidR="000D1119" w:rsidRPr="002343B0" w:rsidRDefault="000D1119" w:rsidP="000D1119">
      <w:pPr>
        <w:pStyle w:val="FootnoteText"/>
        <w:spacing w:after="120"/>
        <w:rPr>
          <w:sz w:val="20"/>
        </w:rPr>
      </w:pPr>
      <w:r w:rsidRPr="002343B0">
        <w:rPr>
          <w:rStyle w:val="FootnoteReference"/>
          <w:sz w:val="20"/>
        </w:rPr>
        <w:footnoteRef/>
      </w:r>
      <w:r w:rsidRPr="002343B0">
        <w:rPr>
          <w:sz w:val="20"/>
        </w:rPr>
        <w:t xml:space="preserve"> </w:t>
      </w:r>
      <w:r w:rsidRPr="002343B0">
        <w:rPr>
          <w:i/>
          <w:sz w:val="20"/>
        </w:rPr>
        <w:t xml:space="preserve">See </w:t>
      </w:r>
      <w:r w:rsidRPr="002343B0">
        <w:rPr>
          <w:sz w:val="20"/>
        </w:rPr>
        <w:t xml:space="preserve">47 CFR § 90.527(b); </w:t>
      </w:r>
      <w:r w:rsidRPr="00CF2600">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CF2600">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sidR="00CF2600">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4" w:rsidRDefault="005A1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12612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5C4A"/>
    <w:rsid w:val="00007721"/>
    <w:rsid w:val="000269F5"/>
    <w:rsid w:val="00026D8A"/>
    <w:rsid w:val="00044DAE"/>
    <w:rsid w:val="0009663E"/>
    <w:rsid w:val="000C4F8A"/>
    <w:rsid w:val="000D1119"/>
    <w:rsid w:val="000E4852"/>
    <w:rsid w:val="000E5C3C"/>
    <w:rsid w:val="001151E5"/>
    <w:rsid w:val="001502EF"/>
    <w:rsid w:val="001667E0"/>
    <w:rsid w:val="00170A1F"/>
    <w:rsid w:val="00190533"/>
    <w:rsid w:val="001A6A9F"/>
    <w:rsid w:val="001B63AA"/>
    <w:rsid w:val="001B75D8"/>
    <w:rsid w:val="001D65CF"/>
    <w:rsid w:val="001F01EA"/>
    <w:rsid w:val="001F12F0"/>
    <w:rsid w:val="002137F4"/>
    <w:rsid w:val="002404EC"/>
    <w:rsid w:val="00240F62"/>
    <w:rsid w:val="00266920"/>
    <w:rsid w:val="002724CC"/>
    <w:rsid w:val="0027425F"/>
    <w:rsid w:val="00287E0C"/>
    <w:rsid w:val="0029467F"/>
    <w:rsid w:val="002A1A8A"/>
    <w:rsid w:val="002C2FC9"/>
    <w:rsid w:val="002C5067"/>
    <w:rsid w:val="002D1F60"/>
    <w:rsid w:val="002F4AD7"/>
    <w:rsid w:val="00317614"/>
    <w:rsid w:val="003408BE"/>
    <w:rsid w:val="00375AD9"/>
    <w:rsid w:val="003777F7"/>
    <w:rsid w:val="003D4035"/>
    <w:rsid w:val="004000D6"/>
    <w:rsid w:val="0041475E"/>
    <w:rsid w:val="004316F3"/>
    <w:rsid w:val="00443A92"/>
    <w:rsid w:val="004505F2"/>
    <w:rsid w:val="004648B6"/>
    <w:rsid w:val="00473B0D"/>
    <w:rsid w:val="00494B10"/>
    <w:rsid w:val="004B55AB"/>
    <w:rsid w:val="004C59D3"/>
    <w:rsid w:val="004D25DC"/>
    <w:rsid w:val="004D6CCD"/>
    <w:rsid w:val="004E698E"/>
    <w:rsid w:val="00513782"/>
    <w:rsid w:val="00531AC5"/>
    <w:rsid w:val="005342FF"/>
    <w:rsid w:val="00550FFA"/>
    <w:rsid w:val="0055366A"/>
    <w:rsid w:val="005660FC"/>
    <w:rsid w:val="00566E66"/>
    <w:rsid w:val="00576EDA"/>
    <w:rsid w:val="005775F7"/>
    <w:rsid w:val="00580934"/>
    <w:rsid w:val="00587007"/>
    <w:rsid w:val="005A1F14"/>
    <w:rsid w:val="005C36CE"/>
    <w:rsid w:val="005D7314"/>
    <w:rsid w:val="0062107F"/>
    <w:rsid w:val="00623878"/>
    <w:rsid w:val="00665309"/>
    <w:rsid w:val="0066667A"/>
    <w:rsid w:val="0068227D"/>
    <w:rsid w:val="00693B4B"/>
    <w:rsid w:val="006B1E4B"/>
    <w:rsid w:val="006C3F5C"/>
    <w:rsid w:val="006E7F04"/>
    <w:rsid w:val="00701D83"/>
    <w:rsid w:val="00723FB1"/>
    <w:rsid w:val="0073728F"/>
    <w:rsid w:val="0076218B"/>
    <w:rsid w:val="00764C46"/>
    <w:rsid w:val="00770B2D"/>
    <w:rsid w:val="00775B26"/>
    <w:rsid w:val="007C0AC2"/>
    <w:rsid w:val="007C20C3"/>
    <w:rsid w:val="007D341F"/>
    <w:rsid w:val="007D594B"/>
    <w:rsid w:val="007F7AF3"/>
    <w:rsid w:val="00801C0A"/>
    <w:rsid w:val="00847C15"/>
    <w:rsid w:val="008610BB"/>
    <w:rsid w:val="008B2F84"/>
    <w:rsid w:val="008E135C"/>
    <w:rsid w:val="008F73E3"/>
    <w:rsid w:val="009038FC"/>
    <w:rsid w:val="00926902"/>
    <w:rsid w:val="00940A3F"/>
    <w:rsid w:val="00955582"/>
    <w:rsid w:val="009C74EB"/>
    <w:rsid w:val="009E57A2"/>
    <w:rsid w:val="009F45E9"/>
    <w:rsid w:val="00A0081F"/>
    <w:rsid w:val="00A0660A"/>
    <w:rsid w:val="00A10831"/>
    <w:rsid w:val="00A21ACC"/>
    <w:rsid w:val="00A223D8"/>
    <w:rsid w:val="00A303C0"/>
    <w:rsid w:val="00A34E0D"/>
    <w:rsid w:val="00A45777"/>
    <w:rsid w:val="00A471AF"/>
    <w:rsid w:val="00A65FB5"/>
    <w:rsid w:val="00A8379E"/>
    <w:rsid w:val="00A854A6"/>
    <w:rsid w:val="00A85F72"/>
    <w:rsid w:val="00AD59EE"/>
    <w:rsid w:val="00AE7C22"/>
    <w:rsid w:val="00AF055F"/>
    <w:rsid w:val="00B0395C"/>
    <w:rsid w:val="00B0409A"/>
    <w:rsid w:val="00B17D1B"/>
    <w:rsid w:val="00B36545"/>
    <w:rsid w:val="00B665C1"/>
    <w:rsid w:val="00B93754"/>
    <w:rsid w:val="00B96EB7"/>
    <w:rsid w:val="00BA38EA"/>
    <w:rsid w:val="00BB0F8E"/>
    <w:rsid w:val="00BB4874"/>
    <w:rsid w:val="00BC13A2"/>
    <w:rsid w:val="00BC382A"/>
    <w:rsid w:val="00BD3A46"/>
    <w:rsid w:val="00BD3BAF"/>
    <w:rsid w:val="00BE1BA9"/>
    <w:rsid w:val="00BE78E7"/>
    <w:rsid w:val="00C10A08"/>
    <w:rsid w:val="00C17091"/>
    <w:rsid w:val="00C25A06"/>
    <w:rsid w:val="00CA6930"/>
    <w:rsid w:val="00CC58B5"/>
    <w:rsid w:val="00CD58B5"/>
    <w:rsid w:val="00CD6C51"/>
    <w:rsid w:val="00CE72F1"/>
    <w:rsid w:val="00CF2600"/>
    <w:rsid w:val="00D01439"/>
    <w:rsid w:val="00D153D7"/>
    <w:rsid w:val="00D42604"/>
    <w:rsid w:val="00D63922"/>
    <w:rsid w:val="00D72854"/>
    <w:rsid w:val="00DA39F3"/>
    <w:rsid w:val="00DA51F1"/>
    <w:rsid w:val="00DD520B"/>
    <w:rsid w:val="00E12065"/>
    <w:rsid w:val="00E16C2D"/>
    <w:rsid w:val="00E42C2D"/>
    <w:rsid w:val="00EC1FEC"/>
    <w:rsid w:val="00ED1126"/>
    <w:rsid w:val="00EE6CE7"/>
    <w:rsid w:val="00EF5EA0"/>
    <w:rsid w:val="00F25E68"/>
    <w:rsid w:val="00F370F0"/>
    <w:rsid w:val="00F54559"/>
    <w:rsid w:val="00F630E8"/>
    <w:rsid w:val="00F6640F"/>
    <w:rsid w:val="00F77E66"/>
    <w:rsid w:val="00F86989"/>
    <w:rsid w:val="00F933F1"/>
    <w:rsid w:val="00FA2581"/>
    <w:rsid w:val="00FB6B82"/>
    <w:rsid w:val="00FB7251"/>
    <w:rsid w:val="00FE78AE"/>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6817</Characters>
  <Application>Microsoft Office Word</Application>
  <DocSecurity>0</DocSecurity>
  <Lines>129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2016-07-19T15:04:00Z</dcterms:created>
  <dcterms:modified xsi:type="dcterms:W3CDTF">2016-07-19T15:04:00Z</dcterms:modified>
  <cp:category> </cp:category>
  <cp:contentStatus> </cp:contentStatus>
</cp:coreProperties>
</file>