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02" w:rsidRDefault="001F6002" w:rsidP="00CB3253">
      <w:pPr>
        <w:jc w:val="center"/>
        <w:rPr>
          <w:b/>
          <w:color w:val="000000" w:themeColor="text1"/>
          <w:szCs w:val="22"/>
        </w:rPr>
      </w:pPr>
      <w:bookmarkStart w:id="0" w:name="_GoBack"/>
      <w:bookmarkEnd w:id="0"/>
    </w:p>
    <w:p w:rsidR="00CB3253" w:rsidRPr="00E92283" w:rsidRDefault="00CB3253" w:rsidP="00CB3253">
      <w:pPr>
        <w:jc w:val="center"/>
        <w:rPr>
          <w:b/>
          <w:color w:val="000000" w:themeColor="text1"/>
          <w:szCs w:val="22"/>
        </w:rPr>
      </w:pPr>
      <w:r w:rsidRPr="00E92283">
        <w:rPr>
          <w:b/>
          <w:color w:val="000000" w:themeColor="text1"/>
          <w:szCs w:val="22"/>
        </w:rPr>
        <w:t>Before the</w:t>
      </w:r>
    </w:p>
    <w:p w:rsidR="00CB3253" w:rsidRPr="00E92283" w:rsidRDefault="00CB3253" w:rsidP="00CB3253">
      <w:pPr>
        <w:pStyle w:val="StyleBoldCentered"/>
        <w:rPr>
          <w:rFonts w:ascii="Times New Roman" w:hAnsi="Times New Roman"/>
          <w:color w:val="000000" w:themeColor="text1"/>
        </w:rPr>
      </w:pPr>
      <w:r w:rsidRPr="00E92283">
        <w:rPr>
          <w:rFonts w:ascii="Times New Roman" w:hAnsi="Times New Roman"/>
          <w:color w:val="000000" w:themeColor="text1"/>
        </w:rPr>
        <w:t>F</w:t>
      </w:r>
      <w:r w:rsidRPr="00E92283">
        <w:rPr>
          <w:rFonts w:ascii="Times New Roman" w:hAnsi="Times New Roman"/>
          <w:caps w:val="0"/>
          <w:color w:val="000000" w:themeColor="text1"/>
        </w:rPr>
        <w:t>ederal Communications Commission</w:t>
      </w:r>
    </w:p>
    <w:p w:rsidR="00CB3253" w:rsidRPr="00F8719D" w:rsidRDefault="00CB3253" w:rsidP="00CB3253">
      <w:pPr>
        <w:jc w:val="center"/>
        <w:rPr>
          <w:b/>
          <w:color w:val="000000" w:themeColor="text1"/>
          <w:szCs w:val="22"/>
        </w:rPr>
      </w:pPr>
      <w:r w:rsidRPr="00E92283">
        <w:rPr>
          <w:b/>
          <w:color w:val="000000" w:themeColor="text1"/>
          <w:szCs w:val="22"/>
        </w:rPr>
        <w:t>Washington, D</w:t>
      </w:r>
      <w:r w:rsidRPr="00F8719D">
        <w:rPr>
          <w:b/>
          <w:color w:val="000000" w:themeColor="text1"/>
          <w:szCs w:val="22"/>
        </w:rPr>
        <w:t xml:space="preserve">C 20554 </w:t>
      </w:r>
    </w:p>
    <w:tbl>
      <w:tblPr>
        <w:tblW w:w="9486" w:type="dxa"/>
        <w:tblLayout w:type="fixed"/>
        <w:tblLook w:val="0000" w:firstRow="0" w:lastRow="0" w:firstColumn="0" w:lastColumn="0" w:noHBand="0" w:noVBand="0"/>
      </w:tblPr>
      <w:tblGrid>
        <w:gridCol w:w="4608"/>
        <w:gridCol w:w="630"/>
        <w:gridCol w:w="4248"/>
      </w:tblGrid>
      <w:tr w:rsidR="00CB3253" w:rsidRPr="00F8719D" w:rsidTr="00F15904">
        <w:tc>
          <w:tcPr>
            <w:tcW w:w="4608" w:type="dxa"/>
          </w:tcPr>
          <w:p w:rsidR="00CB3253" w:rsidRPr="005B744E" w:rsidRDefault="00CB3253" w:rsidP="0056289C">
            <w:pPr>
              <w:tabs>
                <w:tab w:val="center" w:pos="4680"/>
              </w:tabs>
              <w:suppressAutoHyphens/>
              <w:rPr>
                <w:color w:val="000000" w:themeColor="text1"/>
                <w:spacing w:val="-2"/>
                <w:szCs w:val="22"/>
              </w:rPr>
            </w:pPr>
          </w:p>
          <w:p w:rsidR="00CB3253" w:rsidRPr="005B744E" w:rsidRDefault="00CB3253" w:rsidP="0056289C">
            <w:pPr>
              <w:tabs>
                <w:tab w:val="center" w:pos="4680"/>
              </w:tabs>
              <w:suppressAutoHyphens/>
              <w:rPr>
                <w:color w:val="000000" w:themeColor="text1"/>
                <w:spacing w:val="-2"/>
                <w:szCs w:val="22"/>
              </w:rPr>
            </w:pPr>
            <w:r w:rsidRPr="00F8719D">
              <w:rPr>
                <w:color w:val="000000" w:themeColor="text1"/>
                <w:spacing w:val="-2"/>
                <w:szCs w:val="22"/>
              </w:rPr>
              <w:t>In the Matter of</w:t>
            </w:r>
          </w:p>
          <w:p w:rsidR="00CB3253" w:rsidRPr="005B744E" w:rsidRDefault="00CB3253" w:rsidP="0056289C">
            <w:pPr>
              <w:tabs>
                <w:tab w:val="center" w:pos="4680"/>
              </w:tabs>
              <w:suppressAutoHyphens/>
              <w:rPr>
                <w:color w:val="000000" w:themeColor="text1"/>
                <w:spacing w:val="-2"/>
                <w:szCs w:val="22"/>
              </w:rPr>
            </w:pPr>
          </w:p>
          <w:p w:rsidR="00CB3253" w:rsidRPr="005B744E" w:rsidRDefault="00F26C1D" w:rsidP="0056289C">
            <w:pPr>
              <w:tabs>
                <w:tab w:val="center" w:pos="4680"/>
              </w:tabs>
              <w:suppressAutoHyphens/>
              <w:rPr>
                <w:color w:val="000000" w:themeColor="text1"/>
                <w:spacing w:val="-2"/>
                <w:szCs w:val="22"/>
              </w:rPr>
            </w:pPr>
            <w:r>
              <w:rPr>
                <w:spacing w:val="-2"/>
              </w:rPr>
              <w:t>Momentum Telecom, Inc.</w:t>
            </w:r>
          </w:p>
          <w:p w:rsidR="00CB3253" w:rsidRPr="005B744E" w:rsidRDefault="00CB3253" w:rsidP="0056289C">
            <w:pPr>
              <w:tabs>
                <w:tab w:val="center" w:pos="4680"/>
              </w:tabs>
              <w:suppressAutoHyphens/>
              <w:rPr>
                <w:color w:val="000000" w:themeColor="text1"/>
                <w:spacing w:val="-2"/>
                <w:szCs w:val="22"/>
              </w:rPr>
            </w:pPr>
          </w:p>
        </w:tc>
        <w:tc>
          <w:tcPr>
            <w:tcW w:w="630" w:type="dxa"/>
          </w:tcPr>
          <w:p w:rsidR="00CB3253" w:rsidRPr="005B744E" w:rsidRDefault="00CB3253" w:rsidP="0056289C">
            <w:pPr>
              <w:tabs>
                <w:tab w:val="center" w:pos="4680"/>
              </w:tabs>
              <w:suppressAutoHyphens/>
              <w:rPr>
                <w:b/>
                <w:color w:val="000000" w:themeColor="text1"/>
                <w:spacing w:val="-2"/>
                <w:szCs w:val="22"/>
              </w:rPr>
            </w:pPr>
          </w:p>
          <w:p w:rsidR="00CB3253" w:rsidRPr="005B744E" w:rsidRDefault="00CB3253" w:rsidP="0056289C">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56289C">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56289C">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56289C">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56289C">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56289C">
            <w:pPr>
              <w:tabs>
                <w:tab w:val="center" w:pos="4680"/>
              </w:tabs>
              <w:suppressAutoHyphens/>
              <w:rPr>
                <w:b/>
                <w:color w:val="000000" w:themeColor="text1"/>
                <w:spacing w:val="-2"/>
                <w:szCs w:val="22"/>
              </w:rPr>
            </w:pPr>
            <w:r w:rsidRPr="00F8719D">
              <w:rPr>
                <w:b/>
                <w:color w:val="000000" w:themeColor="text1"/>
                <w:spacing w:val="-2"/>
                <w:szCs w:val="22"/>
              </w:rPr>
              <w:t xml:space="preserve"> </w:t>
            </w:r>
          </w:p>
        </w:tc>
        <w:tc>
          <w:tcPr>
            <w:tcW w:w="4248" w:type="dxa"/>
          </w:tcPr>
          <w:p w:rsidR="00CB3253" w:rsidRPr="005B744E" w:rsidRDefault="00CB3253" w:rsidP="0056289C">
            <w:pPr>
              <w:tabs>
                <w:tab w:val="center" w:pos="4680"/>
              </w:tabs>
              <w:suppressAutoHyphens/>
              <w:rPr>
                <w:color w:val="000000" w:themeColor="text1"/>
                <w:spacing w:val="-2"/>
                <w:szCs w:val="22"/>
              </w:rPr>
            </w:pPr>
          </w:p>
          <w:p w:rsidR="00525F64" w:rsidRPr="005B744E" w:rsidRDefault="00525F64" w:rsidP="0056289C">
            <w:pPr>
              <w:rPr>
                <w:color w:val="000000" w:themeColor="text1"/>
                <w:spacing w:val="-2"/>
                <w:szCs w:val="22"/>
              </w:rPr>
            </w:pPr>
          </w:p>
          <w:p w:rsidR="00525F64" w:rsidRPr="005B744E" w:rsidRDefault="00525F64" w:rsidP="0056289C">
            <w:pPr>
              <w:rPr>
                <w:color w:val="000000" w:themeColor="text1"/>
                <w:spacing w:val="-2"/>
                <w:szCs w:val="22"/>
              </w:rPr>
            </w:pPr>
          </w:p>
          <w:p w:rsidR="00CB3253" w:rsidRPr="00F8719D" w:rsidRDefault="00CB3253" w:rsidP="005B744E">
            <w:pPr>
              <w:ind w:left="522"/>
              <w:rPr>
                <w:snapToGrid/>
                <w:color w:val="000000" w:themeColor="text1"/>
                <w:spacing w:val="-2"/>
                <w:szCs w:val="22"/>
              </w:rPr>
            </w:pPr>
            <w:r w:rsidRPr="00F8719D">
              <w:rPr>
                <w:color w:val="000000" w:themeColor="text1"/>
                <w:spacing w:val="-2"/>
                <w:szCs w:val="22"/>
              </w:rPr>
              <w:t xml:space="preserve">File No.:  </w:t>
            </w:r>
            <w:r w:rsidR="00F26C1D">
              <w:rPr>
                <w:color w:val="000000" w:themeColor="text1"/>
                <w:spacing w:val="-2"/>
                <w:szCs w:val="22"/>
              </w:rPr>
              <w:t>EB-IHD-15-00018669</w:t>
            </w:r>
          </w:p>
          <w:p w:rsidR="00CB3253" w:rsidRPr="005B744E" w:rsidRDefault="00CB3253" w:rsidP="005B744E">
            <w:pPr>
              <w:ind w:left="522"/>
              <w:rPr>
                <w:color w:val="000000" w:themeColor="text1"/>
                <w:spacing w:val="-2"/>
                <w:szCs w:val="22"/>
              </w:rPr>
            </w:pPr>
            <w:r w:rsidRPr="00F8719D">
              <w:rPr>
                <w:color w:val="000000" w:themeColor="text1"/>
                <w:spacing w:val="-2"/>
                <w:szCs w:val="22"/>
              </w:rPr>
              <w:t xml:space="preserve">FRN:  </w:t>
            </w:r>
            <w:r w:rsidR="00F26C1D">
              <w:rPr>
                <w:color w:val="000000" w:themeColor="text1"/>
                <w:spacing w:val="-2"/>
                <w:szCs w:val="22"/>
              </w:rPr>
              <w:t>0005075403</w:t>
            </w:r>
          </w:p>
          <w:p w:rsidR="00CB3253" w:rsidRPr="005B744E" w:rsidRDefault="00CB3253" w:rsidP="00FF5E39">
            <w:pPr>
              <w:rPr>
                <w:color w:val="000000" w:themeColor="text1"/>
                <w:szCs w:val="22"/>
              </w:rPr>
            </w:pPr>
          </w:p>
        </w:tc>
      </w:tr>
    </w:tbl>
    <w:p w:rsidR="00CB3253" w:rsidRPr="00F8719D" w:rsidRDefault="00525F64" w:rsidP="00CB3253">
      <w:pPr>
        <w:pStyle w:val="StyleBoldCentered"/>
        <w:widowControl/>
        <w:rPr>
          <w:rFonts w:ascii="Times New Roman" w:hAnsi="Times New Roman"/>
          <w:color w:val="000000" w:themeColor="text1"/>
        </w:rPr>
      </w:pPr>
      <w:r w:rsidRPr="00F8719D">
        <w:rPr>
          <w:rFonts w:ascii="Times New Roman" w:hAnsi="Times New Roman"/>
          <w:color w:val="000000" w:themeColor="text1"/>
        </w:rPr>
        <w:t>Admonishment</w:t>
      </w:r>
      <w:r w:rsidR="00CB3253" w:rsidRPr="00F8719D">
        <w:rPr>
          <w:rFonts w:ascii="Times New Roman" w:hAnsi="Times New Roman"/>
          <w:color w:val="000000" w:themeColor="text1"/>
        </w:rPr>
        <w:t xml:space="preserve"> ORDER</w:t>
      </w:r>
    </w:p>
    <w:p w:rsidR="00CB3253" w:rsidRPr="00F8719D" w:rsidRDefault="00CB3253" w:rsidP="00CB3253">
      <w:pPr>
        <w:pStyle w:val="BodyText"/>
        <w:tabs>
          <w:tab w:val="left" w:pos="4680"/>
        </w:tabs>
        <w:jc w:val="center"/>
        <w:rPr>
          <w:color w:val="000000" w:themeColor="text1"/>
          <w:sz w:val="22"/>
          <w:szCs w:val="22"/>
          <w:u w:val="none"/>
        </w:rPr>
      </w:pPr>
    </w:p>
    <w:p w:rsidR="00CB3253" w:rsidRPr="00F8719D" w:rsidRDefault="00CB3253" w:rsidP="00CB3253">
      <w:pPr>
        <w:tabs>
          <w:tab w:val="left" w:pos="720"/>
          <w:tab w:val="left" w:pos="5760"/>
        </w:tabs>
        <w:suppressAutoHyphens/>
        <w:spacing w:line="227" w:lineRule="auto"/>
        <w:rPr>
          <w:color w:val="000000" w:themeColor="text1"/>
          <w:spacing w:val="-2"/>
          <w:szCs w:val="22"/>
        </w:rPr>
      </w:pPr>
      <w:r w:rsidRPr="00F8719D">
        <w:rPr>
          <w:b/>
          <w:color w:val="000000" w:themeColor="text1"/>
          <w:spacing w:val="-2"/>
          <w:szCs w:val="22"/>
        </w:rPr>
        <w:t xml:space="preserve">Adopted:  </w:t>
      </w:r>
      <w:r w:rsidR="00B166F5">
        <w:rPr>
          <w:b/>
          <w:color w:val="000000" w:themeColor="text1"/>
          <w:spacing w:val="-2"/>
          <w:szCs w:val="22"/>
        </w:rPr>
        <w:t>July 21, 2016</w:t>
      </w:r>
      <w:r w:rsidRPr="00F8719D">
        <w:rPr>
          <w:b/>
          <w:color w:val="000000" w:themeColor="text1"/>
          <w:spacing w:val="-2"/>
          <w:szCs w:val="22"/>
        </w:rPr>
        <w:tab/>
        <w:t xml:space="preserve">             Released:  </w:t>
      </w:r>
      <w:r w:rsidR="00B166F5">
        <w:rPr>
          <w:b/>
          <w:color w:val="000000" w:themeColor="text1"/>
          <w:spacing w:val="-2"/>
          <w:szCs w:val="22"/>
        </w:rPr>
        <w:t>July 22, 2016</w:t>
      </w:r>
    </w:p>
    <w:p w:rsidR="00CB3253" w:rsidRPr="00F8719D" w:rsidRDefault="00CB3253" w:rsidP="00CB3253">
      <w:pPr>
        <w:pStyle w:val="BodyText"/>
        <w:tabs>
          <w:tab w:val="left" w:pos="4680"/>
        </w:tabs>
        <w:jc w:val="center"/>
        <w:rPr>
          <w:color w:val="000000" w:themeColor="text1"/>
          <w:sz w:val="22"/>
          <w:szCs w:val="22"/>
          <w:u w:val="none"/>
        </w:rPr>
      </w:pPr>
    </w:p>
    <w:p w:rsidR="00E92283" w:rsidRPr="00F8719D" w:rsidRDefault="00E92283" w:rsidP="00E92283">
      <w:pPr>
        <w:tabs>
          <w:tab w:val="left" w:pos="720"/>
          <w:tab w:val="left" w:pos="5760"/>
        </w:tabs>
        <w:suppressAutoHyphens/>
        <w:spacing w:line="227" w:lineRule="auto"/>
        <w:jc w:val="both"/>
        <w:rPr>
          <w:spacing w:val="-2"/>
          <w:szCs w:val="22"/>
        </w:rPr>
      </w:pPr>
      <w:r w:rsidRPr="00F8719D">
        <w:rPr>
          <w:spacing w:val="-2"/>
          <w:szCs w:val="22"/>
        </w:rPr>
        <w:t xml:space="preserve">By the </w:t>
      </w:r>
      <w:r w:rsidR="009C1109">
        <w:rPr>
          <w:spacing w:val="-2"/>
          <w:szCs w:val="22"/>
        </w:rPr>
        <w:t xml:space="preserve">Deputy </w:t>
      </w:r>
      <w:r w:rsidR="00F26C1D">
        <w:rPr>
          <w:spacing w:val="-2"/>
        </w:rPr>
        <w:t>Chief, Enforcement Bureau</w:t>
      </w:r>
      <w:r w:rsidRPr="00F8719D">
        <w:rPr>
          <w:spacing w:val="-2"/>
          <w:szCs w:val="22"/>
        </w:rPr>
        <w:t>:</w:t>
      </w:r>
    </w:p>
    <w:p w:rsidR="00CB3253" w:rsidRPr="00F8719D" w:rsidRDefault="00CB3253" w:rsidP="00CB3253">
      <w:pPr>
        <w:pStyle w:val="BodyText"/>
        <w:tabs>
          <w:tab w:val="left" w:pos="4680"/>
        </w:tabs>
        <w:rPr>
          <w:b w:val="0"/>
          <w:color w:val="000000" w:themeColor="text1"/>
          <w:sz w:val="22"/>
          <w:szCs w:val="22"/>
          <w:u w:val="none"/>
        </w:rPr>
      </w:pPr>
    </w:p>
    <w:p w:rsidR="00CB3253" w:rsidRPr="00F8719D" w:rsidRDefault="00CB3253" w:rsidP="00403A86">
      <w:pPr>
        <w:pStyle w:val="Heading1"/>
        <w:rPr>
          <w:color w:val="000000" w:themeColor="text1"/>
        </w:rPr>
      </w:pPr>
      <w:r w:rsidRPr="00F8719D">
        <w:rPr>
          <w:color w:val="000000" w:themeColor="text1"/>
        </w:rPr>
        <w:t>INTRODUCTION</w:t>
      </w:r>
    </w:p>
    <w:p w:rsidR="00F26C1D" w:rsidRPr="00F26C1D" w:rsidRDefault="00CB3253" w:rsidP="00403A86">
      <w:pPr>
        <w:pStyle w:val="ParaNum"/>
        <w:rPr>
          <w:color w:val="000000" w:themeColor="text1"/>
          <w:spacing w:val="-2"/>
        </w:rPr>
      </w:pPr>
      <w:r w:rsidRPr="00F8719D">
        <w:rPr>
          <w:color w:val="000000" w:themeColor="text1"/>
        </w:rPr>
        <w:t xml:space="preserve">We </w:t>
      </w:r>
      <w:r w:rsidR="00A2151C" w:rsidRPr="00F8719D">
        <w:t xml:space="preserve">hereby admonish </w:t>
      </w:r>
      <w:r w:rsidR="00F26C1D">
        <w:t>Momentum Telecom, Inc.</w:t>
      </w:r>
      <w:r w:rsidR="00F26C1D" w:rsidRPr="00981F23">
        <w:t xml:space="preserve"> (</w:t>
      </w:r>
      <w:r w:rsidR="00F26C1D">
        <w:t>Momentum</w:t>
      </w:r>
      <w:r w:rsidR="00F26C1D" w:rsidRPr="00981F23">
        <w:t xml:space="preserve"> or C</w:t>
      </w:r>
      <w:r w:rsidR="00F26C1D" w:rsidRPr="00621F4C">
        <w:t xml:space="preserve">ompany) for failing to timely and fully contribute to the Universal Service Fund (USF) for over 12 months.  Momentum’s failure to timely and fully contribute to the USF deprived the USF of the funds necessary to carry out important regulatory objectives, and gave Momentum an economic advantage relative to competitors who timely and fully made USF contributions.  </w:t>
      </w:r>
      <w:r w:rsidR="00A83558" w:rsidRPr="00621F4C">
        <w:t>An admonishment is appropriate in this case</w:t>
      </w:r>
      <w:r w:rsidR="007977A7" w:rsidRPr="00621F4C">
        <w:t xml:space="preserve"> because </w:t>
      </w:r>
      <w:r w:rsidR="00A83558" w:rsidRPr="00621F4C">
        <w:t xml:space="preserve">the relevant statute of limitations has expired for </w:t>
      </w:r>
      <w:r w:rsidR="0071234C" w:rsidRPr="00621F4C">
        <w:t xml:space="preserve">all but a </w:t>
      </w:r>
      <w:r w:rsidR="0071234C" w:rsidRPr="00621F4C">
        <w:rPr>
          <w:i/>
        </w:rPr>
        <w:t>de minimis</w:t>
      </w:r>
      <w:r w:rsidR="0071234C" w:rsidRPr="00621F4C">
        <w:t xml:space="preserve"> amount </w:t>
      </w:r>
      <w:r w:rsidR="00A83558" w:rsidRPr="00621F4C">
        <w:t>of the USF debt a</w:t>
      </w:r>
      <w:r w:rsidR="00A83558">
        <w:t>t issue</w:t>
      </w:r>
      <w:r w:rsidR="009C1109">
        <w:t xml:space="preserve">.  Nevertheless, </w:t>
      </w:r>
      <w:r w:rsidR="007977A7">
        <w:t xml:space="preserve">Momentum’s </w:t>
      </w:r>
      <w:r w:rsidR="00A83558">
        <w:t>habitual late payment</w:t>
      </w:r>
      <w:r w:rsidR="007977A7">
        <w:t>s to the USF must still be sanctioned</w:t>
      </w:r>
      <w:r w:rsidR="00A83558">
        <w:t>.</w:t>
      </w:r>
    </w:p>
    <w:p w:rsidR="00A2151C" w:rsidRPr="00F8719D" w:rsidRDefault="00A2151C" w:rsidP="00403A86">
      <w:pPr>
        <w:pStyle w:val="Heading1"/>
        <w:rPr>
          <w:color w:val="000000" w:themeColor="text1"/>
          <w:spacing w:val="-2"/>
        </w:rPr>
      </w:pPr>
      <w:r w:rsidRPr="00F8719D">
        <w:rPr>
          <w:color w:val="000000" w:themeColor="text1"/>
        </w:rPr>
        <w:t>BACKGROUND</w:t>
      </w:r>
    </w:p>
    <w:p w:rsidR="00F26C1D" w:rsidRPr="00D66113" w:rsidRDefault="00D66113" w:rsidP="00402084">
      <w:pPr>
        <w:pStyle w:val="ParaNum"/>
        <w:widowControl/>
        <w:rPr>
          <w:color w:val="000000" w:themeColor="text1"/>
          <w:spacing w:val="-2"/>
          <w:szCs w:val="22"/>
        </w:rPr>
      </w:pPr>
      <w:r>
        <w:rPr>
          <w:spacing w:val="-2"/>
        </w:rPr>
        <w:t>Momentum</w:t>
      </w:r>
      <w:r>
        <w:rPr>
          <w:rStyle w:val="FootnoteReference"/>
          <w:spacing w:val="-2"/>
        </w:rPr>
        <w:footnoteReference w:id="2"/>
      </w:r>
      <w:r>
        <w:rPr>
          <w:spacing w:val="-2"/>
        </w:rPr>
        <w:t xml:space="preserve"> first came to the attention of the Enforcement Bureau (Bureau) </w:t>
      </w:r>
      <w:r w:rsidR="005F1215">
        <w:rPr>
          <w:spacing w:val="-2"/>
        </w:rPr>
        <w:t xml:space="preserve">on </w:t>
      </w:r>
      <w:r w:rsidR="00F26C1D" w:rsidRPr="00D66113">
        <w:rPr>
          <w:spacing w:val="-2"/>
        </w:rPr>
        <w:t xml:space="preserve">January 23, 2013, </w:t>
      </w:r>
      <w:r w:rsidR="005F1215">
        <w:rPr>
          <w:spacing w:val="-2"/>
        </w:rPr>
        <w:t xml:space="preserve">when </w:t>
      </w:r>
      <w:r w:rsidR="00F26C1D" w:rsidRPr="00D66113">
        <w:rPr>
          <w:spacing w:val="-2"/>
        </w:rPr>
        <w:t xml:space="preserve">the Bureau received a referral for enforcement action from the Universal Service Administrative Company (USAC, the administrator for the USF) alleging </w:t>
      </w:r>
      <w:r w:rsidR="005F1215">
        <w:rPr>
          <w:spacing w:val="-2"/>
        </w:rPr>
        <w:t xml:space="preserve">that </w:t>
      </w:r>
      <w:r>
        <w:rPr>
          <w:spacing w:val="-2"/>
        </w:rPr>
        <w:t>the Company</w:t>
      </w:r>
      <w:r w:rsidR="005F1215">
        <w:rPr>
          <w:spacing w:val="-2"/>
        </w:rPr>
        <w:t xml:space="preserve"> had failed </w:t>
      </w:r>
      <w:r w:rsidR="00F26C1D" w:rsidRPr="00D66113">
        <w:rPr>
          <w:spacing w:val="-2"/>
        </w:rPr>
        <w:t>to respond to various requests for documents and information over a six month period.</w:t>
      </w:r>
      <w:r w:rsidR="00F26C1D">
        <w:rPr>
          <w:rStyle w:val="FootnoteReference"/>
          <w:spacing w:val="-2"/>
        </w:rPr>
        <w:footnoteReference w:id="3"/>
      </w:r>
      <w:r w:rsidR="00F26C1D" w:rsidRPr="00D66113">
        <w:rPr>
          <w:spacing w:val="-2"/>
        </w:rPr>
        <w:t xml:space="preserve">  </w:t>
      </w:r>
      <w:r>
        <w:rPr>
          <w:spacing w:val="-2"/>
        </w:rPr>
        <w:t xml:space="preserve">This initial referral led to a broader investigation, and on </w:t>
      </w:r>
      <w:r w:rsidR="00F26C1D" w:rsidRPr="00D66113">
        <w:rPr>
          <w:spacing w:val="-2"/>
        </w:rPr>
        <w:t>April 3, 2015, the Bureau issued a Letter of Inquiry (LOI) to Momentum, requesting information and documents regarding the Company’s potential violation of the Communications Act of 1934, as amended (Act) and the Commission’s rules (Rules).</w:t>
      </w:r>
      <w:r w:rsidR="00F26C1D">
        <w:rPr>
          <w:rStyle w:val="FootnoteReference"/>
          <w:spacing w:val="-2"/>
        </w:rPr>
        <w:footnoteReference w:id="4"/>
      </w:r>
      <w:r w:rsidR="00F26C1D" w:rsidRPr="00D66113">
        <w:rPr>
          <w:spacing w:val="-2"/>
        </w:rPr>
        <w:t xml:space="preserve">  The Company filed an initial response to the LOI on May 4, 2015,</w:t>
      </w:r>
      <w:r w:rsidR="00F26C1D">
        <w:rPr>
          <w:rStyle w:val="FootnoteReference"/>
          <w:spacing w:val="-2"/>
        </w:rPr>
        <w:footnoteReference w:id="5"/>
      </w:r>
      <w:r w:rsidR="00F26C1D" w:rsidRPr="00D66113">
        <w:rPr>
          <w:spacing w:val="-2"/>
        </w:rPr>
        <w:t xml:space="preserve"> and filed supplemental responses </w:t>
      </w:r>
      <w:r w:rsidR="009C1109" w:rsidRPr="00D66113">
        <w:rPr>
          <w:spacing w:val="-2"/>
        </w:rPr>
        <w:t>over the next several months</w:t>
      </w:r>
      <w:r w:rsidR="00AE2F80" w:rsidRPr="00D66113">
        <w:rPr>
          <w:spacing w:val="-2"/>
        </w:rPr>
        <w:t>.</w:t>
      </w:r>
      <w:r w:rsidR="00F26C1D">
        <w:rPr>
          <w:rStyle w:val="FootnoteReference"/>
          <w:spacing w:val="-2"/>
        </w:rPr>
        <w:footnoteReference w:id="6"/>
      </w:r>
      <w:r w:rsidR="00F26C1D" w:rsidRPr="00D66113">
        <w:rPr>
          <w:spacing w:val="-2"/>
        </w:rPr>
        <w:t xml:space="preserve"> </w:t>
      </w:r>
      <w:r w:rsidR="00AE2F80" w:rsidRPr="00D66113">
        <w:rPr>
          <w:spacing w:val="-2"/>
        </w:rPr>
        <w:t xml:space="preserve"> </w:t>
      </w:r>
      <w:r w:rsidR="005F1215">
        <w:rPr>
          <w:spacing w:val="-2"/>
        </w:rPr>
        <w:t xml:space="preserve">Throughout this </w:t>
      </w:r>
      <w:r w:rsidR="005F1215">
        <w:rPr>
          <w:spacing w:val="-2"/>
        </w:rPr>
        <w:lastRenderedPageBreak/>
        <w:t>period</w:t>
      </w:r>
      <w:r w:rsidR="00713982">
        <w:rPr>
          <w:spacing w:val="-2"/>
        </w:rPr>
        <w:t xml:space="preserve"> and until release of this Order</w:t>
      </w:r>
      <w:r w:rsidR="005F1215">
        <w:rPr>
          <w:spacing w:val="-2"/>
        </w:rPr>
        <w:t>, t</w:t>
      </w:r>
      <w:r w:rsidR="009C1109">
        <w:t>he Bureau</w:t>
      </w:r>
      <w:r w:rsidR="005F1215">
        <w:t xml:space="preserve"> has continued its review of the evidence</w:t>
      </w:r>
      <w:r w:rsidR="00713982">
        <w:t xml:space="preserve"> and consideration of appropriate enforcement alternatives</w:t>
      </w:r>
      <w:r w:rsidR="009C1109">
        <w:t>.</w:t>
      </w:r>
    </w:p>
    <w:p w:rsidR="00A2151C" w:rsidRPr="00F8719D" w:rsidRDefault="00A2151C" w:rsidP="00403A86">
      <w:pPr>
        <w:pStyle w:val="Heading1"/>
        <w:rPr>
          <w:color w:val="000000" w:themeColor="text1"/>
        </w:rPr>
      </w:pPr>
      <w:r w:rsidRPr="00F8719D">
        <w:rPr>
          <w:color w:val="000000" w:themeColor="text1"/>
        </w:rPr>
        <w:t>DISCUSSION</w:t>
      </w:r>
    </w:p>
    <w:p w:rsidR="00F26C1D" w:rsidRPr="00F26C1D" w:rsidRDefault="00F26C1D" w:rsidP="00403A86">
      <w:pPr>
        <w:pStyle w:val="ParaNum"/>
        <w:rPr>
          <w:color w:val="000000" w:themeColor="text1"/>
          <w:spacing w:val="-2"/>
          <w:szCs w:val="22"/>
        </w:rPr>
      </w:pPr>
      <w:r>
        <w:rPr>
          <w:spacing w:val="-2"/>
        </w:rPr>
        <w:t>We find that Momentum violated Section 254(d) of the Act,</w:t>
      </w:r>
      <w:r>
        <w:rPr>
          <w:rStyle w:val="FootnoteReference"/>
          <w:spacing w:val="-2"/>
        </w:rPr>
        <w:footnoteReference w:id="7"/>
      </w:r>
      <w:r>
        <w:rPr>
          <w:spacing w:val="-2"/>
        </w:rPr>
        <w:t xml:space="preserve"> and Sections 54.706 and 54.713 of the Rules</w:t>
      </w:r>
      <w:r>
        <w:rPr>
          <w:rStyle w:val="FootnoteReference"/>
          <w:spacing w:val="-2"/>
        </w:rPr>
        <w:footnoteReference w:id="8"/>
      </w:r>
      <w:r>
        <w:rPr>
          <w:spacing w:val="-2"/>
        </w:rPr>
        <w:t xml:space="preserve"> by failing to fully and timely contribute to the universal service support mechanisms.  These provisions require that “entities that provide interstate telecommunications to the public . . . for a fee . . . contribute to the universal service support mechanisms.”</w:t>
      </w:r>
      <w:r>
        <w:rPr>
          <w:rStyle w:val="FootnoteReference"/>
          <w:spacing w:val="-2"/>
        </w:rPr>
        <w:footnoteReference w:id="9"/>
      </w:r>
      <w:r>
        <w:rPr>
          <w:spacing w:val="-2"/>
        </w:rPr>
        <w:t xml:space="preserve">  The Commission may “pursue enforcement action against delinquent contributors.”</w:t>
      </w:r>
      <w:r>
        <w:rPr>
          <w:rStyle w:val="FootnoteReference"/>
          <w:spacing w:val="-2"/>
        </w:rPr>
        <w:footnoteReference w:id="10"/>
      </w:r>
    </w:p>
    <w:p w:rsidR="001B6644" w:rsidRPr="00402084" w:rsidRDefault="00713982" w:rsidP="00403A86">
      <w:pPr>
        <w:pStyle w:val="ParaNum"/>
        <w:rPr>
          <w:color w:val="000000" w:themeColor="text1"/>
          <w:spacing w:val="-2"/>
          <w:szCs w:val="22"/>
        </w:rPr>
      </w:pPr>
      <w:r>
        <w:rPr>
          <w:spacing w:val="-2"/>
        </w:rPr>
        <w:t xml:space="preserve">FCC rules require </w:t>
      </w:r>
      <w:r w:rsidR="00F26C1D">
        <w:rPr>
          <w:spacing w:val="-2"/>
        </w:rPr>
        <w:t>Momentum to contribute to the universal service support mechanisms based on its end-user telecommunications revenues.</w:t>
      </w:r>
      <w:r w:rsidR="00F26C1D">
        <w:rPr>
          <w:rStyle w:val="FootnoteReference"/>
          <w:spacing w:val="-2"/>
        </w:rPr>
        <w:footnoteReference w:id="11"/>
      </w:r>
      <w:r w:rsidR="00F26C1D">
        <w:rPr>
          <w:spacing w:val="-2"/>
        </w:rPr>
        <w:t xml:space="preserve">  The record reflects that beginning September 2013, Momentum failed to fully and timely contribute to the USF.</w:t>
      </w:r>
      <w:r w:rsidR="00F26C1D">
        <w:rPr>
          <w:rStyle w:val="FootnoteReference"/>
          <w:spacing w:val="-2"/>
        </w:rPr>
        <w:footnoteReference w:id="12"/>
      </w:r>
      <w:r w:rsidR="00F26C1D">
        <w:rPr>
          <w:spacing w:val="-2"/>
        </w:rPr>
        <w:t xml:space="preserve">  Momentum did not fully correct its delinquency until October 2015, but was essentially current by July </w:t>
      </w:r>
      <w:r w:rsidR="001F6002">
        <w:rPr>
          <w:spacing w:val="-2"/>
        </w:rPr>
        <w:t>2</w:t>
      </w:r>
      <w:r w:rsidR="009C1109">
        <w:rPr>
          <w:spacing w:val="-2"/>
        </w:rPr>
        <w:t>0</w:t>
      </w:r>
      <w:r w:rsidR="001F6002">
        <w:rPr>
          <w:spacing w:val="-2"/>
        </w:rPr>
        <w:t xml:space="preserve">, </w:t>
      </w:r>
      <w:r w:rsidR="00F26C1D">
        <w:rPr>
          <w:spacing w:val="-2"/>
        </w:rPr>
        <w:t>2015.</w:t>
      </w:r>
      <w:r w:rsidR="00F26C1D">
        <w:rPr>
          <w:rStyle w:val="FootnoteReference"/>
          <w:spacing w:val="-2"/>
        </w:rPr>
        <w:footnoteReference w:id="13"/>
      </w:r>
      <w:r w:rsidR="00F26C1D">
        <w:rPr>
          <w:spacing w:val="-2"/>
        </w:rPr>
        <w:t xml:space="preserve">  In addition to being delinquent for approximately two years, Momentum habitually </w:t>
      </w:r>
      <w:r w:rsidR="009C1109">
        <w:rPr>
          <w:spacing w:val="-2"/>
        </w:rPr>
        <w:t xml:space="preserve">paid </w:t>
      </w:r>
      <w:r w:rsidR="00F26C1D">
        <w:rPr>
          <w:spacing w:val="-2"/>
        </w:rPr>
        <w:t>late its share of contributions to USAC.  In August 2014, for example, Momentum owed more than $100,000 in past-due contributions.</w:t>
      </w:r>
      <w:r w:rsidR="00F26C1D">
        <w:rPr>
          <w:rStyle w:val="FootnoteReference"/>
          <w:spacing w:val="-2"/>
        </w:rPr>
        <w:footnoteReference w:id="14"/>
      </w:r>
      <w:r w:rsidR="00F26C1D">
        <w:rPr>
          <w:spacing w:val="-2"/>
        </w:rPr>
        <w:t xml:space="preserve">  Momentum was continually behind in its contributions by at least $100,000 between August 2014 and July 2015.</w:t>
      </w:r>
      <w:bookmarkStart w:id="1" w:name="_Ref442713322"/>
      <w:r w:rsidR="00F26C1D">
        <w:rPr>
          <w:rStyle w:val="FootnoteReference"/>
          <w:spacing w:val="-2"/>
        </w:rPr>
        <w:footnoteReference w:id="15"/>
      </w:r>
      <w:bookmarkEnd w:id="1"/>
      <w:r w:rsidR="00F26C1D">
        <w:rPr>
          <w:spacing w:val="-2"/>
        </w:rPr>
        <w:t xml:space="preserve">  </w:t>
      </w:r>
    </w:p>
    <w:p w:rsidR="00F26C1D" w:rsidRPr="00F26C1D" w:rsidRDefault="00F26C1D" w:rsidP="00403A86">
      <w:pPr>
        <w:pStyle w:val="ParaNum"/>
        <w:rPr>
          <w:color w:val="000000" w:themeColor="text1"/>
          <w:spacing w:val="-2"/>
          <w:szCs w:val="22"/>
        </w:rPr>
      </w:pPr>
      <w:r>
        <w:rPr>
          <w:spacing w:val="-2"/>
        </w:rPr>
        <w:lastRenderedPageBreak/>
        <w:t>Momentum has argued, however, that its debts do not indicate willful, long-term avoidance of payment obligations.</w:t>
      </w:r>
      <w:r>
        <w:rPr>
          <w:rStyle w:val="FootnoteReference"/>
          <w:spacing w:val="-2"/>
        </w:rPr>
        <w:footnoteReference w:id="16"/>
      </w:r>
      <w:r>
        <w:rPr>
          <w:spacing w:val="-2"/>
        </w:rPr>
        <w:t xml:space="preserve">  Rather, Momentum state</w:t>
      </w:r>
      <w:r w:rsidR="001B6644">
        <w:rPr>
          <w:spacing w:val="-2"/>
        </w:rPr>
        <w:t>s</w:t>
      </w:r>
      <w:r>
        <w:rPr>
          <w:spacing w:val="-2"/>
        </w:rPr>
        <w:t xml:space="preserve"> that the $100,000 debt from August 2014 to July 2015 was the result of a single missed invoice and</w:t>
      </w:r>
      <w:r w:rsidR="001B6644">
        <w:rPr>
          <w:spacing w:val="-2"/>
        </w:rPr>
        <w:t xml:space="preserve"> observes that</w:t>
      </w:r>
      <w:r>
        <w:rPr>
          <w:spacing w:val="-2"/>
        </w:rPr>
        <w:t xml:space="preserve">, despite the size of the missed payment, </w:t>
      </w:r>
      <w:r w:rsidR="001B6644">
        <w:rPr>
          <w:spacing w:val="-2"/>
        </w:rPr>
        <w:t xml:space="preserve">the Company </w:t>
      </w:r>
      <w:r>
        <w:rPr>
          <w:spacing w:val="-2"/>
        </w:rPr>
        <w:t>was never placed on “red light” status</w:t>
      </w:r>
      <w:r>
        <w:rPr>
          <w:rStyle w:val="FootnoteReference"/>
          <w:spacing w:val="-2"/>
        </w:rPr>
        <w:footnoteReference w:id="17"/>
      </w:r>
      <w:r>
        <w:rPr>
          <w:spacing w:val="-2"/>
        </w:rPr>
        <w:t xml:space="preserve"> nor were its debts referred to the Treasury for collection under the Debt Collection Improvement Act (DCIA).</w:t>
      </w:r>
      <w:r>
        <w:rPr>
          <w:rStyle w:val="FootnoteReference"/>
          <w:spacing w:val="-2"/>
        </w:rPr>
        <w:footnoteReference w:id="18"/>
      </w:r>
      <w:r>
        <w:rPr>
          <w:spacing w:val="-2"/>
        </w:rPr>
        <w:t xml:space="preserve">  We disagree with Momentum</w:t>
      </w:r>
      <w:r w:rsidR="001B6644">
        <w:rPr>
          <w:spacing w:val="-2"/>
        </w:rPr>
        <w:t xml:space="preserve"> that its actions are not worthy of enforcement action.  Both </w:t>
      </w:r>
      <w:r>
        <w:rPr>
          <w:spacing w:val="-2"/>
        </w:rPr>
        <w:t xml:space="preserve">the magnitude of the debts at issue, and the duration of the delinquency are significant, and moreover </w:t>
      </w:r>
      <w:r>
        <w:t>deprived the USF of the funds necessary to carry out important regulatory objectives.</w:t>
      </w:r>
      <w:r w:rsidR="00766B0F">
        <w:rPr>
          <w:rStyle w:val="FootnoteReference"/>
        </w:rPr>
        <w:footnoteReference w:id="19"/>
      </w:r>
    </w:p>
    <w:p w:rsidR="00F26C1D" w:rsidRPr="00F26C1D" w:rsidRDefault="00F26C1D" w:rsidP="00403A86">
      <w:pPr>
        <w:pStyle w:val="ParaNum"/>
        <w:rPr>
          <w:color w:val="000000" w:themeColor="text1"/>
          <w:spacing w:val="-2"/>
          <w:szCs w:val="22"/>
        </w:rPr>
      </w:pPr>
      <w:r>
        <w:rPr>
          <w:spacing w:val="-2"/>
        </w:rPr>
        <w:t>The record indicates that Momentum made payments to USAC totaling $1,538,596 during the period from September 2013 through October 2015.</w:t>
      </w:r>
      <w:bookmarkStart w:id="2" w:name="_Ref442713326"/>
      <w:r>
        <w:rPr>
          <w:rStyle w:val="FootnoteReference"/>
          <w:spacing w:val="-2"/>
        </w:rPr>
        <w:footnoteReference w:id="20"/>
      </w:r>
      <w:bookmarkEnd w:id="2"/>
      <w:r>
        <w:rPr>
          <w:spacing w:val="-2"/>
        </w:rPr>
        <w:t xml:space="preserve">  Despite making payments, Momentum continued to be in arrears to the USF, and thus was not in full regulatory compliance.  This was largely because </w:t>
      </w:r>
      <w:r>
        <w:t>the Commission and USAC are obligated to apply the “American Rule” of accounting, “whereby payment is applied first to outstanding penalty and administrative cost charges, next to accrued interest, and third to outstanding principal.  In applying the payment to outstanding principal, [USAC] shall apply such payment to the contributor’s oldest past due amounts first.”</w:t>
      </w:r>
      <w:r>
        <w:rPr>
          <w:rStyle w:val="FootnoteReference"/>
        </w:rPr>
        <w:footnoteReference w:id="21"/>
      </w:r>
      <w:r>
        <w:t xml:space="preserve">  Thus, Momentum’s debt payments were applied to its oldest arrearage</w:t>
      </w:r>
      <w:r w:rsidR="00C33CA4">
        <w:t>s</w:t>
      </w:r>
      <w:r>
        <w:t xml:space="preserve"> and its invoices continued to fall into delinquency.</w:t>
      </w:r>
    </w:p>
    <w:p w:rsidR="00EA77FF" w:rsidRPr="005E3E35" w:rsidRDefault="00DD4093" w:rsidP="00EA77FF">
      <w:pPr>
        <w:pStyle w:val="ParaNum"/>
      </w:pPr>
      <w:r>
        <w:t>Based on our thorough investigation, we have determined that, as of July 1, 2015, Momentum had been delinquent in its USF contributions for nearly two years.</w:t>
      </w:r>
      <w:r>
        <w:rPr>
          <w:rStyle w:val="FootnoteReference"/>
        </w:rPr>
        <w:footnoteReference w:id="22"/>
      </w:r>
      <w:r>
        <w:t xml:space="preserve">  </w:t>
      </w:r>
      <w:r w:rsidR="00EA77FF">
        <w:t xml:space="preserve">As of </w:t>
      </w:r>
      <w:r>
        <w:t>that date</w:t>
      </w:r>
      <w:r w:rsidR="00EA77FF">
        <w:t xml:space="preserve">, </w:t>
      </w:r>
      <w:r>
        <w:t xml:space="preserve">the Company’s </w:t>
      </w:r>
      <w:r w:rsidR="00EA77FF">
        <w:t>delinquent debts to the USF totaled $</w:t>
      </w:r>
      <w:r w:rsidR="00EA77FF" w:rsidRPr="00CB04A3">
        <w:t>107,555.25</w:t>
      </w:r>
      <w:r w:rsidR="00EA77FF">
        <w:t>.</w:t>
      </w:r>
      <w:r w:rsidR="00EA77FF">
        <w:rPr>
          <w:rStyle w:val="FootnoteReference"/>
        </w:rPr>
        <w:footnoteReference w:id="23"/>
      </w:r>
      <w:r w:rsidR="00EA77FF">
        <w:t xml:space="preserve">  These debts were invoiced to Momentum and were not paid by the deadlines specified in the invoices that Momentum received every month.  </w:t>
      </w:r>
      <w:r w:rsidR="00766B0F">
        <w:t xml:space="preserve">Were we to assess a forfeiture penalty for Momentum’s delinquency as of July 1, 2015, </w:t>
      </w:r>
      <w:r w:rsidR="0092561C">
        <w:t>we</w:t>
      </w:r>
      <w:r w:rsidR="00766B0F">
        <w:t xml:space="preserve"> would be </w:t>
      </w:r>
      <w:r w:rsidR="0092561C">
        <w:t xml:space="preserve">guided by </w:t>
      </w:r>
      <w:r w:rsidR="00AE2F80">
        <w:t>the</w:t>
      </w:r>
      <w:r w:rsidR="00766B0F">
        <w:t xml:space="preserve"> </w:t>
      </w:r>
      <w:r w:rsidR="00EA77FF">
        <w:rPr>
          <w:i/>
        </w:rPr>
        <w:t>2015 Forfeiture Policy Statement</w:t>
      </w:r>
      <w:r w:rsidR="00EA77FF">
        <w:t xml:space="preserve">, </w:t>
      </w:r>
      <w:r w:rsidR="00343B15">
        <w:t xml:space="preserve">which provides </w:t>
      </w:r>
      <w:r w:rsidR="00713982">
        <w:t xml:space="preserve">for the use of </w:t>
      </w:r>
      <w:r w:rsidR="00343B15">
        <w:t xml:space="preserve">a treble damages methodology, when appropriate, to calculate a </w:t>
      </w:r>
      <w:r w:rsidR="00713982">
        <w:t>c</w:t>
      </w:r>
      <w:r w:rsidR="00343B15">
        <w:t xml:space="preserve">ompany’s </w:t>
      </w:r>
      <w:r w:rsidR="00EA77FF">
        <w:t>base forfeiture liability to the USF</w:t>
      </w:r>
      <w:r w:rsidR="00343B15">
        <w:t>.</w:t>
      </w:r>
      <w:r>
        <w:rPr>
          <w:rStyle w:val="FootnoteReference"/>
        </w:rPr>
        <w:footnoteReference w:id="24"/>
      </w:r>
      <w:r w:rsidR="00343B15">
        <w:t xml:space="preserve">  In this matter, trebling Momentum’s delinquent debts would have resulted in a base forfeiture of </w:t>
      </w:r>
      <w:r w:rsidR="00766B0F">
        <w:t>$</w:t>
      </w:r>
      <w:r w:rsidR="00766B0F" w:rsidRPr="007A6247">
        <w:t>322,665.75</w:t>
      </w:r>
      <w:r w:rsidR="00EA77FF">
        <w:t>.</w:t>
      </w:r>
      <w:r>
        <w:rPr>
          <w:rStyle w:val="FootnoteReference"/>
        </w:rPr>
        <w:footnoteReference w:id="25"/>
      </w:r>
      <w:r w:rsidR="00EA77FF">
        <w:t xml:space="preserve">  </w:t>
      </w:r>
    </w:p>
    <w:p w:rsidR="00A83558" w:rsidRPr="00A83558" w:rsidRDefault="00713982" w:rsidP="00F26C1D">
      <w:pPr>
        <w:pStyle w:val="ParaNum"/>
        <w:rPr>
          <w:color w:val="000000" w:themeColor="text1"/>
          <w:spacing w:val="-2"/>
          <w:szCs w:val="22"/>
        </w:rPr>
      </w:pPr>
      <w:r>
        <w:rPr>
          <w:color w:val="000000" w:themeColor="text1"/>
          <w:spacing w:val="-2"/>
          <w:szCs w:val="22"/>
        </w:rPr>
        <w:t xml:space="preserve">While the statute of limitations forecloses the Bureau’s ability to take monetary enforcement action here, </w:t>
      </w:r>
      <w:r w:rsidR="00A83558">
        <w:rPr>
          <w:spacing w:val="-2"/>
        </w:rPr>
        <w:t>Momentum</w:t>
      </w:r>
      <w:r w:rsidR="00DD4093">
        <w:rPr>
          <w:spacing w:val="-2"/>
        </w:rPr>
        <w:t xml:space="preserve">’s pattern of delinquency merits </w:t>
      </w:r>
      <w:r w:rsidR="004C110A">
        <w:rPr>
          <w:spacing w:val="-2"/>
        </w:rPr>
        <w:t>an admonishment</w:t>
      </w:r>
      <w:r w:rsidR="00A83558">
        <w:rPr>
          <w:spacing w:val="-2"/>
        </w:rPr>
        <w:t xml:space="preserve">.  Long-term </w:t>
      </w:r>
      <w:r w:rsidR="00A83558">
        <w:t xml:space="preserve">failures to timely and fully contribute to the USF deprive the </w:t>
      </w:r>
      <w:r>
        <w:t xml:space="preserve">fund </w:t>
      </w:r>
      <w:r w:rsidR="00A83558">
        <w:t xml:space="preserve">of the </w:t>
      </w:r>
      <w:r>
        <w:t xml:space="preserve">monies </w:t>
      </w:r>
      <w:r w:rsidR="00A83558">
        <w:t>necessary to carry out important regulatory objectives, and give delinquent contributors like Momentum an economic advantage relative to competitors who timely and fully made USF contributions.</w:t>
      </w:r>
      <w:r w:rsidR="0092561C">
        <w:rPr>
          <w:rStyle w:val="FootnoteReference"/>
        </w:rPr>
        <w:footnoteReference w:id="26"/>
      </w:r>
      <w:r w:rsidR="00A83558">
        <w:t xml:space="preserve">  In this case, an admonishment is </w:t>
      </w:r>
      <w:r w:rsidR="007977A7">
        <w:t xml:space="preserve">necessary and </w:t>
      </w:r>
      <w:r w:rsidR="00A83558">
        <w:t xml:space="preserve">appropriate; though the relevant statute of limitations </w:t>
      </w:r>
      <w:r>
        <w:t xml:space="preserve">for </w:t>
      </w:r>
      <w:r w:rsidR="00732CCA">
        <w:t xml:space="preserve">all </w:t>
      </w:r>
      <w:r w:rsidR="0031085B">
        <w:t xml:space="preserve">but a </w:t>
      </w:r>
      <w:r w:rsidR="0031085B" w:rsidRPr="00402084">
        <w:rPr>
          <w:i/>
        </w:rPr>
        <w:t>de minimis</w:t>
      </w:r>
      <w:r w:rsidR="0031085B">
        <w:t xml:space="preserve"> amount </w:t>
      </w:r>
      <w:r w:rsidR="00A83558">
        <w:t xml:space="preserve">has expired for Momentum’s delinquent USF debt, the Bureau </w:t>
      </w:r>
      <w:r w:rsidR="007977A7">
        <w:t xml:space="preserve">cannot leave Momentum’s </w:t>
      </w:r>
      <w:r w:rsidR="00A83558">
        <w:t>habitual late-payment of regulatory obligations</w:t>
      </w:r>
      <w:r w:rsidR="007977A7">
        <w:t xml:space="preserve"> unsanctioned</w:t>
      </w:r>
      <w:r w:rsidR="00A83558">
        <w:t>.</w:t>
      </w:r>
      <w:r w:rsidR="000B6139" w:rsidRPr="000B6139">
        <w:rPr>
          <w:rStyle w:val="FootnoteReference"/>
        </w:rPr>
        <w:t xml:space="preserve"> </w:t>
      </w:r>
      <w:r w:rsidR="000B6139">
        <w:rPr>
          <w:rStyle w:val="FootnoteReference"/>
        </w:rPr>
        <w:footnoteReference w:id="27"/>
      </w:r>
    </w:p>
    <w:p w:rsidR="002302F1" w:rsidRPr="00F8719D" w:rsidRDefault="002302F1" w:rsidP="00403A86">
      <w:pPr>
        <w:pStyle w:val="Heading1"/>
        <w:rPr>
          <w:spacing w:val="-2"/>
        </w:rPr>
      </w:pPr>
      <w:r w:rsidRPr="00F8719D">
        <w:rPr>
          <w:spacing w:val="-2"/>
        </w:rPr>
        <w:t>Conclusion</w:t>
      </w:r>
    </w:p>
    <w:p w:rsidR="002302F1" w:rsidRPr="00F8719D" w:rsidRDefault="00F26C1D" w:rsidP="00403A86">
      <w:pPr>
        <w:pStyle w:val="ParaNum"/>
      </w:pPr>
      <w:r w:rsidRPr="00981F23">
        <w:t xml:space="preserve">We </w:t>
      </w:r>
      <w:r w:rsidR="00DD4093">
        <w:rPr>
          <w:spacing w:val="-2"/>
        </w:rPr>
        <w:t xml:space="preserve">hereby admonish </w:t>
      </w:r>
      <w:r>
        <w:t>Momentum</w:t>
      </w:r>
      <w:r w:rsidRPr="00981F23">
        <w:t xml:space="preserve"> </w:t>
      </w:r>
      <w:r w:rsidR="00DD4093">
        <w:t xml:space="preserve">for its violation of </w:t>
      </w:r>
      <w:r>
        <w:rPr>
          <w:spacing w:val="-2"/>
        </w:rPr>
        <w:t>Section 254(d) of the Act, and Sections 54.706 and 54.713 of the Rules</w:t>
      </w:r>
      <w:r w:rsidRPr="00981F23">
        <w:t>.</w:t>
      </w:r>
      <w:r w:rsidR="003210C6" w:rsidRPr="00F8719D">
        <w:rPr>
          <w:szCs w:val="22"/>
        </w:rPr>
        <w:t xml:space="preserve">  </w:t>
      </w:r>
      <w:r w:rsidR="007462B7" w:rsidRPr="00F8719D">
        <w:rPr>
          <w:szCs w:val="22"/>
        </w:rPr>
        <w:t>We expect</w:t>
      </w:r>
      <w:r>
        <w:rPr>
          <w:szCs w:val="22"/>
        </w:rPr>
        <w:t xml:space="preserve"> </w:t>
      </w:r>
      <w:r w:rsidR="00DD4093">
        <w:rPr>
          <w:szCs w:val="22"/>
        </w:rPr>
        <w:t xml:space="preserve">the Company </w:t>
      </w:r>
      <w:r w:rsidR="007462B7" w:rsidRPr="00F8719D">
        <w:t xml:space="preserve">to conform its conduct to comply with the requirements </w:t>
      </w:r>
      <w:r>
        <w:rPr>
          <w:spacing w:val="-2"/>
        </w:rPr>
        <w:t>of the Act and Rules,</w:t>
      </w:r>
      <w:r w:rsidR="007462B7" w:rsidRPr="00F8719D">
        <w:rPr>
          <w:szCs w:val="22"/>
        </w:rPr>
        <w:t xml:space="preserve"> and caution</w:t>
      </w:r>
      <w:r>
        <w:rPr>
          <w:szCs w:val="22"/>
        </w:rPr>
        <w:t xml:space="preserve"> Momentum</w:t>
      </w:r>
      <w:r w:rsidR="007462B7" w:rsidRPr="00F8719D">
        <w:t xml:space="preserve"> that future violations may subject it to substantial monetary forfeitures.</w:t>
      </w:r>
    </w:p>
    <w:p w:rsidR="00E9376C" w:rsidRPr="00F8719D" w:rsidRDefault="00E9376C" w:rsidP="00403A86">
      <w:pPr>
        <w:pStyle w:val="Heading1"/>
        <w:rPr>
          <w:spacing w:val="-2"/>
        </w:rPr>
      </w:pPr>
      <w:r w:rsidRPr="00F8719D">
        <w:t>ORDERING CLAUSES</w:t>
      </w:r>
    </w:p>
    <w:p w:rsidR="00EE6F86" w:rsidRPr="00F26C1D" w:rsidRDefault="00E9376C" w:rsidP="00F26C1D">
      <w:pPr>
        <w:pStyle w:val="ParaNum"/>
        <w:rPr>
          <w:spacing w:val="-2"/>
          <w:szCs w:val="22"/>
        </w:rPr>
      </w:pPr>
      <w:r w:rsidRPr="00F8719D">
        <w:rPr>
          <w:szCs w:val="22"/>
        </w:rPr>
        <w:t xml:space="preserve">Accordingly, </w:t>
      </w:r>
      <w:r w:rsidRPr="00F8719D">
        <w:rPr>
          <w:b/>
          <w:szCs w:val="22"/>
        </w:rPr>
        <w:t>IT IS ORDERED</w:t>
      </w:r>
      <w:r w:rsidR="00FB5014" w:rsidRPr="00F8719D">
        <w:rPr>
          <w:szCs w:val="22"/>
        </w:rPr>
        <w:t xml:space="preserve"> that</w:t>
      </w:r>
      <w:r w:rsidR="00F26C1D">
        <w:rPr>
          <w:szCs w:val="22"/>
        </w:rPr>
        <w:t xml:space="preserve"> Momentum Telecom, Inc.</w:t>
      </w:r>
      <w:r w:rsidR="003210C6" w:rsidRPr="00F8719D">
        <w:rPr>
          <w:szCs w:val="22"/>
        </w:rPr>
        <w:t xml:space="preserve"> </w:t>
      </w:r>
      <w:r w:rsidR="003210C6" w:rsidRPr="00F8719D">
        <w:rPr>
          <w:b/>
          <w:szCs w:val="22"/>
        </w:rPr>
        <w:t>IS ADMONISHED</w:t>
      </w:r>
      <w:r w:rsidR="003210C6" w:rsidRPr="00F8719D">
        <w:rPr>
          <w:szCs w:val="22"/>
        </w:rPr>
        <w:t xml:space="preserve"> </w:t>
      </w:r>
      <w:r w:rsidRPr="00F8719D">
        <w:rPr>
          <w:szCs w:val="22"/>
        </w:rPr>
        <w:t xml:space="preserve">for </w:t>
      </w:r>
      <w:r w:rsidR="00F604EE" w:rsidRPr="00F8719D">
        <w:rPr>
          <w:szCs w:val="22"/>
        </w:rPr>
        <w:t>its fai</w:t>
      </w:r>
      <w:r w:rsidR="00F26C1D">
        <w:rPr>
          <w:szCs w:val="22"/>
        </w:rPr>
        <w:t xml:space="preserve">lure to </w:t>
      </w:r>
      <w:r w:rsidR="00F26C1D">
        <w:t>timely and fully contribute to the Universal Service Fund for over 12 months</w:t>
      </w:r>
      <w:r w:rsidR="00F604EE" w:rsidRPr="00F8719D">
        <w:rPr>
          <w:szCs w:val="22"/>
        </w:rPr>
        <w:t xml:space="preserve">, in </w:t>
      </w:r>
      <w:r w:rsidRPr="00F8719D">
        <w:rPr>
          <w:szCs w:val="22"/>
        </w:rPr>
        <w:t>violation</w:t>
      </w:r>
      <w:r w:rsidR="00F604EE" w:rsidRPr="00F8719D">
        <w:rPr>
          <w:szCs w:val="22"/>
        </w:rPr>
        <w:t xml:space="preserve"> of the Commission’s </w:t>
      </w:r>
      <w:r w:rsidR="00F26C1D">
        <w:rPr>
          <w:szCs w:val="22"/>
        </w:rPr>
        <w:t>Contribution Rules,</w:t>
      </w:r>
      <w:r w:rsidR="007462B7" w:rsidRPr="00F8719D">
        <w:rPr>
          <w:szCs w:val="22"/>
        </w:rPr>
        <w:t xml:space="preserve"> </w:t>
      </w:r>
      <w:r w:rsidR="00FB5014" w:rsidRPr="00F8719D">
        <w:rPr>
          <w:szCs w:val="22"/>
        </w:rPr>
        <w:t xml:space="preserve">including </w:t>
      </w:r>
      <w:r w:rsidR="00F26C1D">
        <w:rPr>
          <w:spacing w:val="-2"/>
        </w:rPr>
        <w:t>Section 254(d) of the Act,</w:t>
      </w:r>
      <w:r w:rsidR="00F26C1D">
        <w:rPr>
          <w:rStyle w:val="FootnoteReference"/>
          <w:spacing w:val="-2"/>
        </w:rPr>
        <w:footnoteReference w:id="28"/>
      </w:r>
      <w:r w:rsidR="00F26C1D">
        <w:rPr>
          <w:spacing w:val="-2"/>
        </w:rPr>
        <w:t xml:space="preserve"> and Sections 54.706 and 54.713 of the Rules.</w:t>
      </w:r>
      <w:r w:rsidR="00F26C1D">
        <w:rPr>
          <w:rStyle w:val="FootnoteReference"/>
          <w:spacing w:val="-2"/>
        </w:rPr>
        <w:footnoteReference w:id="29"/>
      </w:r>
    </w:p>
    <w:p w:rsidR="00E9376C" w:rsidRPr="00F8719D" w:rsidRDefault="00E9376C" w:rsidP="00403A86">
      <w:pPr>
        <w:pStyle w:val="ParaNum"/>
        <w:widowControl/>
        <w:rPr>
          <w:szCs w:val="22"/>
        </w:rPr>
      </w:pPr>
      <w:r w:rsidRPr="00F8719D">
        <w:rPr>
          <w:b/>
          <w:szCs w:val="22"/>
        </w:rPr>
        <w:t xml:space="preserve">IT IS FURTHER ORDERED </w:t>
      </w:r>
      <w:r w:rsidRPr="00F8719D">
        <w:rPr>
          <w:szCs w:val="22"/>
        </w:rPr>
        <w:t>th</w:t>
      </w:r>
      <w:r w:rsidR="00555D34" w:rsidRPr="00F8719D">
        <w:rPr>
          <w:szCs w:val="22"/>
        </w:rPr>
        <w:t xml:space="preserve">at a copy of this Admonishment </w:t>
      </w:r>
      <w:r w:rsidR="00FB5014" w:rsidRPr="00F8719D">
        <w:rPr>
          <w:szCs w:val="22"/>
        </w:rPr>
        <w:t xml:space="preserve">Order </w:t>
      </w:r>
      <w:r w:rsidR="0059515B" w:rsidRPr="00F8719D">
        <w:rPr>
          <w:szCs w:val="22"/>
        </w:rPr>
        <w:t xml:space="preserve">shall be sent by first class </w:t>
      </w:r>
      <w:r w:rsidRPr="00F8719D">
        <w:rPr>
          <w:szCs w:val="22"/>
        </w:rPr>
        <w:t xml:space="preserve">and certified mail, return receipt requested, to </w:t>
      </w:r>
      <w:r w:rsidR="00F26C1D">
        <w:t>William Fox, CEO, Momentum Telecom, Inc., 880 Montclair Road, Suite 400, Birmingham, Alabama 35213, and Paul Hudson, Esq., Davis Wright Tremaine LLP, 1919 Pennsylvania Avenue, NW, Washington D.C. 20006.</w:t>
      </w:r>
    </w:p>
    <w:p w:rsidR="007C3A62" w:rsidRPr="00F8719D" w:rsidRDefault="007C3A62" w:rsidP="007C3A62"/>
    <w:p w:rsidR="00F60397" w:rsidRPr="005B744E" w:rsidRDefault="00F60397" w:rsidP="00F60397">
      <w:pPr>
        <w:spacing w:before="240"/>
      </w:pPr>
      <w:r w:rsidRPr="00F8719D">
        <w:tab/>
      </w:r>
      <w:r w:rsidRPr="00F8719D">
        <w:tab/>
      </w:r>
      <w:r w:rsidRPr="00F8719D">
        <w:tab/>
      </w:r>
      <w:r w:rsidRPr="00F8719D">
        <w:tab/>
      </w:r>
      <w:r w:rsidRPr="00F8719D">
        <w:tab/>
      </w:r>
      <w:r w:rsidRPr="00F8719D">
        <w:tab/>
      </w:r>
      <w:r w:rsidRPr="005B744E">
        <w:t>FEDERAL COMMUNICATIONS COMMISSION</w:t>
      </w:r>
    </w:p>
    <w:p w:rsidR="00F60397" w:rsidRPr="00F8719D" w:rsidRDefault="00F60397" w:rsidP="00DC3D5C"/>
    <w:p w:rsidR="00F60397" w:rsidRPr="00F8719D" w:rsidRDefault="00F60397" w:rsidP="00DC3D5C"/>
    <w:p w:rsidR="00F60397" w:rsidRPr="00F8719D" w:rsidRDefault="00F60397" w:rsidP="00DC3D5C"/>
    <w:p w:rsidR="007C3A62" w:rsidRPr="00F8719D" w:rsidRDefault="007C3A62" w:rsidP="00DC3D5C"/>
    <w:p w:rsidR="00E92283" w:rsidRPr="006D73F2" w:rsidRDefault="00F60397" w:rsidP="00F8719D">
      <w:pPr>
        <w:ind w:left="4410"/>
        <w:rPr>
          <w:szCs w:val="22"/>
        </w:rPr>
      </w:pPr>
      <w:r w:rsidRPr="00F8719D">
        <w:tab/>
      </w:r>
      <w:r w:rsidRPr="00F8719D">
        <w:tab/>
      </w:r>
      <w:r w:rsidRPr="00F8719D">
        <w:tab/>
      </w:r>
      <w:r w:rsidRPr="00F8719D">
        <w:tab/>
      </w:r>
      <w:r w:rsidRPr="00F8719D">
        <w:tab/>
      </w:r>
      <w:r w:rsidRPr="00F8719D">
        <w:tab/>
      </w:r>
    </w:p>
    <w:p w:rsidR="00E92283" w:rsidRPr="006D73F2" w:rsidRDefault="0031085B" w:rsidP="00E92283">
      <w:pPr>
        <w:tabs>
          <w:tab w:val="left" w:pos="0"/>
          <w:tab w:val="left" w:pos="720"/>
          <w:tab w:val="left" w:pos="1440"/>
        </w:tabs>
        <w:suppressAutoHyphens/>
        <w:spacing w:line="240" w:lineRule="atLeast"/>
        <w:ind w:left="4320"/>
        <w:rPr>
          <w:szCs w:val="22"/>
        </w:rPr>
      </w:pPr>
      <w:r>
        <w:rPr>
          <w:szCs w:val="22"/>
        </w:rPr>
        <w:t>William Davenport</w:t>
      </w:r>
      <w:r w:rsidR="00E92283" w:rsidRPr="006D73F2">
        <w:rPr>
          <w:szCs w:val="22"/>
        </w:rPr>
        <w:t xml:space="preserve"> </w:t>
      </w:r>
    </w:p>
    <w:p w:rsidR="00E92283" w:rsidRPr="006D73F2" w:rsidRDefault="00B96C9B" w:rsidP="00E92283">
      <w:pPr>
        <w:ind w:left="4320"/>
        <w:rPr>
          <w:szCs w:val="22"/>
        </w:rPr>
      </w:pPr>
      <w:r>
        <w:rPr>
          <w:szCs w:val="22"/>
        </w:rPr>
        <w:t xml:space="preserve">Deputy </w:t>
      </w:r>
      <w:r w:rsidR="00E92283" w:rsidRPr="006D73F2">
        <w:rPr>
          <w:szCs w:val="22"/>
        </w:rPr>
        <w:t>Chief</w:t>
      </w:r>
    </w:p>
    <w:p w:rsidR="00F15904" w:rsidRPr="00F47251" w:rsidRDefault="00E92283" w:rsidP="00F26C1D">
      <w:pPr>
        <w:ind w:left="4320"/>
        <w:rPr>
          <w:szCs w:val="22"/>
        </w:rPr>
      </w:pPr>
      <w:r w:rsidRPr="006D73F2">
        <w:rPr>
          <w:szCs w:val="22"/>
        </w:rPr>
        <w:t>Enforcement Bureau</w:t>
      </w:r>
    </w:p>
    <w:sectPr w:rsidR="00F15904" w:rsidRPr="00F47251"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53" w:rsidRDefault="00A77B53">
      <w:r>
        <w:separator/>
      </w:r>
    </w:p>
  </w:endnote>
  <w:endnote w:type="continuationSeparator" w:id="0">
    <w:p w:rsidR="00A77B53" w:rsidRDefault="00A77B53">
      <w:r>
        <w:continuationSeparator/>
      </w:r>
    </w:p>
  </w:endnote>
  <w:endnote w:type="continuationNotice" w:id="1">
    <w:p w:rsidR="00A77B53" w:rsidRDefault="00A7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D5C" w:rsidRDefault="00DC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575313" w:rsidRDefault="00DC3D5C"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381196">
      <w:rPr>
        <w:rStyle w:val="PageNumber"/>
        <w:noProof/>
        <w:szCs w:val="22"/>
      </w:rPr>
      <w:t>2</w:t>
    </w:r>
    <w:r w:rsidRPr="00575313">
      <w:rPr>
        <w:rStyle w:val="PageNumber"/>
        <w:szCs w:val="22"/>
      </w:rPr>
      <w:fldChar w:fldCharType="end"/>
    </w:r>
  </w:p>
  <w:p w:rsidR="00DC3D5C" w:rsidRPr="00EF1757" w:rsidRDefault="00DC3D5C"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53" w:rsidRDefault="00A77B53">
      <w:r>
        <w:separator/>
      </w:r>
    </w:p>
  </w:footnote>
  <w:footnote w:type="continuationSeparator" w:id="0">
    <w:p w:rsidR="00A77B53" w:rsidRDefault="00A77B53" w:rsidP="00F60397">
      <w:r w:rsidRPr="00F60397">
        <w:rPr>
          <w:sz w:val="20"/>
        </w:rPr>
        <w:t>(Continued from previous page…)</w:t>
      </w:r>
      <w:r>
        <w:rPr>
          <w:sz w:val="20"/>
        </w:rPr>
        <w:t xml:space="preserve"> </w:t>
      </w:r>
      <w:r>
        <w:separator/>
      </w:r>
    </w:p>
  </w:footnote>
  <w:footnote w:type="continuationNotice" w:id="1">
    <w:p w:rsidR="00A77B53" w:rsidRPr="00F60397" w:rsidRDefault="00A77B53" w:rsidP="00AE54D6">
      <w:pPr>
        <w:jc w:val="right"/>
        <w:rPr>
          <w:sz w:val="20"/>
        </w:rPr>
      </w:pPr>
      <w:r w:rsidRPr="00F60397">
        <w:rPr>
          <w:sz w:val="20"/>
        </w:rPr>
        <w:t>(continued…)</w:t>
      </w:r>
    </w:p>
  </w:footnote>
  <w:footnote w:id="2">
    <w:p w:rsidR="00D66113" w:rsidRDefault="00D66113" w:rsidP="00D66113">
      <w:pPr>
        <w:pStyle w:val="FootnoteText"/>
      </w:pPr>
      <w:r>
        <w:rPr>
          <w:rStyle w:val="FootnoteReference"/>
        </w:rPr>
        <w:footnoteRef/>
      </w:r>
      <w:r>
        <w:t xml:space="preserve"> </w:t>
      </w:r>
      <w:r w:rsidRPr="00F34E98">
        <w:rPr>
          <w:spacing w:val="-2"/>
        </w:rPr>
        <w:t>Momentum is a Delaware corporation headquartered in Alabama.  The Company provides interconnected VoIP services and common carrier local exchange and interexchange services</w:t>
      </w:r>
      <w:r>
        <w:t>.  Response to Letter of Inquiry from Paul Hudson, Davis Wright Tremaine, Counsel for Momentum Telecom, Inc., to Joseph Schlingbaum, Attorney Advisor, Investigations and Hearings Division, FCC Enforcement Bureau at 1, 4-7 (May 4, 2015) (on file in EB-</w:t>
      </w:r>
      <w:r w:rsidRPr="00171634">
        <w:rPr>
          <w:color w:val="000000"/>
          <w:spacing w:val="-2"/>
          <w:szCs w:val="22"/>
        </w:rPr>
        <w:t>IHD-15-00018669)</w:t>
      </w:r>
      <w:r>
        <w:t xml:space="preserve"> (LOI Response).</w:t>
      </w:r>
    </w:p>
  </w:footnote>
  <w:footnote w:id="3">
    <w:p w:rsidR="00F26C1D" w:rsidRDefault="00F26C1D" w:rsidP="00F26C1D">
      <w:pPr>
        <w:pStyle w:val="FootnoteText"/>
      </w:pPr>
      <w:r>
        <w:rPr>
          <w:rStyle w:val="FootnoteReference"/>
        </w:rPr>
        <w:footnoteRef/>
      </w:r>
      <w:r>
        <w:t xml:space="preserve"> Letter from Michelle Garber, Director of Financial Operations, USAC, to Terry Cavanaugh, Chief, Investigations and Hearings Division, FCC Enforcement Bureau at 1 (Jan. 23, 2013) (on file in EB-</w:t>
      </w:r>
      <w:r w:rsidRPr="00171634">
        <w:rPr>
          <w:color w:val="000000"/>
          <w:spacing w:val="-2"/>
          <w:szCs w:val="22"/>
        </w:rPr>
        <w:t>IHD-15-00018669).</w:t>
      </w:r>
    </w:p>
  </w:footnote>
  <w:footnote w:id="4">
    <w:p w:rsidR="00F26C1D" w:rsidRDefault="00F26C1D" w:rsidP="00F26C1D">
      <w:pPr>
        <w:pStyle w:val="FootnoteText"/>
      </w:pPr>
      <w:r>
        <w:rPr>
          <w:rStyle w:val="FootnoteReference"/>
        </w:rPr>
        <w:footnoteRef/>
      </w:r>
      <w:r>
        <w:t xml:space="preserve"> Letter of Inquiry from Jeffrey J. Gee, Chief, Investigations and Hearings Division, FCC Enforcement Bureau, to Momentum Telecom, Inc. (April 2, 2015) (on file in EB-</w:t>
      </w:r>
      <w:r w:rsidRPr="00171634">
        <w:rPr>
          <w:color w:val="000000"/>
          <w:spacing w:val="-2"/>
          <w:szCs w:val="22"/>
        </w:rPr>
        <w:t>IHD-15-00018669).</w:t>
      </w:r>
    </w:p>
  </w:footnote>
  <w:footnote w:id="5">
    <w:p w:rsidR="00F26C1D" w:rsidRDefault="00F26C1D" w:rsidP="00F26C1D">
      <w:pPr>
        <w:pStyle w:val="FootnoteText"/>
      </w:pPr>
      <w:r>
        <w:rPr>
          <w:rStyle w:val="FootnoteReference"/>
        </w:rPr>
        <w:footnoteRef/>
      </w:r>
      <w:r>
        <w:t xml:space="preserve"> LOI Response.</w:t>
      </w:r>
    </w:p>
  </w:footnote>
  <w:footnote w:id="6">
    <w:p w:rsidR="00F26C1D" w:rsidRDefault="00F26C1D" w:rsidP="00F26C1D">
      <w:pPr>
        <w:pStyle w:val="FootnoteText"/>
      </w:pPr>
      <w:r>
        <w:rPr>
          <w:rStyle w:val="FootnoteReference"/>
        </w:rPr>
        <w:footnoteRef/>
      </w:r>
      <w:r>
        <w:t xml:space="preserve"> First Supplemental Response to Letter of Inquiry from Paul Hudson, Davis Wright Tremaine, Counsel for Momentum Telecom, Inc., to Joseph Schlingbaum, Attorney Advisor, Investigations and Hearings Division, FCC Enforcement Bureau (May 27, 2015) (on file in EB-</w:t>
      </w:r>
      <w:r w:rsidRPr="00171634">
        <w:rPr>
          <w:color w:val="000000"/>
          <w:spacing w:val="-2"/>
          <w:szCs w:val="22"/>
        </w:rPr>
        <w:t xml:space="preserve"> IHD-15-00018669); Second </w:t>
      </w:r>
      <w:r>
        <w:t>Supplemental Response to Letter of Inquiry from Paul Hudson, Davis Wright Tremaine, Counsel for Momentum Telecom, Inc., to Joseph Schlingbaum, Attorney Advisor, Investigations and Hearings Division, FCC Enforcement Bureau (May 27, 2015) (on file in EB-</w:t>
      </w:r>
      <w:r>
        <w:rPr>
          <w:color w:val="000000"/>
          <w:spacing w:val="-2"/>
          <w:szCs w:val="22"/>
        </w:rPr>
        <w:t>I</w:t>
      </w:r>
      <w:r w:rsidRPr="00171634">
        <w:rPr>
          <w:color w:val="000000"/>
          <w:spacing w:val="-2"/>
          <w:szCs w:val="22"/>
        </w:rPr>
        <w:t>HD-15-00018669)</w:t>
      </w:r>
      <w:r w:rsidR="009C1109">
        <w:rPr>
          <w:color w:val="000000"/>
          <w:spacing w:val="-2"/>
          <w:szCs w:val="22"/>
        </w:rPr>
        <w:t xml:space="preserve">; </w:t>
      </w:r>
      <w:r w:rsidR="009C1109">
        <w:t>Third Supplemental Response to Letter of Inquiry from Paul Hudson, Davis Wright Tremaine, Counsel for Momentum Telecom, Inc., to Joseph Schlingbaum, Attorney Advisor, Investigations and Hearings Division, FCC Enforcement Bureau (July 17, 2015) (on file in EB-</w:t>
      </w:r>
      <w:r w:rsidR="009C1109" w:rsidRPr="00171634">
        <w:rPr>
          <w:color w:val="000000"/>
          <w:spacing w:val="-2"/>
          <w:szCs w:val="22"/>
        </w:rPr>
        <w:t>IHD-15-00018669)</w:t>
      </w:r>
      <w:r w:rsidR="009C1109">
        <w:rPr>
          <w:color w:val="000000"/>
          <w:spacing w:val="-2"/>
          <w:szCs w:val="22"/>
        </w:rPr>
        <w:t xml:space="preserve">; </w:t>
      </w:r>
      <w:r w:rsidR="009C1109">
        <w:t>Fourth Supplemental Response to Letter of Inquiry from Paul Hudson, Davis Wright Tremaine, Counsel for Momentum Telecom, Inc., to Joseph Schlingbaum, Attorney Advisor, Investigations and Hearings Division, FCC Enforcement Bureau (Aug</w:t>
      </w:r>
      <w:r w:rsidR="00E66CF5">
        <w:t>.</w:t>
      </w:r>
      <w:r w:rsidR="009C1109">
        <w:t xml:space="preserve"> 3, 2015) (on file in EB-</w:t>
      </w:r>
      <w:r w:rsidR="009C1109" w:rsidRPr="00171634">
        <w:rPr>
          <w:color w:val="000000"/>
          <w:spacing w:val="-2"/>
          <w:szCs w:val="22"/>
        </w:rPr>
        <w:t>IHD-15-00018669)</w:t>
      </w:r>
      <w:r w:rsidRPr="00171634">
        <w:rPr>
          <w:color w:val="000000"/>
          <w:spacing w:val="-2"/>
          <w:szCs w:val="22"/>
        </w:rPr>
        <w:t>.</w:t>
      </w:r>
    </w:p>
  </w:footnote>
  <w:footnote w:id="7">
    <w:p w:rsidR="00F26C1D" w:rsidRDefault="00F26C1D" w:rsidP="00F26C1D">
      <w:pPr>
        <w:pStyle w:val="FootnoteText"/>
      </w:pPr>
      <w:r>
        <w:rPr>
          <w:rStyle w:val="FootnoteReference"/>
        </w:rPr>
        <w:footnoteRef/>
      </w:r>
      <w:r>
        <w:t xml:space="preserve"> 47 U.S.C. § 254(d).</w:t>
      </w:r>
    </w:p>
  </w:footnote>
  <w:footnote w:id="8">
    <w:p w:rsidR="00F26C1D" w:rsidRDefault="00F26C1D" w:rsidP="00F26C1D">
      <w:pPr>
        <w:pStyle w:val="FootnoteText"/>
      </w:pPr>
      <w:r>
        <w:rPr>
          <w:rStyle w:val="FootnoteReference"/>
        </w:rPr>
        <w:footnoteRef/>
      </w:r>
      <w:r>
        <w:t xml:space="preserve"> 47 CFR §§ 54.706, </w:t>
      </w:r>
      <w:r w:rsidR="00C33CA4">
        <w:t>54.</w:t>
      </w:r>
      <w:r>
        <w:t>713.</w:t>
      </w:r>
    </w:p>
  </w:footnote>
  <w:footnote w:id="9">
    <w:p w:rsidR="00F26C1D" w:rsidRDefault="00F26C1D" w:rsidP="00F26C1D">
      <w:pPr>
        <w:pStyle w:val="FootnoteText"/>
      </w:pPr>
      <w:r>
        <w:rPr>
          <w:rStyle w:val="FootnoteReference"/>
        </w:rPr>
        <w:footnoteRef/>
      </w:r>
      <w:r>
        <w:t xml:space="preserve"> 47 CFR § 54.706(a).</w:t>
      </w:r>
    </w:p>
  </w:footnote>
  <w:footnote w:id="10">
    <w:p w:rsidR="00F26C1D" w:rsidRDefault="00F26C1D" w:rsidP="00F26C1D">
      <w:pPr>
        <w:pStyle w:val="FootnoteText"/>
      </w:pPr>
      <w:r>
        <w:rPr>
          <w:rStyle w:val="FootnoteReference"/>
        </w:rPr>
        <w:footnoteRef/>
      </w:r>
      <w:r>
        <w:t xml:space="preserve"> 47 CFR § 54.713(c).</w:t>
      </w:r>
    </w:p>
  </w:footnote>
  <w:footnote w:id="11">
    <w:p w:rsidR="00F26C1D" w:rsidRDefault="00F26C1D" w:rsidP="00F26C1D">
      <w:pPr>
        <w:pStyle w:val="FootnoteText"/>
      </w:pPr>
      <w:r>
        <w:rPr>
          <w:rStyle w:val="FootnoteReference"/>
        </w:rPr>
        <w:footnoteRef/>
      </w:r>
      <w:r>
        <w:t xml:space="preserve"> 47 CFR § 54.706(b).</w:t>
      </w:r>
    </w:p>
  </w:footnote>
  <w:footnote w:id="12">
    <w:p w:rsidR="00F26C1D" w:rsidRPr="00C61460" w:rsidRDefault="00F26C1D" w:rsidP="00F26C1D">
      <w:pPr>
        <w:pStyle w:val="FootnoteText"/>
        <w:rPr>
          <w:color w:val="000000"/>
          <w:spacing w:val="-2"/>
          <w:szCs w:val="22"/>
        </w:rPr>
      </w:pPr>
      <w:r>
        <w:rPr>
          <w:rStyle w:val="FootnoteReference"/>
        </w:rPr>
        <w:footnoteRef/>
      </w:r>
      <w:r>
        <w:t xml:space="preserve"> </w:t>
      </w:r>
      <w:r>
        <w:rPr>
          <w:i/>
        </w:rPr>
        <w:t>See</w:t>
      </w:r>
      <w:r>
        <w:t xml:space="preserve"> Universal Service Administrative Company, Invoice to Momentum Telecom, Inc., No. UBDI0000646357 (Sept. 20, 2013) (on file in EB-</w:t>
      </w:r>
      <w:r w:rsidRPr="00171634">
        <w:rPr>
          <w:color w:val="000000"/>
          <w:spacing w:val="-2"/>
          <w:szCs w:val="22"/>
        </w:rPr>
        <w:t xml:space="preserve"> IHD-15-00018669); </w:t>
      </w:r>
      <w:r>
        <w:rPr>
          <w:i/>
          <w:color w:val="000000"/>
          <w:spacing w:val="-2"/>
          <w:szCs w:val="22"/>
        </w:rPr>
        <w:t xml:space="preserve">see generally </w:t>
      </w:r>
      <w:r>
        <w:rPr>
          <w:color w:val="000000"/>
          <w:spacing w:val="-2"/>
          <w:szCs w:val="22"/>
        </w:rPr>
        <w:t>Letter from Mike Pond, Manager of Financial Operations, USAC, to Gregory Haledjian, Attorney Advisor, Investigations and Hearings Division, FCC Enforcement Bureau (June 15, 2016) (June 15, 2016 USAC Letter) (</w:t>
      </w:r>
      <w:r>
        <w:t>on file in EB-</w:t>
      </w:r>
      <w:r w:rsidRPr="00171634">
        <w:rPr>
          <w:color w:val="000000"/>
          <w:spacing w:val="-2"/>
          <w:szCs w:val="22"/>
        </w:rPr>
        <w:t>IHD-15-00018669).</w:t>
      </w:r>
    </w:p>
  </w:footnote>
  <w:footnote w:id="13">
    <w:p w:rsidR="00F26C1D" w:rsidRDefault="00F26C1D" w:rsidP="00F26C1D">
      <w:pPr>
        <w:pStyle w:val="FootnoteText"/>
      </w:pPr>
      <w:r>
        <w:rPr>
          <w:rStyle w:val="FootnoteReference"/>
        </w:rPr>
        <w:footnoteRef/>
      </w:r>
      <w:r>
        <w:t xml:space="preserve"> Following </w:t>
      </w:r>
      <w:r w:rsidR="0074558C">
        <w:t xml:space="preserve">two </w:t>
      </w:r>
      <w:r>
        <w:t>payment</w:t>
      </w:r>
      <w:r w:rsidR="0074558C">
        <w:t>s</w:t>
      </w:r>
      <w:r>
        <w:t xml:space="preserve"> made </w:t>
      </w:r>
      <w:r w:rsidR="0074558C">
        <w:t xml:space="preserve">in </w:t>
      </w:r>
      <w:r>
        <w:t>July 2015, Momentum was current in its USF obligations</w:t>
      </w:r>
      <w:r w:rsidR="00732CCA">
        <w:t xml:space="preserve"> except for a </w:t>
      </w:r>
      <w:r w:rsidR="00732CCA" w:rsidRPr="00621F4C">
        <w:rPr>
          <w:i/>
        </w:rPr>
        <w:t>de minimis</w:t>
      </w:r>
      <w:r w:rsidR="00732CCA">
        <w:t xml:space="preserve"> amount (less than $200)</w:t>
      </w:r>
      <w:r>
        <w:t xml:space="preserve">.  </w:t>
      </w:r>
      <w:r>
        <w:rPr>
          <w:i/>
        </w:rPr>
        <w:t>See</w:t>
      </w:r>
      <w:r>
        <w:t xml:space="preserve"> Universal Service Administrative Company, Invoice to Momentum Telecom, Inc., No. UBDI0000783299 (July 22, 2015); Universal Service Administrative Company, Invoice to Momentum Telecom, Inc., No. UBDI0000789236 (Aug. 21, 2015); Universal Service Administrative Company, Invoice to Momentum Telecom, Inc., No. UBDI0000795166 (Sept. 22, 2015); Universal Service Administrative Company, Invoice to Momentum Telecom, Inc., No. UBDI0000801139 (Oct. 22, 2015) (all invoices on file in EB-</w:t>
      </w:r>
      <w:r w:rsidRPr="00171634">
        <w:rPr>
          <w:color w:val="000000"/>
          <w:spacing w:val="-2"/>
          <w:szCs w:val="22"/>
        </w:rPr>
        <w:t xml:space="preserve">IHD-15-00018669); </w:t>
      </w:r>
      <w:r>
        <w:rPr>
          <w:i/>
          <w:color w:val="000000"/>
          <w:spacing w:val="-2"/>
          <w:szCs w:val="22"/>
        </w:rPr>
        <w:t xml:space="preserve">see generally </w:t>
      </w:r>
      <w:r>
        <w:rPr>
          <w:color w:val="000000"/>
          <w:spacing w:val="-2"/>
          <w:szCs w:val="22"/>
        </w:rPr>
        <w:t>June 15, 2016 USAC Letter</w:t>
      </w:r>
      <w:r w:rsidRPr="00171634">
        <w:rPr>
          <w:color w:val="000000"/>
          <w:spacing w:val="-2"/>
          <w:szCs w:val="22"/>
        </w:rPr>
        <w:t>.</w:t>
      </w:r>
    </w:p>
  </w:footnote>
  <w:footnote w:id="14">
    <w:p w:rsidR="00F26C1D" w:rsidRDefault="00F26C1D" w:rsidP="00F26C1D">
      <w:pPr>
        <w:pStyle w:val="FootnoteText"/>
      </w:pPr>
      <w:r>
        <w:rPr>
          <w:rStyle w:val="FootnoteReference"/>
        </w:rPr>
        <w:footnoteRef/>
      </w:r>
      <w:r>
        <w:t xml:space="preserve"> Universal Service Administrative Company, Invoice to Momentum Telecom, Inc., No. UBDI0000712322 (Aug. 22, 2014) (on file in EB-</w:t>
      </w:r>
      <w:r w:rsidRPr="00171634">
        <w:rPr>
          <w:color w:val="000000"/>
          <w:spacing w:val="-2"/>
          <w:szCs w:val="22"/>
        </w:rPr>
        <w:t>IHD-15-00018669).</w:t>
      </w:r>
    </w:p>
  </w:footnote>
  <w:footnote w:id="15">
    <w:p w:rsidR="00F26C1D" w:rsidRDefault="00F26C1D" w:rsidP="00F26C1D">
      <w:pPr>
        <w:pStyle w:val="FootnoteText"/>
      </w:pPr>
      <w:r>
        <w:rPr>
          <w:rStyle w:val="FootnoteReference"/>
        </w:rPr>
        <w:footnoteRef/>
      </w:r>
      <w:r>
        <w:t xml:space="preserve"> </w:t>
      </w:r>
      <w:r>
        <w:rPr>
          <w:i/>
        </w:rPr>
        <w:t xml:space="preserve">See </w:t>
      </w:r>
      <w:r>
        <w:t>Universal Service Administrative Company, Invoice to Momentum Telecom, Inc., No. UBDI0000712322 (Aug. 22, 2014); Universal Service Administrative Company, Invoice to Momentum Telecom, Inc., No. UBDI0000718309 (Sept. 22, 2014); Universal Service Administrative Company, Invoice to Momentum Telecom, Inc., No. UBDI0000724285 (Oct. 22, 2014); Universal Service Administrative Company, Invoice to Momentum Telecom, Inc., No. UBDI0000730263 (Nov. 21, 2014); Universal Service Administrative Company, Invoice to Momentum Telecom, Inc., No. UBDI0000736310 (Dec. 22, 2014); Universal Service Administrative Company, Invoice to Momentum Telecom, Inc., No. UBDI0000742314 (Jan. 22, 2015); Universal Service Administrative Company, Invoice to Momentum Telecom, Inc., No. UBDI0000748309 (Feb. 20, 2015); Universal Service Administrative Company, Invoice to Momentum Telecom, Inc., No. UBDI0000754271 (</w:t>
      </w:r>
      <w:r w:rsidR="00E66CF5">
        <w:t xml:space="preserve">Mar. </w:t>
      </w:r>
      <w:r>
        <w:t>20, 2015); Universal Service Administrative Company, Invoice to Momentum Telecom, Inc., No. UBDI0000762219 (April 22, 2015); Universal Service Administrative Company, Invoice to Momentum Telecom, Inc., No. UBDI0000771244 (May 22, 2015); Universal Service Administrative Company, Invoice to Momentum Telecom, Inc., No. UBDI0000777238 (June 22, 2015); Universal Service Administrative Company, Invoice to Momentum Telecom, Inc., No. UBDI0000783299 (July 22, 2015); Universal Service Administrative Company, Invoice to Momentum Telecom, Inc., No. UBDI0000789236 (Aug. 21, 2015</w:t>
      </w:r>
      <w:r w:rsidR="00C33CA4">
        <w:t>)</w:t>
      </w:r>
      <w:r>
        <w:t xml:space="preserve"> (all invoices on file in EB-</w:t>
      </w:r>
      <w:r w:rsidRPr="00171634">
        <w:rPr>
          <w:color w:val="000000"/>
          <w:spacing w:val="-2"/>
          <w:szCs w:val="22"/>
        </w:rPr>
        <w:t xml:space="preserve">IHD-15-00018669); </w:t>
      </w:r>
      <w:r>
        <w:rPr>
          <w:i/>
          <w:color w:val="000000"/>
          <w:spacing w:val="-2"/>
          <w:szCs w:val="22"/>
        </w:rPr>
        <w:t xml:space="preserve">see also </w:t>
      </w:r>
      <w:r>
        <w:rPr>
          <w:color w:val="000000"/>
          <w:spacing w:val="-2"/>
          <w:szCs w:val="22"/>
        </w:rPr>
        <w:t>June 15, 2016 USAC Letter</w:t>
      </w:r>
      <w:r w:rsidRPr="00171634">
        <w:rPr>
          <w:color w:val="000000"/>
          <w:spacing w:val="-2"/>
          <w:szCs w:val="22"/>
        </w:rPr>
        <w:t>.</w:t>
      </w:r>
    </w:p>
  </w:footnote>
  <w:footnote w:id="16">
    <w:p w:rsidR="00F26C1D" w:rsidRDefault="00F26C1D" w:rsidP="00F26C1D">
      <w:pPr>
        <w:pStyle w:val="FootnoteText"/>
      </w:pPr>
      <w:r>
        <w:rPr>
          <w:rStyle w:val="FootnoteReference"/>
        </w:rPr>
        <w:footnoteRef/>
      </w:r>
      <w:r>
        <w:t xml:space="preserve"> Letter from Paul Hudson, Davis Wright Tremaine, Counsel for Momentum Telecom, Inc., to Joseph Schlingbaum, Attorney Advisor, Investigations and Hearings Division, FCC Enforcement Bureau at 1 (Jan. 14, 2016) (Davis Wright Tremaine Jan. 14 Letter); Letter from Paul Hudson, Davis Wright Tremaine, Counsel for Momentum Telecom, Inc., to Joseph Schlingbaum, Attorney Advisor, Investigations and Hearings Division, FCC Enforcement Bureau at 2 (Dec. 3, 2015) (letters on file in EB-</w:t>
      </w:r>
      <w:r w:rsidRPr="00171634">
        <w:rPr>
          <w:color w:val="000000"/>
          <w:spacing w:val="-2"/>
          <w:szCs w:val="22"/>
        </w:rPr>
        <w:t>IHD-15-00018669)</w:t>
      </w:r>
      <w:r>
        <w:rPr>
          <w:color w:val="000000"/>
          <w:spacing w:val="-2"/>
          <w:szCs w:val="22"/>
        </w:rPr>
        <w:t>.</w:t>
      </w:r>
    </w:p>
  </w:footnote>
  <w:footnote w:id="17">
    <w:p w:rsidR="00F26C1D" w:rsidRPr="00DE07B7" w:rsidRDefault="00F26C1D" w:rsidP="00F26C1D">
      <w:pPr>
        <w:pStyle w:val="FootnoteText"/>
      </w:pPr>
      <w:r>
        <w:rPr>
          <w:rStyle w:val="FootnoteReference"/>
        </w:rPr>
        <w:footnoteRef/>
      </w:r>
      <w:r>
        <w:t xml:space="preserve"> Davis Wright Tremaine Jan. 14 Letter at 1.  Under the Commission's “</w:t>
      </w:r>
      <w:r>
        <w:rPr>
          <w:rStyle w:val="cosearchterm"/>
        </w:rPr>
        <w:t>red</w:t>
      </w:r>
      <w:r>
        <w:t xml:space="preserve"> </w:t>
      </w:r>
      <w:r>
        <w:rPr>
          <w:rStyle w:val="cosearchterm"/>
        </w:rPr>
        <w:t>light</w:t>
      </w:r>
      <w:r>
        <w:t xml:space="preserve">” policy, the Commission withholds action on applications from any entity that is delinquent in its regulatory fees or debts owed to the Commission.  </w:t>
      </w:r>
      <w:r>
        <w:rPr>
          <w:i/>
        </w:rPr>
        <w:t>See</w:t>
      </w:r>
      <w:r>
        <w:t xml:space="preserve"> 47 CFR </w:t>
      </w:r>
      <w:r w:rsidR="00C33CA4" w:rsidRPr="00DE07B7">
        <w:t>§</w:t>
      </w:r>
      <w:r w:rsidR="00C33CA4">
        <w:t xml:space="preserve"> </w:t>
      </w:r>
      <w:r>
        <w:t>1</w:t>
      </w:r>
      <w:r w:rsidRPr="00DE07B7">
        <w:t>.1910 (“An application . . . will be examined to determine if the applicant has paid the appropriate application fee, appropriate regulatory fees, is delinquent in its debts owed to the Commission. . . . Action will be withheld on applications . . . by any entity found to be delinquent in its debt to the Commission.”).</w:t>
      </w:r>
    </w:p>
  </w:footnote>
  <w:footnote w:id="18">
    <w:p w:rsidR="00F26C1D" w:rsidRPr="00DE07B7" w:rsidRDefault="00F26C1D" w:rsidP="00F26C1D">
      <w:pPr>
        <w:pStyle w:val="FootnoteText"/>
      </w:pPr>
      <w:r w:rsidRPr="00DE07B7">
        <w:rPr>
          <w:rStyle w:val="FootnoteReference"/>
        </w:rPr>
        <w:footnoteRef/>
      </w:r>
      <w:r w:rsidRPr="00DE07B7">
        <w:t xml:space="preserve"> Davis Wright Tremaine Jan. 14 Letter at 1; </w:t>
      </w:r>
      <w:r w:rsidRPr="00DE07B7">
        <w:rPr>
          <w:i/>
        </w:rPr>
        <w:t>see also</w:t>
      </w:r>
      <w:r w:rsidRPr="00DE07B7">
        <w:t xml:space="preserve"> </w:t>
      </w:r>
      <w:r w:rsidRPr="00DE07B7">
        <w:rPr>
          <w:snapToGrid w:val="0"/>
          <w:color w:val="000000"/>
        </w:rPr>
        <w:t>Debt Collection Improvement Act of 1996, Pub. L. No. 104-134, Sec. 31001, 110 Stat. 1321</w:t>
      </w:r>
      <w:r w:rsidR="00C271E9">
        <w:rPr>
          <w:snapToGrid w:val="0"/>
          <w:color w:val="000000"/>
        </w:rPr>
        <w:t>.</w:t>
      </w:r>
    </w:p>
  </w:footnote>
  <w:footnote w:id="19">
    <w:p w:rsidR="00766B0F" w:rsidRDefault="00766B0F">
      <w:pPr>
        <w:pStyle w:val="FootnoteText"/>
      </w:pPr>
      <w:r>
        <w:rPr>
          <w:rStyle w:val="FootnoteReference"/>
        </w:rPr>
        <w:footnoteRef/>
      </w:r>
      <w:r>
        <w:t xml:space="preserve"> </w:t>
      </w:r>
      <w:r w:rsidRPr="00BC4B48">
        <w:rPr>
          <w:i/>
          <w:iCs/>
        </w:rPr>
        <w:t>Telseven</w:t>
      </w:r>
      <w:r w:rsidR="001B6644">
        <w:rPr>
          <w:i/>
          <w:iCs/>
        </w:rPr>
        <w:t>,</w:t>
      </w:r>
      <w:r w:rsidRPr="00BC4B48">
        <w:rPr>
          <w:i/>
          <w:iCs/>
        </w:rPr>
        <w:t xml:space="preserve"> LLC</w:t>
      </w:r>
      <w:r w:rsidRPr="00BC4B48">
        <w:t>, Forfeiture Order, 31 FCC Rcd 1629, para. 1 (2016)</w:t>
      </w:r>
      <w:r>
        <w:t>.</w:t>
      </w:r>
    </w:p>
  </w:footnote>
  <w:footnote w:id="20">
    <w:p w:rsidR="00F26C1D" w:rsidRPr="00DE07B7" w:rsidRDefault="00F26C1D" w:rsidP="00F26C1D">
      <w:pPr>
        <w:pStyle w:val="FootnoteText"/>
      </w:pPr>
      <w:r w:rsidRPr="00DE07B7">
        <w:rPr>
          <w:rStyle w:val="FootnoteReference"/>
        </w:rPr>
        <w:footnoteRef/>
      </w:r>
      <w:r w:rsidRPr="00DE07B7">
        <w:rPr>
          <w:i/>
        </w:rPr>
        <w:t xml:space="preserve"> See</w:t>
      </w:r>
      <w:r w:rsidRPr="00DE07B7">
        <w:t xml:space="preserve"> Universal Service Administrative Company, Invoice to Momentum Telecom, Inc., No. UBDI0000646357 (Sept. 20, 2013)</w:t>
      </w:r>
      <w:r w:rsidRPr="00DE07B7">
        <w:rPr>
          <w:color w:val="000000"/>
          <w:spacing w:val="-2"/>
          <w:szCs w:val="22"/>
        </w:rPr>
        <w:t xml:space="preserve">; </w:t>
      </w:r>
      <w:r w:rsidRPr="00DE07B7">
        <w:t>Universal Service Administrative Company, Invoice to Momentum Telecom, Inc., No. UBDI0000652339 (Oct. 22, 2013); Universal Service Administrative Company, Invoice to Momentum Telecom, Inc., No. UBDI0000658331 (Nov. 22, 2013); Universal Service Administrative Company, Invoice to Momentum Telecom, Inc., No. UBDI0000664324 (Dec. 20, 2013); Universal Service Administrative Company, Invoice to Momentum Telecom, Inc., No. UBDI0000670329 (Jan. 22, 2014); Universal Service Administrative Company, Invoice to Momentum Telecom, Inc., No. UBDI0000676317 (Feb. 21, 2014); Universal Service Administrative Company, Invoice to Momentum Telecom, Inc., No. UBDI0000682319 (March 21, 2014); Universal Service Administrative Company, Invoice to Momentum Telecom, Inc., No. UBDI0000688294 (April 22, 2014); Universal Service Administrative Company, Invoice to Momentum Telecom, Inc., No. UBDI0000694283 (May 22, 2014); Universal Service Administrative Company, Invoice to Momentum Telecom, Inc., No. UBDI0000700268 (June 20, 2014); Universal Service Administrative Company, Invoice to Momentum Telecom, Inc., No. UBDI0000706329 (July 22, 2014); Universal Service Administrative Company, Invoice to Momentum Telecom, Inc., No. UBDI0000712322 (Aug. 22, 2014); Universal Service Administrative Company, Invoice to Momentum Telecom, Inc., No. UBDI0000718309 (Sept. 22, 2014); Universal Service Administrative Company, Invoice to Momentum Telecom, Inc., No. UBDI0000724285 (Oct. 22, 2014); Universal Service Administrative Company, Invoice to Momentum Telecom, Inc., No. UBDI0000730263 (Nov. 21, 2014); Universal Service Administrative Company, Invoice to Momentum Telecom, Inc., No. UBDI0000736310 (Dec. 22, 2014); Universal Service Administrative Company, Invoice to Momentum Telecom, Inc., No. UBDI0000742314 (Jan. 22, 2015); Universal Service Administrative Company, Invoice to Momentum Telecom, Inc., No. UBDI0000748309 (Feb. 20, 2015); Universal Service Administrative Company, Invoice to Momentum Telecom, Inc., No. UBDI0000754271 (March 20, 2015); Universal Service Administrative Company, Invoice to Momentum Telecom, Inc., No. UBDI0000762219 (April 22, 2015); Universal Service Administrative Company, Invoice to Momentum Telecom, Inc., No. UBDI0000771244 (May 22, 2015); Universal Service Administrative Company, Invoice to Momentum Telecom, Inc., No. UBDI0000777238 (June 22, 2015); Universal Service Administrative Company, Invoice to Momentum Telecom, Inc., No. UBDI0000783299 (July 22, 2015); Universal Service Administrative Company, Invoice to Momentum Telecom, Inc., No. UBDI0000789236 (Aug. 21, 2015); Universal Service Administrative Company, Invoice to Momentum Telecom, Inc., No. UBDI0000795166 (Sept. 22, 2015); Universal Service Administrative Company, Invoice to Momentum Telecom, Inc., No. UBDI0000801139 (Oct. 22, 2015) (all invoices on file in EB-</w:t>
      </w:r>
      <w:r w:rsidRPr="00DE07B7">
        <w:rPr>
          <w:color w:val="000000"/>
          <w:spacing w:val="-2"/>
          <w:szCs w:val="22"/>
        </w:rPr>
        <w:t>IHD-15-00018669).</w:t>
      </w:r>
    </w:p>
  </w:footnote>
  <w:footnote w:id="21">
    <w:p w:rsidR="00F26C1D" w:rsidRPr="00DE07B7" w:rsidRDefault="00F26C1D" w:rsidP="00F26C1D">
      <w:pPr>
        <w:pStyle w:val="FootnoteText"/>
      </w:pPr>
      <w:r w:rsidRPr="00DE07B7">
        <w:rPr>
          <w:rStyle w:val="FootnoteReference"/>
        </w:rPr>
        <w:footnoteRef/>
      </w:r>
      <w:r w:rsidRPr="00DE07B7">
        <w:t xml:space="preserve"> 47 CFR § 54.713(e).</w:t>
      </w:r>
    </w:p>
  </w:footnote>
  <w:footnote w:id="22">
    <w:p w:rsidR="00DD4093" w:rsidRPr="00DE07B7" w:rsidRDefault="00DD4093" w:rsidP="00DD4093">
      <w:pPr>
        <w:pStyle w:val="FootnoteText"/>
      </w:pPr>
      <w:r w:rsidRPr="00DE07B7">
        <w:rPr>
          <w:rStyle w:val="FootnoteReference"/>
        </w:rPr>
        <w:footnoteRef/>
      </w:r>
      <w:r w:rsidRPr="00DE07B7">
        <w:t xml:space="preserve"> </w:t>
      </w:r>
      <w:r w:rsidRPr="00DE07B7">
        <w:rPr>
          <w:i/>
        </w:rPr>
        <w:t>See</w:t>
      </w:r>
      <w:r w:rsidRPr="00DE07B7">
        <w:t xml:space="preserve"> </w:t>
      </w:r>
      <w:r w:rsidR="00C33CA4">
        <w:rPr>
          <w:color w:val="000000"/>
          <w:spacing w:val="-2"/>
          <w:szCs w:val="22"/>
        </w:rPr>
        <w:t>Letter from Mike Pond, Manager of Financial Operations, USAC, to Gregory Haledjian, Attorney Advisor, Investigations and Hearings Division, FCC Enforcement Bureau (May 31, 2016) (May 31, 2016 USAC Letter) (</w:t>
      </w:r>
      <w:r w:rsidR="00C33CA4">
        <w:t>on file in EB-</w:t>
      </w:r>
      <w:r w:rsidR="00C33CA4" w:rsidRPr="00171634">
        <w:rPr>
          <w:color w:val="000000"/>
          <w:spacing w:val="-2"/>
          <w:szCs w:val="22"/>
        </w:rPr>
        <w:t>IHD-15-00018669)</w:t>
      </w:r>
      <w:r w:rsidRPr="00DE07B7">
        <w:t>.</w:t>
      </w:r>
    </w:p>
  </w:footnote>
  <w:footnote w:id="23">
    <w:p w:rsidR="00EA77FF" w:rsidRPr="00DE07B7" w:rsidRDefault="00EA77FF" w:rsidP="00EA77FF">
      <w:pPr>
        <w:pStyle w:val="FootnoteText"/>
      </w:pPr>
      <w:r w:rsidRPr="00DE07B7">
        <w:rPr>
          <w:rStyle w:val="FootnoteReference"/>
        </w:rPr>
        <w:footnoteRef/>
      </w:r>
      <w:r w:rsidRPr="00DE07B7">
        <w:t xml:space="preserve"> </w:t>
      </w:r>
      <w:r w:rsidRPr="00DE07B7">
        <w:rPr>
          <w:i/>
        </w:rPr>
        <w:t>See</w:t>
      </w:r>
      <w:r w:rsidRPr="00DE07B7">
        <w:t xml:space="preserve"> Universal Service Administrative Company, Invoice to Momentum Telecom, Inc., No. UBDI0000777238 (June 22, 2015) (on file in EB-</w:t>
      </w:r>
      <w:r w:rsidRPr="00DE07B7">
        <w:rPr>
          <w:color w:val="000000"/>
          <w:spacing w:val="-2"/>
          <w:szCs w:val="22"/>
        </w:rPr>
        <w:t xml:space="preserve">IHD-15-00018669); </w:t>
      </w:r>
      <w:r w:rsidRPr="00DE07B7">
        <w:rPr>
          <w:i/>
          <w:color w:val="000000"/>
          <w:spacing w:val="-2"/>
          <w:szCs w:val="22"/>
        </w:rPr>
        <w:t xml:space="preserve">see also </w:t>
      </w:r>
      <w:r w:rsidRPr="00DE07B7">
        <w:rPr>
          <w:color w:val="000000"/>
          <w:spacing w:val="-2"/>
          <w:szCs w:val="22"/>
        </w:rPr>
        <w:t>May 31, 2016 USAC Letter.</w:t>
      </w:r>
    </w:p>
  </w:footnote>
  <w:footnote w:id="24">
    <w:p w:rsidR="00DD4093" w:rsidRDefault="00DD4093" w:rsidP="00DD4093">
      <w:pPr>
        <w:pStyle w:val="FootnoteText"/>
      </w:pPr>
      <w:r w:rsidRPr="00AE2F80">
        <w:rPr>
          <w:rStyle w:val="FootnoteReference"/>
        </w:rPr>
        <w:footnoteRef/>
      </w:r>
      <w:r w:rsidRPr="00AE2F80">
        <w:t xml:space="preserve"> </w:t>
      </w:r>
      <w:r w:rsidRPr="00AE2F80">
        <w:rPr>
          <w:i/>
        </w:rPr>
        <w:t>See, e.g., Forfeiture Methodology for Violations of Rules Governing Payment to Certain Federal Programs</w:t>
      </w:r>
      <w:r w:rsidRPr="00AE2F80">
        <w:t>, Policy Statement, 30 FCC Rcd 1622, para. 1 (2015) (</w:t>
      </w:r>
      <w:r w:rsidRPr="00AE2F80">
        <w:rPr>
          <w:i/>
        </w:rPr>
        <w:t>2015 Forfeiture Policy Statement</w:t>
      </w:r>
      <w:r w:rsidRPr="00AE2F80">
        <w:t xml:space="preserve">).  A Petition for Reconsideration and a Stay Request of the </w:t>
      </w:r>
      <w:r w:rsidRPr="001B6644">
        <w:rPr>
          <w:i/>
        </w:rPr>
        <w:t>Forfeiture Policy Statement</w:t>
      </w:r>
      <w:r w:rsidRPr="001B6644">
        <w:t xml:space="preserve"> were filed on March 6, 2015.  </w:t>
      </w:r>
      <w:r w:rsidRPr="001B6644">
        <w:rPr>
          <w:i/>
        </w:rPr>
        <w:t>See</w:t>
      </w:r>
      <w:r w:rsidRPr="001B6644">
        <w:t xml:space="preserve"> Petition for Stay by CTIA – The Wireless Association, National Cable &amp; Telecommunications Association, United States Telecom Association, and COMPTEL, </w:t>
      </w:r>
      <w:r w:rsidRPr="001B6644">
        <w:rPr>
          <w:i/>
        </w:rPr>
        <w:t>Forfeiture Methodology for Violations of Rules Governing Payment to Certain Federal Programs</w:t>
      </w:r>
      <w:r w:rsidRPr="001B6644">
        <w:t>, FCC 15-15</w:t>
      </w:r>
      <w:r w:rsidRPr="001B6644">
        <w:rPr>
          <w:i/>
        </w:rPr>
        <w:t xml:space="preserve"> </w:t>
      </w:r>
      <w:r w:rsidRPr="001B6644">
        <w:t xml:space="preserve">(filed Mar. 6, 2015) (Joint Petition for Reconsideration); Petition for Stay by CTIA – The Wireless Association, National Cable &amp; Telecommunications Association, United States Telecom Association, and COMPTEL, </w:t>
      </w:r>
      <w:r w:rsidRPr="001B6644">
        <w:rPr>
          <w:i/>
        </w:rPr>
        <w:t>Forfeiture Methodology for Violations of Rules Governing Payment to Certain Federal Programs</w:t>
      </w:r>
      <w:r w:rsidRPr="001B6644">
        <w:t>, FCC 15-15</w:t>
      </w:r>
      <w:r w:rsidRPr="001B6644">
        <w:rPr>
          <w:i/>
        </w:rPr>
        <w:t xml:space="preserve"> </w:t>
      </w:r>
      <w:r w:rsidRPr="001B6644">
        <w:t xml:space="preserve">(filed Mar. 6, 2015) (Joint Petition for Stay).  The issuance of this </w:t>
      </w:r>
      <w:r w:rsidRPr="005A1146">
        <w:t xml:space="preserve">Admonishment </w:t>
      </w:r>
      <w:r w:rsidRPr="00AE2F80">
        <w:t>has no impact on the Commission’s consideration of either the Joint Petition for Reconsideration or the Joint Petition for Stay, which remain pending, and in no way indicates that the Commission has prejudged the resolution of either filing</w:t>
      </w:r>
      <w:r>
        <w:t>.</w:t>
      </w:r>
    </w:p>
  </w:footnote>
  <w:footnote w:id="25">
    <w:p w:rsidR="00DD4093" w:rsidRPr="005A06A9" w:rsidRDefault="00DD4093" w:rsidP="00DD4093">
      <w:pPr>
        <w:pStyle w:val="FootnoteText"/>
        <w:rPr>
          <w:i/>
        </w:rPr>
      </w:pPr>
      <w:r>
        <w:rPr>
          <w:rStyle w:val="FootnoteReference"/>
        </w:rPr>
        <w:footnoteRef/>
      </w:r>
      <w:r>
        <w:t xml:space="preserve"> Under the Commission’s guidelines, we would next have considered whether any downward adjustments would be appropriate in light of Momentum’s compliance efforts.  </w:t>
      </w:r>
      <w:r w:rsidRPr="00DD00A4">
        <w:rPr>
          <w:szCs w:val="22"/>
        </w:rPr>
        <w:t>Under the</w:t>
      </w:r>
      <w:r>
        <w:rPr>
          <w:szCs w:val="22"/>
        </w:rPr>
        <w:t xml:space="preserve"> Commission’s</w:t>
      </w:r>
      <w:r w:rsidRPr="00DD00A4">
        <w:rPr>
          <w:szCs w:val="22"/>
        </w:rPr>
        <w:t xml:space="preserve"> guidelines, we may adjust a forfeiture upward for violations that are egregious, intentional, or repeated, or that cause substantial harm or generate substantial economic gain for the violator.</w:t>
      </w:r>
      <w:r>
        <w:rPr>
          <w:szCs w:val="22"/>
        </w:rPr>
        <w:t xml:space="preserve">  </w:t>
      </w:r>
      <w:r w:rsidRPr="00DE07B7">
        <w:rPr>
          <w:color w:val="000000"/>
        </w:rPr>
        <w:t xml:space="preserve">47 CFR § 1.80(b)(8), Note to </w:t>
      </w:r>
      <w:r w:rsidRPr="008F5BA6">
        <w:rPr>
          <w:color w:val="000000"/>
        </w:rPr>
        <w:t>paragraph (b)(8).</w:t>
      </w:r>
      <w:r>
        <w:rPr>
          <w:color w:val="000000"/>
        </w:rPr>
        <w:t xml:space="preserve">  </w:t>
      </w:r>
      <w:r>
        <w:rPr>
          <w:szCs w:val="22"/>
        </w:rPr>
        <w:t xml:space="preserve">We may also adjust a forfeiture downward under the guidelines for minor violations, good faith or voluntary disclosure, a history of overall compliance, or an inability to pay.  </w:t>
      </w:r>
      <w:r>
        <w:rPr>
          <w:i/>
          <w:szCs w:val="22"/>
        </w:rPr>
        <w:t>Id.</w:t>
      </w:r>
    </w:p>
  </w:footnote>
  <w:footnote w:id="26">
    <w:p w:rsidR="0092561C" w:rsidRDefault="0092561C">
      <w:pPr>
        <w:pStyle w:val="FootnoteText"/>
      </w:pPr>
      <w:r>
        <w:rPr>
          <w:rStyle w:val="FootnoteReference"/>
        </w:rPr>
        <w:footnoteRef/>
      </w:r>
      <w:r>
        <w:t xml:space="preserve"> The treble damages calculation is appropriate because service providers such as Momentum that fail to timely and fully contribute to the federal regulatory programs, including the USF, “undermine the efficiency and effectiveness of these federal programs” and “obtain an unfair advantage over companies that comply” with the Act and the Rules.  </w:t>
      </w:r>
      <w:r w:rsidRPr="00DE07B7">
        <w:rPr>
          <w:i/>
        </w:rPr>
        <w:t>2015 Forfeiture Policy Statement</w:t>
      </w:r>
      <w:r w:rsidRPr="00DE07B7">
        <w:t>, 30 FCC Rcd at 1622, para. 1</w:t>
      </w:r>
      <w:r>
        <w:t>.</w:t>
      </w:r>
    </w:p>
  </w:footnote>
  <w:footnote w:id="27">
    <w:p w:rsidR="000B6139" w:rsidRDefault="000B6139" w:rsidP="000B6139">
      <w:pPr>
        <w:pStyle w:val="FootnoteText"/>
      </w:pPr>
      <w:r>
        <w:rPr>
          <w:rStyle w:val="FootnoteReference"/>
        </w:rPr>
        <w:footnoteRef/>
      </w:r>
      <w:r>
        <w:t xml:space="preserve"> 47 CFR § 1.80(c)(4) (“[N]o penalty shall be imposed if the violation occurred more than 1 year prior to the date on which the appropriate notice is issued.”).</w:t>
      </w:r>
    </w:p>
  </w:footnote>
  <w:footnote w:id="28">
    <w:p w:rsidR="00F26C1D" w:rsidRDefault="00F26C1D" w:rsidP="00F26C1D">
      <w:pPr>
        <w:pStyle w:val="FootnoteText"/>
      </w:pPr>
      <w:r>
        <w:rPr>
          <w:rStyle w:val="FootnoteReference"/>
        </w:rPr>
        <w:footnoteRef/>
      </w:r>
      <w:r>
        <w:t xml:space="preserve"> 47 U.S.C. § 254(d).</w:t>
      </w:r>
    </w:p>
  </w:footnote>
  <w:footnote w:id="29">
    <w:p w:rsidR="00F26C1D" w:rsidRDefault="00F26C1D" w:rsidP="00F26C1D">
      <w:pPr>
        <w:pStyle w:val="FootnoteText"/>
      </w:pPr>
      <w:r>
        <w:rPr>
          <w:rStyle w:val="FootnoteReference"/>
        </w:rPr>
        <w:footnoteRef/>
      </w:r>
      <w:r>
        <w:t xml:space="preserve"> 47 CFR §§ 54.706, </w:t>
      </w:r>
      <w:r w:rsidR="00C33CA4">
        <w:t>54.</w:t>
      </w:r>
      <w:r>
        <w:t>713.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37" w:rsidRDefault="00CB3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61312" behindDoc="1" locked="0" layoutInCell="0" allowOverlap="1" wp14:anchorId="1D339C76" wp14:editId="6006107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C8916D"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E92283">
      <w:rPr>
        <w:b/>
      </w:rPr>
      <w:tab/>
      <w:t>Federal Communications Commission</w:t>
    </w:r>
    <w:r w:rsidRPr="00E92283">
      <w:rPr>
        <w:b/>
      </w:rPr>
      <w:tab/>
    </w:r>
    <w:r w:rsidR="00E92283">
      <w:rPr>
        <w:b/>
        <w:spacing w:val="-2"/>
      </w:rPr>
      <w:t>DA</w:t>
    </w:r>
    <w:r w:rsidRPr="00E92283">
      <w:rPr>
        <w:b/>
        <w:spacing w:val="-2"/>
      </w:rPr>
      <w:t xml:space="preserve"> </w:t>
    </w:r>
    <w:r w:rsidR="003C3DDB">
      <w:rPr>
        <w:b/>
        <w:spacing w:val="-2"/>
      </w:rPr>
      <w:t>16</w:t>
    </w:r>
    <w:r w:rsidRPr="005B744E">
      <w:rPr>
        <w:b/>
        <w:spacing w:val="-2"/>
      </w:rPr>
      <w:t>-</w:t>
    </w:r>
    <w:r w:rsidR="003C3DDB">
      <w:rPr>
        <w:b/>
        <w:spacing w:val="-2"/>
      </w:rPr>
      <w:t>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59264" behindDoc="1" locked="0" layoutInCell="0" allowOverlap="1" wp14:anchorId="63B19405" wp14:editId="2E885CE8">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3B6707"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E92283">
      <w:rPr>
        <w:b/>
      </w:rPr>
      <w:tab/>
      <w:t>Federal Communications Commission</w:t>
    </w:r>
    <w:r w:rsidRPr="00E92283">
      <w:rPr>
        <w:b/>
      </w:rPr>
      <w:tab/>
    </w:r>
    <w:r w:rsidRPr="00E92283">
      <w:rPr>
        <w:b/>
        <w:spacing w:val="-2"/>
      </w:rPr>
      <w:t xml:space="preserve">DA </w:t>
    </w:r>
    <w:r w:rsidR="008F2425">
      <w:rPr>
        <w:b/>
        <w:spacing w:val="-2"/>
      </w:rPr>
      <w:t>16</w:t>
    </w:r>
    <w:r w:rsidRPr="005B744E">
      <w:rPr>
        <w:b/>
        <w:spacing w:val="-2"/>
      </w:rPr>
      <w:t>-</w:t>
    </w:r>
    <w:r w:rsidR="003C3DDB">
      <w:rPr>
        <w:b/>
        <w:spacing w:val="-2"/>
      </w:rPr>
      <w:t>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3">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4"/>
  </w:num>
  <w:num w:numId="2">
    <w:abstractNumId w:val="12"/>
  </w:num>
  <w:num w:numId="3">
    <w:abstractNumId w:val="11"/>
  </w:num>
  <w:num w:numId="4">
    <w:abstractNumId w:val="15"/>
  </w:num>
  <w:num w:numId="5">
    <w:abstractNumId w:val="8"/>
  </w:num>
  <w:num w:numId="6">
    <w:abstractNumId w:val="0"/>
  </w:num>
  <w:num w:numId="7">
    <w:abstractNumId w:val="4"/>
  </w:num>
  <w:num w:numId="8">
    <w:abstractNumId w:val="13"/>
  </w:num>
  <w:num w:numId="9">
    <w:abstractNumId w:val="3"/>
  </w:num>
  <w:num w:numId="10">
    <w:abstractNumId w:val="2"/>
  </w:num>
  <w:num w:numId="11">
    <w:abstractNumId w:val="6"/>
  </w:num>
  <w:num w:numId="12">
    <w:abstractNumId w:val="9"/>
  </w:num>
  <w:num w:numId="13">
    <w:abstractNumId w:val="7"/>
  </w:num>
  <w:num w:numId="14">
    <w:abstractNumId w:val="1"/>
  </w:num>
  <w:num w:numId="15">
    <w:abstractNumId w:val="10"/>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1A3"/>
    <w:rsid w:val="00006096"/>
    <w:rsid w:val="00006B8F"/>
    <w:rsid w:val="0000715C"/>
    <w:rsid w:val="0001067E"/>
    <w:rsid w:val="00011FC8"/>
    <w:rsid w:val="00012592"/>
    <w:rsid w:val="0001259D"/>
    <w:rsid w:val="000136FB"/>
    <w:rsid w:val="00015D7C"/>
    <w:rsid w:val="0001758D"/>
    <w:rsid w:val="000221BE"/>
    <w:rsid w:val="00024160"/>
    <w:rsid w:val="00024D51"/>
    <w:rsid w:val="00026F3F"/>
    <w:rsid w:val="00031191"/>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1253"/>
    <w:rsid w:val="00077222"/>
    <w:rsid w:val="00083739"/>
    <w:rsid w:val="00083BBB"/>
    <w:rsid w:val="00084F62"/>
    <w:rsid w:val="0008593B"/>
    <w:rsid w:val="0008793B"/>
    <w:rsid w:val="000907C9"/>
    <w:rsid w:val="00092A66"/>
    <w:rsid w:val="00092BAB"/>
    <w:rsid w:val="00092BF2"/>
    <w:rsid w:val="000973EC"/>
    <w:rsid w:val="00097E37"/>
    <w:rsid w:val="000A02F1"/>
    <w:rsid w:val="000A0708"/>
    <w:rsid w:val="000A1455"/>
    <w:rsid w:val="000A2104"/>
    <w:rsid w:val="000A3027"/>
    <w:rsid w:val="000A4B2B"/>
    <w:rsid w:val="000A65A9"/>
    <w:rsid w:val="000A72EB"/>
    <w:rsid w:val="000A78F3"/>
    <w:rsid w:val="000B5FAA"/>
    <w:rsid w:val="000B6139"/>
    <w:rsid w:val="000B6354"/>
    <w:rsid w:val="000B74EE"/>
    <w:rsid w:val="000C03A5"/>
    <w:rsid w:val="000C6E17"/>
    <w:rsid w:val="000C6E40"/>
    <w:rsid w:val="000D3BEE"/>
    <w:rsid w:val="000D5CEF"/>
    <w:rsid w:val="000E0BD7"/>
    <w:rsid w:val="000E71A8"/>
    <w:rsid w:val="000F11B8"/>
    <w:rsid w:val="000F1523"/>
    <w:rsid w:val="000F1FEB"/>
    <w:rsid w:val="000F22A2"/>
    <w:rsid w:val="000F41D6"/>
    <w:rsid w:val="000F438B"/>
    <w:rsid w:val="000F7572"/>
    <w:rsid w:val="001002A6"/>
    <w:rsid w:val="001056BA"/>
    <w:rsid w:val="00106C96"/>
    <w:rsid w:val="00110261"/>
    <w:rsid w:val="00111A21"/>
    <w:rsid w:val="00113784"/>
    <w:rsid w:val="00113BC4"/>
    <w:rsid w:val="00116FE5"/>
    <w:rsid w:val="00122A8F"/>
    <w:rsid w:val="001326A2"/>
    <w:rsid w:val="0013283B"/>
    <w:rsid w:val="001336C6"/>
    <w:rsid w:val="0013442B"/>
    <w:rsid w:val="001353CD"/>
    <w:rsid w:val="001374F2"/>
    <w:rsid w:val="001374F8"/>
    <w:rsid w:val="00137BCF"/>
    <w:rsid w:val="001422A3"/>
    <w:rsid w:val="001435D9"/>
    <w:rsid w:val="0014680D"/>
    <w:rsid w:val="001564D8"/>
    <w:rsid w:val="001602AA"/>
    <w:rsid w:val="00161B26"/>
    <w:rsid w:val="00162CC6"/>
    <w:rsid w:val="001643B3"/>
    <w:rsid w:val="00172372"/>
    <w:rsid w:val="00172896"/>
    <w:rsid w:val="00175520"/>
    <w:rsid w:val="001765F1"/>
    <w:rsid w:val="00180FE4"/>
    <w:rsid w:val="00182136"/>
    <w:rsid w:val="00186025"/>
    <w:rsid w:val="0018718B"/>
    <w:rsid w:val="00194247"/>
    <w:rsid w:val="00196363"/>
    <w:rsid w:val="001A04AB"/>
    <w:rsid w:val="001A5323"/>
    <w:rsid w:val="001A7294"/>
    <w:rsid w:val="001A73D7"/>
    <w:rsid w:val="001B0C82"/>
    <w:rsid w:val="001B1F2B"/>
    <w:rsid w:val="001B28E2"/>
    <w:rsid w:val="001B6644"/>
    <w:rsid w:val="001C10F3"/>
    <w:rsid w:val="001C3391"/>
    <w:rsid w:val="001C6FD2"/>
    <w:rsid w:val="001C7ACB"/>
    <w:rsid w:val="001C7E3F"/>
    <w:rsid w:val="001D1BD2"/>
    <w:rsid w:val="001D21C7"/>
    <w:rsid w:val="001D432B"/>
    <w:rsid w:val="001D43E1"/>
    <w:rsid w:val="001E0AD2"/>
    <w:rsid w:val="001E218B"/>
    <w:rsid w:val="001E3C95"/>
    <w:rsid w:val="001E5C37"/>
    <w:rsid w:val="001E621A"/>
    <w:rsid w:val="001F0F03"/>
    <w:rsid w:val="001F1B76"/>
    <w:rsid w:val="001F39AA"/>
    <w:rsid w:val="001F6002"/>
    <w:rsid w:val="001F6575"/>
    <w:rsid w:val="001F7A78"/>
    <w:rsid w:val="0020014C"/>
    <w:rsid w:val="002044D7"/>
    <w:rsid w:val="00204AA0"/>
    <w:rsid w:val="002051C3"/>
    <w:rsid w:val="0020572D"/>
    <w:rsid w:val="00210084"/>
    <w:rsid w:val="002112B7"/>
    <w:rsid w:val="002119D0"/>
    <w:rsid w:val="0021431B"/>
    <w:rsid w:val="00215996"/>
    <w:rsid w:val="00215F06"/>
    <w:rsid w:val="0022442C"/>
    <w:rsid w:val="00226DB0"/>
    <w:rsid w:val="002302F1"/>
    <w:rsid w:val="00232003"/>
    <w:rsid w:val="0023346D"/>
    <w:rsid w:val="002341EF"/>
    <w:rsid w:val="00237E00"/>
    <w:rsid w:val="002431CE"/>
    <w:rsid w:val="00246DD3"/>
    <w:rsid w:val="00247671"/>
    <w:rsid w:val="0025179A"/>
    <w:rsid w:val="00253BA7"/>
    <w:rsid w:val="00254133"/>
    <w:rsid w:val="00255A78"/>
    <w:rsid w:val="00255F9B"/>
    <w:rsid w:val="0025762A"/>
    <w:rsid w:val="00260BE8"/>
    <w:rsid w:val="002617F1"/>
    <w:rsid w:val="002639F4"/>
    <w:rsid w:val="00264929"/>
    <w:rsid w:val="002661C4"/>
    <w:rsid w:val="00271CED"/>
    <w:rsid w:val="00271E9B"/>
    <w:rsid w:val="0027444B"/>
    <w:rsid w:val="002754BC"/>
    <w:rsid w:val="00277A4F"/>
    <w:rsid w:val="00282EB3"/>
    <w:rsid w:val="002849B2"/>
    <w:rsid w:val="00285BAA"/>
    <w:rsid w:val="00286303"/>
    <w:rsid w:val="002911F1"/>
    <w:rsid w:val="0029239D"/>
    <w:rsid w:val="0029779F"/>
    <w:rsid w:val="00297E39"/>
    <w:rsid w:val="002A3BFA"/>
    <w:rsid w:val="002A3CC7"/>
    <w:rsid w:val="002A63EC"/>
    <w:rsid w:val="002A7EC5"/>
    <w:rsid w:val="002B1030"/>
    <w:rsid w:val="002B1319"/>
    <w:rsid w:val="002B3B4C"/>
    <w:rsid w:val="002C06AA"/>
    <w:rsid w:val="002C2BE6"/>
    <w:rsid w:val="002C52BE"/>
    <w:rsid w:val="002D27F9"/>
    <w:rsid w:val="002D67E1"/>
    <w:rsid w:val="002E1356"/>
    <w:rsid w:val="002E5566"/>
    <w:rsid w:val="002E583E"/>
    <w:rsid w:val="002E79A6"/>
    <w:rsid w:val="002F1BAF"/>
    <w:rsid w:val="002F703E"/>
    <w:rsid w:val="002F7382"/>
    <w:rsid w:val="002F761C"/>
    <w:rsid w:val="002F7F02"/>
    <w:rsid w:val="003038CD"/>
    <w:rsid w:val="00304C38"/>
    <w:rsid w:val="00306D54"/>
    <w:rsid w:val="003077E5"/>
    <w:rsid w:val="0031085B"/>
    <w:rsid w:val="00313368"/>
    <w:rsid w:val="0031443E"/>
    <w:rsid w:val="0031468B"/>
    <w:rsid w:val="003158D5"/>
    <w:rsid w:val="003166ED"/>
    <w:rsid w:val="003210C6"/>
    <w:rsid w:val="00322349"/>
    <w:rsid w:val="0032470E"/>
    <w:rsid w:val="00326D27"/>
    <w:rsid w:val="00330752"/>
    <w:rsid w:val="003313D1"/>
    <w:rsid w:val="003338F9"/>
    <w:rsid w:val="003341E5"/>
    <w:rsid w:val="00334450"/>
    <w:rsid w:val="00334B6A"/>
    <w:rsid w:val="003369FE"/>
    <w:rsid w:val="003378A2"/>
    <w:rsid w:val="00337EC9"/>
    <w:rsid w:val="00341F54"/>
    <w:rsid w:val="00343B15"/>
    <w:rsid w:val="00343CF0"/>
    <w:rsid w:val="00345B92"/>
    <w:rsid w:val="0034725C"/>
    <w:rsid w:val="003479EB"/>
    <w:rsid w:val="00350E1C"/>
    <w:rsid w:val="00351997"/>
    <w:rsid w:val="003540E3"/>
    <w:rsid w:val="00354FD5"/>
    <w:rsid w:val="003614A8"/>
    <w:rsid w:val="00364E03"/>
    <w:rsid w:val="00365439"/>
    <w:rsid w:val="0037259E"/>
    <w:rsid w:val="00373E08"/>
    <w:rsid w:val="00375EA1"/>
    <w:rsid w:val="00381196"/>
    <w:rsid w:val="003814CE"/>
    <w:rsid w:val="00381549"/>
    <w:rsid w:val="00384B8B"/>
    <w:rsid w:val="0038780D"/>
    <w:rsid w:val="00387B6A"/>
    <w:rsid w:val="00390031"/>
    <w:rsid w:val="00390587"/>
    <w:rsid w:val="003928DB"/>
    <w:rsid w:val="00395E9D"/>
    <w:rsid w:val="003975A7"/>
    <w:rsid w:val="003A01A5"/>
    <w:rsid w:val="003A502F"/>
    <w:rsid w:val="003B1761"/>
    <w:rsid w:val="003B1A70"/>
    <w:rsid w:val="003B30EF"/>
    <w:rsid w:val="003B5704"/>
    <w:rsid w:val="003B67C1"/>
    <w:rsid w:val="003B7B5A"/>
    <w:rsid w:val="003C3DDB"/>
    <w:rsid w:val="003C41A0"/>
    <w:rsid w:val="003C4A20"/>
    <w:rsid w:val="003C5824"/>
    <w:rsid w:val="003D47BD"/>
    <w:rsid w:val="003D66C7"/>
    <w:rsid w:val="003E6415"/>
    <w:rsid w:val="003E78BF"/>
    <w:rsid w:val="003F2B5A"/>
    <w:rsid w:val="003F2E86"/>
    <w:rsid w:val="003F342B"/>
    <w:rsid w:val="003F541B"/>
    <w:rsid w:val="00401498"/>
    <w:rsid w:val="00401DF6"/>
    <w:rsid w:val="00402084"/>
    <w:rsid w:val="00403A86"/>
    <w:rsid w:val="0041264B"/>
    <w:rsid w:val="00412C7F"/>
    <w:rsid w:val="00413C25"/>
    <w:rsid w:val="00415029"/>
    <w:rsid w:val="004172C6"/>
    <w:rsid w:val="004223B8"/>
    <w:rsid w:val="00422B4E"/>
    <w:rsid w:val="00422D6A"/>
    <w:rsid w:val="00424852"/>
    <w:rsid w:val="00424D63"/>
    <w:rsid w:val="00424DE6"/>
    <w:rsid w:val="0042500E"/>
    <w:rsid w:val="00425CFE"/>
    <w:rsid w:val="00430B7E"/>
    <w:rsid w:val="00433850"/>
    <w:rsid w:val="0043465D"/>
    <w:rsid w:val="00435FED"/>
    <w:rsid w:val="00437D5A"/>
    <w:rsid w:val="004413D7"/>
    <w:rsid w:val="004428AB"/>
    <w:rsid w:val="00445065"/>
    <w:rsid w:val="004453EA"/>
    <w:rsid w:val="0044645C"/>
    <w:rsid w:val="00451BB9"/>
    <w:rsid w:val="00451C2B"/>
    <w:rsid w:val="00452E33"/>
    <w:rsid w:val="00453C5F"/>
    <w:rsid w:val="00460EC0"/>
    <w:rsid w:val="0046348E"/>
    <w:rsid w:val="004710E7"/>
    <w:rsid w:val="00471223"/>
    <w:rsid w:val="00474508"/>
    <w:rsid w:val="0047487B"/>
    <w:rsid w:val="00474D14"/>
    <w:rsid w:val="00475713"/>
    <w:rsid w:val="00475D6B"/>
    <w:rsid w:val="004863AC"/>
    <w:rsid w:val="00487CDC"/>
    <w:rsid w:val="00491064"/>
    <w:rsid w:val="004914B7"/>
    <w:rsid w:val="00493571"/>
    <w:rsid w:val="004955BA"/>
    <w:rsid w:val="00495EF1"/>
    <w:rsid w:val="00496C73"/>
    <w:rsid w:val="004973E2"/>
    <w:rsid w:val="004A17A4"/>
    <w:rsid w:val="004A2300"/>
    <w:rsid w:val="004A57A4"/>
    <w:rsid w:val="004B0789"/>
    <w:rsid w:val="004B1EF9"/>
    <w:rsid w:val="004B3DE7"/>
    <w:rsid w:val="004B4888"/>
    <w:rsid w:val="004B5076"/>
    <w:rsid w:val="004B5A79"/>
    <w:rsid w:val="004B6030"/>
    <w:rsid w:val="004B6CE3"/>
    <w:rsid w:val="004B6E9D"/>
    <w:rsid w:val="004C04B0"/>
    <w:rsid w:val="004C1059"/>
    <w:rsid w:val="004C110A"/>
    <w:rsid w:val="004C292D"/>
    <w:rsid w:val="004C7877"/>
    <w:rsid w:val="004D75AA"/>
    <w:rsid w:val="004D7C66"/>
    <w:rsid w:val="004E019C"/>
    <w:rsid w:val="004E09A2"/>
    <w:rsid w:val="004E20EC"/>
    <w:rsid w:val="004E25CA"/>
    <w:rsid w:val="004E42E2"/>
    <w:rsid w:val="004E5204"/>
    <w:rsid w:val="004E6544"/>
    <w:rsid w:val="004E78B9"/>
    <w:rsid w:val="004F2ECD"/>
    <w:rsid w:val="004F3251"/>
    <w:rsid w:val="004F5A94"/>
    <w:rsid w:val="004F62E8"/>
    <w:rsid w:val="004F6B80"/>
    <w:rsid w:val="00500F04"/>
    <w:rsid w:val="0050166C"/>
    <w:rsid w:val="00503DCB"/>
    <w:rsid w:val="00504785"/>
    <w:rsid w:val="00506430"/>
    <w:rsid w:val="005116BA"/>
    <w:rsid w:val="005119BA"/>
    <w:rsid w:val="005126EA"/>
    <w:rsid w:val="005142AD"/>
    <w:rsid w:val="00514A5B"/>
    <w:rsid w:val="005155B5"/>
    <w:rsid w:val="0051631C"/>
    <w:rsid w:val="00521311"/>
    <w:rsid w:val="0052262B"/>
    <w:rsid w:val="0052272D"/>
    <w:rsid w:val="00522E0F"/>
    <w:rsid w:val="00525F64"/>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1A08"/>
    <w:rsid w:val="00554736"/>
    <w:rsid w:val="00555D34"/>
    <w:rsid w:val="00556621"/>
    <w:rsid w:val="00556E17"/>
    <w:rsid w:val="005572E3"/>
    <w:rsid w:val="0056095A"/>
    <w:rsid w:val="00560E8B"/>
    <w:rsid w:val="0056323D"/>
    <w:rsid w:val="00564650"/>
    <w:rsid w:val="00567D61"/>
    <w:rsid w:val="0057007F"/>
    <w:rsid w:val="00570CDA"/>
    <w:rsid w:val="00575313"/>
    <w:rsid w:val="0057714E"/>
    <w:rsid w:val="00577295"/>
    <w:rsid w:val="0057772C"/>
    <w:rsid w:val="005779C9"/>
    <w:rsid w:val="005816FB"/>
    <w:rsid w:val="00583524"/>
    <w:rsid w:val="00584805"/>
    <w:rsid w:val="00585DC5"/>
    <w:rsid w:val="00586E9E"/>
    <w:rsid w:val="00586F83"/>
    <w:rsid w:val="00587FE4"/>
    <w:rsid w:val="00590221"/>
    <w:rsid w:val="00591B5D"/>
    <w:rsid w:val="005922F2"/>
    <w:rsid w:val="00593AF2"/>
    <w:rsid w:val="0059515B"/>
    <w:rsid w:val="00595DC2"/>
    <w:rsid w:val="00596580"/>
    <w:rsid w:val="005A027A"/>
    <w:rsid w:val="005A6922"/>
    <w:rsid w:val="005A7E20"/>
    <w:rsid w:val="005B0002"/>
    <w:rsid w:val="005B1525"/>
    <w:rsid w:val="005B56F7"/>
    <w:rsid w:val="005B73F0"/>
    <w:rsid w:val="005B744E"/>
    <w:rsid w:val="005B783E"/>
    <w:rsid w:val="005C633C"/>
    <w:rsid w:val="005C6CB8"/>
    <w:rsid w:val="005D149D"/>
    <w:rsid w:val="005D25D0"/>
    <w:rsid w:val="005D4692"/>
    <w:rsid w:val="005D5AA1"/>
    <w:rsid w:val="005E01D1"/>
    <w:rsid w:val="005E1749"/>
    <w:rsid w:val="005E1A27"/>
    <w:rsid w:val="005E1D2B"/>
    <w:rsid w:val="005E1DEF"/>
    <w:rsid w:val="005E2406"/>
    <w:rsid w:val="005E5545"/>
    <w:rsid w:val="005E5F3A"/>
    <w:rsid w:val="005F0833"/>
    <w:rsid w:val="005F1215"/>
    <w:rsid w:val="005F177D"/>
    <w:rsid w:val="005F4E17"/>
    <w:rsid w:val="00601C05"/>
    <w:rsid w:val="00602A48"/>
    <w:rsid w:val="00603565"/>
    <w:rsid w:val="00604176"/>
    <w:rsid w:val="0060454B"/>
    <w:rsid w:val="00605611"/>
    <w:rsid w:val="006065B6"/>
    <w:rsid w:val="00606643"/>
    <w:rsid w:val="00610FDD"/>
    <w:rsid w:val="006133A9"/>
    <w:rsid w:val="00614501"/>
    <w:rsid w:val="00616460"/>
    <w:rsid w:val="00616B9F"/>
    <w:rsid w:val="00617CE3"/>
    <w:rsid w:val="00621F4C"/>
    <w:rsid w:val="00623AC8"/>
    <w:rsid w:val="00623D18"/>
    <w:rsid w:val="00623FB8"/>
    <w:rsid w:val="006300A4"/>
    <w:rsid w:val="00630C96"/>
    <w:rsid w:val="006332BD"/>
    <w:rsid w:val="00637674"/>
    <w:rsid w:val="00641561"/>
    <w:rsid w:val="00641648"/>
    <w:rsid w:val="006418FA"/>
    <w:rsid w:val="0064199A"/>
    <w:rsid w:val="00641DE6"/>
    <w:rsid w:val="00644DCE"/>
    <w:rsid w:val="0064676C"/>
    <w:rsid w:val="0064768F"/>
    <w:rsid w:val="00647E1D"/>
    <w:rsid w:val="00647E8E"/>
    <w:rsid w:val="0065280A"/>
    <w:rsid w:val="00654D05"/>
    <w:rsid w:val="00660ADE"/>
    <w:rsid w:val="006622C2"/>
    <w:rsid w:val="006623FB"/>
    <w:rsid w:val="00665594"/>
    <w:rsid w:val="00666B0A"/>
    <w:rsid w:val="00666CF4"/>
    <w:rsid w:val="0066746E"/>
    <w:rsid w:val="0067016D"/>
    <w:rsid w:val="0067177B"/>
    <w:rsid w:val="006765F1"/>
    <w:rsid w:val="006803FC"/>
    <w:rsid w:val="0068278F"/>
    <w:rsid w:val="00684DD5"/>
    <w:rsid w:val="00687285"/>
    <w:rsid w:val="00687876"/>
    <w:rsid w:val="00687E51"/>
    <w:rsid w:val="006903C3"/>
    <w:rsid w:val="00690CEF"/>
    <w:rsid w:val="0069163D"/>
    <w:rsid w:val="0069712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54AE"/>
    <w:rsid w:val="006E22DC"/>
    <w:rsid w:val="006E2E30"/>
    <w:rsid w:val="006E3F36"/>
    <w:rsid w:val="006E4D54"/>
    <w:rsid w:val="006F1B3B"/>
    <w:rsid w:val="006F44FE"/>
    <w:rsid w:val="006F5B75"/>
    <w:rsid w:val="006F5F9A"/>
    <w:rsid w:val="0070072B"/>
    <w:rsid w:val="00703540"/>
    <w:rsid w:val="00703EFC"/>
    <w:rsid w:val="00705182"/>
    <w:rsid w:val="00705CB9"/>
    <w:rsid w:val="00706255"/>
    <w:rsid w:val="007067C7"/>
    <w:rsid w:val="00706CCD"/>
    <w:rsid w:val="0071234C"/>
    <w:rsid w:val="00712EEE"/>
    <w:rsid w:val="00713982"/>
    <w:rsid w:val="007144B3"/>
    <w:rsid w:val="00720558"/>
    <w:rsid w:val="00722503"/>
    <w:rsid w:val="00723F01"/>
    <w:rsid w:val="00724437"/>
    <w:rsid w:val="00726FD8"/>
    <w:rsid w:val="00727501"/>
    <w:rsid w:val="0073075A"/>
    <w:rsid w:val="007327A5"/>
    <w:rsid w:val="00732CCA"/>
    <w:rsid w:val="00736AFD"/>
    <w:rsid w:val="00737B49"/>
    <w:rsid w:val="00742779"/>
    <w:rsid w:val="00742889"/>
    <w:rsid w:val="007452AD"/>
    <w:rsid w:val="0074545F"/>
    <w:rsid w:val="0074558C"/>
    <w:rsid w:val="007462B7"/>
    <w:rsid w:val="00747FFC"/>
    <w:rsid w:val="00752092"/>
    <w:rsid w:val="0075283E"/>
    <w:rsid w:val="0075306C"/>
    <w:rsid w:val="007534DB"/>
    <w:rsid w:val="007541CD"/>
    <w:rsid w:val="00755873"/>
    <w:rsid w:val="00755FE2"/>
    <w:rsid w:val="007578C2"/>
    <w:rsid w:val="00764D7C"/>
    <w:rsid w:val="00765361"/>
    <w:rsid w:val="00765D8A"/>
    <w:rsid w:val="00766B0F"/>
    <w:rsid w:val="00767D0B"/>
    <w:rsid w:val="00771D26"/>
    <w:rsid w:val="00772E30"/>
    <w:rsid w:val="007743C4"/>
    <w:rsid w:val="007755D2"/>
    <w:rsid w:val="007764E8"/>
    <w:rsid w:val="00785376"/>
    <w:rsid w:val="007858CB"/>
    <w:rsid w:val="007864EE"/>
    <w:rsid w:val="00787620"/>
    <w:rsid w:val="0078786B"/>
    <w:rsid w:val="00790620"/>
    <w:rsid w:val="00795B29"/>
    <w:rsid w:val="00796CA3"/>
    <w:rsid w:val="007977A7"/>
    <w:rsid w:val="007A0888"/>
    <w:rsid w:val="007A3E03"/>
    <w:rsid w:val="007A4F9B"/>
    <w:rsid w:val="007A5A51"/>
    <w:rsid w:val="007A5DD2"/>
    <w:rsid w:val="007A7EB6"/>
    <w:rsid w:val="007B19EF"/>
    <w:rsid w:val="007B20EE"/>
    <w:rsid w:val="007B3424"/>
    <w:rsid w:val="007B3B86"/>
    <w:rsid w:val="007B4AC3"/>
    <w:rsid w:val="007C0BBA"/>
    <w:rsid w:val="007C0CA0"/>
    <w:rsid w:val="007C1F9C"/>
    <w:rsid w:val="007C2F15"/>
    <w:rsid w:val="007C3A62"/>
    <w:rsid w:val="007C3A92"/>
    <w:rsid w:val="007C446B"/>
    <w:rsid w:val="007C4891"/>
    <w:rsid w:val="007C5141"/>
    <w:rsid w:val="007D3708"/>
    <w:rsid w:val="007D4BB3"/>
    <w:rsid w:val="007D7384"/>
    <w:rsid w:val="007E3450"/>
    <w:rsid w:val="007E62D6"/>
    <w:rsid w:val="007E67F3"/>
    <w:rsid w:val="007F1655"/>
    <w:rsid w:val="007F17B2"/>
    <w:rsid w:val="007F4F8B"/>
    <w:rsid w:val="007F5784"/>
    <w:rsid w:val="007F683C"/>
    <w:rsid w:val="007F7D64"/>
    <w:rsid w:val="0080023B"/>
    <w:rsid w:val="00801B07"/>
    <w:rsid w:val="00803120"/>
    <w:rsid w:val="00807FED"/>
    <w:rsid w:val="0081222B"/>
    <w:rsid w:val="008127D1"/>
    <w:rsid w:val="00812803"/>
    <w:rsid w:val="008141EF"/>
    <w:rsid w:val="00814895"/>
    <w:rsid w:val="008149CC"/>
    <w:rsid w:val="00815415"/>
    <w:rsid w:val="008208EC"/>
    <w:rsid w:val="00820B84"/>
    <w:rsid w:val="00824196"/>
    <w:rsid w:val="008246E8"/>
    <w:rsid w:val="00826423"/>
    <w:rsid w:val="0082669E"/>
    <w:rsid w:val="0082799E"/>
    <w:rsid w:val="00830755"/>
    <w:rsid w:val="00830B66"/>
    <w:rsid w:val="00831FDE"/>
    <w:rsid w:val="00834D3A"/>
    <w:rsid w:val="00836099"/>
    <w:rsid w:val="00836180"/>
    <w:rsid w:val="0083689A"/>
    <w:rsid w:val="008422AD"/>
    <w:rsid w:val="0084468E"/>
    <w:rsid w:val="00845BF0"/>
    <w:rsid w:val="00846283"/>
    <w:rsid w:val="0084768E"/>
    <w:rsid w:val="00847FB4"/>
    <w:rsid w:val="0085092B"/>
    <w:rsid w:val="0085593E"/>
    <w:rsid w:val="00855AD3"/>
    <w:rsid w:val="00855F22"/>
    <w:rsid w:val="008577C9"/>
    <w:rsid w:val="00862439"/>
    <w:rsid w:val="008629F9"/>
    <w:rsid w:val="0086335B"/>
    <w:rsid w:val="00863418"/>
    <w:rsid w:val="008640E1"/>
    <w:rsid w:val="00866E03"/>
    <w:rsid w:val="00871141"/>
    <w:rsid w:val="00872507"/>
    <w:rsid w:val="00874165"/>
    <w:rsid w:val="008743C3"/>
    <w:rsid w:val="00877187"/>
    <w:rsid w:val="0088088D"/>
    <w:rsid w:val="00881D01"/>
    <w:rsid w:val="00882F22"/>
    <w:rsid w:val="008859FC"/>
    <w:rsid w:val="00894020"/>
    <w:rsid w:val="00894B8B"/>
    <w:rsid w:val="00896373"/>
    <w:rsid w:val="008A0341"/>
    <w:rsid w:val="008A0F7A"/>
    <w:rsid w:val="008A1CCF"/>
    <w:rsid w:val="008A3AA7"/>
    <w:rsid w:val="008A4054"/>
    <w:rsid w:val="008A7F41"/>
    <w:rsid w:val="008B4BAC"/>
    <w:rsid w:val="008B6878"/>
    <w:rsid w:val="008C037D"/>
    <w:rsid w:val="008C0495"/>
    <w:rsid w:val="008C0524"/>
    <w:rsid w:val="008C11DC"/>
    <w:rsid w:val="008C1366"/>
    <w:rsid w:val="008C1A56"/>
    <w:rsid w:val="008C2094"/>
    <w:rsid w:val="008C24FE"/>
    <w:rsid w:val="008C2B8B"/>
    <w:rsid w:val="008C3DA7"/>
    <w:rsid w:val="008C7EF1"/>
    <w:rsid w:val="008D1D4B"/>
    <w:rsid w:val="008D3CD4"/>
    <w:rsid w:val="008D4952"/>
    <w:rsid w:val="008D7252"/>
    <w:rsid w:val="008E2775"/>
    <w:rsid w:val="008E56D7"/>
    <w:rsid w:val="008E5E76"/>
    <w:rsid w:val="008E7466"/>
    <w:rsid w:val="008F1AD2"/>
    <w:rsid w:val="008F1ED7"/>
    <w:rsid w:val="008F21CC"/>
    <w:rsid w:val="008F2425"/>
    <w:rsid w:val="008F4015"/>
    <w:rsid w:val="008F6B03"/>
    <w:rsid w:val="008F6B27"/>
    <w:rsid w:val="00901083"/>
    <w:rsid w:val="00904F5B"/>
    <w:rsid w:val="0090690B"/>
    <w:rsid w:val="00906BE7"/>
    <w:rsid w:val="009122C7"/>
    <w:rsid w:val="00915801"/>
    <w:rsid w:val="00921F64"/>
    <w:rsid w:val="00922DC6"/>
    <w:rsid w:val="0092561C"/>
    <w:rsid w:val="00927EA0"/>
    <w:rsid w:val="00934084"/>
    <w:rsid w:val="0093611D"/>
    <w:rsid w:val="00941051"/>
    <w:rsid w:val="009420B0"/>
    <w:rsid w:val="00945F4D"/>
    <w:rsid w:val="009466B6"/>
    <w:rsid w:val="0094681D"/>
    <w:rsid w:val="00946EC0"/>
    <w:rsid w:val="009476ED"/>
    <w:rsid w:val="00950220"/>
    <w:rsid w:val="00951DE8"/>
    <w:rsid w:val="00953743"/>
    <w:rsid w:val="00954FA7"/>
    <w:rsid w:val="0095625E"/>
    <w:rsid w:val="009564F1"/>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205B"/>
    <w:rsid w:val="00982C5A"/>
    <w:rsid w:val="009830F7"/>
    <w:rsid w:val="00983A6A"/>
    <w:rsid w:val="00984CAF"/>
    <w:rsid w:val="00987969"/>
    <w:rsid w:val="00987C33"/>
    <w:rsid w:val="00990B34"/>
    <w:rsid w:val="00991553"/>
    <w:rsid w:val="00991F95"/>
    <w:rsid w:val="009921DB"/>
    <w:rsid w:val="009929C2"/>
    <w:rsid w:val="0099520D"/>
    <w:rsid w:val="009959C2"/>
    <w:rsid w:val="009A1F9B"/>
    <w:rsid w:val="009A2D17"/>
    <w:rsid w:val="009A2F81"/>
    <w:rsid w:val="009A4018"/>
    <w:rsid w:val="009A4C05"/>
    <w:rsid w:val="009B18C6"/>
    <w:rsid w:val="009B1F83"/>
    <w:rsid w:val="009C031C"/>
    <w:rsid w:val="009C1109"/>
    <w:rsid w:val="009C276F"/>
    <w:rsid w:val="009C37E4"/>
    <w:rsid w:val="009C42E1"/>
    <w:rsid w:val="009C61D4"/>
    <w:rsid w:val="009D265E"/>
    <w:rsid w:val="009D276A"/>
    <w:rsid w:val="009D2ACC"/>
    <w:rsid w:val="009D3ADE"/>
    <w:rsid w:val="009D587C"/>
    <w:rsid w:val="009D701C"/>
    <w:rsid w:val="009D7C9B"/>
    <w:rsid w:val="009E08F3"/>
    <w:rsid w:val="009E0958"/>
    <w:rsid w:val="009E294B"/>
    <w:rsid w:val="009E4072"/>
    <w:rsid w:val="009E64A3"/>
    <w:rsid w:val="009E73DC"/>
    <w:rsid w:val="009E76DF"/>
    <w:rsid w:val="009F08AB"/>
    <w:rsid w:val="009F11C8"/>
    <w:rsid w:val="009F2F9A"/>
    <w:rsid w:val="009F7B1A"/>
    <w:rsid w:val="00A001BE"/>
    <w:rsid w:val="00A0096E"/>
    <w:rsid w:val="00A01296"/>
    <w:rsid w:val="00A026C9"/>
    <w:rsid w:val="00A031CA"/>
    <w:rsid w:val="00A0350D"/>
    <w:rsid w:val="00A0573A"/>
    <w:rsid w:val="00A12292"/>
    <w:rsid w:val="00A13C44"/>
    <w:rsid w:val="00A14137"/>
    <w:rsid w:val="00A14EE4"/>
    <w:rsid w:val="00A15B42"/>
    <w:rsid w:val="00A15BB3"/>
    <w:rsid w:val="00A16D7C"/>
    <w:rsid w:val="00A2151C"/>
    <w:rsid w:val="00A248D1"/>
    <w:rsid w:val="00A2648A"/>
    <w:rsid w:val="00A31120"/>
    <w:rsid w:val="00A31B76"/>
    <w:rsid w:val="00A3692B"/>
    <w:rsid w:val="00A37677"/>
    <w:rsid w:val="00A3775B"/>
    <w:rsid w:val="00A40AED"/>
    <w:rsid w:val="00A4110C"/>
    <w:rsid w:val="00A435AA"/>
    <w:rsid w:val="00A435C0"/>
    <w:rsid w:val="00A455AF"/>
    <w:rsid w:val="00A46411"/>
    <w:rsid w:val="00A50C1B"/>
    <w:rsid w:val="00A55B84"/>
    <w:rsid w:val="00A56690"/>
    <w:rsid w:val="00A569CE"/>
    <w:rsid w:val="00A60117"/>
    <w:rsid w:val="00A602D6"/>
    <w:rsid w:val="00A60B23"/>
    <w:rsid w:val="00A625BA"/>
    <w:rsid w:val="00A62DF2"/>
    <w:rsid w:val="00A64975"/>
    <w:rsid w:val="00A75348"/>
    <w:rsid w:val="00A75550"/>
    <w:rsid w:val="00A7610E"/>
    <w:rsid w:val="00A77B53"/>
    <w:rsid w:val="00A77F8F"/>
    <w:rsid w:val="00A831C4"/>
    <w:rsid w:val="00A83558"/>
    <w:rsid w:val="00A85E6C"/>
    <w:rsid w:val="00A85E88"/>
    <w:rsid w:val="00A87AC2"/>
    <w:rsid w:val="00AA1D69"/>
    <w:rsid w:val="00AA3F96"/>
    <w:rsid w:val="00AA7E13"/>
    <w:rsid w:val="00AB1D2C"/>
    <w:rsid w:val="00AB67DE"/>
    <w:rsid w:val="00AB6DA5"/>
    <w:rsid w:val="00AB7987"/>
    <w:rsid w:val="00AB7AB4"/>
    <w:rsid w:val="00AB7C01"/>
    <w:rsid w:val="00AC3F50"/>
    <w:rsid w:val="00AC5B1B"/>
    <w:rsid w:val="00AC6480"/>
    <w:rsid w:val="00AC7021"/>
    <w:rsid w:val="00AC70F3"/>
    <w:rsid w:val="00AD1BD2"/>
    <w:rsid w:val="00AD2F9B"/>
    <w:rsid w:val="00AD6817"/>
    <w:rsid w:val="00AD7876"/>
    <w:rsid w:val="00AE0DC1"/>
    <w:rsid w:val="00AE12C0"/>
    <w:rsid w:val="00AE1573"/>
    <w:rsid w:val="00AE1A8D"/>
    <w:rsid w:val="00AE1BBA"/>
    <w:rsid w:val="00AE2583"/>
    <w:rsid w:val="00AE2BC0"/>
    <w:rsid w:val="00AE2F80"/>
    <w:rsid w:val="00AE3027"/>
    <w:rsid w:val="00AE35F6"/>
    <w:rsid w:val="00AE54D6"/>
    <w:rsid w:val="00AE55D5"/>
    <w:rsid w:val="00AE6635"/>
    <w:rsid w:val="00AF44BB"/>
    <w:rsid w:val="00AF4AE5"/>
    <w:rsid w:val="00AF4DF0"/>
    <w:rsid w:val="00AF5168"/>
    <w:rsid w:val="00AF543D"/>
    <w:rsid w:val="00AF6392"/>
    <w:rsid w:val="00AF6F6E"/>
    <w:rsid w:val="00B0320D"/>
    <w:rsid w:val="00B04BF9"/>
    <w:rsid w:val="00B05FD6"/>
    <w:rsid w:val="00B10724"/>
    <w:rsid w:val="00B13100"/>
    <w:rsid w:val="00B156D6"/>
    <w:rsid w:val="00B166F5"/>
    <w:rsid w:val="00B16B77"/>
    <w:rsid w:val="00B16C61"/>
    <w:rsid w:val="00B1708D"/>
    <w:rsid w:val="00B21387"/>
    <w:rsid w:val="00B21F54"/>
    <w:rsid w:val="00B24061"/>
    <w:rsid w:val="00B24A9A"/>
    <w:rsid w:val="00B27944"/>
    <w:rsid w:val="00B32E45"/>
    <w:rsid w:val="00B33D37"/>
    <w:rsid w:val="00B35874"/>
    <w:rsid w:val="00B44CB9"/>
    <w:rsid w:val="00B46A8D"/>
    <w:rsid w:val="00B47B65"/>
    <w:rsid w:val="00B51F5E"/>
    <w:rsid w:val="00B52385"/>
    <w:rsid w:val="00B5247D"/>
    <w:rsid w:val="00B52903"/>
    <w:rsid w:val="00B552EB"/>
    <w:rsid w:val="00B5612A"/>
    <w:rsid w:val="00B57988"/>
    <w:rsid w:val="00B6139D"/>
    <w:rsid w:val="00B6266B"/>
    <w:rsid w:val="00B63DDB"/>
    <w:rsid w:val="00B64831"/>
    <w:rsid w:val="00B66750"/>
    <w:rsid w:val="00B67DC8"/>
    <w:rsid w:val="00B70FE9"/>
    <w:rsid w:val="00B73AEA"/>
    <w:rsid w:val="00B73BC5"/>
    <w:rsid w:val="00B743C3"/>
    <w:rsid w:val="00B76783"/>
    <w:rsid w:val="00B76A8F"/>
    <w:rsid w:val="00B76AAB"/>
    <w:rsid w:val="00B81209"/>
    <w:rsid w:val="00B86D7B"/>
    <w:rsid w:val="00B876CE"/>
    <w:rsid w:val="00B877CB"/>
    <w:rsid w:val="00B93325"/>
    <w:rsid w:val="00B937E0"/>
    <w:rsid w:val="00B937E9"/>
    <w:rsid w:val="00B96C9B"/>
    <w:rsid w:val="00BA00A5"/>
    <w:rsid w:val="00BA129B"/>
    <w:rsid w:val="00BA36F4"/>
    <w:rsid w:val="00BA79C3"/>
    <w:rsid w:val="00BB00EA"/>
    <w:rsid w:val="00BB02AB"/>
    <w:rsid w:val="00BB182F"/>
    <w:rsid w:val="00BB2173"/>
    <w:rsid w:val="00BB2350"/>
    <w:rsid w:val="00BB2656"/>
    <w:rsid w:val="00BB41A5"/>
    <w:rsid w:val="00BC2102"/>
    <w:rsid w:val="00BC235B"/>
    <w:rsid w:val="00BC32AF"/>
    <w:rsid w:val="00BC4622"/>
    <w:rsid w:val="00BC6994"/>
    <w:rsid w:val="00BD30AC"/>
    <w:rsid w:val="00BD4E1A"/>
    <w:rsid w:val="00BD5746"/>
    <w:rsid w:val="00BE08DF"/>
    <w:rsid w:val="00BE0DF0"/>
    <w:rsid w:val="00BE1E9D"/>
    <w:rsid w:val="00BE39D1"/>
    <w:rsid w:val="00BE71D8"/>
    <w:rsid w:val="00BE7B23"/>
    <w:rsid w:val="00BF1CB0"/>
    <w:rsid w:val="00BF6FE2"/>
    <w:rsid w:val="00BF7335"/>
    <w:rsid w:val="00C01F37"/>
    <w:rsid w:val="00C04A83"/>
    <w:rsid w:val="00C05E50"/>
    <w:rsid w:val="00C07E24"/>
    <w:rsid w:val="00C13FEB"/>
    <w:rsid w:val="00C152E5"/>
    <w:rsid w:val="00C210E7"/>
    <w:rsid w:val="00C21101"/>
    <w:rsid w:val="00C219A7"/>
    <w:rsid w:val="00C26416"/>
    <w:rsid w:val="00C271E9"/>
    <w:rsid w:val="00C31528"/>
    <w:rsid w:val="00C32D73"/>
    <w:rsid w:val="00C33CA4"/>
    <w:rsid w:val="00C3593A"/>
    <w:rsid w:val="00C359DC"/>
    <w:rsid w:val="00C3752C"/>
    <w:rsid w:val="00C42C66"/>
    <w:rsid w:val="00C46AD6"/>
    <w:rsid w:val="00C50243"/>
    <w:rsid w:val="00C5180F"/>
    <w:rsid w:val="00C52227"/>
    <w:rsid w:val="00C52825"/>
    <w:rsid w:val="00C532D4"/>
    <w:rsid w:val="00C535F8"/>
    <w:rsid w:val="00C56892"/>
    <w:rsid w:val="00C67360"/>
    <w:rsid w:val="00C67DCF"/>
    <w:rsid w:val="00C754DA"/>
    <w:rsid w:val="00C756EA"/>
    <w:rsid w:val="00C75D98"/>
    <w:rsid w:val="00C87338"/>
    <w:rsid w:val="00C9031A"/>
    <w:rsid w:val="00C91870"/>
    <w:rsid w:val="00C97955"/>
    <w:rsid w:val="00C97BE2"/>
    <w:rsid w:val="00CA19B9"/>
    <w:rsid w:val="00CA22ED"/>
    <w:rsid w:val="00CA63CC"/>
    <w:rsid w:val="00CA7E59"/>
    <w:rsid w:val="00CB3037"/>
    <w:rsid w:val="00CB3253"/>
    <w:rsid w:val="00CB3475"/>
    <w:rsid w:val="00CB3E08"/>
    <w:rsid w:val="00CB5252"/>
    <w:rsid w:val="00CB5917"/>
    <w:rsid w:val="00CB5FB7"/>
    <w:rsid w:val="00CB60F6"/>
    <w:rsid w:val="00CB6313"/>
    <w:rsid w:val="00CB7CDC"/>
    <w:rsid w:val="00CC1EF0"/>
    <w:rsid w:val="00CC2B32"/>
    <w:rsid w:val="00CC7A35"/>
    <w:rsid w:val="00CD1883"/>
    <w:rsid w:val="00CD372F"/>
    <w:rsid w:val="00CD4460"/>
    <w:rsid w:val="00CD4AF9"/>
    <w:rsid w:val="00CE0212"/>
    <w:rsid w:val="00CE25C4"/>
    <w:rsid w:val="00CE2CD7"/>
    <w:rsid w:val="00CE43FD"/>
    <w:rsid w:val="00CE4637"/>
    <w:rsid w:val="00CE6B48"/>
    <w:rsid w:val="00CE6C03"/>
    <w:rsid w:val="00CF0B35"/>
    <w:rsid w:val="00CF0C10"/>
    <w:rsid w:val="00CF1512"/>
    <w:rsid w:val="00CF412B"/>
    <w:rsid w:val="00CF750C"/>
    <w:rsid w:val="00CF7F0D"/>
    <w:rsid w:val="00D00F4E"/>
    <w:rsid w:val="00D0158A"/>
    <w:rsid w:val="00D029C5"/>
    <w:rsid w:val="00D0680D"/>
    <w:rsid w:val="00D10070"/>
    <w:rsid w:val="00D20F36"/>
    <w:rsid w:val="00D22FDF"/>
    <w:rsid w:val="00D23390"/>
    <w:rsid w:val="00D24E13"/>
    <w:rsid w:val="00D2638A"/>
    <w:rsid w:val="00D31832"/>
    <w:rsid w:val="00D3690C"/>
    <w:rsid w:val="00D40B62"/>
    <w:rsid w:val="00D415D9"/>
    <w:rsid w:val="00D447BD"/>
    <w:rsid w:val="00D46AD4"/>
    <w:rsid w:val="00D517C2"/>
    <w:rsid w:val="00D522EE"/>
    <w:rsid w:val="00D52DEA"/>
    <w:rsid w:val="00D535BE"/>
    <w:rsid w:val="00D5405B"/>
    <w:rsid w:val="00D56C0E"/>
    <w:rsid w:val="00D61398"/>
    <w:rsid w:val="00D64338"/>
    <w:rsid w:val="00D6559E"/>
    <w:rsid w:val="00D66113"/>
    <w:rsid w:val="00D66364"/>
    <w:rsid w:val="00D669CC"/>
    <w:rsid w:val="00D66FF5"/>
    <w:rsid w:val="00D67FCE"/>
    <w:rsid w:val="00D7118B"/>
    <w:rsid w:val="00D71513"/>
    <w:rsid w:val="00D71F99"/>
    <w:rsid w:val="00D731FE"/>
    <w:rsid w:val="00D73FC3"/>
    <w:rsid w:val="00D74C4E"/>
    <w:rsid w:val="00D80074"/>
    <w:rsid w:val="00D818C8"/>
    <w:rsid w:val="00D8476B"/>
    <w:rsid w:val="00D85DAF"/>
    <w:rsid w:val="00D87441"/>
    <w:rsid w:val="00D877AC"/>
    <w:rsid w:val="00D92CC6"/>
    <w:rsid w:val="00D944AF"/>
    <w:rsid w:val="00D94648"/>
    <w:rsid w:val="00D97661"/>
    <w:rsid w:val="00DA4CDB"/>
    <w:rsid w:val="00DA4DED"/>
    <w:rsid w:val="00DA7007"/>
    <w:rsid w:val="00DB1253"/>
    <w:rsid w:val="00DB3945"/>
    <w:rsid w:val="00DB5D32"/>
    <w:rsid w:val="00DC030E"/>
    <w:rsid w:val="00DC39C5"/>
    <w:rsid w:val="00DC3D5C"/>
    <w:rsid w:val="00DC5525"/>
    <w:rsid w:val="00DC710C"/>
    <w:rsid w:val="00DD03BA"/>
    <w:rsid w:val="00DD0BCD"/>
    <w:rsid w:val="00DD2559"/>
    <w:rsid w:val="00DD26EA"/>
    <w:rsid w:val="00DD400A"/>
    <w:rsid w:val="00DD4093"/>
    <w:rsid w:val="00DD42E6"/>
    <w:rsid w:val="00DE3BA3"/>
    <w:rsid w:val="00DE7AA2"/>
    <w:rsid w:val="00DF0D42"/>
    <w:rsid w:val="00DF2406"/>
    <w:rsid w:val="00DF270A"/>
    <w:rsid w:val="00DF3A53"/>
    <w:rsid w:val="00DF55BA"/>
    <w:rsid w:val="00E016A5"/>
    <w:rsid w:val="00E06091"/>
    <w:rsid w:val="00E06F13"/>
    <w:rsid w:val="00E06F80"/>
    <w:rsid w:val="00E11EAB"/>
    <w:rsid w:val="00E136C0"/>
    <w:rsid w:val="00E139CC"/>
    <w:rsid w:val="00E143B6"/>
    <w:rsid w:val="00E15F9C"/>
    <w:rsid w:val="00E21200"/>
    <w:rsid w:val="00E26878"/>
    <w:rsid w:val="00E30369"/>
    <w:rsid w:val="00E30FB0"/>
    <w:rsid w:val="00E315AE"/>
    <w:rsid w:val="00E32BA9"/>
    <w:rsid w:val="00E34768"/>
    <w:rsid w:val="00E35544"/>
    <w:rsid w:val="00E35E68"/>
    <w:rsid w:val="00E37EAF"/>
    <w:rsid w:val="00E426B8"/>
    <w:rsid w:val="00E43A7C"/>
    <w:rsid w:val="00E43FFF"/>
    <w:rsid w:val="00E4646F"/>
    <w:rsid w:val="00E46843"/>
    <w:rsid w:val="00E50979"/>
    <w:rsid w:val="00E516AD"/>
    <w:rsid w:val="00E51A4C"/>
    <w:rsid w:val="00E52524"/>
    <w:rsid w:val="00E5273B"/>
    <w:rsid w:val="00E56CAD"/>
    <w:rsid w:val="00E60F3F"/>
    <w:rsid w:val="00E62F6B"/>
    <w:rsid w:val="00E64E7E"/>
    <w:rsid w:val="00E65578"/>
    <w:rsid w:val="00E6640C"/>
    <w:rsid w:val="00E66B4B"/>
    <w:rsid w:val="00E66CF5"/>
    <w:rsid w:val="00E70296"/>
    <w:rsid w:val="00E71632"/>
    <w:rsid w:val="00E716A2"/>
    <w:rsid w:val="00E718A9"/>
    <w:rsid w:val="00E72286"/>
    <w:rsid w:val="00E739A8"/>
    <w:rsid w:val="00E73E7E"/>
    <w:rsid w:val="00E81DAB"/>
    <w:rsid w:val="00E83C6B"/>
    <w:rsid w:val="00E849F7"/>
    <w:rsid w:val="00E9018D"/>
    <w:rsid w:val="00E919B3"/>
    <w:rsid w:val="00E92283"/>
    <w:rsid w:val="00E9376C"/>
    <w:rsid w:val="00E9542E"/>
    <w:rsid w:val="00E97F7E"/>
    <w:rsid w:val="00EA0F47"/>
    <w:rsid w:val="00EA2EEF"/>
    <w:rsid w:val="00EA3659"/>
    <w:rsid w:val="00EA456F"/>
    <w:rsid w:val="00EA6AF9"/>
    <w:rsid w:val="00EA77FF"/>
    <w:rsid w:val="00EB0154"/>
    <w:rsid w:val="00EB02A6"/>
    <w:rsid w:val="00EB1974"/>
    <w:rsid w:val="00EB1EEC"/>
    <w:rsid w:val="00EB332B"/>
    <w:rsid w:val="00EB48B6"/>
    <w:rsid w:val="00EB5D29"/>
    <w:rsid w:val="00EC0628"/>
    <w:rsid w:val="00EC0B41"/>
    <w:rsid w:val="00EC0F9E"/>
    <w:rsid w:val="00EC18D0"/>
    <w:rsid w:val="00EC477F"/>
    <w:rsid w:val="00EC4EA7"/>
    <w:rsid w:val="00ED064C"/>
    <w:rsid w:val="00ED2556"/>
    <w:rsid w:val="00ED6EB3"/>
    <w:rsid w:val="00EE0059"/>
    <w:rsid w:val="00EE2577"/>
    <w:rsid w:val="00EE342F"/>
    <w:rsid w:val="00EE6164"/>
    <w:rsid w:val="00EE6F86"/>
    <w:rsid w:val="00EF1543"/>
    <w:rsid w:val="00EF1757"/>
    <w:rsid w:val="00EF1A61"/>
    <w:rsid w:val="00EF2F70"/>
    <w:rsid w:val="00EF4852"/>
    <w:rsid w:val="00EF5FA1"/>
    <w:rsid w:val="00F013FD"/>
    <w:rsid w:val="00F02FFD"/>
    <w:rsid w:val="00F0555E"/>
    <w:rsid w:val="00F06973"/>
    <w:rsid w:val="00F06FEA"/>
    <w:rsid w:val="00F13CCB"/>
    <w:rsid w:val="00F15904"/>
    <w:rsid w:val="00F20EE9"/>
    <w:rsid w:val="00F2398A"/>
    <w:rsid w:val="00F24332"/>
    <w:rsid w:val="00F26C1D"/>
    <w:rsid w:val="00F3069C"/>
    <w:rsid w:val="00F30760"/>
    <w:rsid w:val="00F32F68"/>
    <w:rsid w:val="00F33C53"/>
    <w:rsid w:val="00F377C6"/>
    <w:rsid w:val="00F40CCD"/>
    <w:rsid w:val="00F41566"/>
    <w:rsid w:val="00F43256"/>
    <w:rsid w:val="00F468EB"/>
    <w:rsid w:val="00F47251"/>
    <w:rsid w:val="00F50713"/>
    <w:rsid w:val="00F60397"/>
    <w:rsid w:val="00F604EE"/>
    <w:rsid w:val="00F62647"/>
    <w:rsid w:val="00F64B4A"/>
    <w:rsid w:val="00F65609"/>
    <w:rsid w:val="00F65A9F"/>
    <w:rsid w:val="00F66644"/>
    <w:rsid w:val="00F6681B"/>
    <w:rsid w:val="00F70C81"/>
    <w:rsid w:val="00F7194A"/>
    <w:rsid w:val="00F72C93"/>
    <w:rsid w:val="00F72F4E"/>
    <w:rsid w:val="00F769AB"/>
    <w:rsid w:val="00F7799C"/>
    <w:rsid w:val="00F813C6"/>
    <w:rsid w:val="00F83505"/>
    <w:rsid w:val="00F8719D"/>
    <w:rsid w:val="00F876A5"/>
    <w:rsid w:val="00F90659"/>
    <w:rsid w:val="00F9689C"/>
    <w:rsid w:val="00F9764A"/>
    <w:rsid w:val="00FA158F"/>
    <w:rsid w:val="00FA1E04"/>
    <w:rsid w:val="00FA3A82"/>
    <w:rsid w:val="00FB4923"/>
    <w:rsid w:val="00FB5014"/>
    <w:rsid w:val="00FB7DB0"/>
    <w:rsid w:val="00FC744E"/>
    <w:rsid w:val="00FC7C47"/>
    <w:rsid w:val="00FD2990"/>
    <w:rsid w:val="00FD5D92"/>
    <w:rsid w:val="00FD71A6"/>
    <w:rsid w:val="00FE31E3"/>
    <w:rsid w:val="00FE3B90"/>
    <w:rsid w:val="00FE6BE5"/>
    <w:rsid w:val="00FF1806"/>
    <w:rsid w:val="00FF28C9"/>
    <w:rsid w:val="00FF338D"/>
    <w:rsid w:val="00FF422D"/>
    <w:rsid w:val="00FF4F69"/>
    <w:rsid w:val="00FF4F8F"/>
    <w:rsid w:val="00FF5E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1196"/>
    <w:pPr>
      <w:widowControl w:val="0"/>
    </w:pPr>
    <w:rPr>
      <w:snapToGrid w:val="0"/>
      <w:kern w:val="28"/>
      <w:szCs w:val="20"/>
    </w:rPr>
  </w:style>
  <w:style w:type="paragraph" w:styleId="Heading1">
    <w:name w:val="heading 1"/>
    <w:basedOn w:val="Normal"/>
    <w:next w:val="ParaNum"/>
    <w:link w:val="Heading1Char"/>
    <w:qFormat/>
    <w:rsid w:val="0038119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81196"/>
    <w:pPr>
      <w:keepNext/>
      <w:numPr>
        <w:ilvl w:val="1"/>
        <w:numId w:val="5"/>
      </w:numPr>
      <w:spacing w:after="120"/>
      <w:outlineLvl w:val="1"/>
    </w:pPr>
    <w:rPr>
      <w:b/>
    </w:rPr>
  </w:style>
  <w:style w:type="paragraph" w:styleId="Heading3">
    <w:name w:val="heading 3"/>
    <w:basedOn w:val="Normal"/>
    <w:next w:val="ParaNum"/>
    <w:link w:val="Heading3Char"/>
    <w:qFormat/>
    <w:rsid w:val="0038119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38119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38119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38119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38119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38119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8119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1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196"/>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381196"/>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Style 7,Style 34,Style 9"/>
    <w:rsid w:val="00381196"/>
    <w:rPr>
      <w:rFonts w:ascii="Times New Roman" w:hAnsi="Times New Roman"/>
      <w:dstrike w:val="0"/>
      <w:color w:val="auto"/>
      <w:sz w:val="20"/>
      <w:vertAlign w:val="superscript"/>
    </w:rPr>
  </w:style>
  <w:style w:type="paragraph" w:styleId="Header">
    <w:name w:val="header"/>
    <w:basedOn w:val="Normal"/>
    <w:link w:val="HeaderChar"/>
    <w:autoRedefine/>
    <w:rsid w:val="00381196"/>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381196"/>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381196"/>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381196"/>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381196"/>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381196"/>
    <w:pPr>
      <w:jc w:val="center"/>
    </w:pPr>
    <w:rPr>
      <w:rFonts w:ascii="Times New Roman Bold" w:hAnsi="Times New Roman Bold"/>
      <w:b/>
      <w:bCs/>
      <w:caps/>
      <w:szCs w:val="22"/>
    </w:rPr>
  </w:style>
  <w:style w:type="paragraph" w:styleId="TOAHeading">
    <w:name w:val="toa heading"/>
    <w:basedOn w:val="Normal"/>
    <w:next w:val="Normal"/>
    <w:semiHidden/>
    <w:rsid w:val="00381196"/>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381196"/>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381196"/>
    <w:rPr>
      <w:vertAlign w:val="superscript"/>
    </w:rPr>
  </w:style>
  <w:style w:type="paragraph" w:styleId="TOC1">
    <w:name w:val="toc 1"/>
    <w:basedOn w:val="Normal"/>
    <w:next w:val="Normal"/>
    <w:semiHidden/>
    <w:locked/>
    <w:rsid w:val="00381196"/>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381196"/>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3811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3811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3811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381196"/>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381196"/>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381196"/>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381196"/>
    <w:pPr>
      <w:tabs>
        <w:tab w:val="left" w:pos="3240"/>
        <w:tab w:val="right" w:leader="dot" w:pos="9360"/>
      </w:tabs>
      <w:suppressAutoHyphens/>
      <w:ind w:left="3240" w:hanging="360"/>
    </w:pPr>
    <w:rPr>
      <w:noProof/>
    </w:rPr>
  </w:style>
  <w:style w:type="character" w:customStyle="1" w:styleId="EquationCaption">
    <w:name w:val="_Equation Caption"/>
    <w:rsid w:val="00381196"/>
  </w:style>
  <w:style w:type="paragraph" w:styleId="BlockText">
    <w:name w:val="Block Text"/>
    <w:basedOn w:val="Normal"/>
    <w:locked/>
    <w:rsid w:val="00381196"/>
    <w:pPr>
      <w:spacing w:after="240"/>
      <w:ind w:left="1440" w:right="1440"/>
    </w:pPr>
  </w:style>
  <w:style w:type="paragraph" w:customStyle="1" w:styleId="Paratitle">
    <w:name w:val="Para title"/>
    <w:basedOn w:val="Normal"/>
    <w:rsid w:val="00381196"/>
    <w:pPr>
      <w:tabs>
        <w:tab w:val="center" w:pos="9270"/>
      </w:tabs>
      <w:spacing w:after="240"/>
    </w:pPr>
    <w:rPr>
      <w:spacing w:val="-2"/>
    </w:rPr>
  </w:style>
  <w:style w:type="paragraph" w:customStyle="1" w:styleId="Bullet">
    <w:name w:val="Bullet"/>
    <w:basedOn w:val="Normal"/>
    <w:rsid w:val="00381196"/>
    <w:pPr>
      <w:tabs>
        <w:tab w:val="left" w:pos="2160"/>
      </w:tabs>
      <w:spacing w:after="220"/>
      <w:ind w:left="2160" w:hanging="720"/>
    </w:pPr>
  </w:style>
  <w:style w:type="paragraph" w:customStyle="1" w:styleId="TableFormat">
    <w:name w:val="TableFormat"/>
    <w:basedOn w:val="Bullet"/>
    <w:rsid w:val="00381196"/>
    <w:pPr>
      <w:tabs>
        <w:tab w:val="clear" w:pos="2160"/>
        <w:tab w:val="left" w:pos="5040"/>
      </w:tabs>
      <w:ind w:left="5040" w:hanging="3600"/>
    </w:pPr>
  </w:style>
  <w:style w:type="paragraph" w:customStyle="1" w:styleId="TOCTitle">
    <w:name w:val="TOC Title"/>
    <w:basedOn w:val="Normal"/>
    <w:rsid w:val="00381196"/>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 w:type="character" w:customStyle="1" w:styleId="cosearchterm">
    <w:name w:val="co_searchterm"/>
    <w:basedOn w:val="DefaultParagraphFont"/>
    <w:rsid w:val="00F26C1D"/>
  </w:style>
  <w:style w:type="character" w:customStyle="1" w:styleId="normaltextrun">
    <w:name w:val="normaltextrun"/>
    <w:basedOn w:val="DefaultParagraphFont"/>
    <w:rsid w:val="00F26C1D"/>
  </w:style>
  <w:style w:type="character" w:customStyle="1" w:styleId="spellingerror">
    <w:name w:val="spellingerror"/>
    <w:basedOn w:val="DefaultParagraphFont"/>
    <w:rsid w:val="00F26C1D"/>
  </w:style>
  <w:style w:type="character" w:customStyle="1" w:styleId="findhit">
    <w:name w:val="findhit"/>
    <w:basedOn w:val="DefaultParagraphFont"/>
    <w:rsid w:val="00F26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1196"/>
    <w:pPr>
      <w:widowControl w:val="0"/>
    </w:pPr>
    <w:rPr>
      <w:snapToGrid w:val="0"/>
      <w:kern w:val="28"/>
      <w:szCs w:val="20"/>
    </w:rPr>
  </w:style>
  <w:style w:type="paragraph" w:styleId="Heading1">
    <w:name w:val="heading 1"/>
    <w:basedOn w:val="Normal"/>
    <w:next w:val="ParaNum"/>
    <w:link w:val="Heading1Char"/>
    <w:qFormat/>
    <w:rsid w:val="0038119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81196"/>
    <w:pPr>
      <w:keepNext/>
      <w:numPr>
        <w:ilvl w:val="1"/>
        <w:numId w:val="5"/>
      </w:numPr>
      <w:spacing w:after="120"/>
      <w:outlineLvl w:val="1"/>
    </w:pPr>
    <w:rPr>
      <w:b/>
    </w:rPr>
  </w:style>
  <w:style w:type="paragraph" w:styleId="Heading3">
    <w:name w:val="heading 3"/>
    <w:basedOn w:val="Normal"/>
    <w:next w:val="ParaNum"/>
    <w:link w:val="Heading3Char"/>
    <w:qFormat/>
    <w:rsid w:val="0038119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38119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38119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38119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38119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38119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8119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1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196"/>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381196"/>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Style 7,Style 34,Style 9"/>
    <w:rsid w:val="00381196"/>
    <w:rPr>
      <w:rFonts w:ascii="Times New Roman" w:hAnsi="Times New Roman"/>
      <w:dstrike w:val="0"/>
      <w:color w:val="auto"/>
      <w:sz w:val="20"/>
      <w:vertAlign w:val="superscript"/>
    </w:rPr>
  </w:style>
  <w:style w:type="paragraph" w:styleId="Header">
    <w:name w:val="header"/>
    <w:basedOn w:val="Normal"/>
    <w:link w:val="HeaderChar"/>
    <w:autoRedefine/>
    <w:rsid w:val="00381196"/>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381196"/>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381196"/>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381196"/>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381196"/>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381196"/>
    <w:pPr>
      <w:jc w:val="center"/>
    </w:pPr>
    <w:rPr>
      <w:rFonts w:ascii="Times New Roman Bold" w:hAnsi="Times New Roman Bold"/>
      <w:b/>
      <w:bCs/>
      <w:caps/>
      <w:szCs w:val="22"/>
    </w:rPr>
  </w:style>
  <w:style w:type="paragraph" w:styleId="TOAHeading">
    <w:name w:val="toa heading"/>
    <w:basedOn w:val="Normal"/>
    <w:next w:val="Normal"/>
    <w:semiHidden/>
    <w:rsid w:val="00381196"/>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381196"/>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381196"/>
    <w:rPr>
      <w:vertAlign w:val="superscript"/>
    </w:rPr>
  </w:style>
  <w:style w:type="paragraph" w:styleId="TOC1">
    <w:name w:val="toc 1"/>
    <w:basedOn w:val="Normal"/>
    <w:next w:val="Normal"/>
    <w:semiHidden/>
    <w:locked/>
    <w:rsid w:val="00381196"/>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381196"/>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3811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3811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3811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381196"/>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381196"/>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381196"/>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381196"/>
    <w:pPr>
      <w:tabs>
        <w:tab w:val="left" w:pos="3240"/>
        <w:tab w:val="right" w:leader="dot" w:pos="9360"/>
      </w:tabs>
      <w:suppressAutoHyphens/>
      <w:ind w:left="3240" w:hanging="360"/>
    </w:pPr>
    <w:rPr>
      <w:noProof/>
    </w:rPr>
  </w:style>
  <w:style w:type="character" w:customStyle="1" w:styleId="EquationCaption">
    <w:name w:val="_Equation Caption"/>
    <w:rsid w:val="00381196"/>
  </w:style>
  <w:style w:type="paragraph" w:styleId="BlockText">
    <w:name w:val="Block Text"/>
    <w:basedOn w:val="Normal"/>
    <w:locked/>
    <w:rsid w:val="00381196"/>
    <w:pPr>
      <w:spacing w:after="240"/>
      <w:ind w:left="1440" w:right="1440"/>
    </w:pPr>
  </w:style>
  <w:style w:type="paragraph" w:customStyle="1" w:styleId="Paratitle">
    <w:name w:val="Para title"/>
    <w:basedOn w:val="Normal"/>
    <w:rsid w:val="00381196"/>
    <w:pPr>
      <w:tabs>
        <w:tab w:val="center" w:pos="9270"/>
      </w:tabs>
      <w:spacing w:after="240"/>
    </w:pPr>
    <w:rPr>
      <w:spacing w:val="-2"/>
    </w:rPr>
  </w:style>
  <w:style w:type="paragraph" w:customStyle="1" w:styleId="Bullet">
    <w:name w:val="Bullet"/>
    <w:basedOn w:val="Normal"/>
    <w:rsid w:val="00381196"/>
    <w:pPr>
      <w:tabs>
        <w:tab w:val="left" w:pos="2160"/>
      </w:tabs>
      <w:spacing w:after="220"/>
      <w:ind w:left="2160" w:hanging="720"/>
    </w:pPr>
  </w:style>
  <w:style w:type="paragraph" w:customStyle="1" w:styleId="TableFormat">
    <w:name w:val="TableFormat"/>
    <w:basedOn w:val="Bullet"/>
    <w:rsid w:val="00381196"/>
    <w:pPr>
      <w:tabs>
        <w:tab w:val="clear" w:pos="2160"/>
        <w:tab w:val="left" w:pos="5040"/>
      </w:tabs>
      <w:ind w:left="5040" w:hanging="3600"/>
    </w:pPr>
  </w:style>
  <w:style w:type="paragraph" w:customStyle="1" w:styleId="TOCTitle">
    <w:name w:val="TOC Title"/>
    <w:basedOn w:val="Normal"/>
    <w:rsid w:val="00381196"/>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 w:type="character" w:customStyle="1" w:styleId="cosearchterm">
    <w:name w:val="co_searchterm"/>
    <w:basedOn w:val="DefaultParagraphFont"/>
    <w:rsid w:val="00F26C1D"/>
  </w:style>
  <w:style w:type="character" w:customStyle="1" w:styleId="normaltextrun">
    <w:name w:val="normaltextrun"/>
    <w:basedOn w:val="DefaultParagraphFont"/>
    <w:rsid w:val="00F26C1D"/>
  </w:style>
  <w:style w:type="character" w:customStyle="1" w:styleId="spellingerror">
    <w:name w:val="spellingerror"/>
    <w:basedOn w:val="DefaultParagraphFont"/>
    <w:rsid w:val="00F26C1D"/>
  </w:style>
  <w:style w:type="character" w:customStyle="1" w:styleId="findhit">
    <w:name w:val="findhit"/>
    <w:basedOn w:val="DefaultParagraphFont"/>
    <w:rsid w:val="00F2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1109</Words>
  <Characters>6100</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2016-07-21T19:28:00Z</dcterms:created>
  <dcterms:modified xsi:type="dcterms:W3CDTF">2016-07-21T19:28:00Z</dcterms:modified>
  <cp:category> </cp:category>
  <cp:contentStatus> </cp:contentStatus>
</cp:coreProperties>
</file>