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B662B2" w:rsidRDefault="00B662B2" w:rsidP="00B662B2">
            <w:pPr>
              <w:tabs>
                <w:tab w:val="center" w:pos="4680"/>
              </w:tabs>
              <w:suppressAutoHyphens/>
              <w:rPr>
                <w:spacing w:val="-2"/>
              </w:rPr>
            </w:pPr>
            <w:r>
              <w:rPr>
                <w:spacing w:val="-2"/>
              </w:rPr>
              <w:t xml:space="preserve">Requests for Waiver of </w:t>
            </w:r>
          </w:p>
          <w:p w:rsidR="00B662B2" w:rsidRDefault="00B662B2" w:rsidP="00B662B2">
            <w:pPr>
              <w:tabs>
                <w:tab w:val="center" w:pos="4680"/>
              </w:tabs>
              <w:suppressAutoHyphens/>
              <w:rPr>
                <w:spacing w:val="-2"/>
              </w:rPr>
            </w:pPr>
            <w:r>
              <w:rPr>
                <w:spacing w:val="-2"/>
              </w:rPr>
              <w:t xml:space="preserve">Decisions of the </w:t>
            </w:r>
          </w:p>
          <w:p w:rsidR="00B662B2" w:rsidRDefault="00B662B2" w:rsidP="00B662B2">
            <w:pPr>
              <w:tabs>
                <w:tab w:val="center" w:pos="4680"/>
              </w:tabs>
              <w:suppressAutoHyphens/>
              <w:rPr>
                <w:spacing w:val="-2"/>
              </w:rPr>
            </w:pPr>
            <w:r>
              <w:rPr>
                <w:spacing w:val="-2"/>
              </w:rPr>
              <w:t>Universal Service Administrator by</w:t>
            </w:r>
          </w:p>
          <w:p w:rsidR="00B662B2" w:rsidRDefault="00B662B2" w:rsidP="00B662B2">
            <w:pPr>
              <w:tabs>
                <w:tab w:val="center" w:pos="4680"/>
              </w:tabs>
              <w:suppressAutoHyphens/>
              <w:rPr>
                <w:spacing w:val="-2"/>
              </w:rPr>
            </w:pPr>
          </w:p>
          <w:p w:rsidR="00B662B2" w:rsidRDefault="00B662B2" w:rsidP="00B662B2">
            <w:pPr>
              <w:tabs>
                <w:tab w:val="center" w:pos="4680"/>
              </w:tabs>
              <w:suppressAutoHyphens/>
              <w:rPr>
                <w:spacing w:val="-2"/>
              </w:rPr>
            </w:pPr>
            <w:r w:rsidRPr="0063714B">
              <w:rPr>
                <w:spacing w:val="-2"/>
              </w:rPr>
              <w:t>Batesville Community School Corp</w:t>
            </w:r>
            <w:r>
              <w:rPr>
                <w:spacing w:val="-2"/>
              </w:rPr>
              <w:t xml:space="preserve">oration, </w:t>
            </w:r>
            <w:r w:rsidRPr="00F627F1">
              <w:rPr>
                <w:i/>
                <w:spacing w:val="-2"/>
              </w:rPr>
              <w:t>et al</w:t>
            </w:r>
            <w:r>
              <w:rPr>
                <w:i/>
                <w:spacing w:val="-2"/>
              </w:rPr>
              <w:t>.</w:t>
            </w:r>
          </w:p>
          <w:p w:rsidR="00B662B2" w:rsidRDefault="00B662B2" w:rsidP="00B662B2">
            <w:pPr>
              <w:tabs>
                <w:tab w:val="center" w:pos="4680"/>
              </w:tabs>
              <w:suppressAutoHyphens/>
              <w:rPr>
                <w:spacing w:val="-2"/>
              </w:rPr>
            </w:pPr>
            <w:r>
              <w:rPr>
                <w:spacing w:val="-2"/>
              </w:rPr>
              <w:t>Batesville, Indiana</w:t>
            </w:r>
          </w:p>
          <w:p w:rsidR="00B662B2" w:rsidRDefault="00B662B2" w:rsidP="00B662B2">
            <w:pPr>
              <w:tabs>
                <w:tab w:val="center" w:pos="4680"/>
              </w:tabs>
              <w:suppressAutoHyphens/>
              <w:rPr>
                <w:spacing w:val="-2"/>
              </w:rPr>
            </w:pPr>
          </w:p>
          <w:p w:rsidR="00B662B2" w:rsidRDefault="00B662B2" w:rsidP="00B662B2">
            <w:pPr>
              <w:tabs>
                <w:tab w:val="center" w:pos="4680"/>
              </w:tabs>
              <w:suppressAutoHyphens/>
              <w:rPr>
                <w:spacing w:val="-2"/>
              </w:rPr>
            </w:pPr>
            <w:r>
              <w:rPr>
                <w:spacing w:val="-2"/>
              </w:rPr>
              <w:t xml:space="preserve">Schools and Libraries Universal Service </w:t>
            </w:r>
          </w:p>
          <w:p w:rsidR="00B662B2" w:rsidRDefault="00B662B2" w:rsidP="00B662B2">
            <w:pPr>
              <w:tabs>
                <w:tab w:val="center" w:pos="4680"/>
              </w:tabs>
              <w:suppressAutoHyphens/>
              <w:rPr>
                <w:spacing w:val="-2"/>
              </w:rPr>
            </w:pPr>
            <w:r>
              <w:rPr>
                <w:spacing w:val="-2"/>
              </w:rPr>
              <w:t>Support Mechanism</w:t>
            </w:r>
          </w:p>
          <w:p w:rsidR="00B662B2" w:rsidRDefault="00B662B2" w:rsidP="00B662B2">
            <w:pPr>
              <w:tabs>
                <w:tab w:val="center" w:pos="4680"/>
              </w:tabs>
              <w:suppressAutoHyphens/>
              <w:rPr>
                <w:spacing w:val="-2"/>
              </w:rPr>
            </w:pPr>
          </w:p>
          <w:p w:rsidR="004C2EE3" w:rsidRPr="007115F7" w:rsidRDefault="00B662B2" w:rsidP="00B662B2">
            <w:pPr>
              <w:tabs>
                <w:tab w:val="center" w:pos="4680"/>
              </w:tabs>
              <w:suppressAutoHyphens/>
              <w:rPr>
                <w:spacing w:val="-2"/>
              </w:rPr>
            </w:pPr>
            <w:r>
              <w:rPr>
                <w:spacing w:val="-2"/>
              </w:rPr>
              <w:t>Modernizing the E-rate Program for Schools and Libraries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B662B2" w:rsidRDefault="00B662B2">
            <w:pPr>
              <w:tabs>
                <w:tab w:val="center" w:pos="4680"/>
              </w:tabs>
              <w:suppressAutoHyphens/>
              <w:rPr>
                <w:b/>
                <w:spacing w:val="-2"/>
              </w:rPr>
            </w:pPr>
            <w:r>
              <w:rPr>
                <w:b/>
                <w:spacing w:val="-2"/>
              </w:rPr>
              <w:t>)</w:t>
            </w:r>
          </w:p>
          <w:p w:rsidR="00B662B2" w:rsidRDefault="00B662B2">
            <w:pPr>
              <w:tabs>
                <w:tab w:val="center" w:pos="4680"/>
              </w:tabs>
              <w:suppressAutoHyphens/>
              <w:rPr>
                <w:b/>
                <w:spacing w:val="-2"/>
              </w:rPr>
            </w:pPr>
            <w:r>
              <w:rPr>
                <w:b/>
                <w:spacing w:val="-2"/>
              </w:rPr>
              <w:t>)</w:t>
            </w:r>
          </w:p>
          <w:p w:rsidR="00B662B2" w:rsidRDefault="00B662B2">
            <w:pPr>
              <w:tabs>
                <w:tab w:val="center" w:pos="4680"/>
              </w:tabs>
              <w:suppressAutoHyphens/>
              <w:rPr>
                <w:b/>
                <w:spacing w:val="-2"/>
              </w:rPr>
            </w:pPr>
            <w:r>
              <w:rPr>
                <w:b/>
                <w:spacing w:val="-2"/>
              </w:rPr>
              <w:t>)</w:t>
            </w:r>
          </w:p>
          <w:p w:rsidR="00B662B2" w:rsidRDefault="00B662B2">
            <w:pPr>
              <w:tabs>
                <w:tab w:val="center" w:pos="4680"/>
              </w:tabs>
              <w:suppressAutoHyphens/>
              <w:rPr>
                <w:b/>
                <w:spacing w:val="-2"/>
              </w:rPr>
            </w:pPr>
            <w:r>
              <w:rPr>
                <w:b/>
                <w:spacing w:val="-2"/>
              </w:rPr>
              <w:t>)</w:t>
            </w:r>
          </w:p>
          <w:p w:rsidR="00B662B2" w:rsidRDefault="00B662B2">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B662B2" w:rsidRDefault="00B662B2" w:rsidP="00B662B2">
            <w:pPr>
              <w:tabs>
                <w:tab w:val="center" w:pos="4680"/>
              </w:tabs>
              <w:suppressAutoHyphens/>
              <w:rPr>
                <w:lang w:val="es-ES"/>
              </w:rPr>
            </w:pPr>
          </w:p>
          <w:p w:rsidR="00B662B2" w:rsidRDefault="00B662B2" w:rsidP="00B662B2">
            <w:pPr>
              <w:tabs>
                <w:tab w:val="center" w:pos="4680"/>
              </w:tabs>
              <w:suppressAutoHyphens/>
              <w:rPr>
                <w:lang w:val="es-ES"/>
              </w:rPr>
            </w:pPr>
          </w:p>
          <w:p w:rsidR="00B662B2" w:rsidRDefault="00B662B2" w:rsidP="00B662B2">
            <w:pPr>
              <w:tabs>
                <w:tab w:val="center" w:pos="4680"/>
              </w:tabs>
              <w:suppressAutoHyphens/>
              <w:rPr>
                <w:lang w:val="es-ES"/>
              </w:rPr>
            </w:pPr>
          </w:p>
          <w:p w:rsidR="00B662B2" w:rsidRDefault="00B662B2" w:rsidP="00B662B2">
            <w:pPr>
              <w:tabs>
                <w:tab w:val="center" w:pos="4680"/>
              </w:tabs>
              <w:suppressAutoHyphens/>
              <w:rPr>
                <w:lang w:val="es-ES"/>
              </w:rPr>
            </w:pPr>
          </w:p>
          <w:p w:rsidR="00B662B2" w:rsidRPr="0063714B" w:rsidRDefault="00B662B2" w:rsidP="00B662B2">
            <w:pPr>
              <w:tabs>
                <w:tab w:val="center" w:pos="4680"/>
              </w:tabs>
              <w:suppressAutoHyphens/>
              <w:rPr>
                <w:i/>
                <w:lang w:val="es-ES"/>
              </w:rPr>
            </w:pPr>
            <w:r>
              <w:rPr>
                <w:lang w:val="es-ES"/>
              </w:rPr>
              <w:t>File No</w:t>
            </w:r>
            <w:r w:rsidRPr="00642507">
              <w:rPr>
                <w:lang w:val="es-ES"/>
              </w:rPr>
              <w:t>. SLD-</w:t>
            </w:r>
            <w:r w:rsidRPr="00861642">
              <w:rPr>
                <w:lang w:val="es-ES"/>
              </w:rPr>
              <w:t>1019403</w:t>
            </w:r>
            <w:r>
              <w:t xml:space="preserve">, </w:t>
            </w:r>
            <w:r w:rsidRPr="00F627F1">
              <w:rPr>
                <w:i/>
              </w:rPr>
              <w:t>et al</w:t>
            </w:r>
            <w:r>
              <w:rPr>
                <w:i/>
              </w:rPr>
              <w:t>.</w:t>
            </w:r>
            <w:r>
              <w:t xml:space="preserve"> </w:t>
            </w:r>
          </w:p>
          <w:p w:rsidR="00B662B2" w:rsidRDefault="00B662B2" w:rsidP="00B662B2">
            <w:pPr>
              <w:tabs>
                <w:tab w:val="center" w:pos="4680"/>
              </w:tabs>
              <w:suppressAutoHyphens/>
            </w:pPr>
          </w:p>
          <w:p w:rsidR="00B662B2" w:rsidRDefault="00B662B2" w:rsidP="00B662B2">
            <w:pPr>
              <w:tabs>
                <w:tab w:val="center" w:pos="4680"/>
              </w:tabs>
              <w:suppressAutoHyphens/>
            </w:pPr>
          </w:p>
          <w:p w:rsidR="00B662B2" w:rsidRDefault="00B662B2" w:rsidP="00B662B2">
            <w:pPr>
              <w:tabs>
                <w:tab w:val="center" w:pos="4680"/>
              </w:tabs>
              <w:suppressAutoHyphens/>
            </w:pPr>
            <w:r>
              <w:t>CC Docket No. 02-6</w:t>
            </w:r>
          </w:p>
          <w:p w:rsidR="00B662B2" w:rsidRDefault="00B662B2" w:rsidP="00B662B2">
            <w:pPr>
              <w:tabs>
                <w:tab w:val="center" w:pos="4680"/>
              </w:tabs>
              <w:suppressAutoHyphens/>
            </w:pPr>
          </w:p>
          <w:p w:rsidR="00B662B2" w:rsidRDefault="00B662B2" w:rsidP="00B662B2">
            <w:pPr>
              <w:tabs>
                <w:tab w:val="center" w:pos="4680"/>
              </w:tabs>
              <w:suppressAutoHyphens/>
              <w:rPr>
                <w:spacing w:val="-2"/>
              </w:rPr>
            </w:pPr>
          </w:p>
          <w:p w:rsidR="004C2EE3" w:rsidRDefault="00B662B2" w:rsidP="00B662B2">
            <w:pPr>
              <w:tabs>
                <w:tab w:val="center" w:pos="4680"/>
              </w:tabs>
              <w:suppressAutoHyphens/>
              <w:rPr>
                <w:spacing w:val="-2"/>
              </w:rPr>
            </w:pPr>
            <w:r>
              <w:t>WC Docket No. 13-184</w:t>
            </w:r>
          </w:p>
        </w:tc>
      </w:tr>
    </w:tbl>
    <w:p w:rsidR="004C2EE3" w:rsidRDefault="004C2EE3" w:rsidP="0070224F"/>
    <w:p w:rsidR="00841AB1" w:rsidRDefault="00B662B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26036">
        <w:rPr>
          <w:b/>
          <w:spacing w:val="-2"/>
        </w:rPr>
        <w:t>July 21</w:t>
      </w:r>
      <w:r w:rsidR="00B662B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26036">
        <w:rPr>
          <w:b/>
          <w:spacing w:val="-2"/>
        </w:rPr>
        <w:t>July 21</w:t>
      </w:r>
      <w:r w:rsidR="00B662B2">
        <w:rPr>
          <w:b/>
          <w:spacing w:val="-2"/>
        </w:rPr>
        <w:t>, 2016</w:t>
      </w:r>
    </w:p>
    <w:p w:rsidR="00822CE0" w:rsidRDefault="00822CE0"/>
    <w:p w:rsidR="004C2EE3" w:rsidRDefault="004C2EE3">
      <w:pPr>
        <w:rPr>
          <w:spacing w:val="-2"/>
        </w:rPr>
      </w:pPr>
      <w:r>
        <w:t xml:space="preserve">By </w:t>
      </w:r>
      <w:r w:rsidR="004E4A22">
        <w:t>the</w:t>
      </w:r>
      <w:r w:rsidR="002A2D2E">
        <w:t xml:space="preserve"> </w:t>
      </w:r>
      <w:r w:rsidR="00B662B2" w:rsidRPr="00EB0DF3">
        <w:t>Chief, Telecommunications Access Policy Division, Wireline Competition Bureau</w:t>
      </w:r>
      <w:r>
        <w:rPr>
          <w:spacing w:val="-2"/>
        </w:rPr>
        <w:t>:</w:t>
      </w:r>
    </w:p>
    <w:p w:rsidR="00412FC5" w:rsidRDefault="00412FC5" w:rsidP="00412FC5"/>
    <w:p w:rsidR="00B662B2" w:rsidRPr="00390FD0" w:rsidRDefault="00B662B2" w:rsidP="00B662B2">
      <w:pPr>
        <w:pStyle w:val="ParaNum"/>
        <w:widowControl/>
        <w:rPr>
          <w:snapToGrid/>
        </w:rPr>
      </w:pPr>
      <w:r>
        <w:rPr>
          <w:snapToGrid/>
        </w:rPr>
        <w:t>Consistent with precedent,</w:t>
      </w:r>
      <w:r>
        <w:rPr>
          <w:rStyle w:val="FootnoteReference"/>
          <w:snapToGrid/>
        </w:rPr>
        <w:footnoteReference w:id="2"/>
      </w:r>
      <w:r>
        <w:rPr>
          <w:snapToGrid/>
        </w:rPr>
        <w:t xml:space="preserve"> we deny the Requests for Waiver from the petitioners listed in the Appendix seeking waivers of the Commission’s cost effectiveness requirements for the E-rate program (the Waiver Requests).</w:t>
      </w:r>
      <w:r>
        <w:rPr>
          <w:rStyle w:val="FootnoteReference"/>
          <w:snapToGrid/>
        </w:rPr>
        <w:footnoteReference w:id="3"/>
      </w:r>
      <w:r>
        <w:rPr>
          <w:rStyle w:val="StyleNumberedparagraphs11ptChar"/>
        </w:rPr>
        <w:t xml:space="preserve">  The </w:t>
      </w:r>
      <w:r w:rsidRPr="00B572E4">
        <w:rPr>
          <w:rStyle w:val="StyleNumberedparagraphs11ptChar"/>
        </w:rPr>
        <w:t>Universal Service Administrative Company (USAC)</w:t>
      </w:r>
      <w:r>
        <w:rPr>
          <w:rStyle w:val="StyleNumberedparagraphs11ptChar"/>
        </w:rPr>
        <w:t>, the administrator of the E-rate program,</w:t>
      </w:r>
      <w:r w:rsidRPr="00B572E4">
        <w:rPr>
          <w:rStyle w:val="StyleNumberedparagraphs11ptChar"/>
        </w:rPr>
        <w:t xml:space="preserve"> </w:t>
      </w:r>
      <w:r>
        <w:rPr>
          <w:rStyle w:val="StyleNumberedparagraphs11ptChar"/>
        </w:rPr>
        <w:t>denied the petitioners’ requests for funding for individual data plan and air card services for funding year 2015 because the petitioners failed to show that it was more cost-effective to purchase access to the Internet through the use of individual data plans or air cards than to use a wireless local area network (WLAN) connected to the Internet</w:t>
      </w:r>
      <w:r>
        <w:t>.</w:t>
      </w:r>
      <w:r>
        <w:rPr>
          <w:rStyle w:val="FootnoteReference"/>
        </w:rPr>
        <w:footnoteReference w:id="4"/>
      </w:r>
      <w:r>
        <w:t xml:space="preserve">  </w:t>
      </w:r>
      <w:r>
        <w:rPr>
          <w:rStyle w:val="StyleNumberedparagraphs11ptChar"/>
        </w:rPr>
        <w:t>We affirm USAC’s findings that the services requested are not cost effective and find that n</w:t>
      </w:r>
      <w:r w:rsidRPr="00A17109">
        <w:rPr>
          <w:szCs w:val="22"/>
        </w:rPr>
        <w:t xml:space="preserve">one of the petitioners present evidence that would justify waiving the </w:t>
      </w:r>
      <w:r>
        <w:rPr>
          <w:szCs w:val="22"/>
        </w:rPr>
        <w:t xml:space="preserve">Commission’s cost effectiveness </w:t>
      </w:r>
      <w:r w:rsidRPr="00A17109">
        <w:rPr>
          <w:szCs w:val="22"/>
        </w:rPr>
        <w:t>requirement</w:t>
      </w:r>
      <w:r>
        <w:rPr>
          <w:szCs w:val="22"/>
        </w:rPr>
        <w:t>s for individual data plans or air cards.</w:t>
      </w:r>
      <w:r w:rsidRPr="00A17109">
        <w:rPr>
          <w:vertAlign w:val="superscript"/>
        </w:rPr>
        <w:footnoteReference w:id="5"/>
      </w:r>
      <w:r>
        <w:rPr>
          <w:szCs w:val="22"/>
        </w:rPr>
        <w:t xml:space="preserve">  For the reasons described below, we also find petitioners’ other arguments unavailing.</w:t>
      </w:r>
      <w:r>
        <w:rPr>
          <w:rStyle w:val="StyleNumberedparagraphs11ptChar"/>
        </w:rPr>
        <w:t xml:space="preserve">     </w:t>
      </w:r>
    </w:p>
    <w:p w:rsidR="00B662B2" w:rsidRDefault="00B662B2" w:rsidP="00B662B2">
      <w:pPr>
        <w:pStyle w:val="ParaNum"/>
        <w:rPr>
          <w:snapToGrid/>
        </w:rPr>
      </w:pPr>
      <w:r>
        <w:rPr>
          <w:snapToGrid/>
          <w:u w:val="single"/>
        </w:rPr>
        <w:lastRenderedPageBreak/>
        <w:t>Background.</w:t>
      </w:r>
      <w:r>
        <w:rPr>
          <w:snapToGrid/>
        </w:rPr>
        <w:t xml:space="preserve">  </w:t>
      </w:r>
      <w:r w:rsidRPr="008F7821">
        <w:rPr>
          <w:snapToGrid/>
        </w:rPr>
        <w:t xml:space="preserve">In the </w:t>
      </w:r>
      <w:r>
        <w:rPr>
          <w:i/>
          <w:snapToGrid/>
        </w:rPr>
        <w:t xml:space="preserve">First </w:t>
      </w:r>
      <w:r w:rsidRPr="008F7821">
        <w:rPr>
          <w:i/>
          <w:snapToGrid/>
        </w:rPr>
        <w:t>E-rate Modernization Order</w:t>
      </w:r>
      <w:r>
        <w:rPr>
          <w:snapToGrid/>
        </w:rPr>
        <w:t>,</w:t>
      </w:r>
      <w:r w:rsidRPr="008F7821">
        <w:rPr>
          <w:i/>
          <w:snapToGrid/>
        </w:rPr>
        <w:t xml:space="preserve"> </w:t>
      </w:r>
      <w:r w:rsidRPr="008F7821">
        <w:rPr>
          <w:snapToGrid/>
        </w:rPr>
        <w:t xml:space="preserve">the Commission made changes to the E-rate funding framework to </w:t>
      </w:r>
      <w:r>
        <w:rPr>
          <w:snapToGrid/>
        </w:rPr>
        <w:t>reorient the program to focus on broadband support.  It adopted three goals for the program: (1) ensure affordable access to high-speed broadband sufficient to support digital learning in schools and robust connectivity for all libraries; (2) maximize the cost-effectiveness of spending for E-rate supported purchases; and (3) make the E-rate application process and other E-rate processes fast, simple, and efficient.</w:t>
      </w:r>
      <w:r>
        <w:rPr>
          <w:rStyle w:val="FootnoteReference"/>
          <w:snapToGrid/>
        </w:rPr>
        <w:footnoteReference w:id="6"/>
      </w:r>
      <w:r>
        <w:rPr>
          <w:snapToGrid/>
        </w:rPr>
        <w:t xml:space="preserve">  In order to achieve the first two goals, among other things, the Commission adopted changes to the program to </w:t>
      </w:r>
      <w:r w:rsidRPr="008F7821">
        <w:rPr>
          <w:snapToGrid/>
        </w:rPr>
        <w:t>ensure</w:t>
      </w:r>
      <w:r>
        <w:rPr>
          <w:snapToGrid/>
        </w:rPr>
        <w:t xml:space="preserve"> that</w:t>
      </w:r>
      <w:r w:rsidRPr="008F7821">
        <w:rPr>
          <w:snapToGrid/>
        </w:rPr>
        <w:t xml:space="preserve"> more equitable, reliable support </w:t>
      </w:r>
      <w:r>
        <w:rPr>
          <w:snapToGrid/>
        </w:rPr>
        <w:t xml:space="preserve">would be available </w:t>
      </w:r>
      <w:r w:rsidRPr="008F7821">
        <w:rPr>
          <w:snapToGrid/>
        </w:rPr>
        <w:t xml:space="preserve">for </w:t>
      </w:r>
      <w:r>
        <w:rPr>
          <w:snapToGrid/>
        </w:rPr>
        <w:t xml:space="preserve">WLANs that support </w:t>
      </w:r>
      <w:r w:rsidRPr="008F7821">
        <w:rPr>
          <w:snapToGrid/>
        </w:rPr>
        <w:t>broadband services within</w:t>
      </w:r>
      <w:r w:rsidRPr="00FF7701">
        <w:rPr>
          <w:snapToGrid/>
        </w:rPr>
        <w:t xml:space="preserve"> schools and libraries.</w:t>
      </w:r>
      <w:r>
        <w:rPr>
          <w:rStyle w:val="FootnoteReference"/>
          <w:snapToGrid/>
        </w:rPr>
        <w:footnoteReference w:id="7"/>
      </w:r>
      <w:r w:rsidRPr="00033D5A">
        <w:rPr>
          <w:snapToGrid/>
        </w:rPr>
        <w:t xml:space="preserve">  </w:t>
      </w:r>
      <w:r>
        <w:rPr>
          <w:snapToGrid/>
        </w:rPr>
        <w:t xml:space="preserve">Relatedly, </w:t>
      </w:r>
      <w:r w:rsidRPr="00033D5A">
        <w:rPr>
          <w:snapToGrid/>
        </w:rPr>
        <w:t xml:space="preserve">the Commission </w:t>
      </w:r>
      <w:r>
        <w:rPr>
          <w:snapToGrid/>
        </w:rPr>
        <w:t xml:space="preserve">determined that </w:t>
      </w:r>
      <w:r w:rsidRPr="00CC12F0">
        <w:rPr>
          <w:snapToGrid/>
        </w:rPr>
        <w:t>funding for individual data plans or air cards for individual users</w:t>
      </w:r>
      <w:r>
        <w:rPr>
          <w:snapToGrid/>
        </w:rPr>
        <w:t xml:space="preserve"> is</w:t>
      </w:r>
      <w:r w:rsidRPr="00CC12F0">
        <w:rPr>
          <w:snapToGrid/>
        </w:rPr>
        <w:t xml:space="preserve"> not cost effective when those users can access the Internet through internal wireless broadband networks on wireless-enabled devices.</w:t>
      </w:r>
      <w:r w:rsidRPr="00BF6593">
        <w:rPr>
          <w:snapToGrid/>
          <w:vertAlign w:val="superscript"/>
        </w:rPr>
        <w:footnoteReference w:id="8"/>
      </w:r>
      <w:r w:rsidRPr="00CC12F0">
        <w:rPr>
          <w:snapToGrid/>
        </w:rPr>
        <w:t xml:space="preserve">  </w:t>
      </w:r>
    </w:p>
    <w:p w:rsidR="00B662B2" w:rsidRPr="00CC12F0" w:rsidRDefault="00B662B2" w:rsidP="00B662B2">
      <w:pPr>
        <w:pStyle w:val="ParaNum"/>
        <w:rPr>
          <w:snapToGrid/>
        </w:rPr>
      </w:pPr>
      <w:r w:rsidRPr="00CC12F0">
        <w:rPr>
          <w:snapToGrid/>
        </w:rPr>
        <w:t xml:space="preserve">At the same time, the Commission </w:t>
      </w:r>
      <w:r>
        <w:rPr>
          <w:snapToGrid/>
        </w:rPr>
        <w:t xml:space="preserve">recognized that there could be limited circumstances when individual data plans or air cards may be cost effective and </w:t>
      </w:r>
      <w:r w:rsidRPr="00CC12F0">
        <w:rPr>
          <w:snapToGrid/>
        </w:rPr>
        <w:t>provided a process for applicants that seek funding for individual data plans to show cost effective</w:t>
      </w:r>
      <w:r>
        <w:rPr>
          <w:snapToGrid/>
        </w:rPr>
        <w:t>ness</w:t>
      </w:r>
      <w:r w:rsidRPr="00CC12F0">
        <w:rPr>
          <w:snapToGrid/>
        </w:rPr>
        <w:t>.</w:t>
      </w:r>
      <w:r>
        <w:rPr>
          <w:rStyle w:val="FootnoteReference"/>
          <w:snapToGrid/>
        </w:rPr>
        <w:footnoteReference w:id="9"/>
      </w:r>
      <w:r w:rsidRPr="00CC12F0">
        <w:rPr>
          <w:snapToGrid/>
        </w:rPr>
        <w:t xml:space="preserve">  To establish cost effectiveness for data plans or air cards, applicants must be able to </w:t>
      </w:r>
      <w:r>
        <w:rPr>
          <w:snapToGrid/>
        </w:rPr>
        <w:t xml:space="preserve">either </w:t>
      </w:r>
      <w:r w:rsidRPr="00CC12F0">
        <w:rPr>
          <w:snapToGrid/>
        </w:rPr>
        <w:t xml:space="preserve">(1) </w:t>
      </w:r>
      <w:r w:rsidRPr="00700608">
        <w:rPr>
          <w:snapToGrid/>
        </w:rPr>
        <w:t xml:space="preserve">demonstrate that </w:t>
      </w:r>
      <w:r w:rsidRPr="00CC12F0">
        <w:rPr>
          <w:snapToGrid/>
        </w:rPr>
        <w:t>installing a WLAN is not physically possible, or (2) provide a comparison of the costs to implement an individual data plan solution versus a WLAN solution.</w:t>
      </w:r>
      <w:r>
        <w:rPr>
          <w:rStyle w:val="FootnoteReference"/>
          <w:snapToGrid/>
        </w:rPr>
        <w:footnoteReference w:id="10"/>
      </w:r>
      <w:r w:rsidRPr="00CC12F0">
        <w:rPr>
          <w:snapToGrid/>
        </w:rPr>
        <w:t xml:space="preserve">  For the latter option, the cost comparison must validate that the data plans or air card solution was more cost effective than the WLAN solution.</w:t>
      </w:r>
      <w:r>
        <w:rPr>
          <w:rStyle w:val="FootnoteReference"/>
          <w:snapToGrid/>
        </w:rPr>
        <w:footnoteReference w:id="11"/>
      </w:r>
      <w:r w:rsidRPr="00CC12F0">
        <w:rPr>
          <w:snapToGrid/>
        </w:rPr>
        <w:t xml:space="preserve"> </w:t>
      </w:r>
      <w:r>
        <w:rPr>
          <w:snapToGrid/>
        </w:rPr>
        <w:t xml:space="preserve"> The Commission </w:t>
      </w:r>
      <w:r w:rsidRPr="00CC12F0">
        <w:rPr>
          <w:snapToGrid/>
        </w:rPr>
        <w:t>determined that, absent</w:t>
      </w:r>
      <w:r>
        <w:rPr>
          <w:snapToGrid/>
        </w:rPr>
        <w:t xml:space="preserve"> such a showing</w:t>
      </w:r>
      <w:r w:rsidRPr="00CC12F0">
        <w:rPr>
          <w:snapToGrid/>
        </w:rPr>
        <w:t>, individual data plans or air cards are ineligible for E-rate discounts.</w:t>
      </w:r>
      <w:r>
        <w:rPr>
          <w:rStyle w:val="FootnoteReference"/>
          <w:snapToGrid/>
        </w:rPr>
        <w:footnoteReference w:id="12"/>
      </w:r>
      <w:r w:rsidRPr="00CC12F0">
        <w:rPr>
          <w:snapToGrid/>
        </w:rPr>
        <w:t xml:space="preserve">  </w:t>
      </w:r>
    </w:p>
    <w:p w:rsidR="00B662B2" w:rsidRDefault="00B662B2" w:rsidP="00B662B2">
      <w:pPr>
        <w:pStyle w:val="ParaNum"/>
        <w:widowControl/>
        <w:rPr>
          <w:snapToGrid/>
        </w:rPr>
      </w:pPr>
      <w:r>
        <w:rPr>
          <w:snapToGrid/>
        </w:rPr>
        <w:t xml:space="preserve">USAC denied petitioners’ applications for E-rate support for funding year 2015 for individual data plans or air cards for petitioners’ staff members because petitioners could not show that installing a WLAN was impossible or that individual data plans or air cards were more cost effective than installing a WLAN and purchasing Internet access for use with the WLAN.  Although petitioners style their filings as </w:t>
      </w:r>
      <w:r w:rsidRPr="0089239B">
        <w:rPr>
          <w:snapToGrid/>
        </w:rPr>
        <w:t xml:space="preserve">waiver requests, </w:t>
      </w:r>
      <w:r>
        <w:rPr>
          <w:snapToGrid/>
        </w:rPr>
        <w:t xml:space="preserve">they also argue </w:t>
      </w:r>
      <w:r w:rsidRPr="0089239B">
        <w:rPr>
          <w:snapToGrid/>
        </w:rPr>
        <w:t xml:space="preserve">that the Commission’s rules on cost effectiveness do not require them to compare the costs of a cellular </w:t>
      </w:r>
      <w:r>
        <w:rPr>
          <w:snapToGrid/>
        </w:rPr>
        <w:t>data plan solution</w:t>
      </w:r>
      <w:r w:rsidRPr="0089239B">
        <w:rPr>
          <w:snapToGrid/>
        </w:rPr>
        <w:t xml:space="preserve"> to the costs of a WLAN solution</w:t>
      </w:r>
      <w:r>
        <w:rPr>
          <w:snapToGrid/>
        </w:rPr>
        <w:t xml:space="preserve"> because public safety is at issue</w:t>
      </w:r>
      <w:r w:rsidRPr="0089239B">
        <w:rPr>
          <w:snapToGrid/>
        </w:rPr>
        <w:t>.</w:t>
      </w:r>
      <w:r>
        <w:rPr>
          <w:rStyle w:val="FootnoteReference"/>
          <w:snapToGrid/>
        </w:rPr>
        <w:footnoteReference w:id="13"/>
      </w:r>
      <w:r w:rsidRPr="0089239B">
        <w:rPr>
          <w:snapToGrid/>
        </w:rPr>
        <w:t xml:space="preserve">  </w:t>
      </w:r>
      <w:r>
        <w:rPr>
          <w:snapToGrid/>
        </w:rPr>
        <w:t>P</w:t>
      </w:r>
      <w:r w:rsidRPr="0089239B">
        <w:rPr>
          <w:snapToGrid/>
        </w:rPr>
        <w:t xml:space="preserve">etitioners </w:t>
      </w:r>
      <w:r>
        <w:rPr>
          <w:snapToGrid/>
        </w:rPr>
        <w:t xml:space="preserve">further assert that the Communications Act, specifically section 254(c)(1), </w:t>
      </w:r>
      <w:r w:rsidRPr="0089239B">
        <w:rPr>
          <w:snapToGrid/>
        </w:rPr>
        <w:t xml:space="preserve">requires </w:t>
      </w:r>
      <w:r>
        <w:rPr>
          <w:snapToGrid/>
        </w:rPr>
        <w:t xml:space="preserve">the Commission </w:t>
      </w:r>
      <w:r w:rsidRPr="00356DB0">
        <w:rPr>
          <w:snapToGrid/>
        </w:rPr>
        <w:t xml:space="preserve">to support services that are essential to public safety </w:t>
      </w:r>
      <w:r>
        <w:rPr>
          <w:snapToGrid/>
        </w:rPr>
        <w:t xml:space="preserve">and that </w:t>
      </w:r>
      <w:r>
        <w:rPr>
          <w:snapToGrid/>
        </w:rPr>
        <w:lastRenderedPageBreak/>
        <w:t xml:space="preserve">E-rate must therefore support </w:t>
      </w:r>
      <w:r w:rsidRPr="0089239B">
        <w:rPr>
          <w:snapToGrid/>
        </w:rPr>
        <w:t xml:space="preserve">cellular data plans </w:t>
      </w:r>
      <w:r>
        <w:rPr>
          <w:snapToGrid/>
        </w:rPr>
        <w:t xml:space="preserve">to provide school personnel </w:t>
      </w:r>
      <w:r w:rsidRPr="0089239B">
        <w:rPr>
          <w:snapToGrid/>
        </w:rPr>
        <w:t>a</w:t>
      </w:r>
      <w:r>
        <w:rPr>
          <w:snapToGrid/>
        </w:rPr>
        <w:t>n alternate</w:t>
      </w:r>
      <w:r w:rsidRPr="0089239B">
        <w:rPr>
          <w:snapToGrid/>
        </w:rPr>
        <w:t xml:space="preserve"> way to communicate in an emergency</w:t>
      </w:r>
      <w:r>
        <w:rPr>
          <w:snapToGrid/>
        </w:rPr>
        <w:t xml:space="preserve"> that shuts down WLAN access to the Internet.</w:t>
      </w:r>
      <w:r>
        <w:rPr>
          <w:rStyle w:val="FootnoteReference"/>
          <w:snapToGrid/>
        </w:rPr>
        <w:footnoteReference w:id="14"/>
      </w:r>
      <w:r>
        <w:rPr>
          <w:snapToGrid/>
        </w:rPr>
        <w:t xml:space="preserve">  </w:t>
      </w:r>
    </w:p>
    <w:p w:rsidR="00B662B2" w:rsidRDefault="00B662B2" w:rsidP="00B662B2">
      <w:pPr>
        <w:pStyle w:val="ParaNum"/>
        <w:rPr>
          <w:snapToGrid/>
        </w:rPr>
      </w:pPr>
      <w:r w:rsidRPr="00E030B0">
        <w:rPr>
          <w:snapToGrid/>
          <w:u w:val="single"/>
        </w:rPr>
        <w:t>Discussion.</w:t>
      </w:r>
      <w:r w:rsidRPr="00E030B0">
        <w:rPr>
          <w:snapToGrid/>
        </w:rPr>
        <w:t xml:space="preserve"> </w:t>
      </w:r>
      <w:r>
        <w:rPr>
          <w:snapToGrid/>
        </w:rPr>
        <w:t xml:space="preserve"> </w:t>
      </w:r>
      <w:r w:rsidRPr="00E030B0">
        <w:rPr>
          <w:snapToGrid/>
        </w:rPr>
        <w:t>Based on the record</w:t>
      </w:r>
      <w:r>
        <w:rPr>
          <w:snapToGrid/>
        </w:rPr>
        <w:t xml:space="preserve"> and on the Commission’s decision to limit the circumstances under which E-rate support is available for individual data plans or air cards</w:t>
      </w:r>
      <w:r w:rsidRPr="00E030B0">
        <w:rPr>
          <w:snapToGrid/>
        </w:rPr>
        <w:t>, we</w:t>
      </w:r>
      <w:r>
        <w:rPr>
          <w:snapToGrid/>
        </w:rPr>
        <w:t xml:space="preserve"> deny </w:t>
      </w:r>
      <w:r>
        <w:t>the Waiver Requests</w:t>
      </w:r>
      <w:r w:rsidRPr="00E030B0">
        <w:t xml:space="preserve">.  </w:t>
      </w:r>
      <w:r>
        <w:t>The C</w:t>
      </w:r>
      <w:r w:rsidRPr="00F73B94">
        <w:t>ommission may exercise its discretion to waive a rule where the particular facts demonstrate that (i) special circumstances warrant a deviation from the general rule, and (ii) such deviation will serve the public interest.</w:t>
      </w:r>
      <w:r>
        <w:rPr>
          <w:rStyle w:val="FootnoteReference"/>
        </w:rPr>
        <w:footnoteReference w:id="15"/>
      </w:r>
      <w:r>
        <w:t xml:space="preserve">  Petitioners have not met either prong of the waiver standard.</w:t>
      </w:r>
    </w:p>
    <w:p w:rsidR="00B662B2" w:rsidRDefault="00B662B2" w:rsidP="00B662B2">
      <w:pPr>
        <w:pStyle w:val="ParaNum"/>
        <w:rPr>
          <w:snapToGrid/>
        </w:rPr>
      </w:pPr>
      <w:r>
        <w:rPr>
          <w:snapToGrid/>
        </w:rPr>
        <w:t xml:space="preserve">Petitioners do not claim that they are faced with special circumstances that warrant a deviation from the cost effectiveness analysis required by the Commission in order to receive E-rate support for individual data plans or air cards.  Instead, petitioners seek E-rate support for individual data plans and air cards based on public safety concerns that </w:t>
      </w:r>
      <w:r w:rsidRPr="005C1D06">
        <w:rPr>
          <w:snapToGrid/>
        </w:rPr>
        <w:t xml:space="preserve">are </w:t>
      </w:r>
      <w:r>
        <w:rPr>
          <w:snapToGrid/>
        </w:rPr>
        <w:t xml:space="preserve">general in nature.  </w:t>
      </w:r>
      <w:r w:rsidRPr="0024054B">
        <w:t>To warrant consideration for waiver, a petitioner must “articulate a specific pleading, and adduce concrete support, preferably documentary” and must “plead with particularity the facts and circumstances” which warrant the granting of the requested waiver</w:t>
      </w:r>
      <w:r>
        <w:t>.</w:t>
      </w:r>
      <w:r>
        <w:rPr>
          <w:rStyle w:val="FootnoteReference"/>
          <w:snapToGrid/>
        </w:rPr>
        <w:footnoteReference w:id="16"/>
      </w:r>
      <w:r>
        <w:rPr>
          <w:snapToGrid/>
        </w:rPr>
        <w:t xml:space="preserve">  Petitioners make no such showings</w:t>
      </w:r>
      <w:r w:rsidRPr="005C1D06">
        <w:rPr>
          <w:snapToGrid/>
        </w:rPr>
        <w:t xml:space="preserve">.  Nor do petitioners offer a compelling explanation as to why Internet access via their WLANs will not meet their educational needs, which is the public interest at the heart of the E-rate program.  Instead, petitioners </w:t>
      </w:r>
      <w:r>
        <w:rPr>
          <w:snapToGrid/>
        </w:rPr>
        <w:t>agree that in everyday use, cellular data plans serve the same function as WLAN services,</w:t>
      </w:r>
      <w:r w:rsidRPr="005C1D06">
        <w:rPr>
          <w:snapToGrid/>
        </w:rPr>
        <w:t xml:space="preserve"> </w:t>
      </w:r>
      <w:r>
        <w:rPr>
          <w:snapToGrid/>
        </w:rPr>
        <w:t xml:space="preserve">but that E-rate supported </w:t>
      </w:r>
      <w:r w:rsidRPr="005C1D06">
        <w:rPr>
          <w:snapToGrid/>
        </w:rPr>
        <w:t xml:space="preserve">cellular data plans </w:t>
      </w:r>
      <w:r>
        <w:rPr>
          <w:snapToGrid/>
        </w:rPr>
        <w:t xml:space="preserve">will </w:t>
      </w:r>
      <w:r w:rsidRPr="005C1D06">
        <w:rPr>
          <w:snapToGrid/>
        </w:rPr>
        <w:t>help alleviate their concerns about public safety, in the event that a WLAN becomes non-functional.</w:t>
      </w:r>
      <w:r>
        <w:rPr>
          <w:rStyle w:val="FootnoteReference"/>
          <w:snapToGrid/>
        </w:rPr>
        <w:footnoteReference w:id="17"/>
      </w:r>
      <w:r w:rsidRPr="005C1D06">
        <w:rPr>
          <w:snapToGrid/>
        </w:rPr>
        <w:t xml:space="preserve">  </w:t>
      </w:r>
    </w:p>
    <w:p w:rsidR="00B662B2" w:rsidRDefault="00B662B2" w:rsidP="00B662B2">
      <w:pPr>
        <w:pStyle w:val="ParaNum"/>
        <w:rPr>
          <w:snapToGrid/>
        </w:rPr>
      </w:pPr>
      <w:r>
        <w:rPr>
          <w:snapToGrid/>
        </w:rPr>
        <w:t>Moreover, because petitioners’ concerns are generalized, granting these waivers would likely lead to similar waiver requests from schools and libraries across the country and would result in the Universal Service Fund (fund) spending substantial sums of money for services that petitioners concede are largely duplicative of WLAN services.</w:t>
      </w:r>
      <w:r>
        <w:rPr>
          <w:rStyle w:val="FootnoteReference"/>
          <w:snapToGrid/>
        </w:rPr>
        <w:footnoteReference w:id="18"/>
      </w:r>
      <w:r>
        <w:rPr>
          <w:snapToGrid/>
        </w:rPr>
        <w:t xml:space="preserve">  </w:t>
      </w:r>
      <w:r>
        <w:t>A</w:t>
      </w:r>
      <w:r w:rsidRPr="00434636">
        <w:rPr>
          <w:snapToGrid/>
        </w:rPr>
        <w:t xml:space="preserve">lthough the individual funding requests at issue in these petitions </w:t>
      </w:r>
      <w:r>
        <w:rPr>
          <w:snapToGrid/>
        </w:rPr>
        <w:t>a</w:t>
      </w:r>
      <w:r w:rsidRPr="00434636">
        <w:rPr>
          <w:snapToGrid/>
        </w:rPr>
        <w:t>re not large, in the aggregate, granting waivers for the reasons presented in these petitions</w:t>
      </w:r>
      <w:r w:rsidRPr="00AA3C57">
        <w:rPr>
          <w:snapToGrid/>
        </w:rPr>
        <w:t xml:space="preserve"> would be costly for the E-rate fund.  The Commission is required to consider the impact of funding decisions on universal service, and it was appropriate for it to limit access to individual data plans and air cards in order to focus on providing funding for WLANs that provide educational benefits to all students and library patrons.</w:t>
      </w:r>
      <w:r>
        <w:rPr>
          <w:rStyle w:val="FootnoteReference"/>
          <w:snapToGrid/>
        </w:rPr>
        <w:footnoteReference w:id="19"/>
      </w:r>
      <w:r>
        <w:rPr>
          <w:snapToGrid/>
        </w:rPr>
        <w:t xml:space="preserve">  </w:t>
      </w:r>
    </w:p>
    <w:p w:rsidR="00B662B2" w:rsidRPr="00267955" w:rsidRDefault="00B662B2" w:rsidP="00B662B2">
      <w:pPr>
        <w:pStyle w:val="ParaNum"/>
        <w:rPr>
          <w:lang w:val="en"/>
        </w:rPr>
      </w:pPr>
      <w:r>
        <w:rPr>
          <w:snapToGrid/>
        </w:rPr>
        <w:t>Petitioners also argue that the E-rate program’s requirements to perform a cost-effectiveness comparison with WLANs do not apply when applicants are seeking cellular data plans for key staff members for public safety assurances.</w:t>
      </w:r>
      <w:r>
        <w:rPr>
          <w:rStyle w:val="FootnoteReference"/>
          <w:snapToGrid/>
        </w:rPr>
        <w:footnoteReference w:id="20"/>
      </w:r>
      <w:r>
        <w:rPr>
          <w:snapToGrid/>
        </w:rPr>
        <w:t xml:space="preserve">  Petitioners further argue that the </w:t>
      </w:r>
      <w:r w:rsidRPr="00E030B0">
        <w:rPr>
          <w:snapToGrid/>
        </w:rPr>
        <w:t>Communications Act require</w:t>
      </w:r>
      <w:r>
        <w:rPr>
          <w:snapToGrid/>
        </w:rPr>
        <w:t>s</w:t>
      </w:r>
      <w:r w:rsidRPr="00E030B0">
        <w:rPr>
          <w:snapToGrid/>
        </w:rPr>
        <w:t xml:space="preserve"> the Commission to provide E-rate discounts for </w:t>
      </w:r>
      <w:r>
        <w:rPr>
          <w:snapToGrid/>
        </w:rPr>
        <w:t xml:space="preserve">communications services that are essential for </w:t>
      </w:r>
      <w:r w:rsidRPr="00E030B0">
        <w:rPr>
          <w:snapToGrid/>
        </w:rPr>
        <w:t>public safe</w:t>
      </w:r>
      <w:r>
        <w:rPr>
          <w:snapToGrid/>
        </w:rPr>
        <w:t>ty.</w:t>
      </w:r>
      <w:r>
        <w:rPr>
          <w:rStyle w:val="FootnoteReference"/>
          <w:snapToGrid/>
        </w:rPr>
        <w:footnoteReference w:id="21"/>
      </w:r>
      <w:r>
        <w:rPr>
          <w:snapToGrid/>
        </w:rPr>
        <w:t xml:space="preserve">  While we</w:t>
      </w:r>
      <w:r w:rsidRPr="005C1D06">
        <w:rPr>
          <w:snapToGrid/>
        </w:rPr>
        <w:t xml:space="preserve"> are sympathetic to </w:t>
      </w:r>
      <w:r>
        <w:rPr>
          <w:snapToGrid/>
        </w:rPr>
        <w:t>the p</w:t>
      </w:r>
      <w:r w:rsidRPr="005C1D06">
        <w:rPr>
          <w:snapToGrid/>
        </w:rPr>
        <w:t>etitioners</w:t>
      </w:r>
      <w:r>
        <w:rPr>
          <w:snapToGrid/>
        </w:rPr>
        <w:t xml:space="preserve">’ desire to put in place robust and even redundant communications plans in the event of a public safety incident, we find these arguments to be misplaced and untimely.  </w:t>
      </w:r>
    </w:p>
    <w:p w:rsidR="00B662B2" w:rsidRPr="00EC2DC3" w:rsidRDefault="00B662B2" w:rsidP="00B662B2">
      <w:pPr>
        <w:pStyle w:val="ParaNum"/>
        <w:rPr>
          <w:lang w:val="en"/>
        </w:rPr>
      </w:pPr>
      <w:r>
        <w:t>T</w:t>
      </w:r>
      <w:r>
        <w:rPr>
          <w:snapToGrid/>
        </w:rPr>
        <w:t>he Commission has the authority to determine what services are eligible for support and under what circumstances.</w:t>
      </w:r>
      <w:r>
        <w:rPr>
          <w:rStyle w:val="FootnoteReference"/>
          <w:snapToGrid/>
        </w:rPr>
        <w:footnoteReference w:id="22"/>
      </w:r>
      <w:r>
        <w:rPr>
          <w:snapToGrid/>
        </w:rPr>
        <w:t xml:space="preserve">  The Commission did not create an exception to the requirements it articulated in the </w:t>
      </w:r>
      <w:r>
        <w:rPr>
          <w:i/>
          <w:snapToGrid/>
        </w:rPr>
        <w:t>First E-rate Modernization Order</w:t>
      </w:r>
      <w:r>
        <w:rPr>
          <w:snapToGrid/>
        </w:rPr>
        <w:t xml:space="preserve"> for funding data plans for a limited number of staff or administrative cellular users.</w:t>
      </w:r>
      <w:r>
        <w:t xml:space="preserve"> </w:t>
      </w:r>
      <w:r>
        <w:rPr>
          <w:snapToGrid/>
        </w:rPr>
        <w:t xml:space="preserve"> Moreover, while the Communications Act identifies </w:t>
      </w:r>
      <w:r>
        <w:rPr>
          <w:lang w:val="en"/>
        </w:rPr>
        <w:t>public safety as one of the factors to weigh in designating supported services, it does not require that the fund support all services that could further public safety without taking other factors and program goals into account.</w:t>
      </w:r>
      <w:r>
        <w:rPr>
          <w:rStyle w:val="FootnoteReference"/>
          <w:lang w:val="en"/>
        </w:rPr>
        <w:footnoteReference w:id="23"/>
      </w:r>
      <w:r>
        <w:rPr>
          <w:lang w:val="en"/>
        </w:rPr>
        <w:t xml:space="preserve"> </w:t>
      </w:r>
    </w:p>
    <w:p w:rsidR="00B662B2" w:rsidRPr="00312F2C" w:rsidRDefault="00B662B2" w:rsidP="00B662B2">
      <w:pPr>
        <w:pStyle w:val="ParaNum"/>
      </w:pPr>
      <w:r w:rsidRPr="00E816A6">
        <w:rPr>
          <w:snapToGrid/>
        </w:rPr>
        <w:t>Like all stakeholders, petitioners had a full and fair opportunity during the E-rate Modernization</w:t>
      </w:r>
      <w:r w:rsidRPr="00E816A6">
        <w:rPr>
          <w:i/>
          <w:snapToGrid/>
        </w:rPr>
        <w:t xml:space="preserve"> </w:t>
      </w:r>
      <w:r w:rsidRPr="00E816A6">
        <w:rPr>
          <w:snapToGrid/>
        </w:rPr>
        <w:t>proceeding to advocate for the Comm</w:t>
      </w:r>
      <w:r w:rsidRPr="002F6216">
        <w:rPr>
          <w:snapToGrid/>
        </w:rPr>
        <w:t xml:space="preserve">ission to continue to provide E-rate support for individual data plans.  In the </w:t>
      </w:r>
      <w:r w:rsidRPr="00E816A6">
        <w:rPr>
          <w:i/>
          <w:snapToGrid/>
        </w:rPr>
        <w:t>E-rate Modernization NPRM</w:t>
      </w:r>
      <w:r w:rsidRPr="00E816A6">
        <w:rPr>
          <w:snapToGrid/>
        </w:rPr>
        <w:t>, the Commission sought comment on whether it should phase out support for cellular data plans and air cards, because such services are costly and broadband services can be provided more efficiently through a local area network.</w:t>
      </w:r>
      <w:r>
        <w:rPr>
          <w:rStyle w:val="FootnoteReference"/>
          <w:snapToGrid/>
        </w:rPr>
        <w:footnoteReference w:id="24"/>
      </w:r>
      <w:r w:rsidRPr="00E816A6">
        <w:rPr>
          <w:snapToGrid/>
        </w:rPr>
        <w:t xml:space="preserve"> </w:t>
      </w:r>
      <w:r>
        <w:rPr>
          <w:snapToGrid/>
        </w:rPr>
        <w:t xml:space="preserve"> </w:t>
      </w:r>
      <w:r w:rsidRPr="00E816A6">
        <w:rPr>
          <w:snapToGrid/>
        </w:rPr>
        <w:t xml:space="preserve">In the </w:t>
      </w:r>
      <w:r>
        <w:rPr>
          <w:i/>
          <w:snapToGrid/>
        </w:rPr>
        <w:t xml:space="preserve">First </w:t>
      </w:r>
      <w:r w:rsidRPr="00E816A6">
        <w:rPr>
          <w:i/>
          <w:snapToGrid/>
        </w:rPr>
        <w:t>E-rate Modernization Order</w:t>
      </w:r>
      <w:r w:rsidRPr="00E816A6">
        <w:rPr>
          <w:snapToGrid/>
        </w:rPr>
        <w:t>,</w:t>
      </w:r>
      <w:r w:rsidRPr="002F6216">
        <w:rPr>
          <w:i/>
          <w:snapToGrid/>
        </w:rPr>
        <w:t xml:space="preserve"> </w:t>
      </w:r>
      <w:r>
        <w:t>the Commission found that many of the services for which it eliminated funding, including individual cellular data plan services, are “important, but not essential to education, and E-rate funding is not sufficient to support these services at the risk of not being able to fund the services identified herein that advance</w:t>
      </w:r>
      <w:r w:rsidRPr="004140E7">
        <w:t xml:space="preserve"> our program goals</w:t>
      </w:r>
      <w:r>
        <w:t>.”</w:t>
      </w:r>
      <w:r>
        <w:rPr>
          <w:rStyle w:val="FootnoteReference"/>
        </w:rPr>
        <w:footnoteReference w:id="25"/>
      </w:r>
      <w:r>
        <w:t xml:space="preserve">  To the extent the petitioners are asking the Commission to reconsider the decision it made in the </w:t>
      </w:r>
      <w:r w:rsidRPr="00E816A6">
        <w:rPr>
          <w:i/>
        </w:rPr>
        <w:t>First E-rate Modernization Order</w:t>
      </w:r>
      <w:r>
        <w:t xml:space="preserve">, the deadline to file a Petition for Reconsideration of that order has long passed.  </w:t>
      </w:r>
      <w:r w:rsidDel="00E816A6">
        <w:t xml:space="preserve"> </w:t>
      </w:r>
    </w:p>
    <w:p w:rsidR="00B662B2" w:rsidRPr="0050618C" w:rsidRDefault="00B662B2" w:rsidP="00B662B2">
      <w:pPr>
        <w:pStyle w:val="ParaNum"/>
        <w:rPr>
          <w:snapToGrid/>
        </w:rPr>
      </w:pPr>
      <w:r>
        <w:rPr>
          <w:snapToGrid/>
        </w:rPr>
        <w:t xml:space="preserve">For the reasons explained above, we </w:t>
      </w:r>
      <w:r w:rsidRPr="003F055A">
        <w:rPr>
          <w:snapToGrid/>
        </w:rPr>
        <w:t xml:space="preserve">find </w:t>
      </w:r>
      <w:r>
        <w:rPr>
          <w:snapToGrid/>
        </w:rPr>
        <w:t xml:space="preserve">denying the Waiver Requests and upholding USAC’s application of the cost-effectiveness analysis required by the Commission for schools and libraries seeking support for individual data plans and air cards </w:t>
      </w:r>
      <w:r w:rsidRPr="0050618C">
        <w:rPr>
          <w:snapToGrid/>
        </w:rPr>
        <w:t>is consistent with the public interest in th</w:t>
      </w:r>
      <w:r>
        <w:rPr>
          <w:snapToGrid/>
        </w:rPr>
        <w:t>ese</w:t>
      </w:r>
      <w:r w:rsidRPr="0050618C">
        <w:rPr>
          <w:snapToGrid/>
        </w:rPr>
        <w:t xml:space="preserve"> instance</w:t>
      </w:r>
      <w:r>
        <w:rPr>
          <w:snapToGrid/>
        </w:rPr>
        <w:t>s</w:t>
      </w:r>
      <w:r w:rsidRPr="0050618C">
        <w:rPr>
          <w:snapToGrid/>
        </w:rPr>
        <w:t xml:space="preserve"> because </w:t>
      </w:r>
      <w:r>
        <w:rPr>
          <w:snapToGrid/>
        </w:rPr>
        <w:t>it helps</w:t>
      </w:r>
      <w:r w:rsidRPr="0050618C">
        <w:rPr>
          <w:snapToGrid/>
        </w:rPr>
        <w:t xml:space="preserve"> preserve the universal service fund, ensures the fair distribution of E-rate discounts to schools and libraries,</w:t>
      </w:r>
      <w:r>
        <w:rPr>
          <w:rStyle w:val="FootnoteReference"/>
          <w:snapToGrid/>
        </w:rPr>
        <w:footnoteReference w:id="26"/>
      </w:r>
      <w:r w:rsidRPr="003F055A">
        <w:rPr>
          <w:snapToGrid/>
        </w:rPr>
        <w:t xml:space="preserve"> and guards against waste, fraud, and abuse in the E-rate program.</w:t>
      </w:r>
      <w:r>
        <w:rPr>
          <w:rStyle w:val="FootnoteReference"/>
          <w:snapToGrid/>
        </w:rPr>
        <w:footnoteReference w:id="27"/>
      </w:r>
      <w:r w:rsidRPr="003F055A">
        <w:rPr>
          <w:snapToGrid/>
        </w:rPr>
        <w:t xml:space="preserve">    </w:t>
      </w:r>
    </w:p>
    <w:p w:rsidR="00B662B2" w:rsidRPr="00DB7629" w:rsidRDefault="00B662B2" w:rsidP="00B662B2">
      <w:pPr>
        <w:pStyle w:val="ParaNum"/>
        <w:rPr>
          <w:snapToGrid/>
        </w:rPr>
      </w:pPr>
      <w:r w:rsidRPr="00DB7629">
        <w:rPr>
          <w:rStyle w:val="StyleNumberedparagraphs11ptChar"/>
          <w:szCs w:val="22"/>
        </w:rPr>
        <w:t xml:space="preserve">ACCORDINGLY, IT IS ORDERED, </w:t>
      </w:r>
      <w:r w:rsidRPr="00DB7629">
        <w:rPr>
          <w:snapToGrid/>
        </w:rPr>
        <w:t xml:space="preserve">pursuant to the authority contained in sections 1-4 and 254 of the Communications Act of 1934, as amended, 47 U.S.C. §§ 151-154 and 254, and sections 0.91, 0.291, 1.3 and 54.722(a) </w:t>
      </w:r>
      <w:r>
        <w:rPr>
          <w:snapToGrid/>
        </w:rPr>
        <w:t>of the Commission’s rules, 47 C</w:t>
      </w:r>
      <w:r w:rsidRPr="00DB7629">
        <w:rPr>
          <w:snapToGrid/>
        </w:rPr>
        <w:t>F</w:t>
      </w:r>
      <w:r>
        <w:rPr>
          <w:snapToGrid/>
        </w:rPr>
        <w:t>R</w:t>
      </w:r>
      <w:r w:rsidRPr="00DB7629">
        <w:rPr>
          <w:snapToGrid/>
        </w:rPr>
        <w:t xml:space="preserve"> §§ 0.91, 0.291, 1.3 and 54.722(a), the Requests for </w:t>
      </w:r>
      <w:r>
        <w:rPr>
          <w:snapToGrid/>
        </w:rPr>
        <w:t xml:space="preserve">Waiver </w:t>
      </w:r>
      <w:r w:rsidRPr="00DB7629">
        <w:rPr>
          <w:snapToGrid/>
        </w:rPr>
        <w:t xml:space="preserve">filed by </w:t>
      </w:r>
      <w:r>
        <w:rPr>
          <w:snapToGrid/>
        </w:rPr>
        <w:t xml:space="preserve">the petitioners listed in the APPENDIX </w:t>
      </w:r>
      <w:r w:rsidRPr="00DB7629">
        <w:rPr>
          <w:snapToGrid/>
        </w:rPr>
        <w:t>are DENIED.</w:t>
      </w:r>
    </w:p>
    <w:p w:rsidR="00B662B2" w:rsidRDefault="00B662B2" w:rsidP="00B662B2">
      <w:pPr>
        <w:pStyle w:val="NoSpacing"/>
        <w:rPr>
          <w:snapToGrid/>
        </w:rPr>
      </w:pPr>
    </w:p>
    <w:p w:rsidR="00B662B2" w:rsidRDefault="00B662B2" w:rsidP="00B662B2">
      <w:pPr>
        <w:pStyle w:val="NoSpacing"/>
        <w:ind w:left="3600" w:firstLine="720"/>
        <w:rPr>
          <w:snapToGrid/>
        </w:rPr>
      </w:pPr>
      <w:r w:rsidRPr="00BF6593">
        <w:rPr>
          <w:snapToGrid/>
        </w:rPr>
        <w:t>FEDERAL COMMUNICATIONS COMMISSION</w:t>
      </w:r>
    </w:p>
    <w:p w:rsidR="00B662B2" w:rsidRDefault="00B662B2" w:rsidP="00B662B2">
      <w:pPr>
        <w:pStyle w:val="NoSpacing"/>
        <w:rPr>
          <w:snapToGrid/>
        </w:rPr>
      </w:pPr>
    </w:p>
    <w:p w:rsidR="00B662B2" w:rsidRDefault="00B662B2" w:rsidP="00B662B2">
      <w:pPr>
        <w:pStyle w:val="NoSpacing"/>
        <w:rPr>
          <w:snapToGrid/>
        </w:rPr>
      </w:pPr>
    </w:p>
    <w:p w:rsidR="00B662B2" w:rsidRDefault="00B662B2" w:rsidP="00B662B2">
      <w:pPr>
        <w:pStyle w:val="NoSpacing"/>
        <w:rPr>
          <w:snapToGrid/>
        </w:rPr>
      </w:pPr>
    </w:p>
    <w:p w:rsidR="00B662B2" w:rsidRDefault="00B662B2" w:rsidP="00B662B2">
      <w:pPr>
        <w:pStyle w:val="NoSpacing"/>
        <w:rPr>
          <w:snapToGrid/>
        </w:rPr>
      </w:pPr>
    </w:p>
    <w:p w:rsidR="00B662B2" w:rsidRPr="00BF6593" w:rsidRDefault="00B662B2" w:rsidP="00B662B2">
      <w:pPr>
        <w:pStyle w:val="NoSpacing"/>
        <w:ind w:left="3600" w:firstLine="720"/>
        <w:rPr>
          <w:snapToGrid/>
        </w:rPr>
      </w:pPr>
      <w:r>
        <w:rPr>
          <w:snapToGrid/>
        </w:rPr>
        <w:t>Ryan B. Palmer</w:t>
      </w:r>
    </w:p>
    <w:p w:rsidR="00B662B2" w:rsidRDefault="00B662B2" w:rsidP="00B662B2">
      <w:pPr>
        <w:pStyle w:val="ParaNum"/>
        <w:numPr>
          <w:ilvl w:val="0"/>
          <w:numId w:val="0"/>
        </w:numPr>
        <w:ind w:left="3600" w:firstLine="720"/>
        <w:contextualSpacing/>
        <w:rPr>
          <w:snapToGrid/>
        </w:rPr>
      </w:pPr>
      <w:r w:rsidRPr="00BF6593">
        <w:rPr>
          <w:snapToGrid/>
        </w:rPr>
        <w:t>Chief</w:t>
      </w:r>
    </w:p>
    <w:p w:rsidR="00B662B2" w:rsidRPr="00BF6593" w:rsidRDefault="00B662B2" w:rsidP="00B662B2">
      <w:pPr>
        <w:pStyle w:val="ParaNum"/>
        <w:numPr>
          <w:ilvl w:val="0"/>
          <w:numId w:val="0"/>
        </w:numPr>
        <w:ind w:left="3600" w:firstLine="720"/>
        <w:contextualSpacing/>
        <w:rPr>
          <w:snapToGrid/>
        </w:rPr>
      </w:pPr>
      <w:r w:rsidRPr="00BF6593">
        <w:rPr>
          <w:snapToGrid/>
        </w:rPr>
        <w:t>Telecommunications Access Policy Division</w:t>
      </w:r>
    </w:p>
    <w:p w:rsidR="00B662B2" w:rsidRDefault="00B662B2" w:rsidP="00B662B2">
      <w:pPr>
        <w:pStyle w:val="ParaNum"/>
        <w:numPr>
          <w:ilvl w:val="0"/>
          <w:numId w:val="0"/>
        </w:numPr>
        <w:ind w:left="3600" w:firstLine="720"/>
        <w:rPr>
          <w:snapToGrid/>
        </w:rPr>
        <w:sectPr w:rsidR="00B662B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BF6593">
        <w:rPr>
          <w:snapToGrid/>
        </w:rPr>
        <w:t>Wireline Competition Bureau</w:t>
      </w:r>
    </w:p>
    <w:p w:rsidR="00B662B2" w:rsidRDefault="00B662B2" w:rsidP="00B662B2">
      <w:pPr>
        <w:pStyle w:val="Header"/>
        <w:jc w:val="center"/>
        <w:rPr>
          <w:b w:val="0"/>
          <w:szCs w:val="22"/>
        </w:rPr>
      </w:pPr>
      <w:r w:rsidRPr="00DC7D4E">
        <w:rPr>
          <w:szCs w:val="22"/>
        </w:rPr>
        <w:t>APPENDIX</w:t>
      </w:r>
      <w:r>
        <w:rPr>
          <w:szCs w:val="22"/>
        </w:rPr>
        <w:t xml:space="preserve"> </w:t>
      </w:r>
    </w:p>
    <w:p w:rsidR="00B662B2" w:rsidRDefault="00B662B2" w:rsidP="00B662B2">
      <w:pPr>
        <w:pStyle w:val="Header"/>
        <w:jc w:val="center"/>
        <w:rPr>
          <w:snapToGrid/>
        </w:rPr>
      </w:pPr>
      <w:r>
        <w:rPr>
          <w:szCs w:val="22"/>
        </w:rPr>
        <w:t>Requests for Waiver</w:t>
      </w:r>
    </w:p>
    <w:p w:rsidR="00B662B2" w:rsidRPr="00DC7D4E" w:rsidRDefault="00B662B2" w:rsidP="00B662B2">
      <w:pPr>
        <w:keepNext/>
        <w:keepLines/>
        <w:jc w:val="center"/>
        <w:outlineLvl w:val="0"/>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1440"/>
        <w:gridCol w:w="1085"/>
        <w:gridCol w:w="1980"/>
      </w:tblGrid>
      <w:tr w:rsidR="00B662B2" w:rsidRPr="00DC7D4E" w:rsidTr="003744CF">
        <w:trPr>
          <w:cantSplit/>
          <w:trHeight w:val="377"/>
          <w:tblHeader/>
          <w:jc w:val="center"/>
        </w:trPr>
        <w:tc>
          <w:tcPr>
            <w:tcW w:w="5035" w:type="dxa"/>
          </w:tcPr>
          <w:p w:rsidR="00B662B2" w:rsidRPr="00DC7D4E" w:rsidRDefault="00B662B2" w:rsidP="003744CF">
            <w:pPr>
              <w:keepNext/>
              <w:keepLines/>
              <w:jc w:val="center"/>
              <w:outlineLvl w:val="0"/>
              <w:rPr>
                <w:b/>
              </w:rPr>
            </w:pPr>
            <w:r w:rsidRPr="00DC7D4E">
              <w:rPr>
                <w:b/>
              </w:rPr>
              <w:t>Petitioner</w:t>
            </w:r>
          </w:p>
        </w:tc>
        <w:tc>
          <w:tcPr>
            <w:tcW w:w="1440" w:type="dxa"/>
          </w:tcPr>
          <w:p w:rsidR="00B662B2" w:rsidRPr="00DC7D4E" w:rsidRDefault="00B662B2" w:rsidP="003744CF">
            <w:pPr>
              <w:keepNext/>
              <w:keepLines/>
              <w:jc w:val="center"/>
              <w:outlineLvl w:val="0"/>
              <w:rPr>
                <w:b/>
              </w:rPr>
            </w:pPr>
            <w:r w:rsidRPr="00DC7D4E">
              <w:rPr>
                <w:b/>
              </w:rPr>
              <w:t>Application</w:t>
            </w:r>
          </w:p>
          <w:p w:rsidR="00B662B2" w:rsidRPr="00DC7D4E" w:rsidRDefault="00B662B2" w:rsidP="003744CF">
            <w:pPr>
              <w:keepNext/>
              <w:keepLines/>
              <w:jc w:val="center"/>
              <w:outlineLvl w:val="0"/>
              <w:rPr>
                <w:b/>
              </w:rPr>
            </w:pPr>
            <w:r w:rsidRPr="00DC7D4E">
              <w:rPr>
                <w:b/>
              </w:rPr>
              <w:t>Number</w:t>
            </w:r>
            <w:r>
              <w:rPr>
                <w:b/>
              </w:rPr>
              <w:t>s</w:t>
            </w:r>
          </w:p>
        </w:tc>
        <w:tc>
          <w:tcPr>
            <w:tcW w:w="1085" w:type="dxa"/>
          </w:tcPr>
          <w:p w:rsidR="00B662B2" w:rsidRPr="00DC7D4E" w:rsidRDefault="00B662B2" w:rsidP="003744CF">
            <w:pPr>
              <w:keepNext/>
              <w:keepLines/>
              <w:jc w:val="center"/>
              <w:outlineLvl w:val="0"/>
              <w:rPr>
                <w:b/>
              </w:rPr>
            </w:pPr>
            <w:r w:rsidRPr="00DC7D4E">
              <w:rPr>
                <w:b/>
              </w:rPr>
              <w:t>Funding</w:t>
            </w:r>
          </w:p>
          <w:p w:rsidR="00B662B2" w:rsidRPr="00DC7D4E" w:rsidRDefault="00B662B2" w:rsidP="003744CF">
            <w:pPr>
              <w:keepNext/>
              <w:keepLines/>
              <w:jc w:val="center"/>
              <w:outlineLvl w:val="0"/>
              <w:rPr>
                <w:b/>
              </w:rPr>
            </w:pPr>
            <w:r w:rsidRPr="00DC7D4E">
              <w:rPr>
                <w:b/>
              </w:rPr>
              <w:t>Year</w:t>
            </w:r>
            <w:r>
              <w:rPr>
                <w:b/>
              </w:rPr>
              <w:t>(s)</w:t>
            </w:r>
          </w:p>
        </w:tc>
        <w:tc>
          <w:tcPr>
            <w:tcW w:w="1980" w:type="dxa"/>
          </w:tcPr>
          <w:p w:rsidR="00B662B2" w:rsidRPr="00DC7D4E" w:rsidRDefault="00B662B2" w:rsidP="003744CF">
            <w:pPr>
              <w:keepNext/>
              <w:keepLines/>
              <w:jc w:val="center"/>
              <w:outlineLvl w:val="0"/>
              <w:rPr>
                <w:b/>
              </w:rPr>
            </w:pPr>
            <w:r w:rsidRPr="00DC7D4E">
              <w:rPr>
                <w:b/>
              </w:rPr>
              <w:t xml:space="preserve">Date Request for Waiver Filed  </w:t>
            </w:r>
          </w:p>
        </w:tc>
      </w:tr>
      <w:tr w:rsidR="00B662B2" w:rsidRPr="00DC7D4E" w:rsidTr="003744CF">
        <w:trPr>
          <w:jc w:val="center"/>
        </w:trPr>
        <w:tc>
          <w:tcPr>
            <w:tcW w:w="5035" w:type="dxa"/>
          </w:tcPr>
          <w:p w:rsidR="00B662B2" w:rsidRDefault="00B662B2" w:rsidP="003744CF">
            <w:pPr>
              <w:keepNext/>
              <w:keepLines/>
              <w:outlineLvl w:val="0"/>
            </w:pPr>
            <w:r w:rsidRPr="00FD7028">
              <w:t>Batesville Community School Corporation</w:t>
            </w:r>
          </w:p>
          <w:p w:rsidR="00B662B2" w:rsidRDefault="00B662B2" w:rsidP="003744CF">
            <w:pPr>
              <w:keepNext/>
              <w:keepLines/>
              <w:outlineLvl w:val="0"/>
            </w:pPr>
            <w:r>
              <w:t>Batesville, Indiana</w:t>
            </w:r>
          </w:p>
        </w:tc>
        <w:tc>
          <w:tcPr>
            <w:tcW w:w="1440" w:type="dxa"/>
          </w:tcPr>
          <w:p w:rsidR="00B662B2" w:rsidRDefault="00B662B2" w:rsidP="003744CF">
            <w:pPr>
              <w:keepNext/>
              <w:keepLines/>
              <w:jc w:val="center"/>
              <w:outlineLvl w:val="0"/>
            </w:pPr>
            <w:r w:rsidRPr="00FD7028">
              <w:t>1019403</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Aug. 17, 2015</w:t>
            </w:r>
          </w:p>
        </w:tc>
      </w:tr>
      <w:tr w:rsidR="00B662B2" w:rsidRPr="00DC7D4E" w:rsidTr="003744CF">
        <w:trPr>
          <w:jc w:val="center"/>
        </w:trPr>
        <w:tc>
          <w:tcPr>
            <w:tcW w:w="5035" w:type="dxa"/>
          </w:tcPr>
          <w:p w:rsidR="00B662B2" w:rsidRDefault="00B662B2" w:rsidP="003744CF">
            <w:pPr>
              <w:keepNext/>
              <w:keepLines/>
              <w:outlineLvl w:val="0"/>
            </w:pPr>
            <w:r>
              <w:t>Crothersville Community Schools</w:t>
            </w:r>
          </w:p>
          <w:p w:rsidR="00B662B2" w:rsidRPr="00FD7028" w:rsidRDefault="00B662B2" w:rsidP="003744CF">
            <w:pPr>
              <w:keepNext/>
              <w:keepLines/>
              <w:outlineLvl w:val="0"/>
            </w:pPr>
            <w:r>
              <w:t>Crothersville, Indiana</w:t>
            </w:r>
          </w:p>
        </w:tc>
        <w:tc>
          <w:tcPr>
            <w:tcW w:w="1440" w:type="dxa"/>
          </w:tcPr>
          <w:p w:rsidR="00B662B2" w:rsidRPr="00FD7028" w:rsidRDefault="00B662B2" w:rsidP="003744CF">
            <w:pPr>
              <w:keepNext/>
              <w:keepLines/>
              <w:jc w:val="center"/>
              <w:outlineLvl w:val="0"/>
            </w:pPr>
            <w:r>
              <w:t>1017280</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Aug. 18, 2015</w:t>
            </w:r>
          </w:p>
        </w:tc>
      </w:tr>
      <w:tr w:rsidR="00B662B2" w:rsidRPr="00DC7D4E" w:rsidTr="003744CF">
        <w:trPr>
          <w:jc w:val="center"/>
        </w:trPr>
        <w:tc>
          <w:tcPr>
            <w:tcW w:w="5035" w:type="dxa"/>
          </w:tcPr>
          <w:p w:rsidR="00B662B2" w:rsidRDefault="00B662B2" w:rsidP="003744CF">
            <w:pPr>
              <w:keepNext/>
              <w:keepLines/>
              <w:outlineLvl w:val="0"/>
            </w:pPr>
            <w:r w:rsidRPr="00940D74">
              <w:t>Crown Point Comm</w:t>
            </w:r>
            <w:r>
              <w:t>unity</w:t>
            </w:r>
            <w:r w:rsidRPr="00940D74">
              <w:t xml:space="preserve"> School Corp</w:t>
            </w:r>
            <w:r>
              <w:t>oration</w:t>
            </w:r>
          </w:p>
          <w:p w:rsidR="00B662B2" w:rsidRDefault="00B662B2" w:rsidP="003744CF">
            <w:pPr>
              <w:keepNext/>
              <w:keepLines/>
              <w:outlineLvl w:val="0"/>
            </w:pPr>
            <w:r>
              <w:t>Crown Point, Indiana</w:t>
            </w:r>
            <w:r w:rsidRPr="00940D74">
              <w:t xml:space="preserve">    </w:t>
            </w:r>
          </w:p>
        </w:tc>
        <w:tc>
          <w:tcPr>
            <w:tcW w:w="1440" w:type="dxa"/>
          </w:tcPr>
          <w:p w:rsidR="00B662B2" w:rsidRDefault="00B662B2" w:rsidP="003744CF">
            <w:pPr>
              <w:keepNext/>
              <w:keepLines/>
              <w:jc w:val="center"/>
              <w:outlineLvl w:val="0"/>
            </w:pPr>
            <w:r w:rsidRPr="00940D74">
              <w:t>1008810</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Oct. 9, 2015</w:t>
            </w:r>
          </w:p>
        </w:tc>
      </w:tr>
      <w:tr w:rsidR="00B662B2" w:rsidRPr="00DC7D4E" w:rsidTr="003744CF">
        <w:trPr>
          <w:jc w:val="center"/>
        </w:trPr>
        <w:tc>
          <w:tcPr>
            <w:tcW w:w="5035" w:type="dxa"/>
          </w:tcPr>
          <w:p w:rsidR="00B662B2" w:rsidRDefault="00B662B2" w:rsidP="003744CF">
            <w:pPr>
              <w:keepNext/>
              <w:keepLines/>
              <w:outlineLvl w:val="0"/>
            </w:pPr>
            <w:r w:rsidRPr="00940D74">
              <w:t>Delaware Community School Corp</w:t>
            </w:r>
            <w:r>
              <w:t>oration</w:t>
            </w:r>
            <w:r w:rsidRPr="00940D74">
              <w:t xml:space="preserve"> </w:t>
            </w:r>
          </w:p>
          <w:p w:rsidR="00B662B2" w:rsidRDefault="00B662B2" w:rsidP="003744CF">
            <w:pPr>
              <w:keepNext/>
              <w:keepLines/>
              <w:outlineLvl w:val="0"/>
            </w:pPr>
            <w:r>
              <w:t>Muncie, Indiana</w:t>
            </w:r>
          </w:p>
        </w:tc>
        <w:tc>
          <w:tcPr>
            <w:tcW w:w="1440" w:type="dxa"/>
          </w:tcPr>
          <w:p w:rsidR="00B662B2" w:rsidRDefault="00B662B2" w:rsidP="003744CF">
            <w:pPr>
              <w:keepNext/>
              <w:keepLines/>
              <w:jc w:val="center"/>
              <w:outlineLvl w:val="0"/>
            </w:pPr>
            <w:r w:rsidRPr="00940D74">
              <w:t>999501</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Aug. 17, 2015</w:t>
            </w:r>
          </w:p>
        </w:tc>
      </w:tr>
      <w:tr w:rsidR="00B662B2" w:rsidRPr="00DC7D4E" w:rsidTr="003744CF">
        <w:trPr>
          <w:jc w:val="center"/>
        </w:trPr>
        <w:tc>
          <w:tcPr>
            <w:tcW w:w="5035" w:type="dxa"/>
          </w:tcPr>
          <w:p w:rsidR="00B662B2" w:rsidRDefault="00B662B2" w:rsidP="003744CF">
            <w:pPr>
              <w:keepNext/>
              <w:keepLines/>
              <w:outlineLvl w:val="0"/>
            </w:pPr>
            <w:r>
              <w:t>Greater Clark County School District</w:t>
            </w:r>
          </w:p>
          <w:p w:rsidR="00B662B2" w:rsidRDefault="00B662B2" w:rsidP="003744CF">
            <w:pPr>
              <w:keepNext/>
              <w:keepLines/>
              <w:outlineLvl w:val="0"/>
            </w:pPr>
            <w:r>
              <w:t>Jeffersonville, Indiana</w:t>
            </w:r>
          </w:p>
        </w:tc>
        <w:tc>
          <w:tcPr>
            <w:tcW w:w="1440" w:type="dxa"/>
          </w:tcPr>
          <w:p w:rsidR="00B662B2" w:rsidRDefault="00B662B2" w:rsidP="003744CF">
            <w:pPr>
              <w:keepNext/>
              <w:keepLines/>
              <w:jc w:val="center"/>
              <w:outlineLvl w:val="0"/>
            </w:pPr>
            <w:r>
              <w:t>1021645</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Oct. 9, 2015</w:t>
            </w:r>
          </w:p>
        </w:tc>
      </w:tr>
      <w:tr w:rsidR="00B662B2" w:rsidRPr="00DC7D4E" w:rsidTr="003744CF">
        <w:trPr>
          <w:jc w:val="center"/>
        </w:trPr>
        <w:tc>
          <w:tcPr>
            <w:tcW w:w="5035" w:type="dxa"/>
          </w:tcPr>
          <w:p w:rsidR="00B662B2" w:rsidRDefault="00B662B2" w:rsidP="003744CF">
            <w:pPr>
              <w:keepNext/>
              <w:keepLines/>
              <w:outlineLvl w:val="0"/>
            </w:pPr>
            <w:r>
              <w:t>Jay School Corporation</w:t>
            </w:r>
          </w:p>
          <w:p w:rsidR="00B662B2" w:rsidRDefault="00B662B2" w:rsidP="003744CF">
            <w:pPr>
              <w:keepNext/>
              <w:keepLines/>
              <w:outlineLvl w:val="0"/>
            </w:pPr>
            <w:r>
              <w:t>Portland, Indiana</w:t>
            </w:r>
          </w:p>
        </w:tc>
        <w:tc>
          <w:tcPr>
            <w:tcW w:w="1440" w:type="dxa"/>
          </w:tcPr>
          <w:p w:rsidR="00B662B2" w:rsidRPr="00940D74" w:rsidRDefault="00B662B2" w:rsidP="003744CF">
            <w:pPr>
              <w:keepNext/>
              <w:keepLines/>
              <w:jc w:val="center"/>
              <w:outlineLvl w:val="0"/>
            </w:pPr>
            <w:r>
              <w:t>1019593</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t>Northeastern Wayne School Corporation</w:t>
            </w:r>
          </w:p>
          <w:p w:rsidR="00B662B2" w:rsidRPr="00D8607D" w:rsidRDefault="00B662B2" w:rsidP="003744CF">
            <w:pPr>
              <w:keepNext/>
              <w:keepLines/>
              <w:outlineLvl w:val="0"/>
            </w:pPr>
            <w:r>
              <w:t>Fountain City, Indiana</w:t>
            </w:r>
          </w:p>
        </w:tc>
        <w:tc>
          <w:tcPr>
            <w:tcW w:w="1440" w:type="dxa"/>
          </w:tcPr>
          <w:p w:rsidR="00B662B2" w:rsidRPr="00D8607D" w:rsidRDefault="00B662B2" w:rsidP="003744CF">
            <w:pPr>
              <w:keepNext/>
              <w:keepLines/>
              <w:jc w:val="center"/>
              <w:outlineLvl w:val="0"/>
            </w:pPr>
            <w:r>
              <w:t>1019805</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t>Old National Trai</w:t>
            </w:r>
            <w:r w:rsidRPr="00D8607D">
              <w:t>l Special Services</w:t>
            </w:r>
            <w:r>
              <w:t xml:space="preserve"> Cooperative</w:t>
            </w:r>
            <w:r w:rsidRPr="00D8607D">
              <w:t xml:space="preserve">     </w:t>
            </w:r>
          </w:p>
          <w:p w:rsidR="00B662B2" w:rsidRDefault="00B662B2" w:rsidP="003744CF">
            <w:pPr>
              <w:keepNext/>
              <w:keepLines/>
              <w:outlineLvl w:val="0"/>
            </w:pPr>
            <w:r>
              <w:t xml:space="preserve">Greencastle, Indiana </w:t>
            </w:r>
          </w:p>
        </w:tc>
        <w:tc>
          <w:tcPr>
            <w:tcW w:w="1440" w:type="dxa"/>
          </w:tcPr>
          <w:p w:rsidR="00B662B2" w:rsidRPr="00D8607D" w:rsidRDefault="00B662B2" w:rsidP="003744CF">
            <w:pPr>
              <w:keepNext/>
              <w:keepLines/>
              <w:jc w:val="center"/>
              <w:outlineLvl w:val="0"/>
            </w:pPr>
            <w:r w:rsidRPr="00792D90">
              <w:t>1033248</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Oct. 9, 2015</w:t>
            </w:r>
          </w:p>
        </w:tc>
      </w:tr>
      <w:tr w:rsidR="00B662B2" w:rsidRPr="00DC7D4E" w:rsidTr="003744CF">
        <w:trPr>
          <w:jc w:val="center"/>
        </w:trPr>
        <w:tc>
          <w:tcPr>
            <w:tcW w:w="5035" w:type="dxa"/>
          </w:tcPr>
          <w:p w:rsidR="00B662B2" w:rsidRDefault="00B662B2" w:rsidP="003744CF">
            <w:pPr>
              <w:keepNext/>
              <w:keepLines/>
              <w:outlineLvl w:val="0"/>
            </w:pPr>
            <w:r>
              <w:t>Oldenburg Academy of the Immaculate Conception</w:t>
            </w:r>
          </w:p>
          <w:p w:rsidR="00B662B2" w:rsidRDefault="00B662B2" w:rsidP="003744CF">
            <w:pPr>
              <w:keepNext/>
              <w:keepLines/>
              <w:outlineLvl w:val="0"/>
            </w:pPr>
            <w:r>
              <w:t>Oldenburg, Indiana</w:t>
            </w:r>
            <w:r w:rsidRPr="00D8607D">
              <w:t xml:space="preserve">                    </w:t>
            </w:r>
          </w:p>
        </w:tc>
        <w:tc>
          <w:tcPr>
            <w:tcW w:w="1440" w:type="dxa"/>
          </w:tcPr>
          <w:p w:rsidR="00B662B2" w:rsidRPr="00D8607D" w:rsidRDefault="00B662B2" w:rsidP="003744CF">
            <w:pPr>
              <w:keepNext/>
              <w:keepLines/>
              <w:jc w:val="center"/>
              <w:outlineLvl w:val="0"/>
            </w:pPr>
            <w:r>
              <w:t>1019777</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t>Our Lady of Providence School</w:t>
            </w:r>
          </w:p>
          <w:p w:rsidR="00B662B2" w:rsidRDefault="00B662B2" w:rsidP="003744CF">
            <w:pPr>
              <w:keepNext/>
              <w:keepLines/>
              <w:outlineLvl w:val="0"/>
            </w:pPr>
            <w:r>
              <w:t>Clarksville, Indiana</w:t>
            </w:r>
          </w:p>
        </w:tc>
        <w:tc>
          <w:tcPr>
            <w:tcW w:w="1440" w:type="dxa"/>
          </w:tcPr>
          <w:p w:rsidR="00B662B2" w:rsidRPr="00D8607D" w:rsidRDefault="00B662B2" w:rsidP="003744CF">
            <w:pPr>
              <w:keepNext/>
              <w:keepLines/>
              <w:jc w:val="center"/>
              <w:outlineLvl w:val="0"/>
            </w:pPr>
            <w:r>
              <w:t>1019789</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rsidRPr="00D8607D">
              <w:t xml:space="preserve">Prince of Peace Catholic Schools </w:t>
            </w:r>
          </w:p>
          <w:p w:rsidR="00B662B2" w:rsidRDefault="00B662B2" w:rsidP="003744CF">
            <w:pPr>
              <w:keepNext/>
              <w:keepLines/>
              <w:outlineLvl w:val="0"/>
            </w:pPr>
            <w:r>
              <w:t>Madison, Indiana</w:t>
            </w:r>
          </w:p>
        </w:tc>
        <w:tc>
          <w:tcPr>
            <w:tcW w:w="1440" w:type="dxa"/>
          </w:tcPr>
          <w:p w:rsidR="00B662B2" w:rsidRPr="00D8607D" w:rsidRDefault="00B662B2" w:rsidP="003744CF">
            <w:pPr>
              <w:keepNext/>
              <w:keepLines/>
              <w:jc w:val="center"/>
              <w:outlineLvl w:val="0"/>
            </w:pPr>
            <w:r w:rsidRPr="00D8607D">
              <w:t>1025463</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Nov. 5, 2015</w:t>
            </w:r>
          </w:p>
          <w:p w:rsidR="00B662B2" w:rsidRDefault="00B662B2" w:rsidP="003744CF">
            <w:pPr>
              <w:keepNext/>
              <w:keepLines/>
              <w:jc w:val="center"/>
              <w:outlineLvl w:val="0"/>
            </w:pPr>
          </w:p>
        </w:tc>
      </w:tr>
      <w:tr w:rsidR="00B662B2" w:rsidRPr="00DC7D4E" w:rsidTr="003744CF">
        <w:trPr>
          <w:jc w:val="center"/>
        </w:trPr>
        <w:tc>
          <w:tcPr>
            <w:tcW w:w="5035" w:type="dxa"/>
          </w:tcPr>
          <w:p w:rsidR="00B662B2" w:rsidRDefault="00B662B2" w:rsidP="003744CF">
            <w:pPr>
              <w:keepNext/>
              <w:keepLines/>
              <w:outlineLvl w:val="0"/>
            </w:pPr>
            <w:r>
              <w:t xml:space="preserve">Randolph Southern School Corporation </w:t>
            </w:r>
          </w:p>
          <w:p w:rsidR="00B662B2" w:rsidRPr="00D8607D" w:rsidRDefault="00B662B2" w:rsidP="003744CF">
            <w:pPr>
              <w:keepNext/>
              <w:keepLines/>
              <w:outlineLvl w:val="0"/>
            </w:pPr>
            <w:r>
              <w:t>Lynn, Indiana</w:t>
            </w:r>
          </w:p>
        </w:tc>
        <w:tc>
          <w:tcPr>
            <w:tcW w:w="1440" w:type="dxa"/>
          </w:tcPr>
          <w:p w:rsidR="00B662B2" w:rsidRPr="00D8607D" w:rsidRDefault="00B662B2" w:rsidP="003744CF">
            <w:pPr>
              <w:keepNext/>
              <w:keepLines/>
              <w:jc w:val="center"/>
              <w:outlineLvl w:val="0"/>
            </w:pPr>
            <w:r>
              <w:t>1023298</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t>School City of Hobart</w:t>
            </w:r>
          </w:p>
          <w:p w:rsidR="00B662B2" w:rsidRDefault="00B662B2" w:rsidP="003744CF">
            <w:pPr>
              <w:keepNext/>
              <w:keepLines/>
              <w:outlineLvl w:val="0"/>
            </w:pPr>
            <w:r>
              <w:t>Hobart, Indiana</w:t>
            </w:r>
          </w:p>
        </w:tc>
        <w:tc>
          <w:tcPr>
            <w:tcW w:w="1440" w:type="dxa"/>
          </w:tcPr>
          <w:p w:rsidR="00B662B2" w:rsidRPr="00940D74" w:rsidRDefault="00B662B2" w:rsidP="003744CF">
            <w:pPr>
              <w:keepNext/>
              <w:keepLines/>
              <w:jc w:val="center"/>
              <w:outlineLvl w:val="0"/>
            </w:pPr>
            <w:r>
              <w:t>1006715</w:t>
            </w:r>
          </w:p>
        </w:tc>
        <w:tc>
          <w:tcPr>
            <w:tcW w:w="1085" w:type="dxa"/>
          </w:tcPr>
          <w:p w:rsidR="00B662B2" w:rsidRDefault="00B662B2" w:rsidP="003744CF">
            <w:pPr>
              <w:keepNext/>
              <w:keepLines/>
              <w:jc w:val="center"/>
              <w:outlineLvl w:val="0"/>
            </w:pPr>
            <w:r>
              <w:t>2015</w:t>
            </w:r>
          </w:p>
        </w:tc>
        <w:tc>
          <w:tcPr>
            <w:tcW w:w="1980" w:type="dxa"/>
          </w:tcPr>
          <w:p w:rsidR="00B662B2" w:rsidRDefault="00B662B2" w:rsidP="00B662B2">
            <w:pPr>
              <w:keepNext/>
              <w:keepLines/>
              <w:jc w:val="center"/>
              <w:outlineLvl w:val="0"/>
            </w:pPr>
            <w:r>
              <w:t>Aug. 13, 2015</w:t>
            </w:r>
          </w:p>
        </w:tc>
      </w:tr>
      <w:tr w:rsidR="00B662B2" w:rsidRPr="00DC7D4E" w:rsidTr="003744CF">
        <w:trPr>
          <w:jc w:val="center"/>
        </w:trPr>
        <w:tc>
          <w:tcPr>
            <w:tcW w:w="5035" w:type="dxa"/>
          </w:tcPr>
          <w:p w:rsidR="00B662B2" w:rsidRDefault="00B662B2" w:rsidP="003744CF">
            <w:pPr>
              <w:keepNext/>
              <w:keepLines/>
              <w:outlineLvl w:val="0"/>
            </w:pPr>
            <w:r w:rsidRPr="00940D74">
              <w:t xml:space="preserve">Shelby Eastern Schools </w:t>
            </w:r>
          </w:p>
          <w:p w:rsidR="00B662B2" w:rsidRDefault="00B662B2" w:rsidP="003744CF">
            <w:pPr>
              <w:keepNext/>
              <w:keepLines/>
              <w:outlineLvl w:val="0"/>
            </w:pPr>
            <w:r>
              <w:t>Shelbyville, Indiana</w:t>
            </w:r>
          </w:p>
        </w:tc>
        <w:tc>
          <w:tcPr>
            <w:tcW w:w="1440" w:type="dxa"/>
          </w:tcPr>
          <w:p w:rsidR="00B662B2" w:rsidRPr="00940D74" w:rsidRDefault="00B662B2" w:rsidP="003744CF">
            <w:pPr>
              <w:keepNext/>
              <w:keepLines/>
              <w:jc w:val="center"/>
              <w:outlineLvl w:val="0"/>
            </w:pPr>
            <w:r w:rsidRPr="00940D74">
              <w:t>1021002</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Oct. 19, 2015</w:t>
            </w:r>
          </w:p>
        </w:tc>
      </w:tr>
      <w:tr w:rsidR="00B662B2" w:rsidRPr="00DC7D4E" w:rsidTr="003744CF">
        <w:trPr>
          <w:jc w:val="center"/>
        </w:trPr>
        <w:tc>
          <w:tcPr>
            <w:tcW w:w="5035" w:type="dxa"/>
          </w:tcPr>
          <w:p w:rsidR="00B662B2" w:rsidRDefault="00B662B2" w:rsidP="003744CF">
            <w:pPr>
              <w:keepNext/>
              <w:keepLines/>
              <w:outlineLvl w:val="0"/>
            </w:pPr>
            <w:r w:rsidRPr="00940D74">
              <w:t>Sturgis Public School Dis</w:t>
            </w:r>
            <w:r>
              <w:t>tric</w:t>
            </w:r>
            <w:r w:rsidRPr="00940D74">
              <w:t xml:space="preserve">t           </w:t>
            </w:r>
          </w:p>
          <w:p w:rsidR="00B662B2" w:rsidRDefault="00B662B2" w:rsidP="003744CF">
            <w:pPr>
              <w:keepNext/>
              <w:keepLines/>
              <w:outlineLvl w:val="0"/>
            </w:pPr>
            <w:r>
              <w:t>Sturgis, Michigan</w:t>
            </w:r>
            <w:r w:rsidRPr="00940D74">
              <w:t xml:space="preserve">              </w:t>
            </w:r>
          </w:p>
        </w:tc>
        <w:tc>
          <w:tcPr>
            <w:tcW w:w="1440" w:type="dxa"/>
          </w:tcPr>
          <w:p w:rsidR="00B662B2" w:rsidRDefault="00B662B2" w:rsidP="003744CF">
            <w:pPr>
              <w:keepNext/>
              <w:keepLines/>
              <w:jc w:val="center"/>
              <w:outlineLvl w:val="0"/>
            </w:pPr>
            <w:r w:rsidRPr="00940D74">
              <w:t>1005454</w:t>
            </w:r>
          </w:p>
        </w:tc>
        <w:tc>
          <w:tcPr>
            <w:tcW w:w="1085" w:type="dxa"/>
          </w:tcPr>
          <w:p w:rsidR="00B662B2" w:rsidRDefault="00B662B2" w:rsidP="003744CF">
            <w:pPr>
              <w:keepNext/>
              <w:keepLines/>
              <w:jc w:val="center"/>
              <w:outlineLvl w:val="0"/>
            </w:pPr>
            <w:r>
              <w:t>2105</w:t>
            </w:r>
          </w:p>
        </w:tc>
        <w:tc>
          <w:tcPr>
            <w:tcW w:w="1980" w:type="dxa"/>
          </w:tcPr>
          <w:p w:rsidR="00B662B2" w:rsidRDefault="00B662B2" w:rsidP="003744CF">
            <w:pPr>
              <w:keepNext/>
              <w:keepLines/>
              <w:jc w:val="center"/>
              <w:outlineLvl w:val="0"/>
            </w:pPr>
            <w:r>
              <w:t>Oct. 9, 2015</w:t>
            </w:r>
          </w:p>
        </w:tc>
      </w:tr>
      <w:tr w:rsidR="00B662B2" w:rsidRPr="00DC7D4E" w:rsidTr="003744CF">
        <w:trPr>
          <w:jc w:val="center"/>
        </w:trPr>
        <w:tc>
          <w:tcPr>
            <w:tcW w:w="5035" w:type="dxa"/>
          </w:tcPr>
          <w:p w:rsidR="00B662B2" w:rsidRDefault="00B662B2" w:rsidP="003744CF">
            <w:pPr>
              <w:keepNext/>
              <w:keepLines/>
              <w:outlineLvl w:val="0"/>
            </w:pPr>
            <w:r>
              <w:t xml:space="preserve">Vigo County School Corporation </w:t>
            </w:r>
          </w:p>
          <w:p w:rsidR="00B662B2" w:rsidRDefault="00B662B2" w:rsidP="003744CF">
            <w:pPr>
              <w:keepNext/>
              <w:keepLines/>
              <w:outlineLvl w:val="0"/>
            </w:pPr>
            <w:r>
              <w:t xml:space="preserve">Terre Haute, Indiana </w:t>
            </w:r>
          </w:p>
        </w:tc>
        <w:tc>
          <w:tcPr>
            <w:tcW w:w="1440" w:type="dxa"/>
          </w:tcPr>
          <w:p w:rsidR="00B662B2" w:rsidRPr="00940D74" w:rsidRDefault="00B662B2" w:rsidP="003744CF">
            <w:pPr>
              <w:keepNext/>
              <w:keepLines/>
              <w:jc w:val="center"/>
              <w:outlineLvl w:val="0"/>
            </w:pPr>
            <w:r>
              <w:t>1022111</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r w:rsidR="00B662B2" w:rsidRPr="00DC7D4E" w:rsidTr="003744CF">
        <w:trPr>
          <w:jc w:val="center"/>
        </w:trPr>
        <w:tc>
          <w:tcPr>
            <w:tcW w:w="5035" w:type="dxa"/>
          </w:tcPr>
          <w:p w:rsidR="00B662B2" w:rsidRDefault="00B662B2" w:rsidP="003744CF">
            <w:pPr>
              <w:keepNext/>
              <w:keepLines/>
              <w:outlineLvl w:val="0"/>
            </w:pPr>
            <w:r>
              <w:t>Washington Community Schools, Inc.</w:t>
            </w:r>
          </w:p>
          <w:p w:rsidR="00B662B2" w:rsidRDefault="00B662B2" w:rsidP="003744CF">
            <w:pPr>
              <w:keepNext/>
              <w:keepLines/>
              <w:outlineLvl w:val="0"/>
            </w:pPr>
            <w:r>
              <w:t>Washington, Indiana</w:t>
            </w:r>
            <w:r w:rsidDel="00792D90">
              <w:t xml:space="preserve"> </w:t>
            </w:r>
          </w:p>
        </w:tc>
        <w:tc>
          <w:tcPr>
            <w:tcW w:w="1440" w:type="dxa"/>
          </w:tcPr>
          <w:p w:rsidR="00B662B2" w:rsidRPr="00940D74" w:rsidRDefault="00B662B2" w:rsidP="003744CF">
            <w:pPr>
              <w:keepNext/>
              <w:keepLines/>
              <w:jc w:val="center"/>
              <w:outlineLvl w:val="0"/>
            </w:pPr>
            <w:r>
              <w:t>1021098</w:t>
            </w:r>
          </w:p>
        </w:tc>
        <w:tc>
          <w:tcPr>
            <w:tcW w:w="1085" w:type="dxa"/>
          </w:tcPr>
          <w:p w:rsidR="00B662B2" w:rsidRDefault="00B662B2" w:rsidP="003744CF">
            <w:pPr>
              <w:keepNext/>
              <w:keepLines/>
              <w:jc w:val="center"/>
              <w:outlineLvl w:val="0"/>
            </w:pPr>
            <w:r>
              <w:t>2015</w:t>
            </w:r>
          </w:p>
        </w:tc>
        <w:tc>
          <w:tcPr>
            <w:tcW w:w="1980" w:type="dxa"/>
          </w:tcPr>
          <w:p w:rsidR="00B662B2" w:rsidRDefault="00B662B2" w:rsidP="003744CF">
            <w:pPr>
              <w:keepNext/>
              <w:keepLines/>
              <w:jc w:val="center"/>
              <w:outlineLvl w:val="0"/>
            </w:pPr>
            <w:r>
              <w:t>Sept. 9, 2015</w:t>
            </w:r>
          </w:p>
        </w:tc>
      </w:tr>
    </w:tbl>
    <w:p w:rsidR="00B662B2" w:rsidRPr="00996389" w:rsidRDefault="00B662B2" w:rsidP="00B662B2">
      <w:pPr>
        <w:pStyle w:val="Header"/>
        <w:jc w:val="center"/>
        <w:rPr>
          <w:snapToGrid/>
        </w:rPr>
      </w:pPr>
    </w:p>
    <w:p w:rsidR="002C00E8" w:rsidRPr="002C00E8" w:rsidRDefault="002C00E8" w:rsidP="00B662B2">
      <w:pPr>
        <w:pStyle w:val="ParaNum"/>
        <w:numPr>
          <w:ilvl w:val="0"/>
          <w:numId w:val="0"/>
        </w:numPr>
        <w:ind w:left="3600" w:firstLine="720"/>
      </w:pPr>
    </w:p>
    <w:sectPr w:rsidR="002C00E8" w:rsidRPr="002C00E8" w:rsidSect="00B662B2">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BE" w:rsidRDefault="00DE01BE">
      <w:pPr>
        <w:spacing w:line="20" w:lineRule="exact"/>
      </w:pPr>
    </w:p>
  </w:endnote>
  <w:endnote w:type="continuationSeparator" w:id="0">
    <w:p w:rsidR="00DE01BE" w:rsidRDefault="00DE01BE">
      <w:r>
        <w:t xml:space="preserve"> </w:t>
      </w:r>
    </w:p>
  </w:endnote>
  <w:endnote w:type="continuationNotice" w:id="1">
    <w:p w:rsidR="00DE01BE" w:rsidRDefault="00DE01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20A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B" w:rsidRDefault="00FE60B4" w:rsidP="0055614C">
    <w:pPr>
      <w:pStyle w:val="Footer"/>
      <w:framePr w:wrap="around" w:vAnchor="text" w:hAnchor="margin" w:xAlign="center" w:y="1"/>
    </w:pPr>
    <w:r>
      <w:fldChar w:fldCharType="begin"/>
    </w:r>
    <w:r>
      <w:instrText xml:space="preserve">PAGE  </w:instrText>
    </w:r>
    <w:r>
      <w:fldChar w:fldCharType="end"/>
    </w:r>
  </w:p>
  <w:p w:rsidR="002C00CB" w:rsidRDefault="00EA20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B" w:rsidRDefault="00FE60B4" w:rsidP="0055614C">
    <w:pPr>
      <w:pStyle w:val="Footer"/>
      <w:framePr w:wrap="around" w:vAnchor="text" w:hAnchor="margin" w:xAlign="center" w:y="1"/>
    </w:pPr>
    <w:r>
      <w:fldChar w:fldCharType="begin"/>
    </w:r>
    <w:r>
      <w:instrText xml:space="preserve">PAGE  </w:instrText>
    </w:r>
    <w:r>
      <w:fldChar w:fldCharType="separate"/>
    </w:r>
    <w:r w:rsidR="00E66F87">
      <w:rPr>
        <w:noProof/>
      </w:rPr>
      <w:t>6</w:t>
    </w:r>
    <w:r>
      <w:fldChar w:fldCharType="end"/>
    </w:r>
  </w:p>
  <w:p w:rsidR="002C00CB" w:rsidRDefault="00EA20AE">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B" w:rsidRDefault="00EA20A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BE" w:rsidRDefault="00DE01BE">
      <w:r>
        <w:separator/>
      </w:r>
    </w:p>
  </w:footnote>
  <w:footnote w:type="continuationSeparator" w:id="0">
    <w:p w:rsidR="00DE01BE" w:rsidRDefault="00DE01BE" w:rsidP="00C721AC">
      <w:pPr>
        <w:spacing w:before="120"/>
        <w:rPr>
          <w:sz w:val="20"/>
        </w:rPr>
      </w:pPr>
      <w:r>
        <w:rPr>
          <w:sz w:val="20"/>
        </w:rPr>
        <w:t xml:space="preserve">(Continued from previous page)  </w:t>
      </w:r>
      <w:r>
        <w:rPr>
          <w:sz w:val="20"/>
        </w:rPr>
        <w:separator/>
      </w:r>
    </w:p>
  </w:footnote>
  <w:footnote w:type="continuationNotice" w:id="1">
    <w:p w:rsidR="00DE01BE" w:rsidRDefault="00DE01BE" w:rsidP="00C721AC">
      <w:pPr>
        <w:jc w:val="right"/>
        <w:rPr>
          <w:sz w:val="20"/>
        </w:rPr>
      </w:pPr>
      <w:r>
        <w:rPr>
          <w:sz w:val="20"/>
        </w:rPr>
        <w:t>(continued….)</w:t>
      </w:r>
    </w:p>
  </w:footnote>
  <w:footnote w:id="2">
    <w:p w:rsidR="00B662B2" w:rsidRDefault="00B662B2" w:rsidP="00B662B2">
      <w:pPr>
        <w:pStyle w:val="FootnoteText"/>
      </w:pPr>
      <w:r>
        <w:rPr>
          <w:rStyle w:val="FootnoteReference"/>
        </w:rPr>
        <w:footnoteRef/>
      </w:r>
      <w:r>
        <w:t xml:space="preserve"> </w:t>
      </w:r>
      <w:r w:rsidRPr="00F00531">
        <w:rPr>
          <w:i/>
        </w:rPr>
        <w:t>See, e.g</w:t>
      </w:r>
      <w:r w:rsidRPr="00361A72">
        <w:rPr>
          <w:i/>
        </w:rPr>
        <w:t>.</w:t>
      </w:r>
      <w:r w:rsidRPr="00B662B2">
        <w:t xml:space="preserve">, </w:t>
      </w:r>
      <w:r w:rsidRPr="00F627F1">
        <w:rPr>
          <w:i/>
        </w:rPr>
        <w:t>Federal-State Joint Board on Universal Service</w:t>
      </w:r>
      <w:r w:rsidRPr="00F00531">
        <w:t>, CC Docket No. 96-45, AAD/USB File No. 98-34, Memorandum Opinion and Order, 13 FCC R</w:t>
      </w:r>
      <w:r>
        <w:t>c</w:t>
      </w:r>
      <w:r w:rsidRPr="00F00531">
        <w:t>d 24968, 24973-</w:t>
      </w:r>
      <w:r>
        <w:t>74, paras. 14-15 (CCB</w:t>
      </w:r>
      <w:r w:rsidRPr="00F00531">
        <w:t xml:space="preserve"> 1998) (</w:t>
      </w:r>
      <w:r w:rsidRPr="00F627F1">
        <w:rPr>
          <w:i/>
        </w:rPr>
        <w:t>Seven School Districts Order</w:t>
      </w:r>
      <w:r w:rsidRPr="00F00531">
        <w:t xml:space="preserve">); </w:t>
      </w:r>
      <w:r w:rsidRPr="00F627F1">
        <w:rPr>
          <w:i/>
        </w:rPr>
        <w:t>Request for Waiver by O</w:t>
      </w:r>
      <w:r>
        <w:rPr>
          <w:i/>
        </w:rPr>
        <w:t>t</w:t>
      </w:r>
      <w:r w:rsidRPr="00F627F1">
        <w:rPr>
          <w:i/>
        </w:rPr>
        <w:t>sego Local School District, Schools and Libraries Universal Service Support Mechanism</w:t>
      </w:r>
      <w:r w:rsidRPr="00F00531">
        <w:t>, CC Docket No. 02-6, Order, 22 FCC Rcd 4760, 4762-63, para. 6 (</w:t>
      </w:r>
      <w:r>
        <w:t xml:space="preserve">WCB 2007) </w:t>
      </w:r>
      <w:r w:rsidRPr="00F00531">
        <w:t xml:space="preserve">(denying waiver requests because the petitioners did not establish “special circumstances” that would justify a waiver of the Commission’s general rule and where the petitioners did not provide any reason to believe the current requirement unfairly discriminated against the petitioners as compared to any other school districts in the same or similar position).  </w:t>
      </w:r>
    </w:p>
  </w:footnote>
  <w:footnote w:id="3">
    <w:p w:rsidR="00B662B2" w:rsidRDefault="00B662B2" w:rsidP="00B662B2">
      <w:pPr>
        <w:pStyle w:val="FootnoteText"/>
      </w:pPr>
      <w:r>
        <w:rPr>
          <w:rStyle w:val="FootnoteReference"/>
        </w:rPr>
        <w:footnoteRef/>
      </w:r>
      <w:r>
        <w:t xml:space="preserve"> The E-rate program is more formally known as the schools and libraries universal service support program.</w:t>
      </w:r>
    </w:p>
  </w:footnote>
  <w:footnote w:id="4">
    <w:p w:rsidR="00B662B2" w:rsidRDefault="00B662B2" w:rsidP="00B662B2">
      <w:pPr>
        <w:pStyle w:val="FootnoteText"/>
      </w:pPr>
      <w:r>
        <w:rPr>
          <w:rStyle w:val="FootnoteReference"/>
        </w:rPr>
        <w:footnoteRef/>
      </w:r>
      <w:r>
        <w:rPr>
          <w:i/>
        </w:rPr>
        <w:t xml:space="preserve"> See, e.g.</w:t>
      </w:r>
      <w:r w:rsidRPr="00637747">
        <w:t>,</w:t>
      </w:r>
      <w:r>
        <w:rPr>
          <w:i/>
        </w:rPr>
        <w:t xml:space="preserve"> </w:t>
      </w:r>
      <w:r>
        <w:t>Letter from Schools and Libraries Division, USAC, to Steve Mills, Greater Clark County School District (Aug. 28, 2015);</w:t>
      </w:r>
      <w:r w:rsidRPr="00D57FA4">
        <w:t xml:space="preserve"> </w:t>
      </w:r>
      <w:r>
        <w:t>Letter from Schools and Libraries Division, USAC, to Steve Mills, Jay School Corporation (July 31, 2015).</w:t>
      </w:r>
    </w:p>
  </w:footnote>
  <w:footnote w:id="5">
    <w:p w:rsidR="00B662B2" w:rsidRDefault="00B662B2" w:rsidP="00B662B2">
      <w:pPr>
        <w:pStyle w:val="FootnoteText"/>
      </w:pPr>
      <w:r>
        <w:rPr>
          <w:rStyle w:val="FootnoteReference"/>
        </w:rPr>
        <w:footnoteRef/>
      </w:r>
      <w:r>
        <w:t xml:space="preserve"> </w:t>
      </w:r>
      <w:r w:rsidRPr="00BB616D">
        <w:t xml:space="preserve">Generally, the Commission’s rules may be waived if good cause is shown.  47 CFR. § 1.3.  The Commission may exercise its discretion to waive a rule where the particular facts make strict compliance inconsistent with the public interest.  </w:t>
      </w:r>
      <w:r w:rsidRPr="00700608">
        <w:rPr>
          <w:i/>
        </w:rPr>
        <w:t>Northeast Cellular Telephone Co. v. FCC</w:t>
      </w:r>
      <w:r w:rsidRPr="00BB616D">
        <w:t>, 897 F.2d 1164, 1166 (D.C. Cir. 1990) (</w:t>
      </w:r>
      <w:r w:rsidRPr="00700608">
        <w:rPr>
          <w:i/>
        </w:rPr>
        <w:t>Northeast Cellular</w:t>
      </w:r>
      <w:r w:rsidRPr="00BB616D">
        <w:t xml:space="preserve">).  Waiver of the Commission’s rules is appropriate only if both (i) special circumstances warrant a deviation from the general rule, and (ii) such deviation will serve the public interest.  </w:t>
      </w:r>
      <w:r>
        <w:rPr>
          <w:i/>
        </w:rPr>
        <w:t xml:space="preserve">Id. </w:t>
      </w:r>
    </w:p>
  </w:footnote>
  <w:footnote w:id="6">
    <w:p w:rsidR="00B662B2" w:rsidRDefault="00B662B2" w:rsidP="00B662B2">
      <w:pPr>
        <w:pStyle w:val="FootnoteText"/>
      </w:pPr>
      <w:r>
        <w:rPr>
          <w:rStyle w:val="FootnoteReference"/>
        </w:rPr>
        <w:footnoteRef/>
      </w:r>
      <w:r>
        <w:t xml:space="preserve"> </w:t>
      </w:r>
      <w:r>
        <w:rPr>
          <w:i/>
        </w:rPr>
        <w:t xml:space="preserve">See </w:t>
      </w:r>
      <w:r w:rsidRPr="0062407C">
        <w:rPr>
          <w:i/>
        </w:rPr>
        <w:t>Modernizing the E-rate Program for Schools and Libraries</w:t>
      </w:r>
      <w:r w:rsidRPr="00B572E4">
        <w:t>, WC Docket No. 13-184, Report and Order and Further Notice of Proposed Rule</w:t>
      </w:r>
      <w:r>
        <w:t>making, 29 FCC Rcd 8870, 8874</w:t>
      </w:r>
      <w:r w:rsidRPr="00B572E4">
        <w:t xml:space="preserve">, para. </w:t>
      </w:r>
      <w:r>
        <w:t xml:space="preserve">6 </w:t>
      </w:r>
      <w:r w:rsidRPr="00B572E4">
        <w:t>(2014) (</w:t>
      </w:r>
      <w:r w:rsidRPr="00EC2DC3">
        <w:rPr>
          <w:i/>
        </w:rPr>
        <w:t>F</w:t>
      </w:r>
      <w:r>
        <w:rPr>
          <w:i/>
        </w:rPr>
        <w:t xml:space="preserve">irst </w:t>
      </w:r>
      <w:r w:rsidRPr="0062407C">
        <w:rPr>
          <w:i/>
        </w:rPr>
        <w:t>E-rate Modernization Orde</w:t>
      </w:r>
      <w:r>
        <w:rPr>
          <w:i/>
        </w:rPr>
        <w:t>r</w:t>
      </w:r>
      <w:r w:rsidRPr="00B572E4">
        <w:t>)</w:t>
      </w:r>
      <w:r>
        <w:t>.</w:t>
      </w:r>
    </w:p>
  </w:footnote>
  <w:footnote w:id="7">
    <w:p w:rsidR="00B662B2" w:rsidRDefault="00B662B2" w:rsidP="00B662B2">
      <w:pPr>
        <w:pStyle w:val="FootnoteText"/>
      </w:pPr>
      <w:r>
        <w:rPr>
          <w:rStyle w:val="FootnoteReference"/>
        </w:rPr>
        <w:footnoteRef/>
      </w:r>
      <w:r>
        <w:t xml:space="preserve"> </w:t>
      </w:r>
      <w:r>
        <w:rPr>
          <w:i/>
        </w:rPr>
        <w:t xml:space="preserve">Id. </w:t>
      </w:r>
      <w:r>
        <w:t>at 8898-8922.</w:t>
      </w:r>
    </w:p>
  </w:footnote>
  <w:footnote w:id="8">
    <w:p w:rsidR="00B662B2" w:rsidRDefault="00B662B2" w:rsidP="00B662B2">
      <w:pPr>
        <w:pStyle w:val="FootnoteText"/>
      </w:pPr>
      <w:r>
        <w:rPr>
          <w:rStyle w:val="FootnoteReference"/>
        </w:rPr>
        <w:footnoteRef/>
      </w:r>
      <w:r>
        <w:rPr>
          <w:i/>
        </w:rPr>
        <w:t xml:space="preserve"> Id.</w:t>
      </w:r>
      <w:r>
        <w:t xml:space="preserve"> at 8933</w:t>
      </w:r>
      <w:r w:rsidRPr="00B572E4">
        <w:t xml:space="preserve">, para. </w:t>
      </w:r>
      <w:r>
        <w:t xml:space="preserve">152.  </w:t>
      </w:r>
    </w:p>
  </w:footnote>
  <w:footnote w:id="9">
    <w:p w:rsidR="00B662B2" w:rsidRDefault="00B662B2" w:rsidP="00B662B2">
      <w:pPr>
        <w:pStyle w:val="FootnoteText"/>
      </w:pPr>
      <w:r>
        <w:rPr>
          <w:rStyle w:val="FootnoteReference"/>
        </w:rPr>
        <w:footnoteRef/>
      </w:r>
      <w:r>
        <w:t xml:space="preserve"> </w:t>
      </w:r>
      <w:r>
        <w:rPr>
          <w:i/>
        </w:rPr>
        <w:t xml:space="preserve">Id. </w:t>
      </w:r>
      <w:r>
        <w:t>at 8933, para. 153.</w:t>
      </w:r>
    </w:p>
  </w:footnote>
  <w:footnote w:id="10">
    <w:p w:rsidR="00B662B2" w:rsidRPr="004C50B6" w:rsidRDefault="00B662B2" w:rsidP="00B662B2">
      <w:pPr>
        <w:pStyle w:val="FootnoteText"/>
      </w:pPr>
      <w:r>
        <w:rPr>
          <w:rStyle w:val="FootnoteReference"/>
        </w:rPr>
        <w:footnoteRef/>
      </w:r>
      <w:r>
        <w:t xml:space="preserve"> </w:t>
      </w:r>
      <w:r>
        <w:rPr>
          <w:i/>
        </w:rPr>
        <w:t xml:space="preserve">Id.  See also </w:t>
      </w:r>
      <w:r w:rsidRPr="00707A54">
        <w:rPr>
          <w:i/>
        </w:rPr>
        <w:t>Modernizing the E-rate Program for Schools and Libraries, Connect America Fund</w:t>
      </w:r>
      <w:r w:rsidRPr="00707A54">
        <w:t>, WC Docket Nos. 13-184 and 10-90, Second Report and Order and Order on Reconsideration, 29 FCC Rcd 15538, 1560</w:t>
      </w:r>
      <w:r>
        <w:t>0-15601, paras. 156-159 (2014) (</w:t>
      </w:r>
      <w:r>
        <w:rPr>
          <w:i/>
        </w:rPr>
        <w:t>Second E-rate Modernization Order</w:t>
      </w:r>
      <w:r>
        <w:t xml:space="preserve">) (clarifying that applicants that seek funding for data plans or air cards for mobile devices should compare the costs of all components necessary to deliver connectivity to the end user device and that applicants may not consider whether they are likely to receive category two E-rate support when analyzing the cost-effectiveness of a data plan or air card solution). </w:t>
      </w:r>
    </w:p>
  </w:footnote>
  <w:footnote w:id="11">
    <w:p w:rsidR="00B662B2" w:rsidRPr="00707A54" w:rsidRDefault="00B662B2" w:rsidP="00B662B2">
      <w:pPr>
        <w:pStyle w:val="FootnoteText"/>
      </w:pPr>
      <w:r>
        <w:rPr>
          <w:rStyle w:val="FootnoteReference"/>
        </w:rPr>
        <w:footnoteRef/>
      </w:r>
      <w:r>
        <w:t xml:space="preserve"> </w:t>
      </w:r>
      <w:r>
        <w:rPr>
          <w:i/>
        </w:rPr>
        <w:t xml:space="preserve">First </w:t>
      </w:r>
      <w:r w:rsidRPr="0062407C">
        <w:rPr>
          <w:i/>
        </w:rPr>
        <w:t>E-rate Modernization Orde</w:t>
      </w:r>
      <w:r>
        <w:rPr>
          <w:i/>
        </w:rPr>
        <w:t>r</w:t>
      </w:r>
      <w:r>
        <w:t xml:space="preserve">, 29 FCC Rcd at 8933, para. 153.  </w:t>
      </w:r>
      <w:r>
        <w:rPr>
          <w:i/>
        </w:rPr>
        <w:t>See also Second E-rate Modernization Order</w:t>
      </w:r>
      <w:r>
        <w:t>, 29 FCC Rcd at 15601, para. 158.</w:t>
      </w:r>
    </w:p>
  </w:footnote>
  <w:footnote w:id="12">
    <w:p w:rsidR="00B662B2" w:rsidRPr="005F27EE" w:rsidRDefault="00B662B2" w:rsidP="00B662B2">
      <w:pPr>
        <w:pStyle w:val="FootnoteText"/>
      </w:pPr>
      <w:r>
        <w:rPr>
          <w:rStyle w:val="FootnoteReference"/>
        </w:rPr>
        <w:footnoteRef/>
      </w:r>
      <w:r>
        <w:t xml:space="preserve"> </w:t>
      </w:r>
      <w:r>
        <w:rPr>
          <w:i/>
        </w:rPr>
        <w:t xml:space="preserve">First </w:t>
      </w:r>
      <w:r w:rsidRPr="0062407C">
        <w:rPr>
          <w:i/>
        </w:rPr>
        <w:t>E-rate Modernization Orde</w:t>
      </w:r>
      <w:r>
        <w:rPr>
          <w:i/>
        </w:rPr>
        <w:t>r</w:t>
      </w:r>
      <w:r>
        <w:t>, 29 FCC Rcd</w:t>
      </w:r>
      <w:r>
        <w:rPr>
          <w:i/>
        </w:rPr>
        <w:t xml:space="preserve"> </w:t>
      </w:r>
      <w:r>
        <w:t>at</w:t>
      </w:r>
      <w:r w:rsidRPr="00920898">
        <w:t xml:space="preserve"> 8933, para. 15</w:t>
      </w:r>
      <w:r>
        <w:t>2.</w:t>
      </w:r>
    </w:p>
  </w:footnote>
  <w:footnote w:id="13">
    <w:p w:rsidR="00B662B2" w:rsidRPr="00D92E16" w:rsidRDefault="00B662B2" w:rsidP="00B662B2">
      <w:pPr>
        <w:pStyle w:val="FootnoteText"/>
        <w:rPr>
          <w:i/>
        </w:rPr>
      </w:pPr>
      <w:r>
        <w:rPr>
          <w:rStyle w:val="FootnoteReference"/>
        </w:rPr>
        <w:footnoteRef/>
      </w:r>
      <w:r>
        <w:t xml:space="preserve"> </w:t>
      </w:r>
      <w:r>
        <w:rPr>
          <w:i/>
        </w:rPr>
        <w:t>See, e.g.</w:t>
      </w:r>
      <w:r w:rsidRPr="00637747">
        <w:t>,</w:t>
      </w:r>
      <w:r>
        <w:rPr>
          <w:i/>
        </w:rPr>
        <w:t xml:space="preserve"> </w:t>
      </w:r>
      <w:r>
        <w:t xml:space="preserve">Batesville Community School Corporation Waiver Request at 2; Prince of Peace Catholic Schools Waiver Request at 2; Shelby Eastern Schools Waiver Request at 2.  </w:t>
      </w:r>
      <w:r>
        <w:rPr>
          <w:i/>
        </w:rPr>
        <w:t xml:space="preserve"> </w:t>
      </w:r>
    </w:p>
  </w:footnote>
  <w:footnote w:id="14">
    <w:p w:rsidR="00B662B2" w:rsidRPr="00901A57" w:rsidRDefault="00B662B2" w:rsidP="00B662B2">
      <w:pPr>
        <w:pStyle w:val="FootnoteText"/>
        <w:rPr>
          <w:i/>
        </w:rPr>
      </w:pPr>
      <w:r>
        <w:rPr>
          <w:rStyle w:val="FootnoteReference"/>
        </w:rPr>
        <w:footnoteRef/>
      </w:r>
      <w:r>
        <w:t xml:space="preserve"> </w:t>
      </w:r>
      <w:r w:rsidRPr="00644A32">
        <w:rPr>
          <w:i/>
        </w:rPr>
        <w:t>See</w:t>
      </w:r>
      <w:r>
        <w:rPr>
          <w:i/>
        </w:rPr>
        <w:t>,</w:t>
      </w:r>
      <w:r w:rsidRPr="00644A32">
        <w:rPr>
          <w:i/>
        </w:rPr>
        <w:t xml:space="preserve"> e.g.</w:t>
      </w:r>
      <w:r w:rsidRPr="00644A32">
        <w:t xml:space="preserve">, </w:t>
      </w:r>
      <w:r>
        <w:t>Crown Point Community School Corporation Waiver Request at 2-3; Shelby Eastern Schools Waiver Request at 2-3; Greater Clark County School District Waiver Request at 2-3.</w:t>
      </w:r>
    </w:p>
  </w:footnote>
  <w:footnote w:id="15">
    <w:p w:rsidR="00B662B2" w:rsidRDefault="00B662B2" w:rsidP="00B662B2">
      <w:pPr>
        <w:pStyle w:val="FootnoteText"/>
      </w:pPr>
      <w:r>
        <w:rPr>
          <w:rStyle w:val="FootnoteReference"/>
        </w:rPr>
        <w:footnoteRef/>
      </w:r>
      <w:r>
        <w:t xml:space="preserve"> </w:t>
      </w:r>
      <w:r w:rsidRPr="00700608">
        <w:rPr>
          <w:i/>
        </w:rPr>
        <w:t>Northeast Cellular</w:t>
      </w:r>
      <w:r>
        <w:t xml:space="preserve">, </w:t>
      </w:r>
      <w:r w:rsidRPr="00F73B94">
        <w:t xml:space="preserve">897 F.2d </w:t>
      </w:r>
      <w:r>
        <w:t>at 1166.</w:t>
      </w:r>
    </w:p>
  </w:footnote>
  <w:footnote w:id="16">
    <w:p w:rsidR="00B662B2" w:rsidRPr="00F0026A" w:rsidRDefault="00B662B2" w:rsidP="00B662B2">
      <w:pPr>
        <w:pStyle w:val="FootnoteText"/>
        <w:rPr>
          <w:i/>
        </w:rPr>
      </w:pPr>
      <w:r>
        <w:rPr>
          <w:rStyle w:val="FootnoteReference"/>
        </w:rPr>
        <w:footnoteRef/>
      </w:r>
      <w:r>
        <w:t xml:space="preserve"> </w:t>
      </w:r>
      <w:r w:rsidRPr="00700608">
        <w:rPr>
          <w:i/>
        </w:rPr>
        <w:t>WAIT Radio v. FCC</w:t>
      </w:r>
      <w:r w:rsidRPr="0024054B">
        <w:t xml:space="preserve">, 418 F.2d </w:t>
      </w:r>
      <w:r>
        <w:t>1153,</w:t>
      </w:r>
      <w:r w:rsidRPr="0024054B">
        <w:t xml:space="preserve"> 1157, n.9 </w:t>
      </w:r>
      <w:r>
        <w:t>(D.C. Cir. 1969)</w:t>
      </w:r>
      <w:r w:rsidRPr="0024054B">
        <w:t>.</w:t>
      </w:r>
      <w:r>
        <w:t xml:space="preserve">  The Commission “</w:t>
      </w:r>
      <w:r w:rsidRPr="005649D4">
        <w:t>is not bound to process in depth what are only generalized pleas.</w:t>
      </w:r>
      <w:r>
        <w:t>”</w:t>
      </w:r>
      <w:r w:rsidRPr="0024054B">
        <w:t xml:space="preserve">  </w:t>
      </w:r>
      <w:r>
        <w:rPr>
          <w:i/>
        </w:rPr>
        <w:t>Id.</w:t>
      </w:r>
    </w:p>
  </w:footnote>
  <w:footnote w:id="17">
    <w:p w:rsidR="00B662B2" w:rsidRDefault="00B662B2" w:rsidP="00B662B2">
      <w:pPr>
        <w:pStyle w:val="FootnoteText"/>
      </w:pPr>
      <w:r>
        <w:rPr>
          <w:rStyle w:val="FootnoteReference"/>
        </w:rPr>
        <w:footnoteRef/>
      </w:r>
      <w:r>
        <w:t xml:space="preserve"> </w:t>
      </w:r>
      <w:r w:rsidRPr="00644A32">
        <w:rPr>
          <w:i/>
        </w:rPr>
        <w:t>See e.g.</w:t>
      </w:r>
      <w:r w:rsidRPr="00644A32">
        <w:t xml:space="preserve">, </w:t>
      </w:r>
      <w:r>
        <w:t>Batesville Waiver Request at 2; Crown Point Community School Corporation Waiver Request at 2; Jay School Corporation at 2.</w:t>
      </w:r>
    </w:p>
  </w:footnote>
  <w:footnote w:id="18">
    <w:p w:rsidR="00B662B2" w:rsidRDefault="00B662B2" w:rsidP="00B662B2">
      <w:pPr>
        <w:pStyle w:val="FootnoteText"/>
      </w:pPr>
      <w:r>
        <w:rPr>
          <w:rStyle w:val="FootnoteReference"/>
        </w:rPr>
        <w:footnoteRef/>
      </w:r>
      <w:r>
        <w:t xml:space="preserve"> </w:t>
      </w:r>
      <w:r w:rsidRPr="00F00531">
        <w:t xml:space="preserve">In the </w:t>
      </w:r>
      <w:r w:rsidRPr="00F627F1">
        <w:rPr>
          <w:i/>
        </w:rPr>
        <w:t>Seven School Districts Order</w:t>
      </w:r>
      <w:r w:rsidRPr="00F00531">
        <w:t xml:space="preserve">, the </w:t>
      </w:r>
      <w:r>
        <w:t>Common Carrier</w:t>
      </w:r>
      <w:r w:rsidRPr="00F00531">
        <w:t xml:space="preserve"> Bureau </w:t>
      </w:r>
      <w:r>
        <w:t>(now the Wireline Competition Bureau) explained</w:t>
      </w:r>
      <w:r w:rsidRPr="00F00531">
        <w:t xml:space="preserve"> that it “must consider carefully the consequences of making exceptions to rules designed to provide predictability” and in considering the waiver petitions before it</w:t>
      </w:r>
      <w:r>
        <w:t>, the Bureau</w:t>
      </w:r>
      <w:r w:rsidRPr="00F00531">
        <w:t xml:space="preserve"> must “take into account the impact on universal service if other school districts in the United States requested similar relief” for parties with the same or similar characteristics.  </w:t>
      </w:r>
      <w:r w:rsidRPr="00901A57">
        <w:rPr>
          <w:i/>
        </w:rPr>
        <w:t>Seven School Districts Order</w:t>
      </w:r>
      <w:r w:rsidRPr="00F00531">
        <w:t xml:space="preserve">, 13 FCC Rcd at 24974, para. 15.  </w:t>
      </w:r>
    </w:p>
  </w:footnote>
  <w:footnote w:id="19">
    <w:p w:rsidR="00B662B2" w:rsidRDefault="00B662B2" w:rsidP="00B662B2">
      <w:pPr>
        <w:pStyle w:val="FootnoteText"/>
      </w:pPr>
      <w:r>
        <w:rPr>
          <w:rStyle w:val="FootnoteReference"/>
        </w:rPr>
        <w:footnoteRef/>
      </w:r>
      <w:r>
        <w:t xml:space="preserve"> </w:t>
      </w:r>
      <w:r w:rsidRPr="00637747">
        <w:rPr>
          <w:i/>
        </w:rPr>
        <w:t>See</w:t>
      </w:r>
      <w:r>
        <w:t xml:space="preserve"> 47 U.S</w:t>
      </w:r>
      <w:r w:rsidRPr="000F08AA">
        <w:t xml:space="preserve">.C. </w:t>
      </w:r>
      <w:r w:rsidRPr="00637747">
        <w:t>§</w:t>
      </w:r>
      <w:r>
        <w:t xml:space="preserve"> 254(h)(2)(A) (authorizing the Commission to establish competitively-neutral rules—“to enhance, to the extent technically feasible and </w:t>
      </w:r>
      <w:r w:rsidRPr="005F27EE">
        <w:rPr>
          <w:i/>
        </w:rPr>
        <w:t>economically reasonable</w:t>
      </w:r>
      <w:r>
        <w:t>, access to advanced telecommunications and information services for all public and non-profit elementary and secondary school classrooms, health care providers, and libraries.”) (emphasis added).</w:t>
      </w:r>
    </w:p>
  </w:footnote>
  <w:footnote w:id="20">
    <w:p w:rsidR="00B662B2" w:rsidRDefault="00B662B2" w:rsidP="00B662B2">
      <w:pPr>
        <w:pStyle w:val="FootnoteText"/>
      </w:pPr>
      <w:r>
        <w:rPr>
          <w:rStyle w:val="FootnoteReference"/>
        </w:rPr>
        <w:footnoteRef/>
      </w:r>
      <w:r>
        <w:t xml:space="preserve"> </w:t>
      </w:r>
      <w:r>
        <w:rPr>
          <w:i/>
        </w:rPr>
        <w:t>See</w:t>
      </w:r>
      <w:r>
        <w:t>,</w:t>
      </w:r>
      <w:r>
        <w:rPr>
          <w:i/>
        </w:rPr>
        <w:t xml:space="preserve"> e.g.</w:t>
      </w:r>
      <w:r w:rsidRPr="00637747">
        <w:t>,</w:t>
      </w:r>
      <w:r>
        <w:t xml:space="preserve"> Prince of Peace Catholic Schools Waiver Request at 2; Shelby Eastern Schools Waiver Request at 2</w:t>
      </w:r>
      <w:r w:rsidRPr="005B26B3">
        <w:t>.</w:t>
      </w:r>
      <w:r w:rsidRPr="005B26B3" w:rsidDel="005B26B3">
        <w:t xml:space="preserve"> </w:t>
      </w:r>
    </w:p>
  </w:footnote>
  <w:footnote w:id="21">
    <w:p w:rsidR="00B662B2" w:rsidRDefault="00B662B2" w:rsidP="00B662B2">
      <w:pPr>
        <w:pStyle w:val="FootnoteText"/>
      </w:pPr>
      <w:r>
        <w:rPr>
          <w:rStyle w:val="FootnoteReference"/>
        </w:rPr>
        <w:footnoteRef/>
      </w:r>
      <w:r>
        <w:t xml:space="preserve"> </w:t>
      </w:r>
      <w:r w:rsidRPr="005B26B3">
        <w:rPr>
          <w:i/>
        </w:rPr>
        <w:t>See</w:t>
      </w:r>
      <w:r>
        <w:t>,</w:t>
      </w:r>
      <w:r w:rsidRPr="005B26B3">
        <w:rPr>
          <w:i/>
        </w:rPr>
        <w:t xml:space="preserve"> e.g</w:t>
      </w:r>
      <w:r w:rsidRPr="005B26B3">
        <w:t>., Crown Point Community School Corporation Waiver Request at 2-3; Shelby Eastern Schools Waiver Request at 2-3; Greater Clark County School District Waiver Request at 2-3.</w:t>
      </w:r>
    </w:p>
  </w:footnote>
  <w:footnote w:id="22">
    <w:p w:rsidR="00B662B2" w:rsidRDefault="00B662B2" w:rsidP="00B662B2">
      <w:pPr>
        <w:pStyle w:val="FootnoteText"/>
      </w:pPr>
      <w:r>
        <w:rPr>
          <w:rStyle w:val="FootnoteReference"/>
        </w:rPr>
        <w:footnoteRef/>
      </w:r>
      <w:r>
        <w:t xml:space="preserve"> The Commission determined </w:t>
      </w:r>
      <w:r w:rsidRPr="00F00531">
        <w:t xml:space="preserve">that nothing in section 254(c)(1) or elsewhere bars </w:t>
      </w:r>
      <w:r>
        <w:t xml:space="preserve">it </w:t>
      </w:r>
      <w:r w:rsidRPr="00F00531">
        <w:t xml:space="preserve">from establishing different supported services for different elements of the overall </w:t>
      </w:r>
      <w:r>
        <w:t>fund</w:t>
      </w:r>
      <w:r w:rsidRPr="00F00531">
        <w:t xml:space="preserve"> and revers</w:t>
      </w:r>
      <w:r>
        <w:t>ed</w:t>
      </w:r>
      <w:r w:rsidRPr="00F00531">
        <w:t xml:space="preserve"> those decisions</w:t>
      </w:r>
      <w:r>
        <w:t xml:space="preserve">, to the extent they exist, </w:t>
      </w:r>
      <w:r w:rsidRPr="00F00531">
        <w:t>that could be read to take a different view of its ability to adopt different definitions of supported services for different elements of the overall fund under 254(c)(1)</w:t>
      </w:r>
      <w:r>
        <w:t xml:space="preserve">.  </w:t>
      </w:r>
      <w:r>
        <w:rPr>
          <w:i/>
        </w:rPr>
        <w:t>First E-rate Modernization Order</w:t>
      </w:r>
      <w:r>
        <w:t>,</w:t>
      </w:r>
      <w:r>
        <w:rPr>
          <w:i/>
        </w:rPr>
        <w:t xml:space="preserve"> </w:t>
      </w:r>
      <w:r>
        <w:t>29 FCC Rcd at 8896-97</w:t>
      </w:r>
      <w:r w:rsidRPr="00F00531">
        <w:t>, para</w:t>
      </w:r>
      <w:r>
        <w:t>s</w:t>
      </w:r>
      <w:r w:rsidRPr="00F00531">
        <w:t>. 7</w:t>
      </w:r>
      <w:r>
        <w:t>0-74</w:t>
      </w:r>
      <w:r w:rsidRPr="00F00531">
        <w:t>, and para. 72 n.155 (2014)</w:t>
      </w:r>
      <w:r>
        <w:t>.</w:t>
      </w:r>
    </w:p>
  </w:footnote>
  <w:footnote w:id="23">
    <w:p w:rsidR="00B662B2" w:rsidRDefault="00B662B2" w:rsidP="00B662B2">
      <w:pPr>
        <w:pStyle w:val="FootnoteText"/>
      </w:pPr>
      <w:r>
        <w:rPr>
          <w:rStyle w:val="FootnoteReference"/>
        </w:rPr>
        <w:footnoteRef/>
      </w:r>
      <w:r>
        <w:t xml:space="preserve"> T</w:t>
      </w:r>
      <w:r w:rsidRPr="006301AE">
        <w:t xml:space="preserve">he </w:t>
      </w:r>
      <w:r>
        <w:t xml:space="preserve">Commission </w:t>
      </w:r>
      <w:r w:rsidRPr="006301AE">
        <w:t xml:space="preserve">has held that all </w:t>
      </w:r>
      <w:r>
        <w:t xml:space="preserve">of </w:t>
      </w:r>
      <w:r w:rsidRPr="006301AE">
        <w:t xml:space="preserve">the </w:t>
      </w:r>
      <w:r>
        <w:t>section 254</w:t>
      </w:r>
      <w:r w:rsidRPr="006301AE">
        <w:t xml:space="preserve">(c)(1)(A)-(D) criteria need not be met; </w:t>
      </w:r>
      <w:r>
        <w:t xml:space="preserve">they merely must be considered.  </w:t>
      </w:r>
      <w:r w:rsidRPr="00312F2C">
        <w:rPr>
          <w:i/>
        </w:rPr>
        <w:t>Federal-State Joint Board on Universal Service</w:t>
      </w:r>
      <w:r w:rsidRPr="004A4FF6">
        <w:t xml:space="preserve">, CC Docket No. 96-45, Report </w:t>
      </w:r>
      <w:r>
        <w:t>and Order, 12 FCC Rcd 8776, 8809, para. 61</w:t>
      </w:r>
      <w:r w:rsidRPr="004A4FF6">
        <w:t xml:space="preserve"> (1997) (subsequent history omitted) </w:t>
      </w:r>
      <w:r>
        <w:t xml:space="preserve">(finding that all four criteria enumerated in section 254(c)(1) must be considered, but not each necessarily met, before a service may be included within the general definition of universal service, should it be in the public interest).  The Commission also interpreted the statutory language, particularly the word “consider,” as providing it flexibility to establish a definition of services to be supported, after it considers the criteria enumerated in section 254(c)(1)(A)-(D).  </w:t>
      </w:r>
      <w:r>
        <w:rPr>
          <w:i/>
        </w:rPr>
        <w:t xml:space="preserve">Id. </w:t>
      </w:r>
    </w:p>
  </w:footnote>
  <w:footnote w:id="24">
    <w:p w:rsidR="00B662B2" w:rsidRPr="00AE1261" w:rsidRDefault="00B662B2" w:rsidP="00B662B2">
      <w:pPr>
        <w:autoSpaceDE w:val="0"/>
        <w:autoSpaceDN w:val="0"/>
        <w:adjustRightInd w:val="0"/>
        <w:rPr>
          <w:sz w:val="20"/>
        </w:rPr>
      </w:pPr>
      <w:r>
        <w:rPr>
          <w:rStyle w:val="FootnoteReference"/>
        </w:rPr>
        <w:footnoteRef/>
      </w:r>
      <w:r>
        <w:t xml:space="preserve"> </w:t>
      </w:r>
      <w:r w:rsidRPr="00AE1261">
        <w:rPr>
          <w:i/>
          <w:iCs/>
          <w:sz w:val="20"/>
        </w:rPr>
        <w:t>Modernizing the E-rate Program for Schools and Libraries</w:t>
      </w:r>
      <w:r w:rsidRPr="00AE1261">
        <w:rPr>
          <w:sz w:val="20"/>
        </w:rPr>
        <w:t>, WC Docket No. 13-184, Notice of Proposed</w:t>
      </w:r>
    </w:p>
    <w:p w:rsidR="00B662B2" w:rsidRDefault="00B662B2" w:rsidP="00B662B2">
      <w:pPr>
        <w:pStyle w:val="FootnoteText"/>
      </w:pPr>
      <w:r>
        <w:t xml:space="preserve">Rulemaking, 28 FCC Rcd 11304, 11334, para. 102 </w:t>
      </w:r>
      <w:r w:rsidRPr="00AE1261">
        <w:t>(2013) (</w:t>
      </w:r>
      <w:r w:rsidRPr="00AE1261">
        <w:rPr>
          <w:i/>
          <w:iCs/>
        </w:rPr>
        <w:t>E-rate Modernization NPRM</w:t>
      </w:r>
      <w:r w:rsidRPr="00AE1261">
        <w:t>)</w:t>
      </w:r>
      <w:r>
        <w:t>.</w:t>
      </w:r>
      <w:r w:rsidRPr="009F4993">
        <w:t xml:space="preserve"> </w:t>
      </w:r>
      <w:r>
        <w:t xml:space="preserve"> Some commenters in the proceeding argued that </w:t>
      </w:r>
      <w:r w:rsidRPr="002D0D29">
        <w:t>cell phone service should be allowed for administrators and mobile employees but cellular d</w:t>
      </w:r>
      <w:r>
        <w:t xml:space="preserve">ata plans should not be allowed, while others claimed </w:t>
      </w:r>
      <w:r w:rsidRPr="002D0D29">
        <w:t>there can be some justification for data plans on cell phone</w:t>
      </w:r>
      <w:r>
        <w:t>s</w:t>
      </w:r>
      <w:r w:rsidRPr="002D0D29">
        <w:t xml:space="preserve"> for administrators prov</w:t>
      </w:r>
      <w:r>
        <w:t>ided that the plans are minimal</w:t>
      </w:r>
      <w:r w:rsidRPr="002D0D29">
        <w:t>.</w:t>
      </w:r>
      <w:r>
        <w:t xml:space="preserve">  </w:t>
      </w:r>
      <w:r>
        <w:rPr>
          <w:i/>
        </w:rPr>
        <w:t xml:space="preserve">See First </w:t>
      </w:r>
      <w:r w:rsidRPr="0062407C">
        <w:rPr>
          <w:i/>
        </w:rPr>
        <w:t>E-rate Modernization Orde</w:t>
      </w:r>
      <w:r>
        <w:rPr>
          <w:i/>
        </w:rPr>
        <w:t>r</w:t>
      </w:r>
      <w:r>
        <w:t>, 29 FCC Rcd at 8926-27, para. 141, n.331.</w:t>
      </w:r>
    </w:p>
  </w:footnote>
  <w:footnote w:id="25">
    <w:p w:rsidR="00B662B2" w:rsidRDefault="00B662B2" w:rsidP="00B662B2">
      <w:pPr>
        <w:pStyle w:val="FootnoteText"/>
      </w:pPr>
      <w:r>
        <w:rPr>
          <w:rStyle w:val="FootnoteReference"/>
        </w:rPr>
        <w:footnoteRef/>
      </w:r>
      <w:r>
        <w:rPr>
          <w:i/>
        </w:rPr>
        <w:t xml:space="preserve"> First </w:t>
      </w:r>
      <w:r w:rsidRPr="0062407C">
        <w:rPr>
          <w:i/>
        </w:rPr>
        <w:t>E-rate Modernization Orde</w:t>
      </w:r>
      <w:r>
        <w:rPr>
          <w:i/>
        </w:rPr>
        <w:t>r</w:t>
      </w:r>
      <w:r>
        <w:t>, 29 FCC Rcd at 8928, para. 144.</w:t>
      </w:r>
    </w:p>
  </w:footnote>
  <w:footnote w:id="26">
    <w:p w:rsidR="00B662B2" w:rsidRPr="00020903" w:rsidRDefault="00B662B2" w:rsidP="00B662B2">
      <w:pPr>
        <w:pStyle w:val="FootnoteText"/>
      </w:pPr>
      <w:r>
        <w:rPr>
          <w:rStyle w:val="FootnoteReference"/>
        </w:rPr>
        <w:footnoteRef/>
      </w:r>
      <w:r>
        <w:t xml:space="preserve"> </w:t>
      </w:r>
      <w:r>
        <w:rPr>
          <w:i/>
        </w:rPr>
        <w:t>See, e.g.</w:t>
      </w:r>
      <w:r w:rsidRPr="00B662B2">
        <w:t>,</w:t>
      </w:r>
      <w:r>
        <w:rPr>
          <w:i/>
        </w:rPr>
        <w:t xml:space="preserve"> First E-rate Modernization Order</w:t>
      </w:r>
      <w:r>
        <w:t>,</w:t>
      </w:r>
      <w:r>
        <w:rPr>
          <w:i/>
        </w:rPr>
        <w:t xml:space="preserve"> </w:t>
      </w:r>
      <w:r>
        <w:t>29 FCC Rcd at 8913, para. 111.</w:t>
      </w:r>
    </w:p>
  </w:footnote>
  <w:footnote w:id="27">
    <w:p w:rsidR="00B662B2" w:rsidRDefault="00B662B2" w:rsidP="00B662B2">
      <w:pPr>
        <w:pStyle w:val="FootnoteText"/>
      </w:pPr>
      <w:r>
        <w:rPr>
          <w:rStyle w:val="FootnoteReference"/>
        </w:rPr>
        <w:footnoteRef/>
      </w:r>
      <w:r>
        <w:t xml:space="preserve"> </w:t>
      </w:r>
      <w:r>
        <w:rPr>
          <w:i/>
        </w:rPr>
        <w:t>See, e.g.</w:t>
      </w:r>
      <w:r w:rsidRPr="00B662B2">
        <w:t xml:space="preserve">, </w:t>
      </w:r>
      <w:r>
        <w:rPr>
          <w:i/>
        </w:rPr>
        <w:t>First E-rate Modernization Order</w:t>
      </w:r>
      <w:r>
        <w:t>,</w:t>
      </w:r>
      <w:r>
        <w:rPr>
          <w:i/>
        </w:rPr>
        <w:t xml:space="preserve"> </w:t>
      </w:r>
      <w:r>
        <w:t xml:space="preserve">29 FCC Rcd at 8932, para. 151 n.359; </w:t>
      </w:r>
      <w:r w:rsidRPr="00B00B75">
        <w:t>29 FCC Rcd at 8974, para.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95" w:rsidRDefault="00A8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66F87">
      <w:t>DA 16-823</w:t>
    </w:r>
  </w:p>
  <w:p w:rsidR="00D25FB5" w:rsidRDefault="00EA20AE">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A20AE"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66F87">
      <w:rPr>
        <w:spacing w:val="-2"/>
      </w:rPr>
      <w:t>DA 16-823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B" w:rsidRDefault="00B662B2" w:rsidP="00F00531">
    <w:pPr>
      <w:pStyle w:val="Header"/>
    </w:pPr>
    <w:r>
      <w:rPr>
        <w:sz w:val="16"/>
        <w:szCs w:val="16"/>
      </w:rPr>
      <w:tab/>
    </w:r>
    <w:r w:rsidR="00FE60B4">
      <w:t>Federal Communications Commission</w:t>
    </w:r>
    <w:r w:rsidR="00FE60B4">
      <w:tab/>
    </w:r>
    <w:r w:rsidR="00E66F87">
      <w:rPr>
        <w:spacing w:val="-2"/>
      </w:rPr>
      <w:t>DA 16-823</w:t>
    </w:r>
  </w:p>
  <w:p w:rsidR="002C00CB" w:rsidRPr="00F627F1" w:rsidRDefault="00EA20AE" w:rsidP="00F627F1">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CB" w:rsidRDefault="00EA20AE" w:rsidP="00F00531">
    <w:pPr>
      <w:pStyle w:val="Header"/>
      <w:rPr>
        <w:spacing w:val="-2"/>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FE60B4">
      <w:tab/>
      <w:t>Federal Communications Commission</w:t>
    </w:r>
    <w:r w:rsidR="00FE60B4">
      <w:tab/>
    </w:r>
    <w:r w:rsidR="00B662B2">
      <w:rPr>
        <w:spacing w:val="-2"/>
      </w:rPr>
      <w:t>DA 16-XXX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2B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036"/>
    <w:rsid w:val="00926503"/>
    <w:rsid w:val="009726D8"/>
    <w:rsid w:val="009F76DB"/>
    <w:rsid w:val="00A32C3B"/>
    <w:rsid w:val="00A45F4F"/>
    <w:rsid w:val="00A600A9"/>
    <w:rsid w:val="00A86E95"/>
    <w:rsid w:val="00AA317F"/>
    <w:rsid w:val="00AA55B7"/>
    <w:rsid w:val="00AA5B9E"/>
    <w:rsid w:val="00AB2407"/>
    <w:rsid w:val="00AB53DF"/>
    <w:rsid w:val="00B07E5C"/>
    <w:rsid w:val="00B662B2"/>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01BE"/>
    <w:rsid w:val="00DF62B6"/>
    <w:rsid w:val="00E07225"/>
    <w:rsid w:val="00E5409F"/>
    <w:rsid w:val="00E66F87"/>
    <w:rsid w:val="00EA20AE"/>
    <w:rsid w:val="00EE6488"/>
    <w:rsid w:val="00F021FA"/>
    <w:rsid w:val="00F62E97"/>
    <w:rsid w:val="00F64209"/>
    <w:rsid w:val="00F93BF5"/>
    <w:rsid w:val="00F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B662B2"/>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B662B2"/>
  </w:style>
  <w:style w:type="paragraph" w:styleId="NoSpacing">
    <w:name w:val="No Spacing"/>
    <w:uiPriority w:val="1"/>
    <w:qFormat/>
    <w:rsid w:val="00B662B2"/>
    <w:pPr>
      <w:widowControl w:val="0"/>
    </w:pPr>
    <w:rPr>
      <w:snapToGrid w:val="0"/>
      <w:kern w:val="28"/>
      <w:sz w:val="22"/>
    </w:rPr>
  </w:style>
  <w:style w:type="character" w:customStyle="1" w:styleId="HeaderChar">
    <w:name w:val="Header Char"/>
    <w:link w:val="Header"/>
    <w:locked/>
    <w:rsid w:val="00B662B2"/>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1774</Words>
  <Characters>9879</Characters>
  <Application>Microsoft Office Word</Application>
  <DocSecurity>0</DocSecurity>
  <Lines>258</Lines>
  <Paragraphs>142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2016-07-21T18:26:00Z</dcterms:created>
  <dcterms:modified xsi:type="dcterms:W3CDTF">2016-07-21T18:26:00Z</dcterms:modified>
  <cp:category> </cp:category>
  <cp:contentStatus> </cp:contentStatus>
</cp:coreProperties>
</file>