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809ED" w14:textId="77777777"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14:paraId="3001ACD4" w14:textId="65CABADE" w:rsidR="00602577" w:rsidRPr="007665F9" w:rsidRDefault="007665F9">
      <w:pPr>
        <w:jc w:val="right"/>
        <w:rPr>
          <w:b/>
          <w:szCs w:val="22"/>
        </w:rPr>
      </w:pPr>
      <w:r w:rsidRPr="007665F9">
        <w:rPr>
          <w:b/>
          <w:szCs w:val="22"/>
        </w:rPr>
        <w:lastRenderedPageBreak/>
        <w:t>DA 16-</w:t>
      </w:r>
      <w:r w:rsidR="00AE7ED1">
        <w:rPr>
          <w:b/>
          <w:szCs w:val="22"/>
        </w:rPr>
        <w:t>845</w:t>
      </w:r>
    </w:p>
    <w:p w14:paraId="4B5011CA" w14:textId="0D6CC5D3" w:rsidR="00602577" w:rsidRPr="007665F9" w:rsidRDefault="007665F9">
      <w:pPr>
        <w:spacing w:before="60"/>
        <w:jc w:val="right"/>
        <w:rPr>
          <w:b/>
          <w:szCs w:val="22"/>
        </w:rPr>
      </w:pPr>
      <w:r w:rsidRPr="007665F9">
        <w:rPr>
          <w:b/>
          <w:szCs w:val="22"/>
        </w:rPr>
        <w:t xml:space="preserve">Released:  </w:t>
      </w:r>
      <w:r w:rsidR="00AE744B">
        <w:rPr>
          <w:b/>
          <w:szCs w:val="22"/>
        </w:rPr>
        <w:t>July</w:t>
      </w:r>
      <w:r w:rsidRPr="00D07B74">
        <w:rPr>
          <w:b/>
          <w:szCs w:val="22"/>
        </w:rPr>
        <w:t xml:space="preserve"> </w:t>
      </w:r>
      <w:r w:rsidR="00AE744B">
        <w:rPr>
          <w:b/>
          <w:szCs w:val="22"/>
        </w:rPr>
        <w:t>27</w:t>
      </w:r>
      <w:r w:rsidRPr="007665F9">
        <w:rPr>
          <w:b/>
          <w:szCs w:val="22"/>
        </w:rPr>
        <w:t>, 2016</w:t>
      </w:r>
    </w:p>
    <w:p w14:paraId="3B27F158" w14:textId="77777777" w:rsidR="00602577" w:rsidRDefault="00602577">
      <w:pPr>
        <w:jc w:val="right"/>
        <w:rPr>
          <w:sz w:val="24"/>
        </w:rPr>
      </w:pPr>
    </w:p>
    <w:p w14:paraId="06628CD9" w14:textId="77777777" w:rsidR="00602577" w:rsidRPr="007665F9" w:rsidRDefault="00701D32" w:rsidP="00AE083F">
      <w:pPr>
        <w:jc w:val="center"/>
        <w:rPr>
          <w:b/>
          <w:szCs w:val="22"/>
        </w:rPr>
      </w:pPr>
      <w:r>
        <w:rPr>
          <w:b/>
          <w:szCs w:val="22"/>
        </w:rPr>
        <w:t xml:space="preserve">AT&amp;T </w:t>
      </w:r>
      <w:r w:rsidR="007F6B83">
        <w:rPr>
          <w:b/>
          <w:szCs w:val="22"/>
        </w:rPr>
        <w:t xml:space="preserve">INC. </w:t>
      </w:r>
      <w:r w:rsidR="007665F9" w:rsidRPr="007665F9">
        <w:rPr>
          <w:b/>
          <w:szCs w:val="22"/>
        </w:rPr>
        <w:t xml:space="preserve">AND </w:t>
      </w:r>
      <w:r w:rsidR="00305B8C">
        <w:rPr>
          <w:b/>
          <w:szCs w:val="22"/>
        </w:rPr>
        <w:t>UNITED STATES</w:t>
      </w:r>
      <w:r w:rsidR="00467635">
        <w:rPr>
          <w:b/>
          <w:szCs w:val="22"/>
        </w:rPr>
        <w:t xml:space="preserve"> CELLULAR</w:t>
      </w:r>
      <w:r>
        <w:rPr>
          <w:b/>
          <w:szCs w:val="22"/>
        </w:rPr>
        <w:t xml:space="preserve"> </w:t>
      </w:r>
      <w:r w:rsidR="00305B8C">
        <w:rPr>
          <w:b/>
          <w:szCs w:val="22"/>
        </w:rPr>
        <w:t xml:space="preserve">CORPORATION </w:t>
      </w:r>
      <w:r w:rsidR="007665F9" w:rsidRPr="007665F9">
        <w:rPr>
          <w:b/>
          <w:szCs w:val="22"/>
        </w:rPr>
        <w:t>SEEK F</w:t>
      </w:r>
      <w:r>
        <w:rPr>
          <w:b/>
          <w:szCs w:val="22"/>
        </w:rPr>
        <w:t>CC CONSENT TO THE ASSIGNMENT</w:t>
      </w:r>
      <w:r w:rsidR="00914250">
        <w:rPr>
          <w:b/>
          <w:szCs w:val="22"/>
        </w:rPr>
        <w:t>S</w:t>
      </w:r>
      <w:r>
        <w:rPr>
          <w:b/>
          <w:szCs w:val="22"/>
        </w:rPr>
        <w:t xml:space="preserve"> OF</w:t>
      </w:r>
      <w:r w:rsidR="00305B8C">
        <w:rPr>
          <w:b/>
          <w:szCs w:val="22"/>
        </w:rPr>
        <w:t xml:space="preserve"> </w:t>
      </w:r>
      <w:r w:rsidR="007665F9" w:rsidRPr="007665F9">
        <w:rPr>
          <w:b/>
          <w:szCs w:val="22"/>
        </w:rPr>
        <w:t xml:space="preserve">LOWER 700 </w:t>
      </w:r>
      <w:r>
        <w:rPr>
          <w:b/>
          <w:szCs w:val="22"/>
        </w:rPr>
        <w:t>MHZ</w:t>
      </w:r>
      <w:r w:rsidR="00914250">
        <w:rPr>
          <w:b/>
          <w:szCs w:val="22"/>
        </w:rPr>
        <w:t>, ADVANCED WIRELESS SERVICES, AND PERSONAL COMMUNICATIONS SERVICE</w:t>
      </w:r>
      <w:r>
        <w:rPr>
          <w:b/>
          <w:szCs w:val="22"/>
        </w:rPr>
        <w:t xml:space="preserve"> </w:t>
      </w:r>
      <w:r w:rsidR="006C4A65">
        <w:rPr>
          <w:b/>
          <w:szCs w:val="22"/>
        </w:rPr>
        <w:t>LICENSE</w:t>
      </w:r>
      <w:r w:rsidR="00AE083F">
        <w:rPr>
          <w:b/>
          <w:szCs w:val="22"/>
        </w:rPr>
        <w:t>S</w:t>
      </w:r>
    </w:p>
    <w:p w14:paraId="0DC20613" w14:textId="77777777" w:rsidR="00602577" w:rsidRPr="007A67C8" w:rsidRDefault="007A67C8" w:rsidP="00AE083F">
      <w:pPr>
        <w:spacing w:before="220" w:after="220"/>
        <w:jc w:val="center"/>
        <w:rPr>
          <w:b/>
          <w:szCs w:val="22"/>
        </w:rPr>
      </w:pPr>
      <w:r w:rsidRPr="007A67C8">
        <w:rPr>
          <w:b/>
          <w:szCs w:val="22"/>
        </w:rPr>
        <w:t>WT Docket No. 16-</w:t>
      </w:r>
      <w:r w:rsidR="00422634">
        <w:rPr>
          <w:b/>
          <w:szCs w:val="22"/>
        </w:rPr>
        <w:t>178</w:t>
      </w:r>
    </w:p>
    <w:p w14:paraId="676FC4F1" w14:textId="77777777" w:rsidR="00602577" w:rsidRPr="007A67C8" w:rsidRDefault="007A67C8" w:rsidP="00AE083F">
      <w:pPr>
        <w:spacing w:after="220"/>
        <w:jc w:val="center"/>
        <w:rPr>
          <w:b/>
          <w:szCs w:val="22"/>
        </w:rPr>
      </w:pPr>
      <w:r w:rsidRPr="007A67C8">
        <w:rPr>
          <w:b/>
          <w:szCs w:val="22"/>
        </w:rPr>
        <w:t>PLEADING CYCLE ESTABLISHED</w:t>
      </w:r>
    </w:p>
    <w:p w14:paraId="45E33AAD" w14:textId="377E75A9" w:rsidR="007A67C8" w:rsidRDefault="007A67C8" w:rsidP="007A67C8">
      <w:pPr>
        <w:outlineLvl w:val="0"/>
        <w:rPr>
          <w:b/>
          <w:szCs w:val="22"/>
        </w:rPr>
      </w:pPr>
      <w:r>
        <w:rPr>
          <w:b/>
          <w:szCs w:val="22"/>
        </w:rPr>
        <w:t>Petitions to Deny Due:</w:t>
      </w:r>
      <w:r>
        <w:rPr>
          <w:b/>
          <w:szCs w:val="22"/>
        </w:rPr>
        <w:tab/>
      </w:r>
      <w:r>
        <w:rPr>
          <w:b/>
          <w:szCs w:val="22"/>
        </w:rPr>
        <w:tab/>
      </w:r>
      <w:r w:rsidR="00AE744B">
        <w:rPr>
          <w:b/>
          <w:spacing w:val="-2"/>
          <w:szCs w:val="22"/>
        </w:rPr>
        <w:t>August 17, 2016</w:t>
      </w:r>
    </w:p>
    <w:p w14:paraId="394ED29E" w14:textId="5B0DF3D3" w:rsidR="007A67C8" w:rsidRDefault="007A67C8" w:rsidP="007A67C8">
      <w:pPr>
        <w:rPr>
          <w:b/>
          <w:szCs w:val="22"/>
        </w:rPr>
      </w:pPr>
      <w:r>
        <w:rPr>
          <w:b/>
          <w:szCs w:val="22"/>
        </w:rPr>
        <w:t>Oppositions Due:</w:t>
      </w:r>
      <w:r>
        <w:rPr>
          <w:b/>
          <w:szCs w:val="22"/>
        </w:rPr>
        <w:tab/>
      </w:r>
      <w:r>
        <w:rPr>
          <w:b/>
          <w:szCs w:val="22"/>
        </w:rPr>
        <w:tab/>
      </w:r>
      <w:r w:rsidR="00AE744B">
        <w:rPr>
          <w:b/>
          <w:spacing w:val="-2"/>
          <w:szCs w:val="22"/>
        </w:rPr>
        <w:t>August 24, 2016</w:t>
      </w:r>
    </w:p>
    <w:p w14:paraId="1FF2D416" w14:textId="2AF0BC44" w:rsidR="007A67C8" w:rsidRDefault="007A67C8" w:rsidP="007A67C8">
      <w:pPr>
        <w:spacing w:after="220"/>
        <w:rPr>
          <w:b/>
          <w:szCs w:val="22"/>
        </w:rPr>
      </w:pPr>
      <w:r>
        <w:rPr>
          <w:b/>
          <w:szCs w:val="22"/>
        </w:rPr>
        <w:t>Replies Due:</w:t>
      </w:r>
      <w:r>
        <w:rPr>
          <w:b/>
          <w:szCs w:val="22"/>
        </w:rPr>
        <w:tab/>
      </w:r>
      <w:r>
        <w:rPr>
          <w:b/>
          <w:szCs w:val="22"/>
        </w:rPr>
        <w:tab/>
      </w:r>
      <w:r>
        <w:rPr>
          <w:b/>
          <w:szCs w:val="22"/>
        </w:rPr>
        <w:tab/>
      </w:r>
      <w:r w:rsidR="00AE744B">
        <w:rPr>
          <w:b/>
          <w:szCs w:val="22"/>
        </w:rPr>
        <w:t>August 31, 2016</w:t>
      </w:r>
    </w:p>
    <w:p w14:paraId="41BF1DEB" w14:textId="77777777" w:rsidR="007A67C8" w:rsidRDefault="007A67C8" w:rsidP="00144BD1">
      <w:pPr>
        <w:spacing w:after="120"/>
        <w:outlineLvl w:val="0"/>
        <w:rPr>
          <w:b/>
          <w:szCs w:val="22"/>
        </w:rPr>
      </w:pPr>
      <w:r>
        <w:rPr>
          <w:b/>
          <w:szCs w:val="22"/>
        </w:rPr>
        <w:t>I.</w:t>
      </w:r>
      <w:r>
        <w:rPr>
          <w:b/>
          <w:szCs w:val="22"/>
        </w:rPr>
        <w:tab/>
        <w:t>INTRODUCTION</w:t>
      </w:r>
    </w:p>
    <w:p w14:paraId="5BEB969D" w14:textId="77777777" w:rsidR="007665F9" w:rsidRDefault="00D60B4C" w:rsidP="00CF1545">
      <w:pPr>
        <w:spacing w:after="120"/>
        <w:ind w:firstLine="720"/>
        <w:rPr>
          <w:szCs w:val="22"/>
        </w:rPr>
      </w:pPr>
      <w:r>
        <w:rPr>
          <w:szCs w:val="22"/>
        </w:rPr>
        <w:t xml:space="preserve">AT&amp;T </w:t>
      </w:r>
      <w:r w:rsidR="007F6B83">
        <w:rPr>
          <w:szCs w:val="22"/>
        </w:rPr>
        <w:t xml:space="preserve">Inc. </w:t>
      </w:r>
      <w:r>
        <w:rPr>
          <w:szCs w:val="22"/>
        </w:rPr>
        <w:t xml:space="preserve">(AT&amp;T) and United </w:t>
      </w:r>
      <w:r w:rsidR="00305B8C">
        <w:rPr>
          <w:szCs w:val="22"/>
        </w:rPr>
        <w:t xml:space="preserve">States </w:t>
      </w:r>
      <w:r>
        <w:rPr>
          <w:szCs w:val="22"/>
        </w:rPr>
        <w:t>Cellular Corporation (USCC, and together with AT&amp;T, the Applicants),</w:t>
      </w:r>
      <w:r w:rsidRPr="00586237">
        <w:rPr>
          <w:szCs w:val="22"/>
        </w:rPr>
        <w:t xml:space="preserve"> have filed </w:t>
      </w:r>
      <w:r>
        <w:rPr>
          <w:szCs w:val="22"/>
        </w:rPr>
        <w:t>a</w:t>
      </w:r>
      <w:r w:rsidRPr="00586237">
        <w:rPr>
          <w:szCs w:val="22"/>
        </w:rPr>
        <w:t>pplication</w:t>
      </w:r>
      <w:r>
        <w:rPr>
          <w:szCs w:val="22"/>
        </w:rPr>
        <w:t>s pursuant to S</w:t>
      </w:r>
      <w:r w:rsidRPr="00586237">
        <w:rPr>
          <w:szCs w:val="22"/>
        </w:rPr>
        <w:t>ection</w:t>
      </w:r>
      <w:r>
        <w:rPr>
          <w:szCs w:val="22"/>
        </w:rPr>
        <w:t xml:space="preserve"> </w:t>
      </w:r>
      <w:r w:rsidRPr="00586237">
        <w:rPr>
          <w:szCs w:val="22"/>
        </w:rPr>
        <w:t>310(d) of the Communications Act of 1934, as amended</w:t>
      </w:r>
      <w:r>
        <w:rPr>
          <w:szCs w:val="22"/>
        </w:rPr>
        <w:t>,</w:t>
      </w:r>
      <w:r w:rsidRPr="006C4A65">
        <w:rPr>
          <w:rStyle w:val="FootnoteReference"/>
          <w:sz w:val="20"/>
        </w:rPr>
        <w:footnoteReference w:id="1"/>
      </w:r>
      <w:r w:rsidRPr="00586237">
        <w:rPr>
          <w:szCs w:val="22"/>
        </w:rPr>
        <w:t xml:space="preserve"> seeking </w:t>
      </w:r>
      <w:r>
        <w:rPr>
          <w:szCs w:val="22"/>
        </w:rPr>
        <w:t>the simultaneous</w:t>
      </w:r>
      <w:r w:rsidRPr="00586237">
        <w:rPr>
          <w:szCs w:val="22"/>
        </w:rPr>
        <w:t xml:space="preserve"> assign</w:t>
      </w:r>
      <w:r>
        <w:rPr>
          <w:szCs w:val="22"/>
        </w:rPr>
        <w:t>ments and exchanges of</w:t>
      </w:r>
      <w:r w:rsidRPr="00586237">
        <w:rPr>
          <w:szCs w:val="22"/>
        </w:rPr>
        <w:t xml:space="preserve"> </w:t>
      </w:r>
      <w:r w:rsidR="00066A5A">
        <w:rPr>
          <w:szCs w:val="22"/>
        </w:rPr>
        <w:t xml:space="preserve">a </w:t>
      </w:r>
      <w:r>
        <w:rPr>
          <w:szCs w:val="22"/>
        </w:rPr>
        <w:t>full Personal Communications Service (PCS)</w:t>
      </w:r>
      <w:r w:rsidR="00066A5A">
        <w:rPr>
          <w:szCs w:val="22"/>
        </w:rPr>
        <w:t xml:space="preserve"> license</w:t>
      </w:r>
      <w:r>
        <w:rPr>
          <w:szCs w:val="22"/>
        </w:rPr>
        <w:t xml:space="preserve"> and </w:t>
      </w:r>
      <w:r w:rsidR="00066A5A">
        <w:rPr>
          <w:szCs w:val="22"/>
        </w:rPr>
        <w:t xml:space="preserve">full and partitioned Lower 700 MHz and </w:t>
      </w:r>
      <w:r>
        <w:rPr>
          <w:szCs w:val="22"/>
        </w:rPr>
        <w:t xml:space="preserve">Advanced Wireless Services (AWS-1) licenses by and among </w:t>
      </w:r>
      <w:r w:rsidRPr="00413631">
        <w:rPr>
          <w:szCs w:val="22"/>
        </w:rPr>
        <w:t>certain subsidiaries</w:t>
      </w:r>
      <w:r>
        <w:rPr>
          <w:szCs w:val="22"/>
        </w:rPr>
        <w:t xml:space="preserve"> of AT&amp;T and USCC.</w:t>
      </w:r>
      <w:r w:rsidRPr="002A4341">
        <w:rPr>
          <w:rStyle w:val="FootnoteReference"/>
          <w:sz w:val="20"/>
        </w:rPr>
        <w:footnoteReference w:id="2"/>
      </w:r>
      <w:r>
        <w:rPr>
          <w:szCs w:val="22"/>
        </w:rPr>
        <w:t xml:space="preserve">  The subject licenses cover geographic areas scattered throughout the country.</w:t>
      </w:r>
      <w:r w:rsidRPr="00586237">
        <w:rPr>
          <w:szCs w:val="22"/>
        </w:rPr>
        <w:t xml:space="preserve">  </w:t>
      </w:r>
      <w:r>
        <w:rPr>
          <w:szCs w:val="22"/>
        </w:rPr>
        <w:t>The</w:t>
      </w:r>
      <w:r w:rsidR="001672BC">
        <w:rPr>
          <w:szCs w:val="22"/>
        </w:rPr>
        <w:t xml:space="preserve"> proposed transaction</w:t>
      </w:r>
      <w:r>
        <w:rPr>
          <w:szCs w:val="22"/>
        </w:rPr>
        <w:t xml:space="preserve"> involve</w:t>
      </w:r>
      <w:r w:rsidR="001672BC">
        <w:rPr>
          <w:szCs w:val="22"/>
        </w:rPr>
        <w:t>s</w:t>
      </w:r>
      <w:r>
        <w:rPr>
          <w:szCs w:val="22"/>
        </w:rPr>
        <w:t xml:space="preserve"> the transfer of spectrum; no customers or networks would be transferred</w:t>
      </w:r>
      <w:r w:rsidR="007A67C8">
        <w:rPr>
          <w:szCs w:val="22"/>
        </w:rPr>
        <w:t>.</w:t>
      </w:r>
    </w:p>
    <w:p w14:paraId="77FDE17E" w14:textId="77777777" w:rsidR="007675CD" w:rsidRDefault="009C3805" w:rsidP="007675CD">
      <w:pPr>
        <w:spacing w:after="120"/>
        <w:ind w:firstLine="720"/>
        <w:rPr>
          <w:szCs w:val="22"/>
        </w:rPr>
      </w:pPr>
      <w:r>
        <w:rPr>
          <w:szCs w:val="22"/>
        </w:rPr>
        <w:t>As a result of the proposed transaction</w:t>
      </w:r>
      <w:r w:rsidR="007675CD">
        <w:rPr>
          <w:szCs w:val="22"/>
        </w:rPr>
        <w:t xml:space="preserve">, AT&amp;T and USCC </w:t>
      </w:r>
      <w:r w:rsidR="00F07FF2">
        <w:rPr>
          <w:szCs w:val="22"/>
        </w:rPr>
        <w:t xml:space="preserve">each </w:t>
      </w:r>
      <w:r w:rsidR="007675CD">
        <w:rPr>
          <w:szCs w:val="22"/>
        </w:rPr>
        <w:t xml:space="preserve">assert </w:t>
      </w:r>
      <w:r w:rsidR="00F07FF2">
        <w:rPr>
          <w:szCs w:val="22"/>
        </w:rPr>
        <w:t xml:space="preserve">that </w:t>
      </w:r>
      <w:r w:rsidR="007675CD">
        <w:rPr>
          <w:szCs w:val="22"/>
        </w:rPr>
        <w:t xml:space="preserve">they would augment network capacity and improve the quality of services offered in the subject </w:t>
      </w:r>
      <w:r w:rsidR="00F07FF2">
        <w:rPr>
          <w:szCs w:val="22"/>
        </w:rPr>
        <w:t xml:space="preserve">geographic </w:t>
      </w:r>
      <w:r w:rsidR="007675CD">
        <w:rPr>
          <w:szCs w:val="22"/>
        </w:rPr>
        <w:t xml:space="preserve">areas.  The Applicants also claim that they each would </w:t>
      </w:r>
      <w:r w:rsidR="00856E21">
        <w:rPr>
          <w:szCs w:val="22"/>
        </w:rPr>
        <w:t xml:space="preserve">use the newly acquired spectrum to implement enhanced LTE capacity.  In particular, </w:t>
      </w:r>
      <w:r w:rsidR="00856E21" w:rsidRPr="0087478E">
        <w:rPr>
          <w:szCs w:val="22"/>
        </w:rPr>
        <w:t xml:space="preserve">AT&amp;T </w:t>
      </w:r>
      <w:r w:rsidR="00F07FF2">
        <w:rPr>
          <w:szCs w:val="22"/>
        </w:rPr>
        <w:t xml:space="preserve">maintains that it </w:t>
      </w:r>
      <w:r w:rsidR="00856E21">
        <w:rPr>
          <w:szCs w:val="22"/>
        </w:rPr>
        <w:t xml:space="preserve">would hold </w:t>
      </w:r>
      <w:r w:rsidR="00856E21" w:rsidRPr="0087478E">
        <w:rPr>
          <w:szCs w:val="22"/>
        </w:rPr>
        <w:t>24 megahe</w:t>
      </w:r>
      <w:r w:rsidR="00856E21">
        <w:rPr>
          <w:szCs w:val="22"/>
        </w:rPr>
        <w:t xml:space="preserve">rtz of contiguous, paired Lower 700 MHz spectrum </w:t>
      </w:r>
      <w:r w:rsidR="00856E21" w:rsidRPr="00E742F1">
        <w:rPr>
          <w:szCs w:val="22"/>
        </w:rPr>
        <w:t xml:space="preserve">in </w:t>
      </w:r>
      <w:r w:rsidR="00E742F1" w:rsidRPr="00E742F1">
        <w:rPr>
          <w:szCs w:val="22"/>
        </w:rPr>
        <w:t>most of the</w:t>
      </w:r>
      <w:r w:rsidR="00856E21" w:rsidRPr="00E742F1">
        <w:rPr>
          <w:szCs w:val="22"/>
        </w:rPr>
        <w:t xml:space="preserve"> counties involved in this transaction</w:t>
      </w:r>
      <w:r w:rsidR="00856E21">
        <w:rPr>
          <w:szCs w:val="22"/>
        </w:rPr>
        <w:t>, allow</w:t>
      </w:r>
      <w:r w:rsidR="00E742F1">
        <w:rPr>
          <w:szCs w:val="22"/>
        </w:rPr>
        <w:t>ing</w:t>
      </w:r>
      <w:r w:rsidR="00856E21">
        <w:rPr>
          <w:szCs w:val="22"/>
        </w:rPr>
        <w:t xml:space="preserve"> for a </w:t>
      </w:r>
      <w:r w:rsidR="00856E21" w:rsidRPr="006654E1">
        <w:rPr>
          <w:szCs w:val="22"/>
        </w:rPr>
        <w:t>10×10</w:t>
      </w:r>
      <w:r w:rsidR="00856E21" w:rsidRPr="0087478E">
        <w:rPr>
          <w:szCs w:val="22"/>
        </w:rPr>
        <w:t xml:space="preserve"> </w:t>
      </w:r>
      <w:r w:rsidR="00856E21">
        <w:rPr>
          <w:szCs w:val="22"/>
        </w:rPr>
        <w:t>megahertz</w:t>
      </w:r>
      <w:r w:rsidR="00856E21" w:rsidRPr="0087478E">
        <w:rPr>
          <w:szCs w:val="22"/>
        </w:rPr>
        <w:t xml:space="preserve"> LTE deployment.</w:t>
      </w:r>
    </w:p>
    <w:p w14:paraId="61C0A485" w14:textId="256EA040" w:rsidR="00F07FF2" w:rsidRDefault="006217B7" w:rsidP="00F07FF2">
      <w:pPr>
        <w:spacing w:after="120"/>
        <w:ind w:firstLine="720"/>
        <w:rPr>
          <w:szCs w:val="22"/>
        </w:rPr>
      </w:pPr>
      <w:r>
        <w:rPr>
          <w:szCs w:val="22"/>
        </w:rPr>
        <w:t xml:space="preserve">Our preliminary review of the applications indicates that </w:t>
      </w:r>
      <w:r w:rsidR="00522D6E">
        <w:rPr>
          <w:szCs w:val="22"/>
        </w:rPr>
        <w:t xml:space="preserve">USCC would gain </w:t>
      </w:r>
      <w:r>
        <w:rPr>
          <w:szCs w:val="22"/>
        </w:rPr>
        <w:t>spectrum in 21 counties in all or parts of four Cellular Market Areas (CMAs) in portions of Illinois, North Carolina</w:t>
      </w:r>
      <w:r w:rsidR="00872523">
        <w:rPr>
          <w:szCs w:val="22"/>
        </w:rPr>
        <w:t>,</w:t>
      </w:r>
      <w:r>
        <w:rPr>
          <w:szCs w:val="22"/>
        </w:rPr>
        <w:t xml:space="preserve"> and Washington.  Specifically, USCC would gain 10 megahertz of PCS spectrum in two counties in Washington, and 10 megahertz to </w:t>
      </w:r>
      <w:r w:rsidR="00522D6E">
        <w:rPr>
          <w:szCs w:val="22"/>
        </w:rPr>
        <w:t>20 megahertz of AWS-1 spectrum</w:t>
      </w:r>
      <w:r>
        <w:rPr>
          <w:szCs w:val="22"/>
        </w:rPr>
        <w:t xml:space="preserve"> in a further 19 counties in Illinois and North Carolina</w:t>
      </w:r>
      <w:r w:rsidR="00522D6E">
        <w:rPr>
          <w:szCs w:val="22"/>
        </w:rPr>
        <w:t>.</w:t>
      </w:r>
      <w:r w:rsidR="00F07FF2">
        <w:rPr>
          <w:szCs w:val="22"/>
        </w:rPr>
        <w:t xml:space="preserve">  </w:t>
      </w:r>
      <w:r w:rsidR="00F07FF2" w:rsidRPr="009C3DE3">
        <w:rPr>
          <w:szCs w:val="22"/>
        </w:rPr>
        <w:t xml:space="preserve">Pre-transaction, </w:t>
      </w:r>
      <w:r w:rsidR="00F07FF2">
        <w:rPr>
          <w:szCs w:val="22"/>
        </w:rPr>
        <w:t xml:space="preserve">across </w:t>
      </w:r>
      <w:r w:rsidR="00872523">
        <w:rPr>
          <w:szCs w:val="22"/>
        </w:rPr>
        <w:t>the counties</w:t>
      </w:r>
      <w:r w:rsidR="00F07FF2">
        <w:rPr>
          <w:szCs w:val="22"/>
        </w:rPr>
        <w:t xml:space="preserve"> in which USCC would gain spectrum in this </w:t>
      </w:r>
      <w:r w:rsidR="0086291D">
        <w:rPr>
          <w:szCs w:val="22"/>
        </w:rPr>
        <w:t xml:space="preserve">proposed </w:t>
      </w:r>
      <w:r w:rsidR="00F07FF2">
        <w:rPr>
          <w:szCs w:val="22"/>
        </w:rPr>
        <w:t>transaction, USCC</w:t>
      </w:r>
      <w:r w:rsidR="00F07FF2" w:rsidRPr="009C3DE3">
        <w:rPr>
          <w:szCs w:val="22"/>
        </w:rPr>
        <w:t xml:space="preserve"> holds </w:t>
      </w:r>
      <w:r w:rsidR="00F07FF2">
        <w:rPr>
          <w:szCs w:val="22"/>
        </w:rPr>
        <w:t>35</w:t>
      </w:r>
      <w:r w:rsidR="00F07FF2" w:rsidRPr="009C3DE3">
        <w:rPr>
          <w:szCs w:val="22"/>
        </w:rPr>
        <w:t xml:space="preserve"> </w:t>
      </w:r>
      <w:r w:rsidR="00F07FF2">
        <w:rPr>
          <w:szCs w:val="22"/>
        </w:rPr>
        <w:t xml:space="preserve">megahertz </w:t>
      </w:r>
      <w:r w:rsidR="00F07FF2" w:rsidRPr="009C3DE3">
        <w:rPr>
          <w:szCs w:val="22"/>
        </w:rPr>
        <w:t xml:space="preserve">to </w:t>
      </w:r>
      <w:r w:rsidR="00F07FF2">
        <w:rPr>
          <w:szCs w:val="22"/>
        </w:rPr>
        <w:t>84</w:t>
      </w:r>
      <w:r w:rsidR="00F07FF2" w:rsidRPr="009C3DE3">
        <w:rPr>
          <w:szCs w:val="22"/>
        </w:rPr>
        <w:t xml:space="preserve"> megahertz of spectrum; post-transaction, </w:t>
      </w:r>
      <w:r w:rsidR="00F07FF2">
        <w:rPr>
          <w:szCs w:val="22"/>
        </w:rPr>
        <w:t xml:space="preserve">USCC </w:t>
      </w:r>
      <w:r w:rsidR="00F07FF2" w:rsidRPr="009C3DE3">
        <w:rPr>
          <w:szCs w:val="22"/>
        </w:rPr>
        <w:t xml:space="preserve">would hold </w:t>
      </w:r>
      <w:r w:rsidR="00F07FF2">
        <w:rPr>
          <w:szCs w:val="22"/>
        </w:rPr>
        <w:t>45 megahertz</w:t>
      </w:r>
      <w:r w:rsidR="00F07FF2" w:rsidRPr="009C3DE3">
        <w:rPr>
          <w:szCs w:val="22"/>
        </w:rPr>
        <w:t xml:space="preserve"> to </w:t>
      </w:r>
      <w:r w:rsidR="00F07FF2">
        <w:rPr>
          <w:szCs w:val="22"/>
        </w:rPr>
        <w:t>104</w:t>
      </w:r>
      <w:r w:rsidR="00F07FF2" w:rsidRPr="009C3DE3">
        <w:rPr>
          <w:szCs w:val="22"/>
        </w:rPr>
        <w:t xml:space="preserve"> </w:t>
      </w:r>
      <w:r w:rsidR="00F07FF2">
        <w:rPr>
          <w:szCs w:val="22"/>
        </w:rPr>
        <w:t>megahertz of spectrum in total.</w:t>
      </w:r>
    </w:p>
    <w:p w14:paraId="5D873F60" w14:textId="2AD5BC42" w:rsidR="001E4DD3" w:rsidRDefault="00872523" w:rsidP="001E4DD3">
      <w:pPr>
        <w:spacing w:after="120"/>
        <w:ind w:firstLine="720"/>
        <w:rPr>
          <w:szCs w:val="22"/>
        </w:rPr>
      </w:pPr>
      <w:r>
        <w:rPr>
          <w:szCs w:val="22"/>
        </w:rPr>
        <w:lastRenderedPageBreak/>
        <w:t>Further, with respect to AT&amp;T, o</w:t>
      </w:r>
      <w:r w:rsidR="006217B7">
        <w:rPr>
          <w:szCs w:val="22"/>
        </w:rPr>
        <w:t>ur p</w:t>
      </w:r>
      <w:r w:rsidR="006217B7" w:rsidRPr="009C3DE3">
        <w:rPr>
          <w:szCs w:val="22"/>
        </w:rPr>
        <w:t xml:space="preserve">reliminary review indicates that </w:t>
      </w:r>
      <w:r>
        <w:rPr>
          <w:szCs w:val="22"/>
        </w:rPr>
        <w:t>AT&amp;T would gain 12 megahertz to 24 megahertz of Lower 700 MHz B and C Block spectrum in</w:t>
      </w:r>
      <w:r w:rsidR="006217B7" w:rsidRPr="009C3DE3">
        <w:rPr>
          <w:szCs w:val="22"/>
        </w:rPr>
        <w:t xml:space="preserve"> </w:t>
      </w:r>
      <w:r w:rsidR="0086291D">
        <w:rPr>
          <w:szCs w:val="22"/>
        </w:rPr>
        <w:t>23</w:t>
      </w:r>
      <w:r w:rsidR="006217B7" w:rsidRPr="009C3DE3">
        <w:rPr>
          <w:szCs w:val="22"/>
        </w:rPr>
        <w:t xml:space="preserve"> counties in all or parts of </w:t>
      </w:r>
      <w:r w:rsidR="0086291D">
        <w:rPr>
          <w:szCs w:val="22"/>
        </w:rPr>
        <w:t xml:space="preserve">six </w:t>
      </w:r>
      <w:r>
        <w:rPr>
          <w:szCs w:val="22"/>
        </w:rPr>
        <w:t>CMAs</w:t>
      </w:r>
      <w:r w:rsidR="006217B7" w:rsidRPr="009C3DE3">
        <w:rPr>
          <w:szCs w:val="22"/>
        </w:rPr>
        <w:t xml:space="preserve"> in </w:t>
      </w:r>
      <w:r>
        <w:rPr>
          <w:szCs w:val="22"/>
        </w:rPr>
        <w:t>portions</w:t>
      </w:r>
      <w:r w:rsidR="006217B7" w:rsidRPr="009C3DE3">
        <w:rPr>
          <w:szCs w:val="22"/>
        </w:rPr>
        <w:t xml:space="preserve"> of</w:t>
      </w:r>
      <w:r w:rsidR="006217B7">
        <w:rPr>
          <w:szCs w:val="22"/>
        </w:rPr>
        <w:t xml:space="preserve"> Idaho, Il</w:t>
      </w:r>
      <w:r>
        <w:rPr>
          <w:szCs w:val="22"/>
        </w:rPr>
        <w:t>linois, Indiana, and North Carolina</w:t>
      </w:r>
      <w:r w:rsidR="006217B7">
        <w:rPr>
          <w:szCs w:val="22"/>
        </w:rPr>
        <w:t xml:space="preserve">.  </w:t>
      </w:r>
      <w:r w:rsidR="001E4DD3" w:rsidRPr="009C3DE3">
        <w:rPr>
          <w:szCs w:val="22"/>
        </w:rPr>
        <w:t>Pre-transacti</w:t>
      </w:r>
      <w:r w:rsidR="001E4DD3">
        <w:rPr>
          <w:szCs w:val="22"/>
        </w:rPr>
        <w:t xml:space="preserve">on, across all the </w:t>
      </w:r>
      <w:r w:rsidR="0086291D">
        <w:rPr>
          <w:szCs w:val="22"/>
        </w:rPr>
        <w:t xml:space="preserve">counties </w:t>
      </w:r>
      <w:r w:rsidR="001E4DD3">
        <w:rPr>
          <w:szCs w:val="22"/>
        </w:rPr>
        <w:t>in which AT&amp;T would gain spectrum</w:t>
      </w:r>
      <w:r w:rsidR="00522D6E">
        <w:rPr>
          <w:szCs w:val="22"/>
        </w:rPr>
        <w:t xml:space="preserve"> in this </w:t>
      </w:r>
      <w:r w:rsidR="0086291D">
        <w:rPr>
          <w:szCs w:val="22"/>
        </w:rPr>
        <w:t xml:space="preserve">proposed </w:t>
      </w:r>
      <w:r w:rsidR="00522D6E">
        <w:rPr>
          <w:szCs w:val="22"/>
        </w:rPr>
        <w:t>transaction</w:t>
      </w:r>
      <w:r w:rsidR="001E4DD3" w:rsidRPr="009C3DE3">
        <w:rPr>
          <w:szCs w:val="22"/>
        </w:rPr>
        <w:t xml:space="preserve">, </w:t>
      </w:r>
      <w:r w:rsidR="001E4DD3">
        <w:rPr>
          <w:szCs w:val="22"/>
        </w:rPr>
        <w:t>AT&amp;T</w:t>
      </w:r>
      <w:r w:rsidR="001E4DD3" w:rsidRPr="009C3DE3">
        <w:rPr>
          <w:szCs w:val="22"/>
        </w:rPr>
        <w:t xml:space="preserve"> holds </w:t>
      </w:r>
      <w:r w:rsidR="001E4DD3">
        <w:rPr>
          <w:szCs w:val="22"/>
        </w:rPr>
        <w:t>76</w:t>
      </w:r>
      <w:r w:rsidR="001E4DD3" w:rsidRPr="009C3DE3">
        <w:rPr>
          <w:szCs w:val="22"/>
        </w:rPr>
        <w:t xml:space="preserve"> </w:t>
      </w:r>
      <w:r w:rsidR="001E4DD3">
        <w:rPr>
          <w:szCs w:val="22"/>
        </w:rPr>
        <w:t xml:space="preserve">megahertz </w:t>
      </w:r>
      <w:r w:rsidR="001E4DD3" w:rsidRPr="009C3DE3">
        <w:rPr>
          <w:szCs w:val="22"/>
        </w:rPr>
        <w:t xml:space="preserve">to </w:t>
      </w:r>
      <w:r w:rsidR="001E4DD3">
        <w:rPr>
          <w:szCs w:val="22"/>
        </w:rPr>
        <w:t>158</w:t>
      </w:r>
      <w:r w:rsidR="001E4DD3" w:rsidRPr="009C3DE3">
        <w:rPr>
          <w:szCs w:val="22"/>
        </w:rPr>
        <w:t xml:space="preserve"> megahertz of spectrum in </w:t>
      </w:r>
      <w:r w:rsidR="001E4DD3">
        <w:rPr>
          <w:szCs w:val="22"/>
        </w:rPr>
        <w:t>total; post-transaction, AT&amp;T</w:t>
      </w:r>
      <w:r w:rsidR="001E4DD3" w:rsidRPr="009C3DE3">
        <w:rPr>
          <w:szCs w:val="22"/>
        </w:rPr>
        <w:t xml:space="preserve"> would hold </w:t>
      </w:r>
      <w:r w:rsidR="00522D6E">
        <w:rPr>
          <w:szCs w:val="22"/>
        </w:rPr>
        <w:t>88</w:t>
      </w:r>
      <w:r w:rsidR="001E4DD3" w:rsidRPr="009C3DE3">
        <w:rPr>
          <w:szCs w:val="22"/>
        </w:rPr>
        <w:t xml:space="preserve"> </w:t>
      </w:r>
      <w:r w:rsidR="001E4DD3">
        <w:rPr>
          <w:szCs w:val="22"/>
        </w:rPr>
        <w:t xml:space="preserve">megahertz </w:t>
      </w:r>
      <w:r w:rsidR="001E4DD3" w:rsidRPr="009C3DE3">
        <w:rPr>
          <w:szCs w:val="22"/>
        </w:rPr>
        <w:t xml:space="preserve">to </w:t>
      </w:r>
      <w:r w:rsidR="00522D6E">
        <w:rPr>
          <w:szCs w:val="22"/>
        </w:rPr>
        <w:t>170</w:t>
      </w:r>
      <w:r w:rsidR="001E4DD3" w:rsidRPr="009C3DE3">
        <w:rPr>
          <w:szCs w:val="22"/>
        </w:rPr>
        <w:t xml:space="preserve"> megahertz of spectrum in total</w:t>
      </w:r>
      <w:r w:rsidR="00522D6E">
        <w:rPr>
          <w:szCs w:val="22"/>
        </w:rPr>
        <w:t xml:space="preserve">, </w:t>
      </w:r>
      <w:r w:rsidR="00522D6E">
        <w:rPr>
          <w:rStyle w:val="Normal1"/>
          <w:sz w:val="22"/>
          <w:szCs w:val="22"/>
        </w:rPr>
        <w:t>including 18 megahertz to 55</w:t>
      </w:r>
      <w:r w:rsidR="00522D6E" w:rsidRPr="008979AB">
        <w:rPr>
          <w:rStyle w:val="Normal1"/>
          <w:sz w:val="22"/>
          <w:szCs w:val="22"/>
        </w:rPr>
        <w:t xml:space="preserve"> megahertz of below-1-GHz spectrum</w:t>
      </w:r>
      <w:r w:rsidR="001E4DD3">
        <w:rPr>
          <w:szCs w:val="22"/>
        </w:rPr>
        <w:t>.</w:t>
      </w:r>
    </w:p>
    <w:p w14:paraId="4D8AE8E5" w14:textId="554C7177" w:rsidR="00EE1B7D" w:rsidRPr="00FF0361" w:rsidRDefault="00EE1B7D" w:rsidP="00EE1B7D">
      <w:pPr>
        <w:spacing w:after="120"/>
        <w:ind w:firstLine="720"/>
        <w:rPr>
          <w:rStyle w:val="Normal2"/>
          <w:szCs w:val="22"/>
        </w:rPr>
      </w:pPr>
      <w:r w:rsidRPr="00FF0361">
        <w:rPr>
          <w:szCs w:val="22"/>
        </w:rPr>
        <w:t xml:space="preserve">The </w:t>
      </w:r>
      <w:r w:rsidRPr="00FF0361">
        <w:rPr>
          <w:i/>
          <w:szCs w:val="22"/>
        </w:rPr>
        <w:t>Mobile Spectrum Holdings Report and Order</w:t>
      </w:r>
      <w:r w:rsidRPr="00FF0361">
        <w:rPr>
          <w:szCs w:val="22"/>
        </w:rPr>
        <w:t xml:space="preserve"> requires that </w:t>
      </w:r>
      <w:r>
        <w:rPr>
          <w:szCs w:val="22"/>
        </w:rPr>
        <w:t xml:space="preserve">we treat </w:t>
      </w:r>
      <w:r w:rsidRPr="00FF0361">
        <w:rPr>
          <w:szCs w:val="22"/>
        </w:rPr>
        <w:t xml:space="preserve">any </w:t>
      </w:r>
      <w:r>
        <w:rPr>
          <w:szCs w:val="22"/>
        </w:rPr>
        <w:t xml:space="preserve">proposed </w:t>
      </w:r>
      <w:r w:rsidRPr="00FF0361">
        <w:rPr>
          <w:szCs w:val="22"/>
        </w:rPr>
        <w:t xml:space="preserve">increase in below-1-GHz spectrum holdings </w:t>
      </w:r>
      <w:r>
        <w:rPr>
          <w:szCs w:val="22"/>
        </w:rPr>
        <w:t xml:space="preserve">resulting in </w:t>
      </w:r>
      <w:r w:rsidRPr="00FF0361">
        <w:rPr>
          <w:szCs w:val="22"/>
        </w:rPr>
        <w:t>the acquiring entity hold</w:t>
      </w:r>
      <w:r>
        <w:rPr>
          <w:szCs w:val="22"/>
        </w:rPr>
        <w:t>ing</w:t>
      </w:r>
      <w:r w:rsidRPr="00FF0361">
        <w:rPr>
          <w:szCs w:val="22"/>
        </w:rPr>
        <w:t xml:space="preserve"> approximately one-third or more of the suitable and available spectrum below 1 GHz</w:t>
      </w:r>
      <w:r>
        <w:rPr>
          <w:szCs w:val="22"/>
        </w:rPr>
        <w:t xml:space="preserve"> </w:t>
      </w:r>
      <w:r w:rsidRPr="00FF0361">
        <w:rPr>
          <w:szCs w:val="22"/>
        </w:rPr>
        <w:t xml:space="preserve">as an “enhanced factor” </w:t>
      </w:r>
      <w:r>
        <w:rPr>
          <w:szCs w:val="22"/>
        </w:rPr>
        <w:t>in our</w:t>
      </w:r>
      <w:r w:rsidRPr="00FF0361">
        <w:rPr>
          <w:szCs w:val="22"/>
        </w:rPr>
        <w:t xml:space="preserve"> case-by-case review.</w:t>
      </w:r>
      <w:r w:rsidRPr="00FF0361">
        <w:rPr>
          <w:rStyle w:val="FootnoteReference"/>
          <w:szCs w:val="22"/>
        </w:rPr>
        <w:footnoteReference w:id="3"/>
      </w:r>
      <w:r w:rsidRPr="00FF0361">
        <w:rPr>
          <w:szCs w:val="22"/>
        </w:rPr>
        <w:t xml:space="preserve">  As a result of the instant transaction, </w:t>
      </w:r>
      <w:r>
        <w:rPr>
          <w:szCs w:val="22"/>
        </w:rPr>
        <w:t>AT&amp;T</w:t>
      </w:r>
      <w:r w:rsidRPr="00FF0361">
        <w:rPr>
          <w:szCs w:val="22"/>
        </w:rPr>
        <w:t xml:space="preserve"> would hold more than </w:t>
      </w:r>
      <w:r>
        <w:rPr>
          <w:szCs w:val="22"/>
        </w:rPr>
        <w:t>one-third, that is, more than 4</w:t>
      </w:r>
      <w:r w:rsidRPr="00FF0361">
        <w:rPr>
          <w:szCs w:val="22"/>
        </w:rPr>
        <w:t xml:space="preserve">5 </w:t>
      </w:r>
      <w:r>
        <w:rPr>
          <w:szCs w:val="22"/>
        </w:rPr>
        <w:t xml:space="preserve">megahertz, of the 134 </w:t>
      </w:r>
      <w:r w:rsidRPr="00FF0361">
        <w:rPr>
          <w:szCs w:val="22"/>
        </w:rPr>
        <w:t xml:space="preserve">megahertz of currently suitable and available below-1-GHz spectrum in </w:t>
      </w:r>
      <w:r w:rsidR="00F36C87">
        <w:rPr>
          <w:szCs w:val="22"/>
        </w:rPr>
        <w:t xml:space="preserve">five </w:t>
      </w:r>
      <w:r w:rsidR="00FA2C0A">
        <w:rPr>
          <w:szCs w:val="22"/>
        </w:rPr>
        <w:t xml:space="preserve">of the six </w:t>
      </w:r>
      <w:r w:rsidR="00F36C87">
        <w:rPr>
          <w:szCs w:val="22"/>
        </w:rPr>
        <w:t xml:space="preserve">CMAs: </w:t>
      </w:r>
      <w:r w:rsidR="00F47BF9">
        <w:rPr>
          <w:szCs w:val="22"/>
        </w:rPr>
        <w:t xml:space="preserve"> </w:t>
      </w:r>
      <w:r w:rsidR="00F36C87">
        <w:rPr>
          <w:szCs w:val="22"/>
        </w:rPr>
        <w:t>CMA 196 (</w:t>
      </w:r>
      <w:r w:rsidR="00F93141">
        <w:rPr>
          <w:szCs w:val="22"/>
        </w:rPr>
        <w:t>Champaign-Urbana-Rantoul</w:t>
      </w:r>
      <w:r w:rsidR="00F36C87">
        <w:rPr>
          <w:szCs w:val="22"/>
        </w:rPr>
        <w:t>, IL); CMA 217 (</w:t>
      </w:r>
      <w:r w:rsidR="00F93141">
        <w:rPr>
          <w:szCs w:val="22"/>
        </w:rPr>
        <w:t>Anderson</w:t>
      </w:r>
      <w:r w:rsidR="00F36C87">
        <w:rPr>
          <w:szCs w:val="22"/>
        </w:rPr>
        <w:t>, IN); CMA 271</w:t>
      </w:r>
      <w:r w:rsidR="00F93141">
        <w:rPr>
          <w:szCs w:val="22"/>
        </w:rPr>
        <w:t xml:space="preserve"> (</w:t>
      </w:r>
      <w:r w:rsidR="00F93141" w:rsidRPr="00F93141">
        <w:rPr>
          <w:szCs w:val="22"/>
        </w:rPr>
        <w:t>Kokomo,</w:t>
      </w:r>
      <w:r w:rsidR="00F93141">
        <w:rPr>
          <w:szCs w:val="22"/>
        </w:rPr>
        <w:t xml:space="preserve"> IN)</w:t>
      </w:r>
      <w:r w:rsidR="00F36C87">
        <w:rPr>
          <w:szCs w:val="22"/>
        </w:rPr>
        <w:t>; CMA 388</w:t>
      </w:r>
      <w:r w:rsidR="00F93141">
        <w:rPr>
          <w:szCs w:val="22"/>
        </w:rPr>
        <w:t xml:space="preserve"> (Idaho 1 – </w:t>
      </w:r>
      <w:r w:rsidR="00F93141" w:rsidRPr="00F93141">
        <w:rPr>
          <w:szCs w:val="22"/>
        </w:rPr>
        <w:t>Boundary</w:t>
      </w:r>
      <w:r w:rsidR="00F93141">
        <w:rPr>
          <w:szCs w:val="22"/>
        </w:rPr>
        <w:t>)</w:t>
      </w:r>
      <w:r w:rsidR="00F36C87">
        <w:rPr>
          <w:szCs w:val="22"/>
        </w:rPr>
        <w:t>; and CMA 399</w:t>
      </w:r>
      <w:r w:rsidR="00F93141">
        <w:rPr>
          <w:szCs w:val="22"/>
        </w:rPr>
        <w:t xml:space="preserve"> (I</w:t>
      </w:r>
      <w:r w:rsidR="00F93141" w:rsidRPr="00F93141">
        <w:rPr>
          <w:szCs w:val="22"/>
        </w:rPr>
        <w:t xml:space="preserve">llinois 6 </w:t>
      </w:r>
      <w:r w:rsidR="00F93141">
        <w:rPr>
          <w:szCs w:val="22"/>
        </w:rPr>
        <w:t>–</w:t>
      </w:r>
      <w:r w:rsidR="00F93141" w:rsidRPr="00F93141">
        <w:rPr>
          <w:szCs w:val="22"/>
        </w:rPr>
        <w:t xml:space="preserve"> Montgomery</w:t>
      </w:r>
      <w:r w:rsidR="00F93141">
        <w:rPr>
          <w:szCs w:val="22"/>
        </w:rPr>
        <w:t>)</w:t>
      </w:r>
      <w:r w:rsidR="00F36C87">
        <w:rPr>
          <w:szCs w:val="22"/>
        </w:rPr>
        <w:t>.</w:t>
      </w:r>
    </w:p>
    <w:p w14:paraId="65157CFE" w14:textId="77777777" w:rsidR="00144BD1" w:rsidRPr="0089192F" w:rsidRDefault="00144BD1" w:rsidP="00EE1B7D">
      <w:pPr>
        <w:keepNext/>
        <w:spacing w:before="100" w:after="120"/>
        <w:outlineLvl w:val="0"/>
        <w:rPr>
          <w:rStyle w:val="Normal10"/>
          <w:b/>
          <w:szCs w:val="22"/>
        </w:rPr>
      </w:pPr>
      <w:r>
        <w:rPr>
          <w:rStyle w:val="StyleTimesNewRomanBold11ptBold"/>
        </w:rPr>
        <w:t>ii.</w:t>
      </w:r>
      <w:r>
        <w:rPr>
          <w:rStyle w:val="StyleTimesNewRomanBold11ptBold"/>
        </w:rPr>
        <w:tab/>
        <w:t>Section 310(</w:t>
      </w:r>
      <w:r>
        <w:rPr>
          <w:b/>
          <w:szCs w:val="22"/>
        </w:rPr>
        <w:t>d) APPLICATION</w:t>
      </w:r>
      <w:r w:rsidR="00AB30C9">
        <w:rPr>
          <w:b/>
          <w:szCs w:val="22"/>
        </w:rPr>
        <w:t>S</w:t>
      </w:r>
    </w:p>
    <w:p w14:paraId="04691A62" w14:textId="77777777"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he application</w:t>
      </w:r>
      <w:r w:rsidR="007645FD">
        <w:rPr>
          <w:rStyle w:val="Normal10"/>
          <w:sz w:val="22"/>
          <w:szCs w:val="22"/>
        </w:rPr>
        <w:t>s</w:t>
      </w:r>
      <w:r w:rsidRPr="00144BD1">
        <w:rPr>
          <w:rStyle w:val="Normal10"/>
          <w:sz w:val="22"/>
          <w:szCs w:val="22"/>
        </w:rPr>
        <w:t xml:space="preserve"> for the assignment of </w:t>
      </w:r>
      <w:r w:rsidRPr="00144BD1">
        <w:rPr>
          <w:szCs w:val="22"/>
        </w:rPr>
        <w:t>license</w:t>
      </w:r>
      <w:r w:rsidR="002B2FD0">
        <w:rPr>
          <w:szCs w:val="22"/>
        </w:rPr>
        <w:t>s</w:t>
      </w:r>
      <w:r w:rsidRPr="00144BD1">
        <w:rPr>
          <w:szCs w:val="22"/>
        </w:rPr>
        <w:t xml:space="preserve"> </w:t>
      </w:r>
      <w:r w:rsidRPr="00144BD1">
        <w:rPr>
          <w:rStyle w:val="Normal10"/>
          <w:sz w:val="22"/>
          <w:szCs w:val="22"/>
        </w:rPr>
        <w:t>ha</w:t>
      </w:r>
      <w:r w:rsidR="007645FD">
        <w:rPr>
          <w:rStyle w:val="Normal10"/>
          <w:sz w:val="22"/>
          <w:szCs w:val="22"/>
        </w:rPr>
        <w:t>ve</w:t>
      </w:r>
      <w:r w:rsidRPr="00144BD1">
        <w:rPr>
          <w:rStyle w:val="Normal10"/>
          <w:sz w:val="22"/>
          <w:szCs w:val="22"/>
        </w:rPr>
        <w:t xml:space="preserve"> the following file number</w:t>
      </w:r>
      <w:r w:rsidR="007645FD">
        <w:rPr>
          <w:rStyle w:val="Normal10"/>
          <w:sz w:val="22"/>
          <w:szCs w:val="22"/>
        </w:rPr>
        <w:t>s</w:t>
      </w:r>
      <w:r w:rsidRPr="00144BD1">
        <w:rPr>
          <w:rStyle w:val="Normal10"/>
          <w:sz w:val="22"/>
          <w:szCs w:val="22"/>
        </w:rPr>
        <w:t>:</w:t>
      </w:r>
    </w:p>
    <w:tbl>
      <w:tblPr>
        <w:tblW w:w="5000" w:type="pct"/>
        <w:tblCellMar>
          <w:left w:w="40" w:type="dxa"/>
          <w:right w:w="40" w:type="dxa"/>
        </w:tblCellMar>
        <w:tblLook w:val="0000" w:firstRow="0" w:lastRow="0" w:firstColumn="0" w:lastColumn="0" w:noHBand="0" w:noVBand="0"/>
      </w:tblPr>
      <w:tblGrid>
        <w:gridCol w:w="1451"/>
        <w:gridCol w:w="3359"/>
        <w:gridCol w:w="3178"/>
        <w:gridCol w:w="1452"/>
      </w:tblGrid>
      <w:tr w:rsidR="00144BD1" w14:paraId="0E56EBD7" w14:textId="77777777" w:rsidTr="00F8410B">
        <w:trPr>
          <w:cantSplit/>
          <w:trHeight w:val="173"/>
          <w:tblHeader/>
        </w:trPr>
        <w:tc>
          <w:tcPr>
            <w:tcW w:w="769" w:type="pct"/>
            <w:shd w:val="clear" w:color="C0C0C0" w:fill="auto"/>
          </w:tcPr>
          <w:p w14:paraId="4F25C99D" w14:textId="77777777" w:rsidR="00144BD1" w:rsidRDefault="00144BD1" w:rsidP="007D40B5">
            <w:pPr>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14:paraId="77B465B9" w14:textId="77777777" w:rsidR="00144BD1" w:rsidRDefault="00144BD1" w:rsidP="007D40B5">
            <w:pPr>
              <w:autoSpaceDE w:val="0"/>
              <w:autoSpaceDN w:val="0"/>
              <w:adjustRightInd w:val="0"/>
              <w:rPr>
                <w:b/>
                <w:color w:val="000000"/>
                <w:szCs w:val="22"/>
                <w:u w:val="single"/>
              </w:rPr>
            </w:pPr>
          </w:p>
        </w:tc>
        <w:tc>
          <w:tcPr>
            <w:tcW w:w="1779" w:type="pct"/>
            <w:shd w:val="clear" w:color="C0C0C0" w:fill="auto"/>
          </w:tcPr>
          <w:p w14:paraId="5EAF544E" w14:textId="77777777" w:rsidR="00144BD1" w:rsidRDefault="00144BD1" w:rsidP="007D40B5">
            <w:pPr>
              <w:autoSpaceDE w:val="0"/>
              <w:autoSpaceDN w:val="0"/>
              <w:adjustRightInd w:val="0"/>
              <w:ind w:left="-41"/>
              <w:rPr>
                <w:b/>
                <w:color w:val="000000"/>
                <w:szCs w:val="22"/>
                <w:u w:val="single"/>
              </w:rPr>
            </w:pPr>
            <w:r>
              <w:rPr>
                <w:b/>
                <w:color w:val="000000"/>
                <w:szCs w:val="22"/>
                <w:u w:val="single"/>
              </w:rPr>
              <w:t>Licensee/Assignor</w:t>
            </w:r>
          </w:p>
        </w:tc>
        <w:tc>
          <w:tcPr>
            <w:tcW w:w="1683" w:type="pct"/>
            <w:shd w:val="clear" w:color="C0C0C0" w:fill="auto"/>
          </w:tcPr>
          <w:p w14:paraId="074215F9" w14:textId="77777777" w:rsidR="00144BD1" w:rsidRDefault="00144BD1" w:rsidP="007D40B5">
            <w:pPr>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14:paraId="0D519893" w14:textId="77777777" w:rsidR="00144BD1" w:rsidRDefault="00144BD1" w:rsidP="007D40B5">
            <w:pPr>
              <w:autoSpaceDE w:val="0"/>
              <w:autoSpaceDN w:val="0"/>
              <w:adjustRightInd w:val="0"/>
              <w:ind w:hanging="40"/>
              <w:rPr>
                <w:b/>
                <w:color w:val="000000"/>
                <w:szCs w:val="22"/>
                <w:u w:val="single"/>
              </w:rPr>
            </w:pPr>
            <w:r>
              <w:rPr>
                <w:b/>
                <w:color w:val="000000"/>
                <w:szCs w:val="22"/>
                <w:u w:val="single"/>
              </w:rPr>
              <w:t>Lead Call Sign</w:t>
            </w:r>
          </w:p>
        </w:tc>
      </w:tr>
      <w:tr w:rsidR="00144BD1" w14:paraId="1E997A1A" w14:textId="77777777" w:rsidTr="00AE744B">
        <w:trPr>
          <w:trHeight w:val="152"/>
        </w:trPr>
        <w:tc>
          <w:tcPr>
            <w:tcW w:w="769" w:type="pct"/>
            <w:shd w:val="clear" w:color="auto" w:fill="auto"/>
          </w:tcPr>
          <w:p w14:paraId="37A23F91" w14:textId="77777777" w:rsidR="00144BD1" w:rsidRPr="006C53BA" w:rsidRDefault="00C21A79" w:rsidP="007D40B5">
            <w:pPr>
              <w:tabs>
                <w:tab w:val="left" w:pos="720"/>
              </w:tabs>
              <w:rPr>
                <w:color w:val="000000"/>
                <w:szCs w:val="22"/>
                <w:shd w:val="clear" w:color="auto" w:fill="F7F5FF"/>
              </w:rPr>
            </w:pPr>
            <w:r>
              <w:rPr>
                <w:szCs w:val="22"/>
              </w:rPr>
              <w:t>0007216619</w:t>
            </w:r>
            <w:r w:rsidR="002366D9" w:rsidRPr="009B5689">
              <w:rPr>
                <w:rStyle w:val="FootnoteReference"/>
                <w:sz w:val="20"/>
              </w:rPr>
              <w:footnoteReference w:id="4"/>
            </w:r>
          </w:p>
        </w:tc>
        <w:tc>
          <w:tcPr>
            <w:tcW w:w="1779" w:type="pct"/>
            <w:shd w:val="clear" w:color="C0C0C0" w:fill="auto"/>
          </w:tcPr>
          <w:p w14:paraId="666D7ACF" w14:textId="77777777" w:rsidR="00144BD1" w:rsidRPr="00000509" w:rsidRDefault="00F030A4" w:rsidP="007D40B5">
            <w:pPr>
              <w:ind w:left="-41"/>
              <w:rPr>
                <w:szCs w:val="22"/>
              </w:rPr>
            </w:pPr>
            <w:r>
              <w:rPr>
                <w:szCs w:val="22"/>
              </w:rPr>
              <w:t>AT&amp;T Mobility Spectrum LLC</w:t>
            </w:r>
          </w:p>
        </w:tc>
        <w:tc>
          <w:tcPr>
            <w:tcW w:w="1683" w:type="pct"/>
            <w:shd w:val="clear" w:color="C0C0C0" w:fill="auto"/>
          </w:tcPr>
          <w:p w14:paraId="110D4EF0" w14:textId="77777777" w:rsidR="00144BD1" w:rsidRPr="00530B3B" w:rsidRDefault="00ED4573" w:rsidP="007D40B5">
            <w:pPr>
              <w:rPr>
                <w:szCs w:val="22"/>
              </w:rPr>
            </w:pPr>
            <w:r>
              <w:rPr>
                <w:szCs w:val="22"/>
              </w:rPr>
              <w:t>USCOC of Richland, I</w:t>
            </w:r>
            <w:r w:rsidR="00FD170A">
              <w:rPr>
                <w:szCs w:val="22"/>
              </w:rPr>
              <w:t>n</w:t>
            </w:r>
            <w:r>
              <w:rPr>
                <w:szCs w:val="22"/>
              </w:rPr>
              <w:t>c.</w:t>
            </w:r>
          </w:p>
        </w:tc>
        <w:tc>
          <w:tcPr>
            <w:tcW w:w="769" w:type="pct"/>
            <w:shd w:val="clear" w:color="C0C0C0" w:fill="auto"/>
          </w:tcPr>
          <w:p w14:paraId="469A0AB4" w14:textId="77777777" w:rsidR="00144BD1" w:rsidRDefault="00FD170A" w:rsidP="007D40B5">
            <w:pPr>
              <w:ind w:hanging="40"/>
              <w:rPr>
                <w:szCs w:val="22"/>
              </w:rPr>
            </w:pPr>
            <w:r>
              <w:rPr>
                <w:szCs w:val="22"/>
              </w:rPr>
              <w:t>KNLG471</w:t>
            </w:r>
          </w:p>
        </w:tc>
      </w:tr>
      <w:tr w:rsidR="00C21A79" w14:paraId="704D99C1" w14:textId="77777777" w:rsidTr="00AE744B">
        <w:trPr>
          <w:trHeight w:hRule="exact" w:val="144"/>
        </w:trPr>
        <w:tc>
          <w:tcPr>
            <w:tcW w:w="769" w:type="pct"/>
            <w:shd w:val="clear" w:color="auto" w:fill="auto"/>
          </w:tcPr>
          <w:p w14:paraId="00EE01B4" w14:textId="77777777" w:rsidR="00C21A79" w:rsidRDefault="00C21A79" w:rsidP="007D40B5">
            <w:pPr>
              <w:tabs>
                <w:tab w:val="left" w:pos="720"/>
              </w:tabs>
              <w:rPr>
                <w:szCs w:val="22"/>
              </w:rPr>
            </w:pPr>
          </w:p>
        </w:tc>
        <w:tc>
          <w:tcPr>
            <w:tcW w:w="1779" w:type="pct"/>
            <w:shd w:val="clear" w:color="C0C0C0" w:fill="auto"/>
          </w:tcPr>
          <w:p w14:paraId="45C40A17" w14:textId="77777777" w:rsidR="00C21A79" w:rsidRDefault="00C21A79" w:rsidP="007D40B5">
            <w:pPr>
              <w:ind w:left="-41"/>
              <w:rPr>
                <w:szCs w:val="22"/>
              </w:rPr>
            </w:pPr>
          </w:p>
        </w:tc>
        <w:tc>
          <w:tcPr>
            <w:tcW w:w="1683" w:type="pct"/>
            <w:shd w:val="clear" w:color="C0C0C0" w:fill="auto"/>
          </w:tcPr>
          <w:p w14:paraId="0CC3FAF0" w14:textId="77777777" w:rsidR="00C21A79" w:rsidRDefault="00C21A79" w:rsidP="007D40B5">
            <w:pPr>
              <w:rPr>
                <w:szCs w:val="22"/>
              </w:rPr>
            </w:pPr>
          </w:p>
        </w:tc>
        <w:tc>
          <w:tcPr>
            <w:tcW w:w="769" w:type="pct"/>
            <w:shd w:val="clear" w:color="C0C0C0" w:fill="auto"/>
          </w:tcPr>
          <w:p w14:paraId="557E7B50" w14:textId="77777777" w:rsidR="00C21A79" w:rsidRDefault="00C21A79" w:rsidP="007D40B5">
            <w:pPr>
              <w:ind w:hanging="40"/>
              <w:rPr>
                <w:szCs w:val="22"/>
              </w:rPr>
            </w:pPr>
          </w:p>
        </w:tc>
      </w:tr>
      <w:tr w:rsidR="00C21A79" w14:paraId="50E68C29" w14:textId="77777777" w:rsidTr="00AE744B">
        <w:trPr>
          <w:trHeight w:val="152"/>
        </w:trPr>
        <w:tc>
          <w:tcPr>
            <w:tcW w:w="769" w:type="pct"/>
            <w:shd w:val="clear" w:color="auto" w:fill="auto"/>
          </w:tcPr>
          <w:p w14:paraId="6C107E51" w14:textId="77777777" w:rsidR="00C21A79" w:rsidRDefault="00C21A79" w:rsidP="007D40B5">
            <w:pPr>
              <w:tabs>
                <w:tab w:val="left" w:pos="720"/>
              </w:tabs>
              <w:rPr>
                <w:szCs w:val="22"/>
              </w:rPr>
            </w:pPr>
            <w:r>
              <w:rPr>
                <w:szCs w:val="22"/>
              </w:rPr>
              <w:t>0007217010</w:t>
            </w:r>
          </w:p>
        </w:tc>
        <w:tc>
          <w:tcPr>
            <w:tcW w:w="1779" w:type="pct"/>
            <w:shd w:val="clear" w:color="C0C0C0" w:fill="auto"/>
          </w:tcPr>
          <w:p w14:paraId="4FCAD758" w14:textId="77777777" w:rsidR="00C21A79" w:rsidRDefault="00F47B63" w:rsidP="007D40B5">
            <w:pPr>
              <w:ind w:left="-41"/>
              <w:rPr>
                <w:szCs w:val="22"/>
              </w:rPr>
            </w:pPr>
            <w:r>
              <w:rPr>
                <w:szCs w:val="22"/>
              </w:rPr>
              <w:t>New Cingular Wireless PCS, LLC</w:t>
            </w:r>
          </w:p>
        </w:tc>
        <w:tc>
          <w:tcPr>
            <w:tcW w:w="1683" w:type="pct"/>
            <w:shd w:val="clear" w:color="C0C0C0" w:fill="auto"/>
          </w:tcPr>
          <w:p w14:paraId="33B436CB" w14:textId="77777777" w:rsidR="00C21A79" w:rsidRDefault="00F47B63" w:rsidP="007D40B5">
            <w:pPr>
              <w:rPr>
                <w:szCs w:val="22"/>
              </w:rPr>
            </w:pPr>
            <w:r>
              <w:rPr>
                <w:szCs w:val="22"/>
              </w:rPr>
              <w:t>Indiana RSA No. 4 Limited Partnership</w:t>
            </w:r>
          </w:p>
        </w:tc>
        <w:tc>
          <w:tcPr>
            <w:tcW w:w="769" w:type="pct"/>
            <w:shd w:val="clear" w:color="C0C0C0" w:fill="auto"/>
          </w:tcPr>
          <w:p w14:paraId="23A6CBD6" w14:textId="77777777" w:rsidR="00C21A79" w:rsidRDefault="00F47B63" w:rsidP="007D40B5">
            <w:pPr>
              <w:ind w:hanging="40"/>
              <w:rPr>
                <w:szCs w:val="22"/>
              </w:rPr>
            </w:pPr>
            <w:r>
              <w:rPr>
                <w:szCs w:val="22"/>
              </w:rPr>
              <w:t>WQGT880</w:t>
            </w:r>
          </w:p>
        </w:tc>
      </w:tr>
      <w:tr w:rsidR="00C21A79" w14:paraId="1C4AF0C0" w14:textId="77777777" w:rsidTr="00AE744B">
        <w:trPr>
          <w:trHeight w:hRule="exact" w:val="144"/>
        </w:trPr>
        <w:tc>
          <w:tcPr>
            <w:tcW w:w="769" w:type="pct"/>
            <w:shd w:val="clear" w:color="auto" w:fill="auto"/>
          </w:tcPr>
          <w:p w14:paraId="379BDC4F" w14:textId="77777777" w:rsidR="00C21A79" w:rsidRDefault="00C21A79" w:rsidP="007D40B5">
            <w:pPr>
              <w:tabs>
                <w:tab w:val="left" w:pos="720"/>
              </w:tabs>
              <w:rPr>
                <w:szCs w:val="22"/>
              </w:rPr>
            </w:pPr>
          </w:p>
        </w:tc>
        <w:tc>
          <w:tcPr>
            <w:tcW w:w="1779" w:type="pct"/>
            <w:shd w:val="clear" w:color="C0C0C0" w:fill="auto"/>
          </w:tcPr>
          <w:p w14:paraId="715F8D40" w14:textId="77777777" w:rsidR="00C21A79" w:rsidRDefault="00C21A79" w:rsidP="007D40B5">
            <w:pPr>
              <w:ind w:left="-41"/>
              <w:rPr>
                <w:szCs w:val="22"/>
              </w:rPr>
            </w:pPr>
          </w:p>
        </w:tc>
        <w:tc>
          <w:tcPr>
            <w:tcW w:w="1683" w:type="pct"/>
            <w:shd w:val="clear" w:color="C0C0C0" w:fill="auto"/>
          </w:tcPr>
          <w:p w14:paraId="79BAC62F" w14:textId="77777777" w:rsidR="00C21A79" w:rsidRDefault="00C21A79" w:rsidP="007D40B5">
            <w:pPr>
              <w:rPr>
                <w:szCs w:val="22"/>
              </w:rPr>
            </w:pPr>
          </w:p>
        </w:tc>
        <w:tc>
          <w:tcPr>
            <w:tcW w:w="769" w:type="pct"/>
            <w:shd w:val="clear" w:color="C0C0C0" w:fill="auto"/>
          </w:tcPr>
          <w:p w14:paraId="0D51F5AF" w14:textId="77777777" w:rsidR="00C21A79" w:rsidRDefault="00C21A79" w:rsidP="007D40B5">
            <w:pPr>
              <w:ind w:hanging="40"/>
              <w:rPr>
                <w:szCs w:val="22"/>
              </w:rPr>
            </w:pPr>
          </w:p>
        </w:tc>
      </w:tr>
      <w:tr w:rsidR="00C21A79" w14:paraId="6135C3F8" w14:textId="77777777" w:rsidTr="00AE744B">
        <w:trPr>
          <w:trHeight w:val="152"/>
        </w:trPr>
        <w:tc>
          <w:tcPr>
            <w:tcW w:w="769" w:type="pct"/>
            <w:shd w:val="clear" w:color="auto" w:fill="auto"/>
          </w:tcPr>
          <w:p w14:paraId="0202B5BE" w14:textId="77777777" w:rsidR="00C21A79" w:rsidRDefault="00C21A79" w:rsidP="007D40B5">
            <w:pPr>
              <w:tabs>
                <w:tab w:val="left" w:pos="720"/>
              </w:tabs>
              <w:rPr>
                <w:szCs w:val="22"/>
              </w:rPr>
            </w:pPr>
            <w:r>
              <w:rPr>
                <w:szCs w:val="22"/>
              </w:rPr>
              <w:t>0007217079</w:t>
            </w:r>
          </w:p>
        </w:tc>
        <w:tc>
          <w:tcPr>
            <w:tcW w:w="1779" w:type="pct"/>
            <w:shd w:val="clear" w:color="C0C0C0" w:fill="auto"/>
          </w:tcPr>
          <w:p w14:paraId="3D02F225" w14:textId="77777777" w:rsidR="00C21A79" w:rsidRDefault="004314FA" w:rsidP="007D40B5">
            <w:pPr>
              <w:ind w:left="-41"/>
              <w:rPr>
                <w:szCs w:val="22"/>
              </w:rPr>
            </w:pPr>
            <w:r>
              <w:rPr>
                <w:szCs w:val="22"/>
              </w:rPr>
              <w:t>New Cingular Wireless PCS, LLC</w:t>
            </w:r>
          </w:p>
        </w:tc>
        <w:tc>
          <w:tcPr>
            <w:tcW w:w="1683" w:type="pct"/>
            <w:shd w:val="clear" w:color="C0C0C0" w:fill="auto"/>
          </w:tcPr>
          <w:p w14:paraId="35105128" w14:textId="77777777" w:rsidR="00C21A79" w:rsidRDefault="004314FA" w:rsidP="007D40B5">
            <w:pPr>
              <w:rPr>
                <w:szCs w:val="22"/>
              </w:rPr>
            </w:pPr>
            <w:r>
              <w:rPr>
                <w:szCs w:val="22"/>
              </w:rPr>
              <w:t>USCOC of Greater North Carolina, LLC</w:t>
            </w:r>
          </w:p>
        </w:tc>
        <w:tc>
          <w:tcPr>
            <w:tcW w:w="769" w:type="pct"/>
            <w:shd w:val="clear" w:color="C0C0C0" w:fill="auto"/>
          </w:tcPr>
          <w:p w14:paraId="4E064299" w14:textId="77777777" w:rsidR="00C21A79" w:rsidRDefault="004314FA" w:rsidP="007D40B5">
            <w:pPr>
              <w:ind w:hanging="40"/>
              <w:rPr>
                <w:szCs w:val="22"/>
              </w:rPr>
            </w:pPr>
            <w:r>
              <w:rPr>
                <w:szCs w:val="22"/>
              </w:rPr>
              <w:t>WQGD746</w:t>
            </w:r>
          </w:p>
        </w:tc>
      </w:tr>
      <w:tr w:rsidR="00C21A79" w14:paraId="572838CF" w14:textId="77777777" w:rsidTr="00AE744B">
        <w:trPr>
          <w:trHeight w:hRule="exact" w:val="144"/>
        </w:trPr>
        <w:tc>
          <w:tcPr>
            <w:tcW w:w="769" w:type="pct"/>
            <w:shd w:val="clear" w:color="auto" w:fill="auto"/>
          </w:tcPr>
          <w:p w14:paraId="66ABD982" w14:textId="77777777" w:rsidR="00C21A79" w:rsidRDefault="00C21A79" w:rsidP="007D40B5">
            <w:pPr>
              <w:tabs>
                <w:tab w:val="left" w:pos="720"/>
              </w:tabs>
              <w:rPr>
                <w:szCs w:val="22"/>
              </w:rPr>
            </w:pPr>
          </w:p>
        </w:tc>
        <w:tc>
          <w:tcPr>
            <w:tcW w:w="1779" w:type="pct"/>
            <w:shd w:val="clear" w:color="C0C0C0" w:fill="auto"/>
          </w:tcPr>
          <w:p w14:paraId="69C436F3" w14:textId="77777777" w:rsidR="00C21A79" w:rsidRDefault="00C21A79" w:rsidP="007D40B5">
            <w:pPr>
              <w:ind w:left="-41"/>
              <w:rPr>
                <w:szCs w:val="22"/>
              </w:rPr>
            </w:pPr>
          </w:p>
        </w:tc>
        <w:tc>
          <w:tcPr>
            <w:tcW w:w="1683" w:type="pct"/>
            <w:shd w:val="clear" w:color="C0C0C0" w:fill="auto"/>
          </w:tcPr>
          <w:p w14:paraId="277D099B" w14:textId="77777777" w:rsidR="00C21A79" w:rsidRDefault="00C21A79" w:rsidP="007D40B5">
            <w:pPr>
              <w:rPr>
                <w:szCs w:val="22"/>
              </w:rPr>
            </w:pPr>
          </w:p>
        </w:tc>
        <w:tc>
          <w:tcPr>
            <w:tcW w:w="769" w:type="pct"/>
            <w:shd w:val="clear" w:color="C0C0C0" w:fill="auto"/>
          </w:tcPr>
          <w:p w14:paraId="02E6466B" w14:textId="77777777" w:rsidR="00C21A79" w:rsidRDefault="00C21A79" w:rsidP="007D40B5">
            <w:pPr>
              <w:ind w:hanging="40"/>
              <w:rPr>
                <w:szCs w:val="22"/>
              </w:rPr>
            </w:pPr>
          </w:p>
        </w:tc>
      </w:tr>
      <w:tr w:rsidR="00C21A79" w14:paraId="77BF24AA" w14:textId="77777777" w:rsidTr="00AE744B">
        <w:trPr>
          <w:trHeight w:val="152"/>
        </w:trPr>
        <w:tc>
          <w:tcPr>
            <w:tcW w:w="769" w:type="pct"/>
            <w:shd w:val="clear" w:color="auto" w:fill="auto"/>
          </w:tcPr>
          <w:p w14:paraId="3D18310C" w14:textId="77777777" w:rsidR="00C21A79" w:rsidRDefault="00C21A79" w:rsidP="007D40B5">
            <w:pPr>
              <w:tabs>
                <w:tab w:val="left" w:pos="720"/>
              </w:tabs>
              <w:rPr>
                <w:szCs w:val="22"/>
              </w:rPr>
            </w:pPr>
            <w:r>
              <w:rPr>
                <w:szCs w:val="22"/>
              </w:rPr>
              <w:t>0007217111</w:t>
            </w:r>
          </w:p>
        </w:tc>
        <w:tc>
          <w:tcPr>
            <w:tcW w:w="1779" w:type="pct"/>
            <w:shd w:val="clear" w:color="C0C0C0" w:fill="auto"/>
          </w:tcPr>
          <w:p w14:paraId="641E6DA7" w14:textId="77777777" w:rsidR="00C21A79" w:rsidRDefault="004314FA" w:rsidP="007D40B5">
            <w:pPr>
              <w:ind w:left="-41"/>
              <w:rPr>
                <w:szCs w:val="22"/>
              </w:rPr>
            </w:pPr>
            <w:r>
              <w:rPr>
                <w:szCs w:val="22"/>
              </w:rPr>
              <w:t>New Cingular Wireless PCS, LLC</w:t>
            </w:r>
          </w:p>
        </w:tc>
        <w:tc>
          <w:tcPr>
            <w:tcW w:w="1683" w:type="pct"/>
            <w:shd w:val="clear" w:color="C0C0C0" w:fill="auto"/>
          </w:tcPr>
          <w:p w14:paraId="7E6186C4" w14:textId="77777777" w:rsidR="00C21A79" w:rsidRDefault="004314FA" w:rsidP="007D40B5">
            <w:pPr>
              <w:rPr>
                <w:szCs w:val="22"/>
              </w:rPr>
            </w:pPr>
            <w:r>
              <w:rPr>
                <w:szCs w:val="22"/>
              </w:rPr>
              <w:t>United States Cellular Operating Company of Chicago, LLC</w:t>
            </w:r>
          </w:p>
        </w:tc>
        <w:tc>
          <w:tcPr>
            <w:tcW w:w="769" w:type="pct"/>
            <w:shd w:val="clear" w:color="C0C0C0" w:fill="auto"/>
          </w:tcPr>
          <w:p w14:paraId="7E7C0B01" w14:textId="77777777" w:rsidR="00C21A79" w:rsidRDefault="004314FA" w:rsidP="007D40B5">
            <w:pPr>
              <w:ind w:hanging="40"/>
              <w:rPr>
                <w:szCs w:val="22"/>
              </w:rPr>
            </w:pPr>
            <w:r>
              <w:rPr>
                <w:szCs w:val="22"/>
              </w:rPr>
              <w:t>WQGD747</w:t>
            </w:r>
          </w:p>
        </w:tc>
      </w:tr>
      <w:tr w:rsidR="00C21A79" w14:paraId="05DEA6D5" w14:textId="77777777" w:rsidTr="00AE744B">
        <w:trPr>
          <w:trHeight w:hRule="exact" w:val="144"/>
        </w:trPr>
        <w:tc>
          <w:tcPr>
            <w:tcW w:w="769" w:type="pct"/>
            <w:shd w:val="clear" w:color="auto" w:fill="auto"/>
          </w:tcPr>
          <w:p w14:paraId="7AEE7EF9" w14:textId="77777777" w:rsidR="00C21A79" w:rsidRDefault="00C21A79" w:rsidP="007D40B5">
            <w:pPr>
              <w:tabs>
                <w:tab w:val="left" w:pos="720"/>
              </w:tabs>
              <w:rPr>
                <w:szCs w:val="22"/>
              </w:rPr>
            </w:pPr>
          </w:p>
        </w:tc>
        <w:tc>
          <w:tcPr>
            <w:tcW w:w="1779" w:type="pct"/>
            <w:shd w:val="clear" w:color="C0C0C0" w:fill="auto"/>
          </w:tcPr>
          <w:p w14:paraId="2A8A01FB" w14:textId="77777777" w:rsidR="00C21A79" w:rsidRDefault="00C21A79" w:rsidP="007D40B5">
            <w:pPr>
              <w:ind w:left="-41"/>
              <w:rPr>
                <w:szCs w:val="22"/>
              </w:rPr>
            </w:pPr>
          </w:p>
        </w:tc>
        <w:tc>
          <w:tcPr>
            <w:tcW w:w="1683" w:type="pct"/>
            <w:shd w:val="clear" w:color="C0C0C0" w:fill="auto"/>
          </w:tcPr>
          <w:p w14:paraId="0B7AC6D7" w14:textId="77777777" w:rsidR="00C21A79" w:rsidRDefault="00C21A79" w:rsidP="007D40B5">
            <w:pPr>
              <w:rPr>
                <w:szCs w:val="22"/>
              </w:rPr>
            </w:pPr>
          </w:p>
        </w:tc>
        <w:tc>
          <w:tcPr>
            <w:tcW w:w="769" w:type="pct"/>
            <w:shd w:val="clear" w:color="C0C0C0" w:fill="auto"/>
          </w:tcPr>
          <w:p w14:paraId="002AD29E" w14:textId="77777777" w:rsidR="00C21A79" w:rsidRDefault="00C21A79" w:rsidP="007D40B5">
            <w:pPr>
              <w:ind w:hanging="40"/>
              <w:rPr>
                <w:szCs w:val="22"/>
              </w:rPr>
            </w:pPr>
          </w:p>
        </w:tc>
      </w:tr>
      <w:tr w:rsidR="00C21A79" w14:paraId="018A0F87" w14:textId="77777777" w:rsidTr="00AE744B">
        <w:trPr>
          <w:trHeight w:val="152"/>
        </w:trPr>
        <w:tc>
          <w:tcPr>
            <w:tcW w:w="769" w:type="pct"/>
            <w:shd w:val="clear" w:color="auto" w:fill="auto"/>
          </w:tcPr>
          <w:p w14:paraId="49B2EC08" w14:textId="77777777" w:rsidR="00C21A79" w:rsidRDefault="00C21A79" w:rsidP="007D40B5">
            <w:pPr>
              <w:tabs>
                <w:tab w:val="left" w:pos="720"/>
              </w:tabs>
              <w:rPr>
                <w:szCs w:val="22"/>
              </w:rPr>
            </w:pPr>
            <w:r>
              <w:rPr>
                <w:szCs w:val="22"/>
              </w:rPr>
              <w:t>0007218589</w:t>
            </w:r>
          </w:p>
        </w:tc>
        <w:tc>
          <w:tcPr>
            <w:tcW w:w="1779" w:type="pct"/>
            <w:shd w:val="clear" w:color="C0C0C0" w:fill="auto"/>
          </w:tcPr>
          <w:p w14:paraId="7015CF06" w14:textId="77777777" w:rsidR="00C21A79" w:rsidRDefault="00574173" w:rsidP="007D40B5">
            <w:pPr>
              <w:ind w:left="-41"/>
              <w:rPr>
                <w:szCs w:val="22"/>
              </w:rPr>
            </w:pPr>
            <w:r>
              <w:rPr>
                <w:szCs w:val="22"/>
              </w:rPr>
              <w:t>USCOC of Central Illinois, LLC</w:t>
            </w:r>
          </w:p>
        </w:tc>
        <w:tc>
          <w:tcPr>
            <w:tcW w:w="1683" w:type="pct"/>
            <w:shd w:val="clear" w:color="C0C0C0" w:fill="auto"/>
          </w:tcPr>
          <w:p w14:paraId="0FB40441" w14:textId="77777777" w:rsidR="00C21A79" w:rsidRDefault="00574173" w:rsidP="007D40B5">
            <w:pPr>
              <w:rPr>
                <w:szCs w:val="22"/>
              </w:rPr>
            </w:pPr>
            <w:r>
              <w:rPr>
                <w:szCs w:val="22"/>
              </w:rPr>
              <w:t>AT&amp;T Mobility Spectrum LLC</w:t>
            </w:r>
          </w:p>
        </w:tc>
        <w:tc>
          <w:tcPr>
            <w:tcW w:w="769" w:type="pct"/>
            <w:shd w:val="clear" w:color="C0C0C0" w:fill="auto"/>
          </w:tcPr>
          <w:p w14:paraId="0813FAD2" w14:textId="77777777" w:rsidR="00C21A79" w:rsidRDefault="00923F83" w:rsidP="007D40B5">
            <w:pPr>
              <w:ind w:hanging="40"/>
              <w:rPr>
                <w:szCs w:val="22"/>
              </w:rPr>
            </w:pPr>
            <w:r>
              <w:rPr>
                <w:szCs w:val="22"/>
              </w:rPr>
              <w:t>WPWV468</w:t>
            </w:r>
          </w:p>
        </w:tc>
      </w:tr>
      <w:tr w:rsidR="00C21A79" w14:paraId="05944281" w14:textId="77777777" w:rsidTr="00AE744B">
        <w:trPr>
          <w:trHeight w:hRule="exact" w:val="144"/>
        </w:trPr>
        <w:tc>
          <w:tcPr>
            <w:tcW w:w="769" w:type="pct"/>
            <w:shd w:val="clear" w:color="auto" w:fill="auto"/>
          </w:tcPr>
          <w:p w14:paraId="28825B3A" w14:textId="77777777" w:rsidR="00C21A79" w:rsidRDefault="00C21A79" w:rsidP="007D40B5">
            <w:pPr>
              <w:tabs>
                <w:tab w:val="left" w:pos="720"/>
              </w:tabs>
              <w:rPr>
                <w:szCs w:val="22"/>
              </w:rPr>
            </w:pPr>
          </w:p>
        </w:tc>
        <w:tc>
          <w:tcPr>
            <w:tcW w:w="1779" w:type="pct"/>
            <w:shd w:val="clear" w:color="C0C0C0" w:fill="auto"/>
          </w:tcPr>
          <w:p w14:paraId="2BF287DB" w14:textId="77777777" w:rsidR="00C21A79" w:rsidRDefault="00C21A79" w:rsidP="007D40B5">
            <w:pPr>
              <w:ind w:left="-41"/>
              <w:rPr>
                <w:szCs w:val="22"/>
              </w:rPr>
            </w:pPr>
          </w:p>
        </w:tc>
        <w:tc>
          <w:tcPr>
            <w:tcW w:w="1683" w:type="pct"/>
            <w:shd w:val="clear" w:color="C0C0C0" w:fill="auto"/>
          </w:tcPr>
          <w:p w14:paraId="12529BFD" w14:textId="77777777" w:rsidR="00C21A79" w:rsidRDefault="00C21A79" w:rsidP="007D40B5">
            <w:pPr>
              <w:rPr>
                <w:szCs w:val="22"/>
              </w:rPr>
            </w:pPr>
          </w:p>
        </w:tc>
        <w:tc>
          <w:tcPr>
            <w:tcW w:w="769" w:type="pct"/>
            <w:shd w:val="clear" w:color="C0C0C0" w:fill="auto"/>
          </w:tcPr>
          <w:p w14:paraId="0636F651" w14:textId="77777777" w:rsidR="00C21A79" w:rsidRDefault="00C21A79" w:rsidP="007D40B5">
            <w:pPr>
              <w:ind w:hanging="40"/>
              <w:rPr>
                <w:szCs w:val="22"/>
              </w:rPr>
            </w:pPr>
          </w:p>
        </w:tc>
      </w:tr>
      <w:tr w:rsidR="00C21A79" w14:paraId="4EEB9271" w14:textId="77777777" w:rsidTr="00AE744B">
        <w:trPr>
          <w:trHeight w:val="152"/>
        </w:trPr>
        <w:tc>
          <w:tcPr>
            <w:tcW w:w="769" w:type="pct"/>
            <w:shd w:val="clear" w:color="auto" w:fill="auto"/>
          </w:tcPr>
          <w:p w14:paraId="23C80C1F" w14:textId="77777777" w:rsidR="00C21A79" w:rsidRDefault="00C21A79" w:rsidP="007D40B5">
            <w:pPr>
              <w:tabs>
                <w:tab w:val="left" w:pos="720"/>
              </w:tabs>
              <w:rPr>
                <w:szCs w:val="22"/>
              </w:rPr>
            </w:pPr>
            <w:r>
              <w:rPr>
                <w:szCs w:val="22"/>
              </w:rPr>
              <w:t>0007218591</w:t>
            </w:r>
          </w:p>
        </w:tc>
        <w:tc>
          <w:tcPr>
            <w:tcW w:w="1779" w:type="pct"/>
            <w:shd w:val="clear" w:color="C0C0C0" w:fill="auto"/>
          </w:tcPr>
          <w:p w14:paraId="4C85B466" w14:textId="77777777" w:rsidR="00C21A79" w:rsidRDefault="0020282B" w:rsidP="007D40B5">
            <w:pPr>
              <w:ind w:left="-41"/>
              <w:rPr>
                <w:szCs w:val="22"/>
              </w:rPr>
            </w:pPr>
            <w:r>
              <w:rPr>
                <w:szCs w:val="22"/>
              </w:rPr>
              <w:t>Indiana RSA No. 4 Limited Partnership</w:t>
            </w:r>
          </w:p>
        </w:tc>
        <w:tc>
          <w:tcPr>
            <w:tcW w:w="1683" w:type="pct"/>
            <w:shd w:val="clear" w:color="C0C0C0" w:fill="auto"/>
          </w:tcPr>
          <w:p w14:paraId="406698EA" w14:textId="77777777" w:rsidR="00C21A79" w:rsidRDefault="0020282B" w:rsidP="007D40B5">
            <w:pPr>
              <w:rPr>
                <w:szCs w:val="22"/>
              </w:rPr>
            </w:pPr>
            <w:r>
              <w:rPr>
                <w:szCs w:val="22"/>
              </w:rPr>
              <w:t>AT&amp;T Mobility Spectrum LLC</w:t>
            </w:r>
          </w:p>
        </w:tc>
        <w:tc>
          <w:tcPr>
            <w:tcW w:w="769" w:type="pct"/>
            <w:shd w:val="clear" w:color="C0C0C0" w:fill="auto"/>
          </w:tcPr>
          <w:p w14:paraId="3B0521B9" w14:textId="77777777" w:rsidR="00C21A79" w:rsidRDefault="00C448AC" w:rsidP="007D40B5">
            <w:pPr>
              <w:ind w:hanging="40"/>
              <w:rPr>
                <w:szCs w:val="22"/>
              </w:rPr>
            </w:pPr>
            <w:r>
              <w:rPr>
                <w:szCs w:val="22"/>
              </w:rPr>
              <w:t>WQBQ607</w:t>
            </w:r>
          </w:p>
        </w:tc>
      </w:tr>
      <w:tr w:rsidR="00C21A79" w14:paraId="6C297D1E" w14:textId="77777777" w:rsidTr="00AE744B">
        <w:trPr>
          <w:trHeight w:hRule="exact" w:val="144"/>
        </w:trPr>
        <w:tc>
          <w:tcPr>
            <w:tcW w:w="769" w:type="pct"/>
            <w:shd w:val="clear" w:color="auto" w:fill="auto"/>
          </w:tcPr>
          <w:p w14:paraId="3E5DE9E5" w14:textId="77777777" w:rsidR="00C21A79" w:rsidRDefault="00C21A79" w:rsidP="007D40B5">
            <w:pPr>
              <w:tabs>
                <w:tab w:val="left" w:pos="720"/>
              </w:tabs>
              <w:rPr>
                <w:szCs w:val="22"/>
              </w:rPr>
            </w:pPr>
          </w:p>
        </w:tc>
        <w:tc>
          <w:tcPr>
            <w:tcW w:w="1779" w:type="pct"/>
            <w:shd w:val="clear" w:color="C0C0C0" w:fill="auto"/>
          </w:tcPr>
          <w:p w14:paraId="33E2BECC" w14:textId="77777777" w:rsidR="00C21A79" w:rsidRDefault="00C21A79" w:rsidP="007D40B5">
            <w:pPr>
              <w:ind w:left="-41"/>
              <w:rPr>
                <w:szCs w:val="22"/>
              </w:rPr>
            </w:pPr>
          </w:p>
        </w:tc>
        <w:tc>
          <w:tcPr>
            <w:tcW w:w="1683" w:type="pct"/>
            <w:shd w:val="clear" w:color="C0C0C0" w:fill="auto"/>
          </w:tcPr>
          <w:p w14:paraId="1CBE7253" w14:textId="77777777" w:rsidR="00C21A79" w:rsidRDefault="00C21A79" w:rsidP="007D40B5">
            <w:pPr>
              <w:rPr>
                <w:szCs w:val="22"/>
              </w:rPr>
            </w:pPr>
          </w:p>
        </w:tc>
        <w:tc>
          <w:tcPr>
            <w:tcW w:w="769" w:type="pct"/>
            <w:shd w:val="clear" w:color="C0C0C0" w:fill="auto"/>
          </w:tcPr>
          <w:p w14:paraId="5134A84D" w14:textId="77777777" w:rsidR="00C21A79" w:rsidRDefault="00C21A79" w:rsidP="007D40B5">
            <w:pPr>
              <w:ind w:hanging="40"/>
              <w:rPr>
                <w:szCs w:val="22"/>
              </w:rPr>
            </w:pPr>
          </w:p>
        </w:tc>
      </w:tr>
      <w:tr w:rsidR="00C21A79" w14:paraId="59D43428" w14:textId="77777777" w:rsidTr="00AE744B">
        <w:trPr>
          <w:trHeight w:val="152"/>
        </w:trPr>
        <w:tc>
          <w:tcPr>
            <w:tcW w:w="769" w:type="pct"/>
            <w:shd w:val="clear" w:color="auto" w:fill="auto"/>
          </w:tcPr>
          <w:p w14:paraId="0EB1DE5D" w14:textId="77777777" w:rsidR="00C21A79" w:rsidRDefault="00C21A79" w:rsidP="007D40B5">
            <w:pPr>
              <w:tabs>
                <w:tab w:val="left" w:pos="720"/>
              </w:tabs>
              <w:rPr>
                <w:szCs w:val="22"/>
              </w:rPr>
            </w:pPr>
            <w:r>
              <w:rPr>
                <w:szCs w:val="22"/>
              </w:rPr>
              <w:t>0007218595</w:t>
            </w:r>
          </w:p>
        </w:tc>
        <w:tc>
          <w:tcPr>
            <w:tcW w:w="1779" w:type="pct"/>
            <w:shd w:val="clear" w:color="C0C0C0" w:fill="auto"/>
          </w:tcPr>
          <w:p w14:paraId="58AC5001" w14:textId="77777777" w:rsidR="00C21A79" w:rsidRDefault="00221305" w:rsidP="007D40B5">
            <w:pPr>
              <w:ind w:left="-41"/>
              <w:rPr>
                <w:szCs w:val="22"/>
              </w:rPr>
            </w:pPr>
            <w:r>
              <w:rPr>
                <w:szCs w:val="22"/>
              </w:rPr>
              <w:t>United States Cellular Operating Company of Chicago, LLC</w:t>
            </w:r>
          </w:p>
        </w:tc>
        <w:tc>
          <w:tcPr>
            <w:tcW w:w="1683" w:type="pct"/>
            <w:shd w:val="clear" w:color="C0C0C0" w:fill="auto"/>
          </w:tcPr>
          <w:p w14:paraId="6586155F" w14:textId="77777777" w:rsidR="00C21A79" w:rsidRDefault="005E533B" w:rsidP="007D40B5">
            <w:pPr>
              <w:rPr>
                <w:szCs w:val="22"/>
              </w:rPr>
            </w:pPr>
            <w:r>
              <w:rPr>
                <w:szCs w:val="22"/>
              </w:rPr>
              <w:t>AT&amp;T Mobility Spectrum LLC</w:t>
            </w:r>
          </w:p>
        </w:tc>
        <w:tc>
          <w:tcPr>
            <w:tcW w:w="769" w:type="pct"/>
            <w:shd w:val="clear" w:color="C0C0C0" w:fill="auto"/>
          </w:tcPr>
          <w:p w14:paraId="63EEC3A3" w14:textId="77777777" w:rsidR="00C21A79" w:rsidRDefault="005E533B" w:rsidP="007D40B5">
            <w:pPr>
              <w:rPr>
                <w:szCs w:val="22"/>
              </w:rPr>
            </w:pPr>
            <w:r>
              <w:rPr>
                <w:szCs w:val="22"/>
              </w:rPr>
              <w:t>WQJQ743</w:t>
            </w:r>
          </w:p>
        </w:tc>
      </w:tr>
      <w:tr w:rsidR="00C21A79" w14:paraId="3629295E" w14:textId="77777777" w:rsidTr="00AE744B">
        <w:trPr>
          <w:trHeight w:hRule="exact" w:val="144"/>
        </w:trPr>
        <w:tc>
          <w:tcPr>
            <w:tcW w:w="769" w:type="pct"/>
            <w:shd w:val="clear" w:color="auto" w:fill="auto"/>
          </w:tcPr>
          <w:p w14:paraId="3CE1CA9B" w14:textId="77777777" w:rsidR="00C21A79" w:rsidRDefault="00C21A79" w:rsidP="007D40B5">
            <w:pPr>
              <w:tabs>
                <w:tab w:val="left" w:pos="720"/>
              </w:tabs>
              <w:rPr>
                <w:szCs w:val="22"/>
              </w:rPr>
            </w:pPr>
          </w:p>
        </w:tc>
        <w:tc>
          <w:tcPr>
            <w:tcW w:w="1779" w:type="pct"/>
            <w:shd w:val="clear" w:color="C0C0C0" w:fill="auto"/>
          </w:tcPr>
          <w:p w14:paraId="3D26819D" w14:textId="77777777" w:rsidR="00C21A79" w:rsidRDefault="00C21A79" w:rsidP="007D40B5">
            <w:pPr>
              <w:ind w:left="-41"/>
              <w:rPr>
                <w:szCs w:val="22"/>
              </w:rPr>
            </w:pPr>
          </w:p>
        </w:tc>
        <w:tc>
          <w:tcPr>
            <w:tcW w:w="1683" w:type="pct"/>
            <w:shd w:val="clear" w:color="C0C0C0" w:fill="auto"/>
          </w:tcPr>
          <w:p w14:paraId="09472DB1" w14:textId="77777777" w:rsidR="00C21A79" w:rsidRDefault="00C21A79" w:rsidP="007D40B5">
            <w:pPr>
              <w:rPr>
                <w:szCs w:val="22"/>
              </w:rPr>
            </w:pPr>
          </w:p>
        </w:tc>
        <w:tc>
          <w:tcPr>
            <w:tcW w:w="769" w:type="pct"/>
            <w:shd w:val="clear" w:color="C0C0C0" w:fill="auto"/>
          </w:tcPr>
          <w:p w14:paraId="0AB0A7FC" w14:textId="77777777" w:rsidR="00C21A79" w:rsidRDefault="00C21A79" w:rsidP="007D40B5">
            <w:pPr>
              <w:ind w:hanging="40"/>
              <w:rPr>
                <w:szCs w:val="22"/>
              </w:rPr>
            </w:pPr>
          </w:p>
        </w:tc>
      </w:tr>
      <w:tr w:rsidR="00C21A79" w14:paraId="13AC3923" w14:textId="77777777" w:rsidTr="00AE744B">
        <w:trPr>
          <w:trHeight w:val="152"/>
        </w:trPr>
        <w:tc>
          <w:tcPr>
            <w:tcW w:w="769" w:type="pct"/>
            <w:shd w:val="clear" w:color="auto" w:fill="auto"/>
          </w:tcPr>
          <w:p w14:paraId="6424C52D" w14:textId="77777777" w:rsidR="00C21A79" w:rsidRDefault="00C21A79" w:rsidP="007D40B5">
            <w:pPr>
              <w:tabs>
                <w:tab w:val="left" w:pos="720"/>
              </w:tabs>
              <w:rPr>
                <w:szCs w:val="22"/>
              </w:rPr>
            </w:pPr>
            <w:r>
              <w:rPr>
                <w:szCs w:val="22"/>
              </w:rPr>
              <w:t>0007218599</w:t>
            </w:r>
          </w:p>
        </w:tc>
        <w:tc>
          <w:tcPr>
            <w:tcW w:w="1779" w:type="pct"/>
            <w:shd w:val="clear" w:color="C0C0C0" w:fill="auto"/>
          </w:tcPr>
          <w:p w14:paraId="71AD3ADE" w14:textId="77777777" w:rsidR="00C21A79" w:rsidRDefault="005E533B" w:rsidP="007D40B5">
            <w:pPr>
              <w:ind w:left="-41"/>
              <w:rPr>
                <w:szCs w:val="22"/>
              </w:rPr>
            </w:pPr>
            <w:r>
              <w:rPr>
                <w:szCs w:val="22"/>
              </w:rPr>
              <w:t>Oregon RSA #2, Inc.</w:t>
            </w:r>
          </w:p>
        </w:tc>
        <w:tc>
          <w:tcPr>
            <w:tcW w:w="1683" w:type="pct"/>
            <w:shd w:val="clear" w:color="C0C0C0" w:fill="auto"/>
          </w:tcPr>
          <w:p w14:paraId="1DB84997" w14:textId="77777777" w:rsidR="00C21A79" w:rsidRDefault="005E533B" w:rsidP="007D40B5">
            <w:pPr>
              <w:rPr>
                <w:szCs w:val="22"/>
              </w:rPr>
            </w:pPr>
            <w:r>
              <w:rPr>
                <w:szCs w:val="22"/>
              </w:rPr>
              <w:t>New Cingular Wireless PCS, LLC</w:t>
            </w:r>
          </w:p>
        </w:tc>
        <w:tc>
          <w:tcPr>
            <w:tcW w:w="769" w:type="pct"/>
            <w:shd w:val="clear" w:color="C0C0C0" w:fill="auto"/>
          </w:tcPr>
          <w:p w14:paraId="41EBF1E8" w14:textId="77777777" w:rsidR="00C21A79" w:rsidRDefault="005E533B" w:rsidP="007D40B5">
            <w:pPr>
              <w:ind w:hanging="40"/>
              <w:rPr>
                <w:szCs w:val="22"/>
              </w:rPr>
            </w:pPr>
            <w:r>
              <w:rPr>
                <w:szCs w:val="22"/>
              </w:rPr>
              <w:t>WQJQ759</w:t>
            </w:r>
          </w:p>
        </w:tc>
      </w:tr>
      <w:tr w:rsidR="00C21A79" w14:paraId="142F8436" w14:textId="77777777" w:rsidTr="00AE744B">
        <w:trPr>
          <w:trHeight w:hRule="exact" w:val="144"/>
        </w:trPr>
        <w:tc>
          <w:tcPr>
            <w:tcW w:w="769" w:type="pct"/>
            <w:shd w:val="clear" w:color="auto" w:fill="auto"/>
          </w:tcPr>
          <w:p w14:paraId="51189DC0" w14:textId="77777777" w:rsidR="00C21A79" w:rsidRDefault="00C21A79" w:rsidP="007D40B5">
            <w:pPr>
              <w:tabs>
                <w:tab w:val="left" w:pos="720"/>
              </w:tabs>
              <w:rPr>
                <w:szCs w:val="22"/>
              </w:rPr>
            </w:pPr>
          </w:p>
        </w:tc>
        <w:tc>
          <w:tcPr>
            <w:tcW w:w="1779" w:type="pct"/>
            <w:shd w:val="clear" w:color="C0C0C0" w:fill="auto"/>
          </w:tcPr>
          <w:p w14:paraId="3868A4C5" w14:textId="77777777" w:rsidR="00C21A79" w:rsidRDefault="00C21A79" w:rsidP="007D40B5">
            <w:pPr>
              <w:ind w:left="-41"/>
              <w:rPr>
                <w:szCs w:val="22"/>
              </w:rPr>
            </w:pPr>
          </w:p>
        </w:tc>
        <w:tc>
          <w:tcPr>
            <w:tcW w:w="1683" w:type="pct"/>
            <w:shd w:val="clear" w:color="C0C0C0" w:fill="auto"/>
          </w:tcPr>
          <w:p w14:paraId="2185E120" w14:textId="77777777" w:rsidR="00C21A79" w:rsidRDefault="00C21A79" w:rsidP="007D40B5">
            <w:pPr>
              <w:rPr>
                <w:szCs w:val="22"/>
              </w:rPr>
            </w:pPr>
          </w:p>
        </w:tc>
        <w:tc>
          <w:tcPr>
            <w:tcW w:w="769" w:type="pct"/>
            <w:shd w:val="clear" w:color="C0C0C0" w:fill="auto"/>
          </w:tcPr>
          <w:p w14:paraId="281A4E03" w14:textId="77777777" w:rsidR="00C21A79" w:rsidRDefault="00C21A79" w:rsidP="007D40B5">
            <w:pPr>
              <w:ind w:hanging="40"/>
              <w:rPr>
                <w:szCs w:val="22"/>
              </w:rPr>
            </w:pPr>
          </w:p>
        </w:tc>
      </w:tr>
      <w:tr w:rsidR="00C21A79" w14:paraId="2F62B576" w14:textId="77777777" w:rsidTr="00AE744B">
        <w:trPr>
          <w:trHeight w:val="152"/>
        </w:trPr>
        <w:tc>
          <w:tcPr>
            <w:tcW w:w="769" w:type="pct"/>
            <w:shd w:val="clear" w:color="auto" w:fill="auto"/>
          </w:tcPr>
          <w:p w14:paraId="7DEFCB27" w14:textId="77777777" w:rsidR="00C21A79" w:rsidRDefault="00C21A79" w:rsidP="00104D2D">
            <w:pPr>
              <w:keepNext/>
              <w:tabs>
                <w:tab w:val="left" w:pos="720"/>
              </w:tabs>
              <w:rPr>
                <w:szCs w:val="22"/>
              </w:rPr>
            </w:pPr>
            <w:r>
              <w:rPr>
                <w:szCs w:val="22"/>
              </w:rPr>
              <w:t>0007218603</w:t>
            </w:r>
          </w:p>
        </w:tc>
        <w:tc>
          <w:tcPr>
            <w:tcW w:w="1779" w:type="pct"/>
            <w:shd w:val="clear" w:color="C0C0C0" w:fill="auto"/>
          </w:tcPr>
          <w:p w14:paraId="73519891" w14:textId="77777777" w:rsidR="00C21A79" w:rsidRDefault="00F44C6F" w:rsidP="00104D2D">
            <w:pPr>
              <w:ind w:left="-41"/>
              <w:rPr>
                <w:szCs w:val="22"/>
              </w:rPr>
            </w:pPr>
            <w:r>
              <w:rPr>
                <w:szCs w:val="22"/>
              </w:rPr>
              <w:t>USCOC of Greater North Carolina, LLC</w:t>
            </w:r>
          </w:p>
        </w:tc>
        <w:tc>
          <w:tcPr>
            <w:tcW w:w="1683" w:type="pct"/>
            <w:shd w:val="clear" w:color="C0C0C0" w:fill="auto"/>
          </w:tcPr>
          <w:p w14:paraId="1C56E731" w14:textId="77777777" w:rsidR="00C21A79" w:rsidRDefault="00F44C6F" w:rsidP="00104D2D">
            <w:pPr>
              <w:rPr>
                <w:szCs w:val="22"/>
              </w:rPr>
            </w:pPr>
            <w:r>
              <w:rPr>
                <w:szCs w:val="22"/>
              </w:rPr>
              <w:t>New Cingular Wireless PCS, LLC</w:t>
            </w:r>
          </w:p>
        </w:tc>
        <w:tc>
          <w:tcPr>
            <w:tcW w:w="769" w:type="pct"/>
            <w:shd w:val="clear" w:color="C0C0C0" w:fill="auto"/>
          </w:tcPr>
          <w:p w14:paraId="4CF007A9" w14:textId="77777777" w:rsidR="00C21A79" w:rsidRDefault="00F44C6F" w:rsidP="00104D2D">
            <w:pPr>
              <w:ind w:hanging="40"/>
              <w:rPr>
                <w:szCs w:val="22"/>
              </w:rPr>
            </w:pPr>
            <w:r>
              <w:rPr>
                <w:szCs w:val="22"/>
              </w:rPr>
              <w:t>WQOL892</w:t>
            </w:r>
          </w:p>
        </w:tc>
      </w:tr>
    </w:tbl>
    <w:p w14:paraId="78D84C40" w14:textId="77777777"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14:paraId="1CF23208" w14:textId="77777777"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5"/>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w:t>
      </w:r>
      <w:r w:rsidRPr="00144BD1">
        <w:rPr>
          <w:rStyle w:val="Normal10"/>
          <w:sz w:val="22"/>
          <w:szCs w:val="22"/>
        </w:rPr>
        <w:lastRenderedPageBreak/>
        <w:t xml:space="preserve">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6"/>
      </w:r>
    </w:p>
    <w:p w14:paraId="12761D46" w14:textId="77777777"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7"/>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8"/>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9"/>
      </w:r>
    </w:p>
    <w:p w14:paraId="584DBB07" w14:textId="77777777" w:rsidR="00144BD1" w:rsidRDefault="00144BD1" w:rsidP="00144BD1">
      <w:pPr>
        <w:keepNext/>
        <w:spacing w:after="120"/>
        <w:outlineLvl w:val="0"/>
        <w:rPr>
          <w:b/>
          <w:szCs w:val="22"/>
        </w:rPr>
      </w:pPr>
      <w:r>
        <w:rPr>
          <w:b/>
          <w:szCs w:val="22"/>
        </w:rPr>
        <w:t>IV.</w:t>
      </w:r>
      <w:r>
        <w:rPr>
          <w:b/>
          <w:szCs w:val="22"/>
        </w:rPr>
        <w:tab/>
        <w:t>GENERAL INFORMATION</w:t>
      </w:r>
    </w:p>
    <w:p w14:paraId="390CE904" w14:textId="77777777" w:rsidR="00144BD1" w:rsidRDefault="00144BD1" w:rsidP="00CF1545">
      <w:pPr>
        <w:spacing w:after="120"/>
        <w:ind w:firstLine="720"/>
        <w:rPr>
          <w:szCs w:val="22"/>
        </w:rPr>
      </w:pPr>
      <w:r>
        <w:rPr>
          <w:szCs w:val="22"/>
        </w:rPr>
        <w:t>The assignment application</w:t>
      </w:r>
      <w:r w:rsidR="00E742F1">
        <w:rPr>
          <w:szCs w:val="22"/>
        </w:rPr>
        <w:t>s</w:t>
      </w:r>
      <w:r>
        <w:rPr>
          <w:szCs w:val="22"/>
        </w:rPr>
        <w:t xml:space="preserve"> ha</w:t>
      </w:r>
      <w:r w:rsidR="00E742F1">
        <w:rPr>
          <w:szCs w:val="22"/>
        </w:rPr>
        <w:t>ve</w:t>
      </w:r>
      <w:r>
        <w:rPr>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w:t>
      </w:r>
    </w:p>
    <w:p w14:paraId="3F540064" w14:textId="5BD8486C" w:rsidR="00144BD1" w:rsidRDefault="00144BD1" w:rsidP="00CF1545">
      <w:pPr>
        <w:spacing w:after="120"/>
        <w:ind w:firstLine="720"/>
        <w:rPr>
          <w:b/>
          <w:szCs w:val="22"/>
        </w:rPr>
      </w:pPr>
      <w:r>
        <w:rPr>
          <w:szCs w:val="22"/>
        </w:rPr>
        <w:t xml:space="preserve">Interested parties must file petitions to deny no later than </w:t>
      </w:r>
      <w:r w:rsidR="00B547EA">
        <w:rPr>
          <w:b/>
          <w:spacing w:val="-2"/>
          <w:szCs w:val="22"/>
        </w:rPr>
        <w:t>August 17,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B547EA">
        <w:rPr>
          <w:b/>
          <w:spacing w:val="-2"/>
          <w:szCs w:val="22"/>
        </w:rPr>
        <w:t>August 24, 2016</w:t>
      </w:r>
      <w:r>
        <w:rPr>
          <w:szCs w:val="22"/>
        </w:rPr>
        <w:t xml:space="preserve">.  Replies to such pleadings must be filed no later than </w:t>
      </w:r>
      <w:r w:rsidR="00B547EA">
        <w:rPr>
          <w:b/>
          <w:spacing w:val="-2"/>
          <w:szCs w:val="22"/>
        </w:rPr>
        <w:t>August 31, 2016</w:t>
      </w:r>
      <w:r>
        <w:rPr>
          <w:szCs w:val="22"/>
        </w:rPr>
        <w:t>.  All filings concerning matters referenced in this Public Notice should refer to WT Docket No. 16-</w:t>
      </w:r>
      <w:r w:rsidR="00422634">
        <w:rPr>
          <w:szCs w:val="22"/>
        </w:rPr>
        <w:t>178</w:t>
      </w:r>
      <w:r w:rsidRPr="006C4A65">
        <w:rPr>
          <w:szCs w:val="22"/>
        </w:rPr>
        <w:t>.</w:t>
      </w:r>
    </w:p>
    <w:p w14:paraId="149FD02D" w14:textId="77777777" w:rsidR="00144BD1" w:rsidRDefault="00144BD1" w:rsidP="00CF1545">
      <w:pPr>
        <w:spacing w:after="120"/>
        <w:ind w:firstLine="720"/>
        <w:rPr>
          <w:b/>
          <w:szCs w:val="22"/>
        </w:rPr>
      </w:pPr>
      <w:r>
        <w:rPr>
          <w:b/>
          <w:spacing w:val="-2"/>
          <w:szCs w:val="22"/>
        </w:rPr>
        <w:t>To allow the Commission to consider fully all substantive issues regarding the application</w:t>
      </w:r>
      <w:r w:rsidR="00E742F1">
        <w:rPr>
          <w:b/>
          <w:spacing w:val="-2"/>
          <w:szCs w:val="22"/>
        </w:rPr>
        <w:t>s</w:t>
      </w:r>
      <w:r>
        <w:rPr>
          <w:b/>
          <w:spacing w:val="-2"/>
          <w:szCs w:val="22"/>
        </w:rPr>
        <w:t xml:space="preserve">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10"/>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52020BA3" w14:textId="77777777"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11"/>
      </w:r>
      <w:r>
        <w:rPr>
          <w:szCs w:val="22"/>
        </w:rPr>
        <w:t xml:space="preserve"> submissions in this matter may be filed electronically through the Commission’s Electronic Comment Filing System (ECFS) or by hand delivery to the Commission.</w:t>
      </w:r>
    </w:p>
    <w:p w14:paraId="33855C62" w14:textId="77777777"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2"/>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14:paraId="1E35F239" w14:textId="77777777"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14:paraId="169A2749" w14:textId="77777777"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Scott Patrick, </w:t>
      </w:r>
      <w:r>
        <w:rPr>
          <w:szCs w:val="22"/>
        </w:rPr>
        <w:t xml:space="preserve">Mobility Division, </w:t>
      </w:r>
      <w:r>
        <w:rPr>
          <w:rFonts w:cs="TmsRmn"/>
          <w:szCs w:val="22"/>
        </w:rPr>
        <w:t>Wireless Telecommunications Bureau, at scott.patrick@fcc.gov or (202) 418-2643 (facsimile);</w:t>
      </w:r>
      <w:r>
        <w:rPr>
          <w:szCs w:val="22"/>
        </w:rPr>
        <w:t xml:space="preserve"> </w:t>
      </w:r>
      <w:r w:rsidR="00FB5988">
        <w:rPr>
          <w:szCs w:val="22"/>
        </w:rPr>
        <w:t xml:space="preserve">(2) Linda Ray, Broadband Division, Wireless Telecommunications Bureau, at </w:t>
      </w:r>
      <w:r w:rsidR="00FB5988" w:rsidRPr="004808EC">
        <w:rPr>
          <w:szCs w:val="22"/>
        </w:rPr>
        <w:t>linda.ray@fcc.gov</w:t>
      </w:r>
      <w:r w:rsidR="00FB5988">
        <w:rPr>
          <w:szCs w:val="22"/>
        </w:rPr>
        <w:t xml:space="preserve"> or (202) 418-7247 (facsimile); (3</w:t>
      </w:r>
      <w:r>
        <w:rPr>
          <w:szCs w:val="22"/>
        </w:rPr>
        <w:t>) Kate Matraves, Competition and Infrastructure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418-2643 (facsimile); and </w:t>
      </w:r>
      <w:r w:rsidR="00FB5988">
        <w:rPr>
          <w:color w:val="000000"/>
          <w:szCs w:val="22"/>
        </w:rPr>
        <w:t>(4</w:t>
      </w:r>
      <w:r>
        <w:rPr>
          <w:color w:val="000000"/>
          <w:szCs w:val="22"/>
        </w:rPr>
        <w:t>) Jim Bird, Office of General Counsel, at TransactionTeam@fcc.gov or (202) 418-1234 (facsimile)</w:t>
      </w:r>
      <w:r>
        <w:rPr>
          <w:szCs w:val="22"/>
        </w:rPr>
        <w:t>.</w:t>
      </w:r>
    </w:p>
    <w:p w14:paraId="32E1E64D" w14:textId="77777777"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1F4CD617" w14:textId="77777777" w:rsidR="00BF7452" w:rsidRDefault="00BF7452" w:rsidP="00CF1545">
      <w:pPr>
        <w:spacing w:after="120"/>
        <w:ind w:firstLine="720"/>
        <w:rPr>
          <w:szCs w:val="22"/>
        </w:rPr>
      </w:pPr>
      <w:r>
        <w:rPr>
          <w:szCs w:val="22"/>
        </w:rPr>
        <w:t xml:space="preserve">For further information, contact </w:t>
      </w:r>
      <w:r>
        <w:rPr>
          <w:rFonts w:cs="TmsRmn"/>
          <w:szCs w:val="22"/>
        </w:rPr>
        <w:t xml:space="preserve">Scott Patrick, </w:t>
      </w:r>
      <w:r>
        <w:rPr>
          <w:szCs w:val="22"/>
        </w:rPr>
        <w:t>Mobility Division, Wireless Telecommunications Bureau, at (202) 418-2853, or Kate Matraves, Competition and Infrastructure Policy Division, Wireless Telecommunications Bureau, at (202) 391-6272.</w:t>
      </w:r>
    </w:p>
    <w:p w14:paraId="61BDFA15" w14:textId="77777777"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0F828" w14:textId="77777777" w:rsidR="007665F9" w:rsidRDefault="007665F9">
      <w:r>
        <w:separator/>
      </w:r>
    </w:p>
  </w:endnote>
  <w:endnote w:type="continuationSeparator" w:id="0">
    <w:p w14:paraId="3B36551D" w14:textId="77777777"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25F7" w14:textId="77777777" w:rsidR="007A7801" w:rsidRDefault="007A7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2806" w14:textId="77777777" w:rsidR="006C79CB" w:rsidRDefault="006C79CB" w:rsidP="006C79CB">
    <w:pPr>
      <w:pStyle w:val="Footer"/>
      <w:jc w:val="center"/>
    </w:pPr>
    <w:r>
      <w:fldChar w:fldCharType="begin"/>
    </w:r>
    <w:r>
      <w:instrText xml:space="preserve"> PAGE   \* MERGEFORMAT </w:instrText>
    </w:r>
    <w:r>
      <w:fldChar w:fldCharType="separate"/>
    </w:r>
    <w:r w:rsidR="008008D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C127" w14:textId="77777777" w:rsidR="007A7801" w:rsidRDefault="007A7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16E75" w14:textId="77777777" w:rsidR="007665F9" w:rsidRDefault="007665F9">
      <w:r>
        <w:separator/>
      </w:r>
    </w:p>
  </w:footnote>
  <w:footnote w:type="continuationSeparator" w:id="0">
    <w:p w14:paraId="0F32F193" w14:textId="77777777" w:rsidR="007665F9" w:rsidRDefault="007665F9">
      <w:r>
        <w:continuationSeparator/>
      </w:r>
    </w:p>
  </w:footnote>
  <w:footnote w:id="1">
    <w:p w14:paraId="764977E3" w14:textId="77777777" w:rsidR="00D60B4C" w:rsidRDefault="00D60B4C" w:rsidP="00D60B4C">
      <w:pPr>
        <w:pStyle w:val="FootnoteText"/>
      </w:pPr>
      <w:r>
        <w:rPr>
          <w:rStyle w:val="FootnoteReference"/>
        </w:rPr>
        <w:footnoteRef/>
      </w:r>
      <w:r>
        <w:t xml:space="preserve"> 47 U.S.C. § 310(d).  </w:t>
      </w:r>
    </w:p>
  </w:footnote>
  <w:footnote w:id="2">
    <w:p w14:paraId="7B892B95" w14:textId="6162F2F2" w:rsidR="00D60B4C" w:rsidRDefault="00D60B4C" w:rsidP="00D60B4C">
      <w:pPr>
        <w:pStyle w:val="FootnoteText"/>
      </w:pPr>
      <w:r>
        <w:rPr>
          <w:rStyle w:val="FootnoteReference"/>
        </w:rPr>
        <w:footnoteRef/>
      </w:r>
      <w:r>
        <w:t xml:space="preserve"> The </w:t>
      </w:r>
      <w:r w:rsidR="00C90A18">
        <w:t>AT&amp;T</w:t>
      </w:r>
      <w:r>
        <w:t xml:space="preserve"> subsidiaries are </w:t>
      </w:r>
      <w:r w:rsidR="00C90A18">
        <w:t>AT&amp;T Mobility Spectrum LLC</w:t>
      </w:r>
      <w:r>
        <w:rPr>
          <w:szCs w:val="22"/>
        </w:rPr>
        <w:t xml:space="preserve"> and </w:t>
      </w:r>
      <w:r w:rsidR="00C90A18">
        <w:rPr>
          <w:szCs w:val="22"/>
        </w:rPr>
        <w:t>New Cingular Wireless PCS</w:t>
      </w:r>
      <w:r>
        <w:rPr>
          <w:szCs w:val="22"/>
        </w:rPr>
        <w:t xml:space="preserve">, LLC.  The USCC subsidiaries are </w:t>
      </w:r>
      <w:r w:rsidR="00E20618">
        <w:rPr>
          <w:szCs w:val="22"/>
        </w:rPr>
        <w:t>Indiana RSA No. 4 Limited Partnership</w:t>
      </w:r>
      <w:r w:rsidR="004342C1">
        <w:rPr>
          <w:szCs w:val="22"/>
        </w:rPr>
        <w:t>,</w:t>
      </w:r>
      <w:r w:rsidR="00E20618">
        <w:rPr>
          <w:szCs w:val="22"/>
        </w:rPr>
        <w:t xml:space="preserve"> </w:t>
      </w:r>
      <w:r w:rsidR="000D78C5">
        <w:rPr>
          <w:szCs w:val="22"/>
        </w:rPr>
        <w:t>Oregon RSA #2, Inc.</w:t>
      </w:r>
      <w:r w:rsidR="004342C1">
        <w:rPr>
          <w:szCs w:val="22"/>
        </w:rPr>
        <w:t>,</w:t>
      </w:r>
      <w:r w:rsidR="000D78C5">
        <w:rPr>
          <w:szCs w:val="22"/>
        </w:rPr>
        <w:t xml:space="preserve"> </w:t>
      </w:r>
      <w:r>
        <w:rPr>
          <w:szCs w:val="22"/>
        </w:rPr>
        <w:t>United States Cellular Operating Company of Chicago, LLC</w:t>
      </w:r>
      <w:r w:rsidR="004342C1">
        <w:rPr>
          <w:szCs w:val="22"/>
        </w:rPr>
        <w:t>,</w:t>
      </w:r>
      <w:r>
        <w:rPr>
          <w:szCs w:val="22"/>
        </w:rPr>
        <w:t xml:space="preserve"> USCOC of Central Illinois, LLC</w:t>
      </w:r>
      <w:r w:rsidR="004342C1">
        <w:rPr>
          <w:szCs w:val="22"/>
        </w:rPr>
        <w:t>,</w:t>
      </w:r>
      <w:r w:rsidR="00C90A18">
        <w:rPr>
          <w:szCs w:val="22"/>
        </w:rPr>
        <w:t xml:space="preserve"> </w:t>
      </w:r>
      <w:r w:rsidR="00E222E6">
        <w:rPr>
          <w:szCs w:val="22"/>
        </w:rPr>
        <w:t>USCOC of Greater North Carolina, LLC</w:t>
      </w:r>
      <w:r w:rsidR="004342C1">
        <w:rPr>
          <w:szCs w:val="22"/>
        </w:rPr>
        <w:t>,</w:t>
      </w:r>
      <w:r w:rsidR="00E222E6">
        <w:rPr>
          <w:szCs w:val="22"/>
        </w:rPr>
        <w:t xml:space="preserve"> </w:t>
      </w:r>
      <w:r w:rsidR="00C90A18">
        <w:rPr>
          <w:szCs w:val="22"/>
        </w:rPr>
        <w:t>and USCOC of Richland, LLC</w:t>
      </w:r>
      <w:r>
        <w:t>.</w:t>
      </w:r>
    </w:p>
  </w:footnote>
  <w:footnote w:id="3">
    <w:p w14:paraId="5859F787" w14:textId="77777777" w:rsidR="00EE1B7D" w:rsidRPr="006900DC" w:rsidRDefault="00EE1B7D" w:rsidP="00EE1B7D">
      <w:pPr>
        <w:pStyle w:val="FootnoteText"/>
      </w:pPr>
      <w:r w:rsidRPr="006900DC">
        <w:rPr>
          <w:rStyle w:val="FootnoteReference"/>
        </w:rPr>
        <w:footnoteRef/>
      </w:r>
      <w:r w:rsidRPr="006900DC">
        <w:t xml:space="preserve"> </w:t>
      </w:r>
      <w:r w:rsidRPr="003528EB">
        <w:rPr>
          <w:i/>
        </w:rPr>
        <w:t>Policies Regarding Mobile Spectrum Holdings</w:t>
      </w:r>
      <w:r w:rsidRPr="00C81385">
        <w:t xml:space="preserve">; </w:t>
      </w:r>
      <w:r w:rsidRPr="003528EB">
        <w:rPr>
          <w:i/>
        </w:rPr>
        <w:t>Expanding the Economic and Innovation Opportunities of Spectrum Through Incentive Auctions</w:t>
      </w:r>
      <w:r w:rsidRPr="006900DC">
        <w:t>, WT Docket No. 12-269, GN Docket No. 12-268</w:t>
      </w:r>
      <w:r>
        <w:t xml:space="preserve">, </w:t>
      </w:r>
      <w:r w:rsidRPr="003528EB">
        <w:t>Report and Order</w:t>
      </w:r>
      <w:r w:rsidRPr="006900DC">
        <w:t xml:space="preserve">, </w:t>
      </w:r>
      <w:r>
        <w:t>29 FCC Rcd 6133</w:t>
      </w:r>
      <w:r w:rsidRPr="006900DC">
        <w:t xml:space="preserve">, </w:t>
      </w:r>
      <w:r>
        <w:t>6240, paras. 286-88 (2014) (</w:t>
      </w:r>
      <w:r w:rsidRPr="006900DC">
        <w:rPr>
          <w:i/>
        </w:rPr>
        <w:t>Mobile Spectrum Holdings Report and Order</w:t>
      </w:r>
      <w:r w:rsidRPr="002A4C4D">
        <w:t>)</w:t>
      </w:r>
      <w:r>
        <w:t>,</w:t>
      </w:r>
      <w:r w:rsidRPr="008054EB">
        <w:rPr>
          <w:i/>
          <w:color w:val="010101"/>
        </w:rPr>
        <w:t xml:space="preserve"> </w:t>
      </w:r>
      <w:r w:rsidRPr="00D4063C">
        <w:rPr>
          <w:i/>
          <w:color w:val="010101"/>
        </w:rPr>
        <w:t>recon. denied</w:t>
      </w:r>
      <w:r>
        <w:rPr>
          <w:color w:val="010101"/>
        </w:rPr>
        <w:t xml:space="preserve">, </w:t>
      </w:r>
      <w:r w:rsidRPr="003528EB">
        <w:rPr>
          <w:color w:val="010101"/>
        </w:rPr>
        <w:t>Order on Reconsideration</w:t>
      </w:r>
      <w:r>
        <w:rPr>
          <w:color w:val="010101"/>
        </w:rPr>
        <w:t xml:space="preserve">, </w:t>
      </w:r>
      <w:r w:rsidRPr="00D54594">
        <w:t>30 FCC Rcd 8635</w:t>
      </w:r>
      <w:r>
        <w:rPr>
          <w:color w:val="010101"/>
        </w:rPr>
        <w:t xml:space="preserve"> (2015)</w:t>
      </w:r>
      <w:r w:rsidRPr="006900DC">
        <w:t>.</w:t>
      </w:r>
    </w:p>
  </w:footnote>
  <w:footnote w:id="4">
    <w:p w14:paraId="0E79CE63" w14:textId="77777777" w:rsidR="002366D9" w:rsidRDefault="002366D9" w:rsidP="002366D9">
      <w:pPr>
        <w:pStyle w:val="FootnoteText"/>
      </w:pPr>
      <w:r>
        <w:rPr>
          <w:rStyle w:val="FootnoteReference"/>
        </w:rPr>
        <w:footnoteRef/>
      </w:r>
      <w:r>
        <w:t xml:space="preserve"> The Applicants have designated this the lead application.</w:t>
      </w:r>
    </w:p>
  </w:footnote>
  <w:footnote w:id="5">
    <w:p w14:paraId="71EF655B" w14:textId="77777777"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6">
    <w:p w14:paraId="08105982" w14:textId="77777777" w:rsidR="00144BD1" w:rsidRDefault="00144BD1" w:rsidP="00144BD1">
      <w:pPr>
        <w:pStyle w:val="FootnoteText"/>
      </w:pPr>
      <w:r>
        <w:rPr>
          <w:rStyle w:val="FootnoteReference"/>
        </w:rPr>
        <w:footnoteRef/>
      </w:r>
      <w:r>
        <w:t xml:space="preserve"> 47 C.F.R. § 1.1206.</w:t>
      </w:r>
    </w:p>
  </w:footnote>
  <w:footnote w:id="7">
    <w:p w14:paraId="76469708" w14:textId="77777777" w:rsidR="00144BD1" w:rsidRDefault="00144BD1" w:rsidP="00144BD1">
      <w:pPr>
        <w:pStyle w:val="FootnoteText"/>
      </w:pPr>
      <w:r>
        <w:rPr>
          <w:rStyle w:val="FootnoteReference"/>
        </w:rPr>
        <w:footnoteRef/>
      </w:r>
      <w:r>
        <w:t xml:space="preserve"> 47 C.F.R. § 1.1206(b)(1).</w:t>
      </w:r>
    </w:p>
  </w:footnote>
  <w:footnote w:id="8">
    <w:p w14:paraId="0D1D00B3" w14:textId="77777777" w:rsidR="00144BD1" w:rsidRDefault="00144BD1" w:rsidP="00144BD1">
      <w:pPr>
        <w:pStyle w:val="FootnoteText"/>
      </w:pPr>
      <w:r>
        <w:rPr>
          <w:rStyle w:val="FootnoteReference"/>
        </w:rPr>
        <w:footnoteRef/>
      </w:r>
      <w:r>
        <w:t xml:space="preserve"> </w:t>
      </w:r>
      <w:r w:rsidR="00946884">
        <w:rPr>
          <w:i/>
        </w:rPr>
        <w:t>I</w:t>
      </w:r>
      <w:r>
        <w:rPr>
          <w:i/>
        </w:rPr>
        <w:t>d</w:t>
      </w:r>
      <w:r>
        <w:t>.</w:t>
      </w:r>
    </w:p>
  </w:footnote>
  <w:footnote w:id="9">
    <w:p w14:paraId="2CB090FF" w14:textId="77777777" w:rsidR="00144BD1" w:rsidRDefault="00144BD1" w:rsidP="00144BD1">
      <w:pPr>
        <w:pStyle w:val="FootnoteText"/>
      </w:pPr>
      <w:r>
        <w:rPr>
          <w:rStyle w:val="FootnoteReference"/>
        </w:rPr>
        <w:footnoteRef/>
      </w:r>
      <w:r>
        <w:t xml:space="preserve"> </w:t>
      </w:r>
      <w:r w:rsidRPr="00984C82">
        <w:t>47</w:t>
      </w:r>
      <w:r>
        <w:t xml:space="preserve"> C.F.R. § 1.1206(b).</w:t>
      </w:r>
    </w:p>
  </w:footnote>
  <w:footnote w:id="10">
    <w:p w14:paraId="0CB7426F" w14:textId="77777777" w:rsidR="00144BD1" w:rsidRDefault="00144BD1" w:rsidP="00144BD1">
      <w:pPr>
        <w:pStyle w:val="FootnoteText"/>
      </w:pPr>
      <w:r>
        <w:rPr>
          <w:rStyle w:val="FootnoteReference"/>
        </w:rPr>
        <w:footnoteRef/>
      </w:r>
      <w:r>
        <w:t xml:space="preserve"> 47 C.F.R. § 1.45(c).</w:t>
      </w:r>
    </w:p>
  </w:footnote>
  <w:footnote w:id="11">
    <w:p w14:paraId="6D7C4DD9" w14:textId="77777777"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2">
    <w:p w14:paraId="54C38082" w14:textId="77777777"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AB161" w14:textId="77777777" w:rsidR="007A7801" w:rsidRDefault="007A7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C62C" w14:textId="77777777" w:rsidR="007A7801" w:rsidRDefault="007A7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EB18" w14:textId="77777777"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122B3684" wp14:editId="1ED71323">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9CD56" w14:textId="77777777" w:rsidR="00602577" w:rsidRDefault="00602577">
                          <w:pPr>
                            <w:rPr>
                              <w:rFonts w:ascii="Arial" w:hAnsi="Arial"/>
                              <w:b/>
                            </w:rPr>
                          </w:pPr>
                          <w:r>
                            <w:rPr>
                              <w:rFonts w:ascii="Arial" w:hAnsi="Arial"/>
                              <w:b/>
                            </w:rPr>
                            <w:t>Federal Communications Commission</w:t>
                          </w:r>
                        </w:p>
                        <w:p w14:paraId="72B7109D"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40555F6"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3C05ED7F" wp14:editId="4A74FB6D">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14:paraId="073AC8DF" w14:textId="77777777"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04DE59B8" wp14:editId="6124A88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9CC71" w14:textId="77777777" w:rsidR="00602577" w:rsidRDefault="00602577">
                          <w:pPr>
                            <w:spacing w:before="40"/>
                            <w:jc w:val="right"/>
                            <w:rPr>
                              <w:rFonts w:ascii="Arial" w:hAnsi="Arial"/>
                              <w:b/>
                              <w:sz w:val="16"/>
                            </w:rPr>
                          </w:pPr>
                          <w:r>
                            <w:rPr>
                              <w:rFonts w:ascii="Arial" w:hAnsi="Arial"/>
                              <w:b/>
                              <w:sz w:val="16"/>
                            </w:rPr>
                            <w:t>News Media Information 202 / 418-0500</w:t>
                          </w:r>
                        </w:p>
                        <w:p w14:paraId="2E34F7FF"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11ACF86" w14:textId="77777777" w:rsidR="00602577" w:rsidRDefault="00602577">
                          <w:pPr>
                            <w:jc w:val="right"/>
                            <w:rPr>
                              <w:rFonts w:ascii="Arial" w:hAnsi="Arial"/>
                              <w:b/>
                              <w:sz w:val="16"/>
                            </w:rPr>
                          </w:pPr>
                          <w:r>
                            <w:rPr>
                              <w:rFonts w:ascii="Arial" w:hAnsi="Arial"/>
                              <w:b/>
                              <w:sz w:val="16"/>
                            </w:rPr>
                            <w:t>TTY: 1-888-835-5322</w:t>
                          </w:r>
                        </w:p>
                        <w:p w14:paraId="3C981202"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566153B3" wp14:editId="6ED4D703">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14:paraId="7538BB9F" w14:textId="77777777"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57EC"/>
    <w:rsid w:val="000265AE"/>
    <w:rsid w:val="00066A5A"/>
    <w:rsid w:val="000938C1"/>
    <w:rsid w:val="000B654E"/>
    <w:rsid w:val="000D3979"/>
    <w:rsid w:val="000D5731"/>
    <w:rsid w:val="000D78C5"/>
    <w:rsid w:val="00112BBE"/>
    <w:rsid w:val="00134B1C"/>
    <w:rsid w:val="001370AC"/>
    <w:rsid w:val="00144BD1"/>
    <w:rsid w:val="001672BC"/>
    <w:rsid w:val="0017015E"/>
    <w:rsid w:val="001960D7"/>
    <w:rsid w:val="001C2110"/>
    <w:rsid w:val="001D2446"/>
    <w:rsid w:val="001D2E9E"/>
    <w:rsid w:val="001E4DD3"/>
    <w:rsid w:val="001F3955"/>
    <w:rsid w:val="0020282B"/>
    <w:rsid w:val="00221305"/>
    <w:rsid w:val="00235C25"/>
    <w:rsid w:val="002366D9"/>
    <w:rsid w:val="002B2FD0"/>
    <w:rsid w:val="002B6478"/>
    <w:rsid w:val="00305B8C"/>
    <w:rsid w:val="00310E62"/>
    <w:rsid w:val="003378B4"/>
    <w:rsid w:val="003544E0"/>
    <w:rsid w:val="003C5B79"/>
    <w:rsid w:val="00422634"/>
    <w:rsid w:val="004314FA"/>
    <w:rsid w:val="004342C1"/>
    <w:rsid w:val="00467635"/>
    <w:rsid w:val="00471175"/>
    <w:rsid w:val="00493B2E"/>
    <w:rsid w:val="004F12B1"/>
    <w:rsid w:val="00522D6E"/>
    <w:rsid w:val="005377B1"/>
    <w:rsid w:val="005618BE"/>
    <w:rsid w:val="00574173"/>
    <w:rsid w:val="00590A5A"/>
    <w:rsid w:val="005E533B"/>
    <w:rsid w:val="00602577"/>
    <w:rsid w:val="00602DD9"/>
    <w:rsid w:val="006217B7"/>
    <w:rsid w:val="00634398"/>
    <w:rsid w:val="006444B9"/>
    <w:rsid w:val="006711FC"/>
    <w:rsid w:val="006B0B8D"/>
    <w:rsid w:val="006C1500"/>
    <w:rsid w:val="006C4A65"/>
    <w:rsid w:val="006C79CB"/>
    <w:rsid w:val="006F0DC2"/>
    <w:rsid w:val="006F3CF2"/>
    <w:rsid w:val="00701D32"/>
    <w:rsid w:val="00727793"/>
    <w:rsid w:val="00736CB4"/>
    <w:rsid w:val="0075021A"/>
    <w:rsid w:val="007645FD"/>
    <w:rsid w:val="007665F9"/>
    <w:rsid w:val="007675CD"/>
    <w:rsid w:val="007A67C8"/>
    <w:rsid w:val="007A7801"/>
    <w:rsid w:val="007B00E4"/>
    <w:rsid w:val="007B3539"/>
    <w:rsid w:val="007B4A1A"/>
    <w:rsid w:val="007B79E1"/>
    <w:rsid w:val="007C69B6"/>
    <w:rsid w:val="007D40B5"/>
    <w:rsid w:val="007F6B83"/>
    <w:rsid w:val="008008D9"/>
    <w:rsid w:val="00803125"/>
    <w:rsid w:val="00856E21"/>
    <w:rsid w:val="0086291D"/>
    <w:rsid w:val="00872523"/>
    <w:rsid w:val="008979AB"/>
    <w:rsid w:val="008A0C02"/>
    <w:rsid w:val="008D1CA6"/>
    <w:rsid w:val="008D3976"/>
    <w:rsid w:val="0090328D"/>
    <w:rsid w:val="00914250"/>
    <w:rsid w:val="00923A25"/>
    <w:rsid w:val="00923F83"/>
    <w:rsid w:val="009332F8"/>
    <w:rsid w:val="00946884"/>
    <w:rsid w:val="009541CD"/>
    <w:rsid w:val="00954718"/>
    <w:rsid w:val="009C3805"/>
    <w:rsid w:val="009F23A9"/>
    <w:rsid w:val="00A36F1E"/>
    <w:rsid w:val="00A3716E"/>
    <w:rsid w:val="00AB30C9"/>
    <w:rsid w:val="00AC237C"/>
    <w:rsid w:val="00AE083F"/>
    <w:rsid w:val="00AE744B"/>
    <w:rsid w:val="00AE7ED1"/>
    <w:rsid w:val="00AF63AF"/>
    <w:rsid w:val="00B10477"/>
    <w:rsid w:val="00B5085D"/>
    <w:rsid w:val="00B547EA"/>
    <w:rsid w:val="00B63AD7"/>
    <w:rsid w:val="00BB493B"/>
    <w:rsid w:val="00BC47CF"/>
    <w:rsid w:val="00BF4D7A"/>
    <w:rsid w:val="00BF7452"/>
    <w:rsid w:val="00C11519"/>
    <w:rsid w:val="00C14A30"/>
    <w:rsid w:val="00C21A79"/>
    <w:rsid w:val="00C448AC"/>
    <w:rsid w:val="00C90A18"/>
    <w:rsid w:val="00C91F79"/>
    <w:rsid w:val="00CD20F2"/>
    <w:rsid w:val="00CF1545"/>
    <w:rsid w:val="00CF480D"/>
    <w:rsid w:val="00D07B74"/>
    <w:rsid w:val="00D17DC0"/>
    <w:rsid w:val="00D20904"/>
    <w:rsid w:val="00D60B4C"/>
    <w:rsid w:val="00D60EFF"/>
    <w:rsid w:val="00D864B3"/>
    <w:rsid w:val="00DA634E"/>
    <w:rsid w:val="00DB60C9"/>
    <w:rsid w:val="00DD62EB"/>
    <w:rsid w:val="00E20618"/>
    <w:rsid w:val="00E222E6"/>
    <w:rsid w:val="00E60B56"/>
    <w:rsid w:val="00E72D84"/>
    <w:rsid w:val="00E742F1"/>
    <w:rsid w:val="00E80454"/>
    <w:rsid w:val="00E86F74"/>
    <w:rsid w:val="00EA506D"/>
    <w:rsid w:val="00ED4573"/>
    <w:rsid w:val="00EE1B7D"/>
    <w:rsid w:val="00EE70F7"/>
    <w:rsid w:val="00F00C1B"/>
    <w:rsid w:val="00F030A4"/>
    <w:rsid w:val="00F07FF2"/>
    <w:rsid w:val="00F36C87"/>
    <w:rsid w:val="00F44C6F"/>
    <w:rsid w:val="00F47B63"/>
    <w:rsid w:val="00F47BF9"/>
    <w:rsid w:val="00F7169B"/>
    <w:rsid w:val="00F74333"/>
    <w:rsid w:val="00F76AB0"/>
    <w:rsid w:val="00F8410B"/>
    <w:rsid w:val="00F93141"/>
    <w:rsid w:val="00FA2C0A"/>
    <w:rsid w:val="00FB5988"/>
    <w:rsid w:val="00FD170A"/>
    <w:rsid w:val="00FD674F"/>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D16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86291D"/>
    <w:rPr>
      <w:sz w:val="16"/>
      <w:szCs w:val="16"/>
    </w:rPr>
  </w:style>
  <w:style w:type="paragraph" w:styleId="CommentText">
    <w:name w:val="annotation text"/>
    <w:basedOn w:val="Normal"/>
    <w:link w:val="CommentTextChar"/>
    <w:uiPriority w:val="99"/>
    <w:semiHidden/>
    <w:unhideWhenUsed/>
    <w:rsid w:val="0086291D"/>
    <w:rPr>
      <w:sz w:val="20"/>
    </w:rPr>
  </w:style>
  <w:style w:type="character" w:customStyle="1" w:styleId="CommentTextChar">
    <w:name w:val="Comment Text Char"/>
    <w:basedOn w:val="DefaultParagraphFont"/>
    <w:link w:val="CommentText"/>
    <w:uiPriority w:val="99"/>
    <w:semiHidden/>
    <w:rsid w:val="0086291D"/>
  </w:style>
  <w:style w:type="paragraph" w:styleId="CommentSubject">
    <w:name w:val="annotation subject"/>
    <w:basedOn w:val="CommentText"/>
    <w:next w:val="CommentText"/>
    <w:link w:val="CommentSubjectChar"/>
    <w:uiPriority w:val="99"/>
    <w:semiHidden/>
    <w:unhideWhenUsed/>
    <w:rsid w:val="0086291D"/>
    <w:rPr>
      <w:b/>
      <w:bCs/>
    </w:rPr>
  </w:style>
  <w:style w:type="character" w:customStyle="1" w:styleId="CommentSubjectChar">
    <w:name w:val="Comment Subject Char"/>
    <w:basedOn w:val="CommentTextChar"/>
    <w:link w:val="CommentSubject"/>
    <w:uiPriority w:val="99"/>
    <w:semiHidden/>
    <w:rsid w:val="008629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86291D"/>
    <w:rPr>
      <w:sz w:val="16"/>
      <w:szCs w:val="16"/>
    </w:rPr>
  </w:style>
  <w:style w:type="paragraph" w:styleId="CommentText">
    <w:name w:val="annotation text"/>
    <w:basedOn w:val="Normal"/>
    <w:link w:val="CommentTextChar"/>
    <w:uiPriority w:val="99"/>
    <w:semiHidden/>
    <w:unhideWhenUsed/>
    <w:rsid w:val="0086291D"/>
    <w:rPr>
      <w:sz w:val="20"/>
    </w:rPr>
  </w:style>
  <w:style w:type="character" w:customStyle="1" w:styleId="CommentTextChar">
    <w:name w:val="Comment Text Char"/>
    <w:basedOn w:val="DefaultParagraphFont"/>
    <w:link w:val="CommentText"/>
    <w:uiPriority w:val="99"/>
    <w:semiHidden/>
    <w:rsid w:val="0086291D"/>
  </w:style>
  <w:style w:type="paragraph" w:styleId="CommentSubject">
    <w:name w:val="annotation subject"/>
    <w:basedOn w:val="CommentText"/>
    <w:next w:val="CommentText"/>
    <w:link w:val="CommentSubjectChar"/>
    <w:uiPriority w:val="99"/>
    <w:semiHidden/>
    <w:unhideWhenUsed/>
    <w:rsid w:val="0086291D"/>
    <w:rPr>
      <w:b/>
      <w:bCs/>
    </w:rPr>
  </w:style>
  <w:style w:type="character" w:customStyle="1" w:styleId="CommentSubjectChar">
    <w:name w:val="Comment Subject Char"/>
    <w:basedOn w:val="CommentTextChar"/>
    <w:link w:val="CommentSubject"/>
    <w:uiPriority w:val="99"/>
    <w:semiHidden/>
    <w:rsid w:val="00862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1543</Words>
  <Characters>8779</Characters>
  <Application>Microsoft Office Word</Application>
  <DocSecurity>0</DocSecurity>
  <Lines>195</Lines>
  <Paragraphs>70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10296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2016-07-27T15:49:00Z</dcterms:created>
  <dcterms:modified xsi:type="dcterms:W3CDTF">2016-07-27T15:49:00Z</dcterms:modified>
  <cp:category> </cp:category>
  <cp:contentStatus> </cp:contentStatus>
</cp:coreProperties>
</file>