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21EEB1" w14:textId="6733BEEC" w:rsidR="00921803" w:rsidRDefault="00921803" w:rsidP="00B65734">
      <w:pPr>
        <w:pStyle w:val="StyleBoldCentered"/>
      </w:pPr>
      <w:bookmarkStart w:id="0" w:name="_GoBack"/>
      <w:bookmarkEnd w:id="0"/>
      <w:r>
        <w:t>F</w:t>
      </w:r>
      <w:r>
        <w:rPr>
          <w:caps w:val="0"/>
        </w:rPr>
        <w:t>ederal Communications Commission</w:t>
      </w:r>
    </w:p>
    <w:p w14:paraId="21CEB2A0" w14:textId="77777777" w:rsidR="004C2EE3" w:rsidRDefault="00810B6F" w:rsidP="00B65734">
      <w:pPr>
        <w:pStyle w:val="StyleBoldCentered"/>
      </w:pPr>
      <w:r>
        <w:rPr>
          <w:caps w:val="0"/>
        </w:rPr>
        <w:t>Washington, D.C. 20554</w:t>
      </w:r>
    </w:p>
    <w:p w14:paraId="11A7720E" w14:textId="77777777" w:rsidR="004C2EE3" w:rsidRDefault="004C2EE3" w:rsidP="00304E00"/>
    <w:p w14:paraId="5FCF32F7" w14:textId="77777777" w:rsidR="004C2EE3" w:rsidRDefault="004C2EE3" w:rsidP="00304E00"/>
    <w:tbl>
      <w:tblPr>
        <w:tblW w:w="9576" w:type="dxa"/>
        <w:tblLayout w:type="fixed"/>
        <w:tblLook w:val="0000" w:firstRow="0" w:lastRow="0" w:firstColumn="0" w:lastColumn="0" w:noHBand="0" w:noVBand="0"/>
      </w:tblPr>
      <w:tblGrid>
        <w:gridCol w:w="4698"/>
        <w:gridCol w:w="630"/>
        <w:gridCol w:w="4248"/>
      </w:tblGrid>
      <w:tr w:rsidR="004016D9" w14:paraId="3D040532" w14:textId="77777777" w:rsidTr="004016D9">
        <w:tc>
          <w:tcPr>
            <w:tcW w:w="4698" w:type="dxa"/>
          </w:tcPr>
          <w:p w14:paraId="18DB68D8" w14:textId="77777777" w:rsidR="004016D9" w:rsidRPr="001106B2" w:rsidRDefault="004016D9" w:rsidP="004016D9">
            <w:pPr>
              <w:tabs>
                <w:tab w:val="center" w:pos="4680"/>
              </w:tabs>
              <w:suppressAutoHyphens/>
              <w:ind w:left="-108"/>
              <w:rPr>
                <w:spacing w:val="-2"/>
              </w:rPr>
            </w:pPr>
            <w:r w:rsidRPr="001106B2">
              <w:rPr>
                <w:spacing w:val="-2"/>
              </w:rPr>
              <w:t>In the Matter of</w:t>
            </w:r>
          </w:p>
          <w:p w14:paraId="3451F06D" w14:textId="77777777" w:rsidR="004016D9" w:rsidRPr="001106B2" w:rsidRDefault="004016D9" w:rsidP="004016D9">
            <w:pPr>
              <w:tabs>
                <w:tab w:val="center" w:pos="4680"/>
              </w:tabs>
              <w:suppressAutoHyphens/>
              <w:ind w:left="-108"/>
              <w:rPr>
                <w:spacing w:val="-2"/>
              </w:rPr>
            </w:pPr>
          </w:p>
          <w:p w14:paraId="468143CA" w14:textId="62B547A7" w:rsidR="004016D9" w:rsidRDefault="004016D9" w:rsidP="004016D9">
            <w:pPr>
              <w:ind w:left="-108"/>
            </w:pPr>
            <w:r>
              <w:t>Applications of AT&amp;T Mobility Spectrum LLC, Tampnet Inc., Tampnet Licensee LLC, Broadpoint License Co., LLC, and Broadpoint Wireless License Co., LLC, f</w:t>
            </w:r>
            <w:r w:rsidRPr="00AD7E3F">
              <w:t xml:space="preserve">or </w:t>
            </w:r>
            <w:r>
              <w:t>Consent To Assign Licenses and Approval of Long-Term</w:t>
            </w:r>
            <w:r w:rsidRPr="00D27ABB">
              <w:t xml:space="preserve"> </w:t>
            </w:r>
            <w:r>
              <w:rPr>
                <w:i/>
              </w:rPr>
              <w:t xml:space="preserve">De </w:t>
            </w:r>
            <w:r w:rsidRPr="00574176">
              <w:rPr>
                <w:i/>
              </w:rPr>
              <w:t>Facto</w:t>
            </w:r>
            <w:r>
              <w:t xml:space="preserve"> Transfer Spectrum Leasing Arrangements</w:t>
            </w:r>
          </w:p>
          <w:p w14:paraId="68126D14" w14:textId="77777777" w:rsidR="004016D9" w:rsidRDefault="004016D9" w:rsidP="004016D9">
            <w:pPr>
              <w:ind w:left="-108"/>
            </w:pPr>
          </w:p>
          <w:p w14:paraId="25EF8A29" w14:textId="69B69FCC" w:rsidR="004016D9" w:rsidRDefault="004016D9" w:rsidP="004016D9">
            <w:pPr>
              <w:ind w:left="-108"/>
            </w:pPr>
            <w:r>
              <w:t>Applications of Tampnet Inc. and Broadpoint License Co., LLC for Consent To Assign Satellite Earth Station Licenses</w:t>
            </w:r>
          </w:p>
          <w:p w14:paraId="7193FDF7" w14:textId="77777777" w:rsidR="004016D9" w:rsidRDefault="004016D9" w:rsidP="004016D9">
            <w:pPr>
              <w:ind w:left="-108"/>
            </w:pPr>
          </w:p>
          <w:p w14:paraId="5582D9FA" w14:textId="77777777" w:rsidR="004016D9" w:rsidRDefault="004016D9" w:rsidP="004016D9">
            <w:pPr>
              <w:ind w:left="-108"/>
            </w:pPr>
            <w:r>
              <w:t>Application of Tampnet Inc. for Global or Limited Global Facilities-Based Service, Global or Limited Global Resale Service</w:t>
            </w:r>
          </w:p>
          <w:p w14:paraId="17F11F5E" w14:textId="77777777" w:rsidR="004016D9" w:rsidRDefault="004016D9" w:rsidP="004016D9">
            <w:pPr>
              <w:ind w:left="-108"/>
            </w:pPr>
          </w:p>
          <w:p w14:paraId="184D20EF" w14:textId="77777777" w:rsidR="004016D9" w:rsidRPr="00AD7E3F" w:rsidRDefault="004016D9" w:rsidP="004016D9">
            <w:pPr>
              <w:ind w:left="-108"/>
            </w:pPr>
            <w:r>
              <w:t>Petition for Declaratory Ruling of Tampnet Inc.</w:t>
            </w:r>
          </w:p>
          <w:p w14:paraId="4EF6ACCF" w14:textId="24D6B9A7" w:rsidR="004016D9" w:rsidRPr="007115F7" w:rsidRDefault="004016D9" w:rsidP="004016D9">
            <w:pPr>
              <w:tabs>
                <w:tab w:val="center" w:pos="4680"/>
              </w:tabs>
              <w:suppressAutoHyphens/>
              <w:ind w:left="-108"/>
              <w:rPr>
                <w:spacing w:val="-2"/>
              </w:rPr>
            </w:pPr>
          </w:p>
        </w:tc>
        <w:tc>
          <w:tcPr>
            <w:tcW w:w="630" w:type="dxa"/>
          </w:tcPr>
          <w:p w14:paraId="1E5E4E8B" w14:textId="77777777" w:rsidR="004016D9" w:rsidRPr="00084415" w:rsidRDefault="004016D9" w:rsidP="004016D9">
            <w:pPr>
              <w:rPr>
                <w:b/>
              </w:rPr>
            </w:pPr>
            <w:r w:rsidRPr="00084415">
              <w:rPr>
                <w:b/>
              </w:rPr>
              <w:t>)</w:t>
            </w:r>
          </w:p>
          <w:p w14:paraId="22F7E312" w14:textId="77777777" w:rsidR="004016D9" w:rsidRPr="00084415" w:rsidRDefault="004016D9" w:rsidP="004016D9">
            <w:pPr>
              <w:rPr>
                <w:b/>
              </w:rPr>
            </w:pPr>
            <w:r w:rsidRPr="00084415">
              <w:rPr>
                <w:b/>
              </w:rPr>
              <w:t>)</w:t>
            </w:r>
          </w:p>
          <w:p w14:paraId="1ACEE256" w14:textId="77777777" w:rsidR="004016D9" w:rsidRPr="00084415" w:rsidRDefault="004016D9" w:rsidP="004016D9">
            <w:r w:rsidRPr="00084415">
              <w:rPr>
                <w:b/>
              </w:rPr>
              <w:t>)</w:t>
            </w:r>
          </w:p>
          <w:p w14:paraId="0DCDCAF2" w14:textId="77777777" w:rsidR="004016D9" w:rsidRPr="00084415" w:rsidRDefault="004016D9" w:rsidP="004016D9">
            <w:pPr>
              <w:rPr>
                <w:b/>
              </w:rPr>
            </w:pPr>
            <w:r w:rsidRPr="00084415">
              <w:rPr>
                <w:b/>
              </w:rPr>
              <w:t>)</w:t>
            </w:r>
          </w:p>
          <w:p w14:paraId="2AEF6741" w14:textId="77777777" w:rsidR="004016D9" w:rsidRPr="00084415" w:rsidRDefault="004016D9" w:rsidP="004016D9">
            <w:pPr>
              <w:rPr>
                <w:b/>
              </w:rPr>
            </w:pPr>
            <w:r w:rsidRPr="00084415">
              <w:rPr>
                <w:b/>
              </w:rPr>
              <w:t>)</w:t>
            </w:r>
          </w:p>
          <w:p w14:paraId="3D58EB13" w14:textId="77777777" w:rsidR="004016D9" w:rsidRPr="00084415" w:rsidRDefault="004016D9" w:rsidP="004016D9">
            <w:pPr>
              <w:rPr>
                <w:b/>
              </w:rPr>
            </w:pPr>
            <w:r w:rsidRPr="00084415">
              <w:rPr>
                <w:b/>
              </w:rPr>
              <w:t>)</w:t>
            </w:r>
          </w:p>
          <w:p w14:paraId="173F162A" w14:textId="77777777" w:rsidR="004016D9" w:rsidRPr="00084415" w:rsidRDefault="004016D9" w:rsidP="004016D9">
            <w:pPr>
              <w:rPr>
                <w:b/>
              </w:rPr>
            </w:pPr>
            <w:r w:rsidRPr="00084415">
              <w:rPr>
                <w:b/>
              </w:rPr>
              <w:t>)</w:t>
            </w:r>
          </w:p>
          <w:p w14:paraId="6A421010" w14:textId="77777777" w:rsidR="004016D9" w:rsidRPr="00084415" w:rsidRDefault="004016D9" w:rsidP="004016D9">
            <w:pPr>
              <w:rPr>
                <w:b/>
              </w:rPr>
            </w:pPr>
            <w:r w:rsidRPr="00084415">
              <w:rPr>
                <w:b/>
              </w:rPr>
              <w:t>)</w:t>
            </w:r>
          </w:p>
          <w:p w14:paraId="036F289B" w14:textId="77777777" w:rsidR="004016D9" w:rsidRDefault="004016D9" w:rsidP="004016D9">
            <w:pPr>
              <w:rPr>
                <w:color w:val="000000"/>
                <w:szCs w:val="22"/>
              </w:rPr>
            </w:pPr>
            <w:r w:rsidRPr="00084415">
              <w:rPr>
                <w:b/>
              </w:rPr>
              <w:t>)</w:t>
            </w:r>
          </w:p>
          <w:p w14:paraId="5A758046" w14:textId="77777777" w:rsidR="004016D9" w:rsidRDefault="004016D9" w:rsidP="004016D9">
            <w:pPr>
              <w:rPr>
                <w:b/>
                <w:color w:val="000000"/>
                <w:szCs w:val="22"/>
              </w:rPr>
            </w:pPr>
            <w:r>
              <w:rPr>
                <w:b/>
                <w:color w:val="000000"/>
                <w:szCs w:val="22"/>
              </w:rPr>
              <w:t>)</w:t>
            </w:r>
          </w:p>
          <w:p w14:paraId="68C6DF95" w14:textId="77777777" w:rsidR="004016D9" w:rsidRDefault="004016D9" w:rsidP="004016D9">
            <w:pPr>
              <w:rPr>
                <w:b/>
                <w:color w:val="000000"/>
                <w:szCs w:val="22"/>
              </w:rPr>
            </w:pPr>
            <w:r>
              <w:rPr>
                <w:b/>
                <w:color w:val="000000"/>
                <w:szCs w:val="22"/>
              </w:rPr>
              <w:t>)</w:t>
            </w:r>
          </w:p>
          <w:p w14:paraId="307C5562" w14:textId="77777777" w:rsidR="004016D9" w:rsidRDefault="004016D9" w:rsidP="004016D9">
            <w:pPr>
              <w:rPr>
                <w:b/>
                <w:color w:val="000000"/>
                <w:szCs w:val="22"/>
              </w:rPr>
            </w:pPr>
            <w:r>
              <w:rPr>
                <w:b/>
                <w:color w:val="000000"/>
                <w:szCs w:val="22"/>
              </w:rPr>
              <w:t>)</w:t>
            </w:r>
          </w:p>
          <w:p w14:paraId="2CE46CEA" w14:textId="77777777" w:rsidR="004016D9" w:rsidRDefault="004016D9" w:rsidP="004016D9">
            <w:pPr>
              <w:rPr>
                <w:b/>
                <w:color w:val="000000"/>
                <w:szCs w:val="22"/>
              </w:rPr>
            </w:pPr>
            <w:r>
              <w:rPr>
                <w:b/>
                <w:color w:val="000000"/>
                <w:szCs w:val="22"/>
              </w:rPr>
              <w:t>)</w:t>
            </w:r>
          </w:p>
          <w:p w14:paraId="52331E74" w14:textId="77777777" w:rsidR="004016D9" w:rsidRDefault="004016D9" w:rsidP="004016D9">
            <w:pPr>
              <w:rPr>
                <w:b/>
                <w:color w:val="000000"/>
                <w:szCs w:val="22"/>
              </w:rPr>
            </w:pPr>
            <w:r>
              <w:rPr>
                <w:b/>
                <w:color w:val="000000"/>
                <w:szCs w:val="22"/>
              </w:rPr>
              <w:t>)</w:t>
            </w:r>
          </w:p>
          <w:p w14:paraId="0E2432FE" w14:textId="77777777" w:rsidR="004016D9" w:rsidRDefault="004016D9" w:rsidP="004016D9">
            <w:pPr>
              <w:rPr>
                <w:b/>
                <w:color w:val="000000"/>
                <w:szCs w:val="22"/>
              </w:rPr>
            </w:pPr>
            <w:r>
              <w:rPr>
                <w:b/>
                <w:color w:val="000000"/>
                <w:szCs w:val="22"/>
              </w:rPr>
              <w:t>)</w:t>
            </w:r>
          </w:p>
          <w:p w14:paraId="1DC4EE80" w14:textId="77777777" w:rsidR="004016D9" w:rsidRDefault="004016D9" w:rsidP="004016D9">
            <w:pPr>
              <w:rPr>
                <w:b/>
                <w:color w:val="000000"/>
                <w:szCs w:val="22"/>
              </w:rPr>
            </w:pPr>
            <w:r>
              <w:rPr>
                <w:b/>
                <w:color w:val="000000"/>
                <w:szCs w:val="22"/>
              </w:rPr>
              <w:t>)</w:t>
            </w:r>
          </w:p>
          <w:p w14:paraId="26FE6F21" w14:textId="77777777" w:rsidR="004016D9" w:rsidRDefault="004016D9" w:rsidP="004016D9">
            <w:pPr>
              <w:rPr>
                <w:b/>
                <w:color w:val="000000"/>
                <w:szCs w:val="22"/>
              </w:rPr>
            </w:pPr>
            <w:r>
              <w:rPr>
                <w:b/>
                <w:color w:val="000000"/>
                <w:szCs w:val="22"/>
              </w:rPr>
              <w:t>)</w:t>
            </w:r>
          </w:p>
          <w:p w14:paraId="1AEC90D4" w14:textId="7BDC38B7" w:rsidR="004016D9" w:rsidRPr="00066321" w:rsidRDefault="004016D9" w:rsidP="004016D9">
            <w:pPr>
              <w:tabs>
                <w:tab w:val="center" w:pos="4680"/>
              </w:tabs>
              <w:suppressAutoHyphens/>
              <w:rPr>
                <w:b/>
                <w:spacing w:val="-2"/>
              </w:rPr>
            </w:pPr>
            <w:r>
              <w:rPr>
                <w:b/>
                <w:color w:val="000000"/>
                <w:szCs w:val="22"/>
              </w:rPr>
              <w:t>)</w:t>
            </w:r>
          </w:p>
        </w:tc>
        <w:tc>
          <w:tcPr>
            <w:tcW w:w="4248" w:type="dxa"/>
          </w:tcPr>
          <w:p w14:paraId="7C89DFAA" w14:textId="77777777" w:rsidR="004016D9" w:rsidRDefault="004016D9" w:rsidP="004016D9"/>
          <w:p w14:paraId="505689C6" w14:textId="77777777" w:rsidR="004016D9" w:rsidRDefault="004016D9" w:rsidP="004016D9"/>
          <w:p w14:paraId="22F04514" w14:textId="77777777" w:rsidR="004016D9" w:rsidRDefault="004016D9" w:rsidP="004016D9">
            <w:r>
              <w:t>WT Docket No. 15-255</w:t>
            </w:r>
          </w:p>
          <w:p w14:paraId="7696C310" w14:textId="77777777" w:rsidR="004016D9" w:rsidRDefault="004016D9" w:rsidP="004016D9"/>
          <w:p w14:paraId="10C642DD" w14:textId="77777777" w:rsidR="004016D9" w:rsidRDefault="004016D9" w:rsidP="004016D9"/>
          <w:p w14:paraId="20FFCA1D" w14:textId="77777777" w:rsidR="004016D9" w:rsidRDefault="004016D9" w:rsidP="004016D9"/>
          <w:p w14:paraId="0FF98C5C" w14:textId="77777777" w:rsidR="004016D9" w:rsidRDefault="004016D9" w:rsidP="004016D9"/>
          <w:p w14:paraId="738A6662" w14:textId="77777777" w:rsidR="004016D9" w:rsidRDefault="004016D9" w:rsidP="004016D9"/>
          <w:p w14:paraId="1F86A9F3" w14:textId="77777777" w:rsidR="004016D9" w:rsidRDefault="004016D9" w:rsidP="004016D9"/>
          <w:p w14:paraId="0C329BEF" w14:textId="77777777" w:rsidR="004016D9" w:rsidRDefault="004016D9" w:rsidP="004016D9">
            <w:pPr>
              <w:rPr>
                <w:color w:val="000000"/>
                <w:szCs w:val="22"/>
              </w:rPr>
            </w:pPr>
            <w:r>
              <w:t xml:space="preserve">File Nos. </w:t>
            </w:r>
            <w:r w:rsidRPr="00622D45">
              <w:rPr>
                <w:color w:val="000000"/>
                <w:szCs w:val="22"/>
              </w:rPr>
              <w:t>SES-ASG-20150828-00555</w:t>
            </w:r>
            <w:r>
              <w:rPr>
                <w:color w:val="000000"/>
                <w:szCs w:val="22"/>
              </w:rPr>
              <w:t>, SES-ASG-20150828-0056</w:t>
            </w:r>
            <w:r w:rsidRPr="00622D45">
              <w:rPr>
                <w:color w:val="000000"/>
                <w:szCs w:val="22"/>
              </w:rPr>
              <w:t>5</w:t>
            </w:r>
          </w:p>
          <w:p w14:paraId="0C94CC56" w14:textId="77777777" w:rsidR="004016D9" w:rsidRDefault="004016D9" w:rsidP="004016D9">
            <w:pPr>
              <w:rPr>
                <w:color w:val="000000"/>
                <w:szCs w:val="22"/>
              </w:rPr>
            </w:pPr>
          </w:p>
          <w:p w14:paraId="436FAEAC" w14:textId="77777777" w:rsidR="004016D9" w:rsidRDefault="004016D9" w:rsidP="004016D9">
            <w:pPr>
              <w:rPr>
                <w:color w:val="000000"/>
                <w:szCs w:val="22"/>
              </w:rPr>
            </w:pPr>
          </w:p>
          <w:p w14:paraId="2E8CD580" w14:textId="77777777" w:rsidR="004016D9" w:rsidRDefault="004016D9" w:rsidP="004016D9">
            <w:pPr>
              <w:rPr>
                <w:szCs w:val="22"/>
              </w:rPr>
            </w:pPr>
            <w:r>
              <w:rPr>
                <w:color w:val="000000"/>
                <w:szCs w:val="22"/>
              </w:rPr>
              <w:t xml:space="preserve">File No. </w:t>
            </w:r>
            <w:r>
              <w:rPr>
                <w:szCs w:val="22"/>
              </w:rPr>
              <w:t>ITC-214-20150901</w:t>
            </w:r>
            <w:r w:rsidRPr="00EB7F1B">
              <w:rPr>
                <w:szCs w:val="22"/>
              </w:rPr>
              <w:t>-</w:t>
            </w:r>
            <w:r>
              <w:rPr>
                <w:szCs w:val="22"/>
              </w:rPr>
              <w:t>00218</w:t>
            </w:r>
          </w:p>
          <w:p w14:paraId="6BE7613F" w14:textId="77777777" w:rsidR="004016D9" w:rsidRDefault="004016D9" w:rsidP="004016D9">
            <w:pPr>
              <w:rPr>
                <w:szCs w:val="22"/>
              </w:rPr>
            </w:pPr>
          </w:p>
          <w:p w14:paraId="268A8E3F" w14:textId="77777777" w:rsidR="004016D9" w:rsidRDefault="004016D9" w:rsidP="004016D9">
            <w:pPr>
              <w:rPr>
                <w:szCs w:val="22"/>
              </w:rPr>
            </w:pPr>
          </w:p>
          <w:p w14:paraId="2C7FD124" w14:textId="77777777" w:rsidR="004016D9" w:rsidRDefault="004016D9" w:rsidP="004016D9">
            <w:pPr>
              <w:rPr>
                <w:szCs w:val="22"/>
              </w:rPr>
            </w:pPr>
          </w:p>
          <w:p w14:paraId="3E872C24" w14:textId="17477F8B" w:rsidR="004016D9" w:rsidRDefault="004016D9" w:rsidP="004016D9">
            <w:pPr>
              <w:rPr>
                <w:color w:val="000000"/>
                <w:szCs w:val="22"/>
              </w:rPr>
            </w:pPr>
            <w:r>
              <w:rPr>
                <w:color w:val="000000"/>
                <w:szCs w:val="22"/>
              </w:rPr>
              <w:t xml:space="preserve">File No. </w:t>
            </w:r>
            <w:r w:rsidR="00125EFF">
              <w:rPr>
                <w:szCs w:val="22"/>
              </w:rPr>
              <w:t>ISP-PDR-20150507-00003</w:t>
            </w:r>
          </w:p>
          <w:p w14:paraId="2C831D33" w14:textId="78B2B304" w:rsidR="004016D9" w:rsidRDefault="004016D9" w:rsidP="004016D9">
            <w:pPr>
              <w:tabs>
                <w:tab w:val="center" w:pos="4680"/>
              </w:tabs>
              <w:suppressAutoHyphens/>
              <w:rPr>
                <w:spacing w:val="-2"/>
              </w:rPr>
            </w:pPr>
          </w:p>
        </w:tc>
      </w:tr>
    </w:tbl>
    <w:p w14:paraId="28B59A14" w14:textId="77777777" w:rsidR="00F76F1F" w:rsidRDefault="00F76F1F" w:rsidP="0062376B">
      <w:pPr>
        <w:pStyle w:val="StyleBoldCentered"/>
      </w:pPr>
    </w:p>
    <w:p w14:paraId="47D7BA8E" w14:textId="783C5A94" w:rsidR="00841AB1" w:rsidRDefault="00DC12FC">
      <w:pPr>
        <w:pStyle w:val="StyleBoldCentered"/>
      </w:pPr>
      <w:r>
        <w:t>Memorandum opinion and order</w:t>
      </w:r>
      <w:r w:rsidR="007875AE">
        <w:t xml:space="preserve"> AND DECLARATORY RULING</w:t>
      </w:r>
    </w:p>
    <w:p w14:paraId="3A1CBEBD" w14:textId="77777777" w:rsidR="004C2EE3" w:rsidRDefault="004C2EE3" w:rsidP="00043FDC">
      <w:pPr>
        <w:tabs>
          <w:tab w:val="left" w:pos="-720"/>
        </w:tabs>
        <w:suppressAutoHyphens/>
        <w:rPr>
          <w:spacing w:val="-2"/>
        </w:rPr>
      </w:pPr>
    </w:p>
    <w:p w14:paraId="7BCE3ABD" w14:textId="54D1BE50" w:rsidR="004C2EE3" w:rsidRDefault="004C2EE3" w:rsidP="00043FDC">
      <w:pPr>
        <w:tabs>
          <w:tab w:val="left" w:pos="720"/>
          <w:tab w:val="right" w:pos="9360"/>
        </w:tabs>
        <w:suppressAutoHyphens/>
        <w:rPr>
          <w:spacing w:val="-2"/>
        </w:rPr>
      </w:pPr>
      <w:r>
        <w:rPr>
          <w:b/>
          <w:spacing w:val="-2"/>
        </w:rPr>
        <w:t xml:space="preserve">Adopted:  </w:t>
      </w:r>
      <w:r w:rsidR="00597E12">
        <w:rPr>
          <w:b/>
          <w:spacing w:val="-2"/>
        </w:rPr>
        <w:t>July 28, 2016</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597E12">
        <w:rPr>
          <w:b/>
          <w:spacing w:val="-2"/>
        </w:rPr>
        <w:t>July 28, 2016</w:t>
      </w:r>
    </w:p>
    <w:p w14:paraId="31B05BF2" w14:textId="77777777" w:rsidR="00822CE0" w:rsidRDefault="00822CE0" w:rsidP="0062376B"/>
    <w:p w14:paraId="209680FC" w14:textId="6C90C685" w:rsidR="00806C23" w:rsidRDefault="004C2EE3" w:rsidP="00FF377C">
      <w:pPr>
        <w:rPr>
          <w:spacing w:val="-2"/>
        </w:rPr>
      </w:pPr>
      <w:r>
        <w:t xml:space="preserve">By </w:t>
      </w:r>
      <w:r w:rsidR="004E4A22">
        <w:t>the</w:t>
      </w:r>
      <w:r w:rsidR="002A2D2E">
        <w:t xml:space="preserve"> </w:t>
      </w:r>
      <w:r w:rsidR="00DC12FC">
        <w:rPr>
          <w:spacing w:val="-2"/>
        </w:rPr>
        <w:t>Chief, Wireless Telecommunications Bureau</w:t>
      </w:r>
      <w:r w:rsidR="0005536B">
        <w:rPr>
          <w:spacing w:val="-2"/>
        </w:rPr>
        <w:t>,</w:t>
      </w:r>
      <w:r w:rsidR="0033110D">
        <w:rPr>
          <w:spacing w:val="-2"/>
        </w:rPr>
        <w:t xml:space="preserve"> </w:t>
      </w:r>
      <w:r w:rsidR="0074141B" w:rsidRPr="0074141B">
        <w:rPr>
          <w:spacing w:val="-2"/>
        </w:rPr>
        <w:t>and Chief, International Bureau</w:t>
      </w:r>
      <w:r>
        <w:rPr>
          <w:spacing w:val="-2"/>
        </w:rPr>
        <w:t>:</w:t>
      </w:r>
    </w:p>
    <w:p w14:paraId="1FABEE8F" w14:textId="77777777" w:rsidR="00FE4FD4" w:rsidRDefault="00FE4FD4" w:rsidP="00FE4FD4">
      <w:pPr>
        <w:rPr>
          <w:spacing w:val="-2"/>
        </w:rPr>
      </w:pPr>
      <w:bookmarkStart w:id="1" w:name="_Toc403981887"/>
      <w:bookmarkStart w:id="2" w:name="_Toc403998339"/>
      <w:bookmarkStart w:id="3" w:name="_Toc403998426"/>
      <w:bookmarkStart w:id="4" w:name="_Toc404003252"/>
      <w:bookmarkStart w:id="5" w:name="_Toc404003530"/>
      <w:bookmarkStart w:id="6" w:name="_Toc404152151"/>
      <w:bookmarkStart w:id="7" w:name="_Toc405185081"/>
      <w:bookmarkStart w:id="8" w:name="_Toc405799100"/>
      <w:bookmarkStart w:id="9" w:name="_Toc405799327"/>
      <w:bookmarkStart w:id="10" w:name="_Toc405801042"/>
      <w:bookmarkStart w:id="11" w:name="_Toc406492300"/>
      <w:bookmarkStart w:id="12" w:name="_Toc408387308"/>
      <w:bookmarkStart w:id="13" w:name="_Toc419201229"/>
      <w:bookmarkStart w:id="14" w:name="_Toc419201456"/>
      <w:bookmarkStart w:id="15" w:name="_Toc419206322"/>
      <w:bookmarkStart w:id="16" w:name="_Toc419206917"/>
      <w:bookmarkStart w:id="17" w:name="_Toc419206995"/>
      <w:bookmarkStart w:id="18" w:name="_Toc419287167"/>
      <w:bookmarkStart w:id="19" w:name="_Toc419447039"/>
      <w:bookmarkStart w:id="20" w:name="_Toc419815658"/>
      <w:bookmarkStart w:id="21" w:name="_Toc420400629"/>
      <w:bookmarkStart w:id="22" w:name="_Toc420499765"/>
      <w:bookmarkStart w:id="23" w:name="_Toc426371649"/>
      <w:bookmarkStart w:id="24" w:name="_Toc431369385"/>
      <w:bookmarkStart w:id="25" w:name="_Toc432079504"/>
      <w:bookmarkStart w:id="26" w:name="_Toc433031345"/>
      <w:bookmarkStart w:id="27" w:name="_Toc433613265"/>
      <w:bookmarkStart w:id="28" w:name="_Toc433631085"/>
      <w:bookmarkStart w:id="29" w:name="_Toc433631148"/>
      <w:bookmarkStart w:id="30" w:name="_Toc433631213"/>
      <w:bookmarkStart w:id="31" w:name="_Toc433631267"/>
      <w:bookmarkStart w:id="32" w:name="_Toc433631611"/>
      <w:bookmarkStart w:id="33" w:name="_Toc434313057"/>
      <w:bookmarkStart w:id="34" w:name="_Toc456165413"/>
    </w:p>
    <w:p w14:paraId="647FB759" w14:textId="7A9A40BE" w:rsidR="00BD0FE9" w:rsidRDefault="00851C47" w:rsidP="00851C47">
      <w:pPr>
        <w:pStyle w:val="TOCTitle"/>
      </w:pPr>
      <w:bookmarkStart w:id="35" w:name="TOChere"/>
      <w:r>
        <w:t>Table of Contents</w:t>
      </w:r>
    </w:p>
    <w:p w14:paraId="0AB2A1B4" w14:textId="5B081A64" w:rsidR="00851C47" w:rsidRDefault="00851C47" w:rsidP="00851C47">
      <w:pPr>
        <w:pStyle w:val="Paratitle"/>
      </w:pPr>
      <w:r>
        <w:t>Heading</w:t>
      </w:r>
      <w:r>
        <w:tab/>
        <w:t>Paragraph #</w:t>
      </w:r>
      <w:bookmarkStart w:id="36" w:name="start_here"/>
      <w:bookmarkEnd w:id="36"/>
    </w:p>
    <w:p w14:paraId="173EBB49" w14:textId="573AB6F3" w:rsidR="00851C47" w:rsidRDefault="00851C47" w:rsidP="00851C47">
      <w:pPr>
        <w:pStyle w:val="TOC1"/>
        <w:rPr>
          <w:rFonts w:asciiTheme="minorHAnsi" w:eastAsiaTheme="minorEastAsia" w:hAnsiTheme="minorHAnsi" w:cstheme="minorBidi"/>
          <w:caps w:val="0"/>
          <w:snapToGrid/>
          <w:kern w:val="0"/>
          <w:szCs w:val="22"/>
        </w:rPr>
      </w:pPr>
      <w:r>
        <w:t>I.</w:t>
      </w:r>
      <w:r>
        <w:rPr>
          <w:rFonts w:asciiTheme="minorHAnsi" w:eastAsiaTheme="minorEastAsia" w:hAnsiTheme="minorHAnsi" w:cstheme="minorBidi"/>
          <w:caps w:val="0"/>
          <w:snapToGrid/>
          <w:kern w:val="0"/>
          <w:szCs w:val="22"/>
        </w:rPr>
        <w:tab/>
      </w:r>
      <w:r>
        <w:t>introduction</w:t>
      </w:r>
      <w:r>
        <w:tab/>
        <w:t>1</w:t>
      </w:r>
    </w:p>
    <w:p w14:paraId="5CA3AF18" w14:textId="44410CAC" w:rsidR="00851C47" w:rsidRDefault="00851C47" w:rsidP="00851C47">
      <w:pPr>
        <w:pStyle w:val="TOC1"/>
        <w:rPr>
          <w:rFonts w:asciiTheme="minorHAnsi" w:eastAsiaTheme="minorEastAsia" w:hAnsiTheme="minorHAnsi" w:cstheme="minorBidi"/>
          <w:caps w:val="0"/>
          <w:snapToGrid/>
          <w:kern w:val="0"/>
          <w:szCs w:val="22"/>
        </w:rPr>
      </w:pPr>
      <w:r>
        <w:t>II.</w:t>
      </w:r>
      <w:r>
        <w:rPr>
          <w:rFonts w:asciiTheme="minorHAnsi" w:eastAsiaTheme="minorEastAsia" w:hAnsiTheme="minorHAnsi" w:cstheme="minorBidi"/>
          <w:caps w:val="0"/>
          <w:snapToGrid/>
          <w:kern w:val="0"/>
          <w:szCs w:val="22"/>
        </w:rPr>
        <w:tab/>
      </w:r>
      <w:r>
        <w:t>background and public interest framework</w:t>
      </w:r>
      <w:r>
        <w:tab/>
        <w:t>4</w:t>
      </w:r>
    </w:p>
    <w:p w14:paraId="0E8101D1" w14:textId="5D333B7C" w:rsidR="00851C47" w:rsidRDefault="00851C47" w:rsidP="00851C47">
      <w:pPr>
        <w:pStyle w:val="TOC1"/>
        <w:rPr>
          <w:rFonts w:asciiTheme="minorHAnsi" w:eastAsiaTheme="minorEastAsia" w:hAnsiTheme="minorHAnsi" w:cstheme="minorBidi"/>
          <w:caps w:val="0"/>
          <w:snapToGrid/>
          <w:kern w:val="0"/>
          <w:szCs w:val="22"/>
        </w:rPr>
      </w:pPr>
      <w:r>
        <w:t>III.</w:t>
      </w:r>
      <w:r>
        <w:rPr>
          <w:rFonts w:asciiTheme="minorHAnsi" w:eastAsiaTheme="minorEastAsia" w:hAnsiTheme="minorHAnsi" w:cstheme="minorBidi"/>
          <w:caps w:val="0"/>
          <w:snapToGrid/>
          <w:kern w:val="0"/>
          <w:szCs w:val="22"/>
        </w:rPr>
        <w:tab/>
      </w:r>
      <w:r>
        <w:t>potential public interest harms</w:t>
      </w:r>
      <w:r>
        <w:tab/>
        <w:t>14</w:t>
      </w:r>
    </w:p>
    <w:p w14:paraId="062F5717" w14:textId="3AE7EA3E" w:rsidR="00851C47" w:rsidRDefault="00851C47" w:rsidP="00851C4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Market Definitions</w:t>
      </w:r>
      <w:r>
        <w:tab/>
        <w:t>16</w:t>
      </w:r>
    </w:p>
    <w:p w14:paraId="612CCE9E" w14:textId="2658CB8E" w:rsidR="00851C47" w:rsidRDefault="00851C47" w:rsidP="00851C4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Competitive Effects of the Proposed Transaction</w:t>
      </w:r>
      <w:r>
        <w:tab/>
        <w:t>19</w:t>
      </w:r>
    </w:p>
    <w:p w14:paraId="0EFF6542" w14:textId="4947A7B0" w:rsidR="00851C47" w:rsidRDefault="00851C47" w:rsidP="00851C47">
      <w:pPr>
        <w:pStyle w:val="TOC1"/>
        <w:rPr>
          <w:rFonts w:asciiTheme="minorHAnsi" w:eastAsiaTheme="minorEastAsia" w:hAnsiTheme="minorHAnsi" w:cstheme="minorBidi"/>
          <w:caps w:val="0"/>
          <w:snapToGrid/>
          <w:kern w:val="0"/>
          <w:szCs w:val="22"/>
        </w:rPr>
      </w:pPr>
      <w:r w:rsidRPr="00A41767">
        <w:rPr>
          <w:snapToGrid/>
        </w:rPr>
        <w:t>IV.</w:t>
      </w:r>
      <w:r>
        <w:rPr>
          <w:rFonts w:asciiTheme="minorHAnsi" w:eastAsiaTheme="minorEastAsia" w:hAnsiTheme="minorHAnsi" w:cstheme="minorBidi"/>
          <w:caps w:val="0"/>
          <w:snapToGrid/>
          <w:kern w:val="0"/>
          <w:szCs w:val="22"/>
        </w:rPr>
        <w:tab/>
      </w:r>
      <w:r w:rsidRPr="00A41767">
        <w:rPr>
          <w:snapToGrid/>
        </w:rPr>
        <w:t>potential public interest benefits</w:t>
      </w:r>
      <w:r>
        <w:tab/>
        <w:t>24</w:t>
      </w:r>
    </w:p>
    <w:p w14:paraId="76DC50FE" w14:textId="2D6DE040" w:rsidR="00851C47" w:rsidRDefault="00851C47" w:rsidP="00851C47">
      <w:pPr>
        <w:pStyle w:val="TOC1"/>
        <w:rPr>
          <w:rFonts w:asciiTheme="minorHAnsi" w:eastAsiaTheme="minorEastAsia" w:hAnsiTheme="minorHAnsi" w:cstheme="minorBidi"/>
          <w:caps w:val="0"/>
          <w:snapToGrid/>
          <w:kern w:val="0"/>
          <w:szCs w:val="22"/>
        </w:rPr>
      </w:pPr>
      <w:r>
        <w:t>V.</w:t>
      </w:r>
      <w:r>
        <w:rPr>
          <w:rFonts w:asciiTheme="minorHAnsi" w:eastAsiaTheme="minorEastAsia" w:hAnsiTheme="minorHAnsi" w:cstheme="minorBidi"/>
          <w:caps w:val="0"/>
          <w:snapToGrid/>
          <w:kern w:val="0"/>
          <w:szCs w:val="22"/>
        </w:rPr>
        <w:tab/>
      </w:r>
      <w:r>
        <w:t>Balancing The potential benefits and the potential harms</w:t>
      </w:r>
      <w:r>
        <w:tab/>
        <w:t>32</w:t>
      </w:r>
    </w:p>
    <w:p w14:paraId="7D1C0D11" w14:textId="1ACEB694" w:rsidR="00851C47" w:rsidRDefault="00851C47" w:rsidP="00851C47">
      <w:pPr>
        <w:pStyle w:val="TOC1"/>
        <w:rPr>
          <w:rFonts w:asciiTheme="minorHAnsi" w:eastAsiaTheme="minorEastAsia" w:hAnsiTheme="minorHAnsi" w:cstheme="minorBidi"/>
          <w:caps w:val="0"/>
          <w:snapToGrid/>
          <w:kern w:val="0"/>
          <w:szCs w:val="22"/>
        </w:rPr>
      </w:pPr>
      <w:r>
        <w:t>VI.</w:t>
      </w:r>
      <w:r>
        <w:rPr>
          <w:rFonts w:asciiTheme="minorHAnsi" w:eastAsiaTheme="minorEastAsia" w:hAnsiTheme="minorHAnsi" w:cstheme="minorBidi"/>
          <w:caps w:val="0"/>
          <w:snapToGrid/>
          <w:kern w:val="0"/>
          <w:szCs w:val="22"/>
        </w:rPr>
        <w:tab/>
      </w:r>
      <w:r>
        <w:t>foreign ownership and declaratory ruling</w:t>
      </w:r>
      <w:r>
        <w:tab/>
        <w:t>33</w:t>
      </w:r>
    </w:p>
    <w:p w14:paraId="382E3B7D" w14:textId="67367F39" w:rsidR="00851C47" w:rsidRDefault="00851C47" w:rsidP="00851C47">
      <w:pPr>
        <w:pStyle w:val="TOC2"/>
        <w:tabs>
          <w:tab w:val="left" w:pos="360"/>
        </w:tabs>
        <w:rPr>
          <w:rFonts w:asciiTheme="minorHAnsi" w:eastAsiaTheme="minorEastAsia" w:hAnsiTheme="minorHAnsi" w:cstheme="minorBidi"/>
          <w:snapToGrid/>
          <w:kern w:val="0"/>
          <w:szCs w:val="22"/>
        </w:rPr>
      </w:pPr>
      <w:r>
        <w:t>A.</w:t>
      </w:r>
      <w:r>
        <w:rPr>
          <w:rFonts w:asciiTheme="minorHAnsi" w:eastAsiaTheme="minorEastAsia" w:hAnsiTheme="minorHAnsi" w:cstheme="minorBidi"/>
          <w:snapToGrid/>
          <w:kern w:val="0"/>
          <w:szCs w:val="22"/>
        </w:rPr>
        <w:tab/>
      </w:r>
      <w:r>
        <w:t>Foreign Ownership</w:t>
      </w:r>
      <w:r>
        <w:tab/>
        <w:t>33</w:t>
      </w:r>
    </w:p>
    <w:p w14:paraId="60ACFD0E" w14:textId="4FE5D81C" w:rsidR="00851C47" w:rsidRDefault="00851C47" w:rsidP="00851C47">
      <w:pPr>
        <w:pStyle w:val="TOC2"/>
        <w:tabs>
          <w:tab w:val="left" w:pos="360"/>
        </w:tabs>
        <w:rPr>
          <w:rFonts w:asciiTheme="minorHAnsi" w:eastAsiaTheme="minorEastAsia" w:hAnsiTheme="minorHAnsi" w:cstheme="minorBidi"/>
          <w:snapToGrid/>
          <w:kern w:val="0"/>
          <w:szCs w:val="22"/>
        </w:rPr>
      </w:pPr>
      <w:r>
        <w:t>B.</w:t>
      </w:r>
      <w:r>
        <w:rPr>
          <w:rFonts w:asciiTheme="minorHAnsi" w:eastAsiaTheme="minorEastAsia" w:hAnsiTheme="minorHAnsi" w:cstheme="minorBidi"/>
          <w:snapToGrid/>
          <w:kern w:val="0"/>
          <w:szCs w:val="22"/>
        </w:rPr>
        <w:tab/>
      </w:r>
      <w:r>
        <w:t>National Security, Law Enforcement, Foreign Policy, and Trade Policy</w:t>
      </w:r>
      <w:r>
        <w:tab/>
        <w:t>43</w:t>
      </w:r>
    </w:p>
    <w:p w14:paraId="6774E956" w14:textId="29559FE5" w:rsidR="00851C47" w:rsidRDefault="00851C47" w:rsidP="00851C47">
      <w:pPr>
        <w:pStyle w:val="TOC1"/>
      </w:pPr>
      <w:r>
        <w:t>VII.ordering clauses</w:t>
      </w:r>
      <w:r>
        <w:tab/>
        <w:t>45</w:t>
      </w:r>
    </w:p>
    <w:p w14:paraId="6EA24D73" w14:textId="111AEC4F" w:rsidR="00181838" w:rsidRDefault="00181838" w:rsidP="00F2783F">
      <w:pPr>
        <w:rPr>
          <w:rFonts w:eastAsiaTheme="minorEastAsia"/>
        </w:rPr>
      </w:pPr>
      <w:r>
        <w:rPr>
          <w:rFonts w:eastAsiaTheme="minorEastAsia"/>
        </w:rPr>
        <w:t xml:space="preserve">Appendix A – </w:t>
      </w:r>
      <w:r w:rsidRPr="00181838">
        <w:rPr>
          <w:rFonts w:eastAsiaTheme="minorEastAsia"/>
        </w:rPr>
        <w:t>Applications Granted</w:t>
      </w:r>
    </w:p>
    <w:p w14:paraId="41392702" w14:textId="741051D9" w:rsidR="00181838" w:rsidRPr="00F2783F" w:rsidRDefault="00181838" w:rsidP="00F2783F">
      <w:pPr>
        <w:rPr>
          <w:rFonts w:eastAsiaTheme="minorEastAsia"/>
          <w:caps/>
        </w:rPr>
      </w:pPr>
      <w:r>
        <w:rPr>
          <w:rFonts w:eastAsiaTheme="minorEastAsia"/>
        </w:rPr>
        <w:t xml:space="preserve">Appendix B – Entities </w:t>
      </w:r>
      <w:r w:rsidRPr="00181838">
        <w:rPr>
          <w:rFonts w:eastAsiaTheme="minorEastAsia"/>
        </w:rPr>
        <w:t>and Individuals Seeking Specific Approval</w:t>
      </w:r>
    </w:p>
    <w:bookmarkEnd w:id="35"/>
    <w:p w14:paraId="1E5BCA58" w14:textId="77777777" w:rsidR="00851C47" w:rsidRDefault="00851C47" w:rsidP="00FE4FD4">
      <w:pPr>
        <w:rPr>
          <w:spacing w:val="-2"/>
        </w:rPr>
      </w:pPr>
    </w:p>
    <w:p w14:paraId="60900741" w14:textId="23337374" w:rsidR="002C00E8" w:rsidRPr="00221CF3" w:rsidRDefault="002475A2" w:rsidP="002B43DD">
      <w:pPr>
        <w:pStyle w:val="Heading1"/>
      </w:pPr>
      <w:bookmarkStart w:id="37" w:name="_Toc456165537"/>
      <w:bookmarkStart w:id="38" w:name="_Toc456166101"/>
      <w:bookmarkStart w:id="39" w:name="_Toc456701254"/>
      <w:bookmarkStart w:id="40" w:name="_Toc456702318"/>
      <w:bookmarkStart w:id="41" w:name="_Toc456859842"/>
      <w:bookmarkStart w:id="42" w:name="_Toc456863035"/>
      <w:r w:rsidRPr="00221CF3">
        <w:lastRenderedPageBreak/>
        <w:t>introduction</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7"/>
      <w:bookmarkEnd w:id="38"/>
      <w:bookmarkEnd w:id="39"/>
      <w:bookmarkEnd w:id="40"/>
      <w:bookmarkEnd w:id="41"/>
      <w:bookmarkEnd w:id="42"/>
    </w:p>
    <w:p w14:paraId="3742A897" w14:textId="3014C0BC" w:rsidR="00481E26" w:rsidRPr="00DC59D3" w:rsidRDefault="00727839" w:rsidP="003373C7">
      <w:pPr>
        <w:pStyle w:val="ParaNum"/>
        <w:widowControl/>
      </w:pPr>
      <w:r w:rsidRPr="00787E8F">
        <w:rPr>
          <w:kern w:val="0"/>
        </w:rPr>
        <w:t xml:space="preserve">In this </w:t>
      </w:r>
      <w:r w:rsidR="003A28ED" w:rsidRPr="00787E8F">
        <w:rPr>
          <w:kern w:val="0"/>
        </w:rPr>
        <w:t xml:space="preserve">Memorandum Opinion and </w:t>
      </w:r>
      <w:r w:rsidRPr="00787E8F">
        <w:rPr>
          <w:kern w:val="0"/>
        </w:rPr>
        <w:t>Order</w:t>
      </w:r>
      <w:r w:rsidR="00BE4A0A" w:rsidRPr="00787E8F">
        <w:rPr>
          <w:kern w:val="0"/>
        </w:rPr>
        <w:t xml:space="preserve"> and Declaratory Ruling</w:t>
      </w:r>
      <w:r w:rsidRPr="00787E8F">
        <w:rPr>
          <w:kern w:val="0"/>
        </w:rPr>
        <w:t xml:space="preserve">, we </w:t>
      </w:r>
      <w:r w:rsidR="00020633" w:rsidRPr="00787E8F">
        <w:rPr>
          <w:kern w:val="0"/>
        </w:rPr>
        <w:t xml:space="preserve">consider </w:t>
      </w:r>
      <w:r w:rsidR="0071575F" w:rsidRPr="00787E8F">
        <w:rPr>
          <w:kern w:val="0"/>
        </w:rPr>
        <w:t>the application</w:t>
      </w:r>
      <w:r w:rsidR="0000263E" w:rsidRPr="00787E8F">
        <w:rPr>
          <w:kern w:val="0"/>
        </w:rPr>
        <w:t>s</w:t>
      </w:r>
      <w:r w:rsidRPr="00787E8F">
        <w:rPr>
          <w:kern w:val="0"/>
        </w:rPr>
        <w:t xml:space="preserve"> of AT&amp;T</w:t>
      </w:r>
      <w:r w:rsidR="00896F2D" w:rsidRPr="00787E8F">
        <w:rPr>
          <w:kern w:val="0"/>
        </w:rPr>
        <w:t>, Tampnet</w:t>
      </w:r>
      <w:r w:rsidR="006B06B1" w:rsidRPr="00787E8F">
        <w:rPr>
          <w:kern w:val="0"/>
        </w:rPr>
        <w:t>,</w:t>
      </w:r>
      <w:r w:rsidR="00896F2D" w:rsidRPr="00787E8F">
        <w:rPr>
          <w:kern w:val="0"/>
        </w:rPr>
        <w:t xml:space="preserve"> and Broadpoint</w:t>
      </w:r>
      <w:r w:rsidR="0071575F" w:rsidRPr="00787E8F">
        <w:rPr>
          <w:kern w:val="0"/>
        </w:rPr>
        <w:t xml:space="preserve"> </w:t>
      </w:r>
      <w:r w:rsidR="001455AE" w:rsidRPr="00787E8F">
        <w:rPr>
          <w:kern w:val="0"/>
        </w:rPr>
        <w:t>for</w:t>
      </w:r>
      <w:r w:rsidRPr="00787E8F">
        <w:t xml:space="preserve"> Commission </w:t>
      </w:r>
      <w:r w:rsidR="00097A5A" w:rsidRPr="00787E8F">
        <w:t xml:space="preserve">consent to the </w:t>
      </w:r>
      <w:r w:rsidR="003E4D43" w:rsidRPr="00787E8F">
        <w:t xml:space="preserve">assignment </w:t>
      </w:r>
      <w:r w:rsidR="00896F2D" w:rsidRPr="00787E8F">
        <w:t>of a number of license</w:t>
      </w:r>
      <w:r w:rsidR="00D26A34" w:rsidRPr="00787E8F">
        <w:t>s</w:t>
      </w:r>
      <w:r w:rsidR="00E6623E" w:rsidRPr="00787E8F">
        <w:t xml:space="preserve"> from Broadpoint to AT&amp;T and Tampnet,</w:t>
      </w:r>
      <w:r w:rsidR="00896F2D" w:rsidRPr="00787E8F">
        <w:t xml:space="preserve"> </w:t>
      </w:r>
      <w:r w:rsidR="00E6623E" w:rsidRPr="00787E8F">
        <w:t xml:space="preserve">approval of </w:t>
      </w:r>
      <w:r w:rsidR="00896F2D" w:rsidRPr="00787E8F">
        <w:t xml:space="preserve">long-term </w:t>
      </w:r>
      <w:r w:rsidR="00896F2D" w:rsidRPr="00787E8F">
        <w:rPr>
          <w:i/>
        </w:rPr>
        <w:t>de facto</w:t>
      </w:r>
      <w:r w:rsidR="00896F2D" w:rsidRPr="00787E8F">
        <w:t xml:space="preserve"> transfer spectrum leas</w:t>
      </w:r>
      <w:r w:rsidR="00E6623E" w:rsidRPr="00787E8F">
        <w:t>ing arrangements between AT&amp;T and Tampnet</w:t>
      </w:r>
      <w:r w:rsidR="00896F2D" w:rsidRPr="00787E8F">
        <w:t xml:space="preserve">, </w:t>
      </w:r>
      <w:r w:rsidR="00E6623E" w:rsidRPr="00787E8F">
        <w:t>and</w:t>
      </w:r>
      <w:r w:rsidR="00896F2D" w:rsidRPr="00787E8F">
        <w:t xml:space="preserve"> issuance of an international </w:t>
      </w:r>
      <w:r w:rsidR="00E6623E" w:rsidRPr="00787E8F">
        <w:t>S</w:t>
      </w:r>
      <w:r w:rsidR="00896F2D" w:rsidRPr="00787E8F">
        <w:t>ection 214 authorization to Tampnet.</w:t>
      </w:r>
      <w:r w:rsidR="0077717D" w:rsidRPr="00787E8F">
        <w:t xml:space="preserve">  </w:t>
      </w:r>
      <w:r w:rsidR="00896F2D" w:rsidRPr="00787E8F">
        <w:t xml:space="preserve">The subject licenses </w:t>
      </w:r>
      <w:r w:rsidR="00B219AB">
        <w:t>cover</w:t>
      </w:r>
      <w:r w:rsidR="005578E4" w:rsidRPr="00787E8F">
        <w:t xml:space="preserve"> </w:t>
      </w:r>
      <w:r w:rsidR="00896F2D" w:rsidRPr="00787E8F">
        <w:t xml:space="preserve">the Gulf of Mexico.  Tampnet also has filed a petition for declaratory ruling to permit foreign ownership of Tampnet Licensee LLC to exceed the 25 percent benchmark in </w:t>
      </w:r>
      <w:r w:rsidR="005578E4" w:rsidRPr="00787E8F">
        <w:t>S</w:t>
      </w:r>
      <w:r w:rsidR="00896F2D" w:rsidRPr="00787E8F">
        <w:t xml:space="preserve">ection 310(b)(4) of the </w:t>
      </w:r>
      <w:r w:rsidR="005578E4" w:rsidRPr="00787E8F">
        <w:t xml:space="preserve">Communications </w:t>
      </w:r>
      <w:r w:rsidR="00896F2D" w:rsidRPr="00787E8F">
        <w:t>Act.</w:t>
      </w:r>
      <w:r w:rsidR="00896F2D" w:rsidRPr="00D249DF">
        <w:rPr>
          <w:rStyle w:val="FootnoteReference"/>
        </w:rPr>
        <w:footnoteReference w:id="2"/>
      </w:r>
    </w:p>
    <w:p w14:paraId="1829DBD3" w14:textId="4CE23C35" w:rsidR="00264E0C" w:rsidRPr="00264E0C" w:rsidRDefault="00712F74" w:rsidP="00AB49DF">
      <w:pPr>
        <w:pStyle w:val="ParaNum"/>
      </w:pPr>
      <w:r w:rsidRPr="00800E5D">
        <w:rPr>
          <w:kern w:val="0"/>
          <w:szCs w:val="22"/>
        </w:rPr>
        <w:t xml:space="preserve">The Commission determined </w:t>
      </w:r>
      <w:r w:rsidRPr="007E2822">
        <w:rPr>
          <w:bCs/>
          <w:szCs w:val="22"/>
        </w:rPr>
        <w:t>i</w:t>
      </w:r>
      <w:r w:rsidRPr="00525E21">
        <w:rPr>
          <w:szCs w:val="22"/>
        </w:rPr>
        <w:t xml:space="preserve">n the </w:t>
      </w:r>
      <w:r w:rsidRPr="00467C65">
        <w:rPr>
          <w:rStyle w:val="StyleParaNumTimesNewRoman11ptChar"/>
          <w:i/>
          <w:szCs w:val="22"/>
          <w:lang w:eastAsia="x-none"/>
        </w:rPr>
        <w:t xml:space="preserve">Mobile Spectrum Holdings Report and Order </w:t>
      </w:r>
      <w:r w:rsidRPr="00EC11B9">
        <w:rPr>
          <w:rStyle w:val="StyleParaNumTimesNewRoman11ptChar"/>
          <w:szCs w:val="22"/>
          <w:lang w:eastAsia="x-none"/>
        </w:rPr>
        <w:t xml:space="preserve">that increased aggregation of </w:t>
      </w:r>
      <w:r w:rsidRPr="00800E5D">
        <w:rPr>
          <w:szCs w:val="22"/>
        </w:rPr>
        <w:t>below-1-GHz</w:t>
      </w:r>
      <w:r w:rsidRPr="00800E5D">
        <w:rPr>
          <w:rStyle w:val="StyleParaNumTimesNewRoman11ptChar"/>
          <w:szCs w:val="22"/>
          <w:lang w:eastAsia="x-none"/>
        </w:rPr>
        <w:t xml:space="preserve"> spectrum would be treated as an “enhanced factor” under its case-by-case review of license transfers </w:t>
      </w:r>
      <w:r w:rsidRPr="00800E5D">
        <w:rPr>
          <w:szCs w:val="22"/>
        </w:rPr>
        <w:t>if post-transaction the acquiring entity would hold approximately one-third or more of the suitable and available spectrum below 1 GHz.</w:t>
      </w:r>
      <w:r w:rsidRPr="00D249DF">
        <w:rPr>
          <w:rStyle w:val="FootnoteReference"/>
        </w:rPr>
        <w:footnoteReference w:id="3"/>
      </w:r>
      <w:r w:rsidRPr="00800E5D">
        <w:rPr>
          <w:szCs w:val="22"/>
        </w:rPr>
        <w:t xml:space="preserve">  </w:t>
      </w:r>
      <w:r w:rsidR="00481E26" w:rsidRPr="007E2822">
        <w:rPr>
          <w:kern w:val="0"/>
          <w:szCs w:val="22"/>
        </w:rPr>
        <w:t>As a result of</w:t>
      </w:r>
      <w:r w:rsidR="00481E26" w:rsidRPr="00525E21">
        <w:rPr>
          <w:kern w:val="0"/>
          <w:szCs w:val="22"/>
        </w:rPr>
        <w:t xml:space="preserve"> </w:t>
      </w:r>
      <w:r w:rsidR="00AE7781" w:rsidRPr="00467C65">
        <w:rPr>
          <w:kern w:val="0"/>
          <w:szCs w:val="22"/>
        </w:rPr>
        <w:t xml:space="preserve">the proposed transaction, AT&amp;T </w:t>
      </w:r>
      <w:r w:rsidR="009C3B34" w:rsidRPr="00EC11B9">
        <w:rPr>
          <w:kern w:val="0"/>
          <w:szCs w:val="22"/>
        </w:rPr>
        <w:t>and Tampne</w:t>
      </w:r>
      <w:r w:rsidR="009C3B34" w:rsidRPr="00800E5D">
        <w:rPr>
          <w:kern w:val="0"/>
          <w:szCs w:val="22"/>
        </w:rPr>
        <w:t xml:space="preserve">t </w:t>
      </w:r>
      <w:r w:rsidR="005578E4" w:rsidRPr="00800E5D">
        <w:rPr>
          <w:kern w:val="0"/>
          <w:szCs w:val="22"/>
        </w:rPr>
        <w:t xml:space="preserve">each </w:t>
      </w:r>
      <w:r w:rsidR="00E17692" w:rsidRPr="00800E5D">
        <w:rPr>
          <w:kern w:val="0"/>
          <w:szCs w:val="22"/>
        </w:rPr>
        <w:t>w</w:t>
      </w:r>
      <w:r w:rsidR="00AE7781" w:rsidRPr="00800E5D">
        <w:rPr>
          <w:kern w:val="0"/>
          <w:szCs w:val="22"/>
        </w:rPr>
        <w:t xml:space="preserve">ould </w:t>
      </w:r>
      <w:r w:rsidR="00E17692" w:rsidRPr="00800E5D">
        <w:rPr>
          <w:kern w:val="0"/>
          <w:szCs w:val="22"/>
        </w:rPr>
        <w:t xml:space="preserve">be attributed </w:t>
      </w:r>
      <w:r w:rsidR="00AE7781" w:rsidRPr="00800E5D">
        <w:rPr>
          <w:kern w:val="0"/>
          <w:szCs w:val="22"/>
        </w:rPr>
        <w:t xml:space="preserve">post-transaction </w:t>
      </w:r>
      <w:r w:rsidR="004B0E4C" w:rsidRPr="00800E5D">
        <w:rPr>
          <w:kern w:val="0"/>
          <w:szCs w:val="22"/>
        </w:rPr>
        <w:t xml:space="preserve">with </w:t>
      </w:r>
      <w:r w:rsidR="00AE7781" w:rsidRPr="00800E5D">
        <w:rPr>
          <w:kern w:val="0"/>
          <w:szCs w:val="22"/>
        </w:rPr>
        <w:t>more than one-third of the currently suitable and available below-1-GHz spectrum</w:t>
      </w:r>
      <w:r w:rsidR="00F76F1F" w:rsidRPr="00800E5D">
        <w:rPr>
          <w:kern w:val="0"/>
          <w:szCs w:val="22"/>
        </w:rPr>
        <w:t xml:space="preserve"> in certain areas</w:t>
      </w:r>
      <w:r w:rsidR="005578E4" w:rsidRPr="00800E5D">
        <w:rPr>
          <w:kern w:val="0"/>
          <w:szCs w:val="22"/>
        </w:rPr>
        <w:t xml:space="preserve"> of the Gulf of Mexico</w:t>
      </w:r>
      <w:r w:rsidR="00AE7781" w:rsidRPr="00800E5D">
        <w:rPr>
          <w:kern w:val="0"/>
          <w:szCs w:val="22"/>
        </w:rPr>
        <w:t>.</w:t>
      </w:r>
      <w:r w:rsidR="00481E26" w:rsidRPr="00D249DF">
        <w:rPr>
          <w:rStyle w:val="FootnoteReference"/>
          <w:kern w:val="0"/>
        </w:rPr>
        <w:footnoteReference w:id="4"/>
      </w:r>
      <w:r w:rsidR="00AE7781" w:rsidRPr="00800E5D">
        <w:rPr>
          <w:szCs w:val="22"/>
        </w:rPr>
        <w:t xml:space="preserve"> </w:t>
      </w:r>
      <w:r w:rsidR="009C3B34" w:rsidRPr="007E2822">
        <w:rPr>
          <w:szCs w:val="22"/>
        </w:rPr>
        <w:t xml:space="preserve"> </w:t>
      </w:r>
      <w:r w:rsidR="006E365E" w:rsidRPr="00525E21">
        <w:rPr>
          <w:szCs w:val="22"/>
        </w:rPr>
        <w:t>After carefully evaluating the likely competitive effects of AT&amp;T’s and Tampnet’s</w:t>
      </w:r>
      <w:r w:rsidR="006E365E" w:rsidRPr="00800E5D">
        <w:rPr>
          <w:szCs w:val="22"/>
        </w:rPr>
        <w:t xml:space="preserve"> aggregation of below-1-GHz spectrum in these areas, as well as the other factors ordinarily considered in a case-by-case review, we find that the likelihood of competitive harm is low.  </w:t>
      </w:r>
      <w:r w:rsidR="00DF06BD" w:rsidRPr="00800E5D">
        <w:rPr>
          <w:szCs w:val="22"/>
        </w:rPr>
        <w:t xml:space="preserve">As we have done in other </w:t>
      </w:r>
      <w:r w:rsidR="00800E5D" w:rsidRPr="00800E5D">
        <w:rPr>
          <w:szCs w:val="22"/>
        </w:rPr>
        <w:t>contexts</w:t>
      </w:r>
      <w:r w:rsidR="00DF06BD" w:rsidRPr="00800E5D">
        <w:rPr>
          <w:szCs w:val="22"/>
        </w:rPr>
        <w:t xml:space="preserve">, we consider the specific and unique conditions in the Gulf of Mexico as an integral part of our competitive analysis.  </w:t>
      </w:r>
      <w:r w:rsidR="006E365E" w:rsidRPr="00800E5D">
        <w:rPr>
          <w:szCs w:val="22"/>
        </w:rPr>
        <w:t>Further, we find that some public interest benefits are likely to be realized, such as increased network quality</w:t>
      </w:r>
      <w:r w:rsidR="00DF06BD" w:rsidRPr="00800E5D">
        <w:rPr>
          <w:szCs w:val="22"/>
        </w:rPr>
        <w:t>, extended coverage,</w:t>
      </w:r>
      <w:r w:rsidR="006E365E" w:rsidRPr="00800E5D">
        <w:rPr>
          <w:szCs w:val="22"/>
        </w:rPr>
        <w:t xml:space="preserve"> and a better consumer experience.  </w:t>
      </w:r>
      <w:r w:rsidR="00264E0C" w:rsidRPr="00800E5D">
        <w:rPr>
          <w:kern w:val="0"/>
          <w:szCs w:val="22"/>
        </w:rPr>
        <w:t xml:space="preserve">Based on the record before us and our competitive review, we find </w:t>
      </w:r>
      <w:r w:rsidR="00264E0C" w:rsidRPr="00800E5D">
        <w:rPr>
          <w:szCs w:val="22"/>
        </w:rPr>
        <w:t>that the potential public interest benefits are likely to outweigh any po</w:t>
      </w:r>
      <w:r w:rsidR="00EE463B">
        <w:rPr>
          <w:szCs w:val="22"/>
        </w:rPr>
        <w:t>tential public interest harms.</w:t>
      </w:r>
    </w:p>
    <w:p w14:paraId="4CF2934C" w14:textId="279FBF0A" w:rsidR="00E93665" w:rsidRPr="00156005" w:rsidRDefault="00264E0C" w:rsidP="00136E77">
      <w:pPr>
        <w:pStyle w:val="ParaNum"/>
      </w:pPr>
      <w:r w:rsidRPr="003B1E23">
        <w:t>In this proceeding, we grant the international Section 214 application filed by Tampnet pursuant to Section 214(a) of the Act.</w:t>
      </w:r>
      <w:r w:rsidRPr="003B1E23">
        <w:rPr>
          <w:rStyle w:val="FootnoteReference"/>
        </w:rPr>
        <w:footnoteReference w:id="5"/>
      </w:r>
      <w:r w:rsidRPr="003B1E23">
        <w:t xml:space="preserve">  We also issue a declaratory ruling under Section 310(b)(4) of the Act to permit 100 percent foreign ownership of Tampnet Inc., the controlling U.S.-organized parent of Tampnet Licensee LLC, subject to specific terms and conditions.</w:t>
      </w:r>
      <w:r w:rsidRPr="003B1E23">
        <w:rPr>
          <w:rStyle w:val="FootnoteReference"/>
        </w:rPr>
        <w:footnoteReference w:id="6"/>
      </w:r>
      <w:r>
        <w:t xml:space="preserve">  </w:t>
      </w:r>
      <w:r>
        <w:rPr>
          <w:szCs w:val="22"/>
        </w:rPr>
        <w:t>We</w:t>
      </w:r>
      <w:r w:rsidR="00E93665" w:rsidRPr="003B1E23">
        <w:t xml:space="preserve"> find </w:t>
      </w:r>
      <w:r>
        <w:t xml:space="preserve">overall </w:t>
      </w:r>
      <w:r w:rsidR="00E93665" w:rsidRPr="003B1E23">
        <w:t>that the proposed assignment of wireless licenses</w:t>
      </w:r>
      <w:r w:rsidR="00E93665" w:rsidRPr="00787E8F">
        <w:t xml:space="preserve"> and implementation of spectrum leasing arrangements</w:t>
      </w:r>
      <w:r w:rsidR="00E93665">
        <w:t>, along with the assignment of earth station licenses and issuance of a</w:t>
      </w:r>
      <w:r w:rsidR="00DA76A0">
        <w:t>n</w:t>
      </w:r>
      <w:r w:rsidR="00E93665">
        <w:t xml:space="preserve"> </w:t>
      </w:r>
      <w:r w:rsidR="00DA76A0">
        <w:t xml:space="preserve">international </w:t>
      </w:r>
      <w:r w:rsidR="00E93665">
        <w:t>Section 214 authorization,</w:t>
      </w:r>
      <w:r w:rsidR="00E93665" w:rsidRPr="00787E8F">
        <w:t xml:space="preserve"> is in the public interest, and therefore we </w:t>
      </w:r>
      <w:r w:rsidR="00E93665">
        <w:t>consent to</w:t>
      </w:r>
      <w:r w:rsidR="00E93665" w:rsidRPr="00787E8F">
        <w:t xml:space="preserve"> the proposed </w:t>
      </w:r>
      <w:r w:rsidR="00E93665">
        <w:t>transaction</w:t>
      </w:r>
      <w:r w:rsidR="00E93665" w:rsidRPr="00787E8F">
        <w:t>.</w:t>
      </w:r>
    </w:p>
    <w:p w14:paraId="2CBB4547" w14:textId="46F9382D" w:rsidR="002475A2" w:rsidRPr="00221CF3" w:rsidRDefault="006831D7" w:rsidP="002B43DD">
      <w:pPr>
        <w:pStyle w:val="Heading1"/>
      </w:pPr>
      <w:bookmarkStart w:id="43" w:name="_Toc403981888"/>
      <w:bookmarkStart w:id="44" w:name="_Toc403998340"/>
      <w:bookmarkStart w:id="45" w:name="_Toc403998427"/>
      <w:bookmarkStart w:id="46" w:name="_Toc404003253"/>
      <w:bookmarkStart w:id="47" w:name="_Toc404003531"/>
      <w:bookmarkStart w:id="48" w:name="_Toc404152152"/>
      <w:bookmarkStart w:id="49" w:name="_Toc405185082"/>
      <w:bookmarkStart w:id="50" w:name="_Toc405799101"/>
      <w:bookmarkStart w:id="51" w:name="_Toc405799328"/>
      <w:bookmarkStart w:id="52" w:name="_Toc405801043"/>
      <w:bookmarkStart w:id="53" w:name="_Toc406492301"/>
      <w:bookmarkStart w:id="54" w:name="_Toc408387309"/>
      <w:bookmarkStart w:id="55" w:name="_Toc419201230"/>
      <w:bookmarkStart w:id="56" w:name="_Toc419201457"/>
      <w:bookmarkStart w:id="57" w:name="_Toc419206323"/>
      <w:bookmarkStart w:id="58" w:name="_Toc419206918"/>
      <w:bookmarkStart w:id="59" w:name="_Toc419206996"/>
      <w:bookmarkStart w:id="60" w:name="_Toc419287168"/>
      <w:bookmarkStart w:id="61" w:name="_Toc419447040"/>
      <w:bookmarkStart w:id="62" w:name="_Toc419815659"/>
      <w:bookmarkStart w:id="63" w:name="_Toc420400630"/>
      <w:bookmarkStart w:id="64" w:name="_Toc420499766"/>
      <w:bookmarkStart w:id="65" w:name="_Toc426371650"/>
      <w:bookmarkStart w:id="66" w:name="_Toc431369386"/>
      <w:bookmarkStart w:id="67" w:name="_Toc432079505"/>
      <w:bookmarkStart w:id="68" w:name="_Toc433031346"/>
      <w:bookmarkStart w:id="69" w:name="_Toc433613266"/>
      <w:bookmarkStart w:id="70" w:name="_Toc433631086"/>
      <w:bookmarkStart w:id="71" w:name="_Toc433631149"/>
      <w:bookmarkStart w:id="72" w:name="_Toc433631214"/>
      <w:bookmarkStart w:id="73" w:name="_Toc433631268"/>
      <w:bookmarkStart w:id="74" w:name="_Toc433631612"/>
      <w:bookmarkStart w:id="75" w:name="_Toc434313058"/>
      <w:bookmarkStart w:id="76" w:name="_Toc456165414"/>
      <w:bookmarkStart w:id="77" w:name="_Toc456165538"/>
      <w:bookmarkStart w:id="78" w:name="_Toc456166102"/>
      <w:bookmarkStart w:id="79" w:name="_Toc456701255"/>
      <w:bookmarkStart w:id="80" w:name="_Toc456702319"/>
      <w:bookmarkStart w:id="81" w:name="_Toc456859843"/>
      <w:bookmarkStart w:id="82" w:name="_Toc456863036"/>
      <w:r w:rsidRPr="00221CF3">
        <w:lastRenderedPageBreak/>
        <w:t>background</w:t>
      </w:r>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r w:rsidR="007C07DD">
        <w:t xml:space="preserve"> and public interest framework</w:t>
      </w:r>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p>
    <w:p w14:paraId="4AA0353F" w14:textId="3670A8B1" w:rsidR="00790233" w:rsidRPr="00E74399" w:rsidRDefault="004771F2" w:rsidP="00A03F1B">
      <w:pPr>
        <w:pStyle w:val="ParaNum"/>
        <w:rPr>
          <w:szCs w:val="22"/>
        </w:rPr>
      </w:pPr>
      <w:r w:rsidRPr="00F65957">
        <w:rPr>
          <w:i/>
        </w:rPr>
        <w:t>Description of the Applicants</w:t>
      </w:r>
      <w:r w:rsidRPr="00974198">
        <w:t>.</w:t>
      </w:r>
      <w:r>
        <w:t xml:space="preserve">  </w:t>
      </w:r>
      <w:r w:rsidR="00C17980">
        <w:rPr>
          <w:szCs w:val="22"/>
        </w:rPr>
        <w:t xml:space="preserve">AT&amp;T </w:t>
      </w:r>
      <w:r w:rsidR="00C17980" w:rsidRPr="006B2888">
        <w:t>Mobility</w:t>
      </w:r>
      <w:r w:rsidR="00C17980">
        <w:rPr>
          <w:szCs w:val="22"/>
        </w:rPr>
        <w:t xml:space="preserve"> Spectrum LLC</w:t>
      </w:r>
      <w:r w:rsidR="00A55BD8">
        <w:rPr>
          <w:szCs w:val="22"/>
        </w:rPr>
        <w:t xml:space="preserve">, an indirect wholly-owned </w:t>
      </w:r>
      <w:r w:rsidR="009F047C">
        <w:rPr>
          <w:szCs w:val="22"/>
        </w:rPr>
        <w:t>subsidiary</w:t>
      </w:r>
      <w:r w:rsidR="00A55BD8">
        <w:rPr>
          <w:szCs w:val="22"/>
        </w:rPr>
        <w:t xml:space="preserve"> of AT&amp;T Inc.</w:t>
      </w:r>
      <w:r w:rsidR="00C17980">
        <w:t xml:space="preserve"> </w:t>
      </w:r>
      <w:r w:rsidR="009E6F3E">
        <w:t>(</w:t>
      </w:r>
      <w:r w:rsidR="00A55BD8">
        <w:t xml:space="preserve">together with AT&amp;T Mobility Spectrum LLC, </w:t>
      </w:r>
      <w:r w:rsidR="00C17980">
        <w:t>AT&amp;T</w:t>
      </w:r>
      <w:r w:rsidR="009E6F3E">
        <w:t>)</w:t>
      </w:r>
      <w:r w:rsidR="009E6F3E" w:rsidRPr="005211DB">
        <w:t xml:space="preserve">, headquartered in Dallas, Texas, is a communications holding </w:t>
      </w:r>
      <w:r w:rsidR="009E6F3E" w:rsidRPr="005F2B35">
        <w:rPr>
          <w:kern w:val="0"/>
        </w:rPr>
        <w:t>company</w:t>
      </w:r>
      <w:r w:rsidR="009E6F3E" w:rsidRPr="005211DB">
        <w:t xml:space="preserve"> that ranks among the leading providers of telecommunications services in the United States.</w:t>
      </w:r>
      <w:r w:rsidR="009E6F3E" w:rsidRPr="005211DB">
        <w:rPr>
          <w:rStyle w:val="FootnoteReference"/>
        </w:rPr>
        <w:footnoteReference w:id="7"/>
      </w:r>
      <w:r w:rsidR="009E6F3E">
        <w:t xml:space="preserve">  </w:t>
      </w:r>
      <w:r w:rsidR="00FE792A">
        <w:rPr>
          <w:szCs w:val="22"/>
        </w:rPr>
        <w:t xml:space="preserve">Tampnet Inc., </w:t>
      </w:r>
      <w:r w:rsidR="00BE4A0A">
        <w:rPr>
          <w:szCs w:val="22"/>
        </w:rPr>
        <w:t xml:space="preserve">together with </w:t>
      </w:r>
      <w:r w:rsidR="00251AF2">
        <w:rPr>
          <w:szCs w:val="22"/>
        </w:rPr>
        <w:t xml:space="preserve">its subsidiary </w:t>
      </w:r>
      <w:r w:rsidR="00BE4A0A">
        <w:rPr>
          <w:szCs w:val="22"/>
        </w:rPr>
        <w:t>Tampnet Licens</w:t>
      </w:r>
      <w:r w:rsidR="00FE792A">
        <w:rPr>
          <w:szCs w:val="22"/>
        </w:rPr>
        <w:t>ee L</w:t>
      </w:r>
      <w:r w:rsidR="0093728F">
        <w:rPr>
          <w:szCs w:val="22"/>
        </w:rPr>
        <w:t>L</w:t>
      </w:r>
      <w:r w:rsidR="00FE792A">
        <w:rPr>
          <w:szCs w:val="22"/>
        </w:rPr>
        <w:t>C (Tampnet</w:t>
      </w:r>
      <w:r w:rsidR="00251AF2">
        <w:rPr>
          <w:szCs w:val="22"/>
        </w:rPr>
        <w:t xml:space="preserve"> Licensee</w:t>
      </w:r>
      <w:r w:rsidR="00136E77">
        <w:rPr>
          <w:szCs w:val="22"/>
        </w:rPr>
        <w:t>, and together with Tampnet Inc., Tampnet</w:t>
      </w:r>
      <w:r w:rsidR="00BE4A0A">
        <w:rPr>
          <w:szCs w:val="22"/>
        </w:rPr>
        <w:t>)</w:t>
      </w:r>
      <w:r w:rsidR="003D769E">
        <w:rPr>
          <w:szCs w:val="22"/>
        </w:rPr>
        <w:t>,</w:t>
      </w:r>
      <w:r w:rsidR="00BE4A0A">
        <w:rPr>
          <w:szCs w:val="22"/>
        </w:rPr>
        <w:t xml:space="preserve"> </w:t>
      </w:r>
      <w:r w:rsidR="00FB2B0E" w:rsidRPr="00FB2B0E">
        <w:rPr>
          <w:szCs w:val="22"/>
        </w:rPr>
        <w:t xml:space="preserve">is a wireless infrastructure </w:t>
      </w:r>
      <w:r w:rsidR="00CC61C4">
        <w:rPr>
          <w:szCs w:val="22"/>
        </w:rPr>
        <w:t xml:space="preserve">and service </w:t>
      </w:r>
      <w:r w:rsidR="00FB2B0E" w:rsidRPr="00FB2B0E">
        <w:rPr>
          <w:szCs w:val="22"/>
        </w:rPr>
        <w:t>provider in the Gulf of Mexico.</w:t>
      </w:r>
      <w:r w:rsidR="00CC61C4">
        <w:rPr>
          <w:rStyle w:val="FootnoteReference"/>
          <w:szCs w:val="22"/>
        </w:rPr>
        <w:footnoteReference w:id="8"/>
      </w:r>
      <w:r w:rsidR="00FB2B0E" w:rsidRPr="00FB2B0E">
        <w:rPr>
          <w:szCs w:val="22"/>
        </w:rPr>
        <w:t xml:space="preserve"> </w:t>
      </w:r>
      <w:r w:rsidR="008A30AE">
        <w:rPr>
          <w:szCs w:val="22"/>
        </w:rPr>
        <w:t xml:space="preserve"> Tampnet AS</w:t>
      </w:r>
      <w:r w:rsidR="008A30AE" w:rsidRPr="007917CA">
        <w:rPr>
          <w:szCs w:val="22"/>
        </w:rPr>
        <w:t xml:space="preserve"> </w:t>
      </w:r>
      <w:r w:rsidR="00AB4DA9" w:rsidRPr="00113D68">
        <w:rPr>
          <w:szCs w:val="22"/>
        </w:rPr>
        <w:t xml:space="preserve">is the parent company </w:t>
      </w:r>
      <w:r w:rsidR="00AB4DA9" w:rsidRPr="00974198">
        <w:rPr>
          <w:szCs w:val="22"/>
        </w:rPr>
        <w:t>of</w:t>
      </w:r>
      <w:r w:rsidR="00AB4DA9" w:rsidRPr="00113D68">
        <w:rPr>
          <w:szCs w:val="22"/>
        </w:rPr>
        <w:t xml:space="preserve"> Tampnet Inc</w:t>
      </w:r>
      <w:r w:rsidR="00392651">
        <w:rPr>
          <w:szCs w:val="22"/>
        </w:rPr>
        <w:t>.</w:t>
      </w:r>
      <w:r w:rsidR="00AB4DA9">
        <w:rPr>
          <w:szCs w:val="22"/>
        </w:rPr>
        <w:t>,</w:t>
      </w:r>
      <w:r w:rsidR="00AB4DA9">
        <w:rPr>
          <w:rStyle w:val="FootnoteReference"/>
          <w:szCs w:val="22"/>
        </w:rPr>
        <w:footnoteReference w:id="9"/>
      </w:r>
      <w:r w:rsidR="00AB4DA9">
        <w:rPr>
          <w:szCs w:val="22"/>
        </w:rPr>
        <w:t xml:space="preserve"> and</w:t>
      </w:r>
      <w:r w:rsidR="00AB4DA9" w:rsidRPr="007917CA">
        <w:rPr>
          <w:szCs w:val="22"/>
        </w:rPr>
        <w:t xml:space="preserve"> </w:t>
      </w:r>
      <w:r w:rsidR="008A30AE" w:rsidRPr="007917CA">
        <w:rPr>
          <w:szCs w:val="22"/>
        </w:rPr>
        <w:t>is a Norwegian company operating as an independent supplier of high capacity and low latency communication</w:t>
      </w:r>
      <w:r w:rsidR="00057E63">
        <w:rPr>
          <w:szCs w:val="22"/>
        </w:rPr>
        <w:t>s</w:t>
      </w:r>
      <w:r w:rsidR="008A30AE" w:rsidRPr="007917CA">
        <w:rPr>
          <w:szCs w:val="22"/>
        </w:rPr>
        <w:t xml:space="preserve"> to offshore oil and gas installations in both the Norwegian and United Kingdom parts of the North Sea</w:t>
      </w:r>
      <w:r w:rsidR="00BE4A0A">
        <w:rPr>
          <w:szCs w:val="22"/>
        </w:rPr>
        <w:t>.</w:t>
      </w:r>
      <w:r w:rsidR="00613D80">
        <w:rPr>
          <w:rStyle w:val="FootnoteReference"/>
          <w:szCs w:val="22"/>
        </w:rPr>
        <w:footnoteReference w:id="10"/>
      </w:r>
      <w:r w:rsidR="00BE4A0A">
        <w:rPr>
          <w:szCs w:val="22"/>
        </w:rPr>
        <w:t xml:space="preserve">  Broadpoint License Co., LLC, and Broadpoint Wireless License Co., LLC (</w:t>
      </w:r>
      <w:r w:rsidR="00434225">
        <w:rPr>
          <w:szCs w:val="22"/>
        </w:rPr>
        <w:t>Broadpoint</w:t>
      </w:r>
      <w:r w:rsidR="005F27BA" w:rsidRPr="00030F87">
        <w:rPr>
          <w:szCs w:val="22"/>
        </w:rPr>
        <w:t>)</w:t>
      </w:r>
      <w:r w:rsidR="00613D80">
        <w:rPr>
          <w:szCs w:val="22"/>
        </w:rPr>
        <w:t>,</w:t>
      </w:r>
      <w:r w:rsidR="005F27BA" w:rsidRPr="00030F87">
        <w:rPr>
          <w:szCs w:val="22"/>
        </w:rPr>
        <w:t xml:space="preserve"> </w:t>
      </w:r>
      <w:r w:rsidR="00586149">
        <w:rPr>
          <w:szCs w:val="22"/>
        </w:rPr>
        <w:t>currently provide wireless services throughout the Gulf of Mexico</w:t>
      </w:r>
      <w:r w:rsidR="00BE4A0A">
        <w:rPr>
          <w:szCs w:val="22"/>
        </w:rPr>
        <w:t>.</w:t>
      </w:r>
      <w:r w:rsidR="00586149">
        <w:rPr>
          <w:rStyle w:val="FootnoteReference"/>
          <w:szCs w:val="22"/>
        </w:rPr>
        <w:footnoteReference w:id="11"/>
      </w:r>
    </w:p>
    <w:p w14:paraId="47317530" w14:textId="3BF4C312" w:rsidR="00D45FB7" w:rsidRDefault="004771F2" w:rsidP="006340D9">
      <w:pPr>
        <w:pStyle w:val="ParaNum"/>
      </w:pPr>
      <w:r w:rsidRPr="00F65957">
        <w:rPr>
          <w:i/>
        </w:rPr>
        <w:t>Description of the Transaction</w:t>
      </w:r>
      <w:r w:rsidRPr="00974198">
        <w:t>.</w:t>
      </w:r>
      <w:r>
        <w:t xml:space="preserve">  </w:t>
      </w:r>
      <w:r w:rsidR="00A419F6">
        <w:t xml:space="preserve">On </w:t>
      </w:r>
      <w:r w:rsidR="00CA1453">
        <w:t>August 28</w:t>
      </w:r>
      <w:r w:rsidR="006003C6">
        <w:t>, 2015</w:t>
      </w:r>
      <w:r w:rsidR="00A419F6">
        <w:t xml:space="preserve">, </w:t>
      </w:r>
      <w:r w:rsidR="00404623">
        <w:rPr>
          <w:kern w:val="0"/>
          <w:szCs w:val="22"/>
        </w:rPr>
        <w:t>AT&amp;T</w:t>
      </w:r>
      <w:r w:rsidR="00CA1453">
        <w:rPr>
          <w:kern w:val="0"/>
          <w:szCs w:val="22"/>
        </w:rPr>
        <w:t>, Tampnet</w:t>
      </w:r>
      <w:r w:rsidR="00586149">
        <w:rPr>
          <w:kern w:val="0"/>
          <w:szCs w:val="22"/>
        </w:rPr>
        <w:t>,</w:t>
      </w:r>
      <w:r w:rsidR="00CA1453">
        <w:rPr>
          <w:kern w:val="0"/>
          <w:szCs w:val="22"/>
        </w:rPr>
        <w:t xml:space="preserve"> and Broadpoint </w:t>
      </w:r>
      <w:r w:rsidR="00136E77">
        <w:rPr>
          <w:kern w:val="0"/>
          <w:szCs w:val="22"/>
        </w:rPr>
        <w:t>(</w:t>
      </w:r>
      <w:r w:rsidR="00943481">
        <w:rPr>
          <w:kern w:val="0"/>
          <w:szCs w:val="22"/>
        </w:rPr>
        <w:t xml:space="preserve">the </w:t>
      </w:r>
      <w:r w:rsidR="00136E77">
        <w:rPr>
          <w:kern w:val="0"/>
          <w:szCs w:val="22"/>
        </w:rPr>
        <w:t xml:space="preserve">Applicants) </w:t>
      </w:r>
      <w:r w:rsidR="00EF10FA">
        <w:t xml:space="preserve">filed </w:t>
      </w:r>
      <w:r w:rsidR="00D45FB7" w:rsidRPr="00D45FB7">
        <w:t xml:space="preserve">applications pursuant to </w:t>
      </w:r>
      <w:r w:rsidR="00113D68">
        <w:t>S</w:t>
      </w:r>
      <w:r w:rsidR="00D45FB7" w:rsidRPr="00D45FB7">
        <w:t>ections 214(a) and 310(d) of the Communication</w:t>
      </w:r>
      <w:r w:rsidR="00434225">
        <w:t>s Act of 1934, as amended (the Act</w:t>
      </w:r>
      <w:r w:rsidR="00D45FB7" w:rsidRPr="00D45FB7">
        <w:t>),</w:t>
      </w:r>
      <w:r w:rsidR="00D45FB7" w:rsidRPr="00974198">
        <w:rPr>
          <w:sz w:val="20"/>
          <w:vertAlign w:val="superscript"/>
        </w:rPr>
        <w:footnoteReference w:id="12"/>
      </w:r>
      <w:r w:rsidR="00D45FB7" w:rsidRPr="00D45FB7">
        <w:t xml:space="preserve"> seeking approval of a number of license assignments and long-term </w:t>
      </w:r>
      <w:r w:rsidR="00D45FB7" w:rsidRPr="00D45FB7">
        <w:rPr>
          <w:i/>
        </w:rPr>
        <w:t>de facto</w:t>
      </w:r>
      <w:r w:rsidR="00D45FB7" w:rsidRPr="00D45FB7">
        <w:t xml:space="preserve"> transfer spectrum leas</w:t>
      </w:r>
      <w:r w:rsidR="00113D68">
        <w:t>ing arrangements</w:t>
      </w:r>
      <w:r w:rsidR="00D45FB7" w:rsidRPr="00D45FB7">
        <w:t xml:space="preserve">, as well as issuance of an international </w:t>
      </w:r>
      <w:r w:rsidR="00113D68">
        <w:t>S</w:t>
      </w:r>
      <w:r w:rsidR="00D45FB7" w:rsidRPr="00D45FB7">
        <w:t>ection 214 authorization to Tampnet.</w:t>
      </w:r>
      <w:r w:rsidR="005E2F45">
        <w:rPr>
          <w:rStyle w:val="FootnoteReference"/>
        </w:rPr>
        <w:footnoteReference w:id="13"/>
      </w:r>
      <w:r w:rsidR="00842D1A" w:rsidRPr="00842D1A">
        <w:t xml:space="preserve">  </w:t>
      </w:r>
      <w:r w:rsidR="00D45FB7">
        <w:rPr>
          <w:szCs w:val="22"/>
        </w:rPr>
        <w:t>Tampnet</w:t>
      </w:r>
      <w:r w:rsidR="00DA76A0">
        <w:rPr>
          <w:szCs w:val="22"/>
        </w:rPr>
        <w:t xml:space="preserve"> </w:t>
      </w:r>
      <w:r w:rsidR="00136E77">
        <w:rPr>
          <w:szCs w:val="22"/>
        </w:rPr>
        <w:t xml:space="preserve">Inc., </w:t>
      </w:r>
      <w:r w:rsidR="00DA76A0">
        <w:rPr>
          <w:szCs w:val="22"/>
        </w:rPr>
        <w:t xml:space="preserve">as the controlling U.S. parent of Tampnet Licensee, </w:t>
      </w:r>
      <w:r w:rsidR="00D45FB7">
        <w:rPr>
          <w:szCs w:val="22"/>
        </w:rPr>
        <w:t xml:space="preserve">also has filed a petition for declaratory ruling to permit foreign ownership of Tampnet to exceed the 25 percent benchmark in </w:t>
      </w:r>
      <w:r w:rsidR="00244675">
        <w:rPr>
          <w:szCs w:val="22"/>
        </w:rPr>
        <w:t>S</w:t>
      </w:r>
      <w:r w:rsidR="00D45FB7">
        <w:rPr>
          <w:szCs w:val="22"/>
        </w:rPr>
        <w:t>ection 310(b)(4) of the Act.</w:t>
      </w:r>
      <w:r w:rsidR="00D45FB7" w:rsidRPr="007968F7">
        <w:rPr>
          <w:rStyle w:val="FootnoteReference"/>
          <w:szCs w:val="22"/>
        </w:rPr>
        <w:footnoteReference w:id="14"/>
      </w:r>
    </w:p>
    <w:p w14:paraId="5046AD6E" w14:textId="46727ED5" w:rsidR="001D5EDC" w:rsidRDefault="00D45FB7" w:rsidP="0014236B">
      <w:pPr>
        <w:pStyle w:val="ParaNum"/>
        <w:widowControl/>
      </w:pPr>
      <w:r>
        <w:t xml:space="preserve">Broadpoint currently holds </w:t>
      </w:r>
      <w:r w:rsidRPr="00244675">
        <w:t>four cellular licenses</w:t>
      </w:r>
      <w:r>
        <w:t xml:space="preserve"> that, after a previous partition,</w:t>
      </w:r>
      <w:r w:rsidR="00BD7997">
        <w:t xml:space="preserve"> together</w:t>
      </w:r>
      <w:r>
        <w:t xml:space="preserve"> </w:t>
      </w:r>
      <w:r w:rsidR="00E32EED">
        <w:t xml:space="preserve">provide </w:t>
      </w:r>
      <w:r w:rsidR="00586A07">
        <w:t>access to 50 megahertz of spect</w:t>
      </w:r>
      <w:r w:rsidR="00E32EED">
        <w:t>r</w:t>
      </w:r>
      <w:r w:rsidR="00586A07">
        <w:t>u</w:t>
      </w:r>
      <w:r w:rsidR="00E32EED">
        <w:t xml:space="preserve">m over </w:t>
      </w:r>
      <w:r>
        <w:t>the entirety of the Gulf of Mexico Exclusive Zone</w:t>
      </w:r>
      <w:r w:rsidR="00106A70">
        <w:t xml:space="preserve"> (GMEZ)</w:t>
      </w:r>
      <w:r>
        <w:t>.</w:t>
      </w:r>
      <w:r w:rsidR="004B2B15" w:rsidRPr="00D249DF">
        <w:rPr>
          <w:rStyle w:val="FootnoteReference"/>
        </w:rPr>
        <w:footnoteReference w:id="15"/>
      </w:r>
      <w:r>
        <w:t xml:space="preserve">  Broadpoint proposes to assign to AT&amp;T </w:t>
      </w:r>
      <w:r w:rsidRPr="00244675">
        <w:t>two</w:t>
      </w:r>
      <w:r>
        <w:t xml:space="preserve"> of the cellular licenses</w:t>
      </w:r>
      <w:r w:rsidR="00BD7997">
        <w:t>, which</w:t>
      </w:r>
      <w:r>
        <w:t xml:space="preserve"> </w:t>
      </w:r>
      <w:r w:rsidR="00E32EED">
        <w:t xml:space="preserve">would provide access to 50 megahertz of spectrum </w:t>
      </w:r>
      <w:r>
        <w:t>cover</w:t>
      </w:r>
      <w:r w:rsidR="00E32EED">
        <w:t>ing</w:t>
      </w:r>
      <w:r>
        <w:t xml:space="preserve"> </w:t>
      </w:r>
      <w:r w:rsidR="001D5EDC">
        <w:t xml:space="preserve">a </w:t>
      </w:r>
      <w:r>
        <w:t xml:space="preserve">previously partitioned area in the </w:t>
      </w:r>
      <w:r w:rsidR="00106A70">
        <w:t>GMEZ</w:t>
      </w:r>
      <w:r>
        <w:t xml:space="preserve"> </w:t>
      </w:r>
      <w:r w:rsidR="00B512C1">
        <w:t>extending out approximately 16 nautical miles</w:t>
      </w:r>
      <w:r w:rsidR="00A04184">
        <w:t xml:space="preserve"> from the coastline</w:t>
      </w:r>
      <w:r w:rsidR="00B512C1">
        <w:t>, excluding any area within</w:t>
      </w:r>
      <w:r>
        <w:t xml:space="preserve"> the </w:t>
      </w:r>
      <w:r w:rsidR="00106A70">
        <w:t>GMCZ</w:t>
      </w:r>
      <w:r>
        <w:t>.</w:t>
      </w:r>
      <w:r>
        <w:rPr>
          <w:rStyle w:val="FootnoteReference"/>
          <w:szCs w:val="22"/>
        </w:rPr>
        <w:footnoteReference w:id="16"/>
      </w:r>
      <w:r>
        <w:t xml:space="preserve">  </w:t>
      </w:r>
      <w:r w:rsidR="0097480E">
        <w:t>In the area subject to the assignment, AT&amp;T, p</w:t>
      </w:r>
      <w:r w:rsidR="00270592" w:rsidRPr="00682DE5">
        <w:rPr>
          <w:szCs w:val="22"/>
        </w:rPr>
        <w:t>ost-transaction</w:t>
      </w:r>
      <w:r w:rsidR="00270592">
        <w:rPr>
          <w:szCs w:val="22"/>
        </w:rPr>
        <w:t>,</w:t>
      </w:r>
      <w:r w:rsidR="00270592" w:rsidRPr="00682DE5">
        <w:rPr>
          <w:szCs w:val="22"/>
        </w:rPr>
        <w:t xml:space="preserve"> </w:t>
      </w:r>
      <w:r w:rsidR="001D5EDC" w:rsidRPr="00682DE5">
        <w:rPr>
          <w:szCs w:val="22"/>
        </w:rPr>
        <w:t xml:space="preserve">would </w:t>
      </w:r>
      <w:r w:rsidR="00270592" w:rsidRPr="00682DE5">
        <w:rPr>
          <w:szCs w:val="22"/>
        </w:rPr>
        <w:t>hold 108 megahertz of spectrum in total</w:t>
      </w:r>
      <w:r w:rsidR="00AF4C5E">
        <w:rPr>
          <w:szCs w:val="22"/>
        </w:rPr>
        <w:t>,</w:t>
      </w:r>
      <w:r w:rsidR="001D5EDC" w:rsidRPr="00974198">
        <w:rPr>
          <w:sz w:val="20"/>
          <w:vertAlign w:val="superscript"/>
        </w:rPr>
        <w:footnoteReference w:id="17"/>
      </w:r>
      <w:r w:rsidR="001D5EDC" w:rsidRPr="00682DE5">
        <w:rPr>
          <w:szCs w:val="22"/>
        </w:rPr>
        <w:t xml:space="preserve"> and 68 megahertz of below-1-GHz spectrum</w:t>
      </w:r>
      <w:r w:rsidR="001D5EDC" w:rsidRPr="00842D1A">
        <w:t>.</w:t>
      </w:r>
      <w:r w:rsidR="001D5EDC" w:rsidRPr="00974198">
        <w:rPr>
          <w:sz w:val="20"/>
          <w:vertAlign w:val="superscript"/>
        </w:rPr>
        <w:footnoteReference w:id="18"/>
      </w:r>
    </w:p>
    <w:p w14:paraId="67DC70C4" w14:textId="50AEA6A2" w:rsidR="00141676" w:rsidRPr="00CD105B" w:rsidRDefault="00D45FB7" w:rsidP="006340D9">
      <w:pPr>
        <w:pStyle w:val="ParaNum"/>
      </w:pPr>
      <w:r>
        <w:t xml:space="preserve">Tampnet would </w:t>
      </w:r>
      <w:r w:rsidR="0097480E">
        <w:t xml:space="preserve">then </w:t>
      </w:r>
      <w:r>
        <w:t xml:space="preserve">lease </w:t>
      </w:r>
      <w:r w:rsidR="0097480E">
        <w:t xml:space="preserve">back </w:t>
      </w:r>
      <w:r>
        <w:t xml:space="preserve">from AT&amp;T 25 megahertz of </w:t>
      </w:r>
      <w:r w:rsidR="00CD2C87">
        <w:t xml:space="preserve">cellular </w:t>
      </w:r>
      <w:r>
        <w:t>spectrum</w:t>
      </w:r>
      <w:r w:rsidR="0089461E">
        <w:t xml:space="preserve"> in th</w:t>
      </w:r>
      <w:r w:rsidR="0097480E">
        <w:t>at</w:t>
      </w:r>
      <w:r w:rsidR="0089461E">
        <w:t xml:space="preserve"> portion of the Gulf</w:t>
      </w:r>
      <w:r>
        <w:t>.</w:t>
      </w:r>
      <w:r w:rsidRPr="00E952D9">
        <w:rPr>
          <w:rStyle w:val="FootnoteReference"/>
          <w:szCs w:val="22"/>
        </w:rPr>
        <w:footnoteReference w:id="19"/>
      </w:r>
      <w:r w:rsidRPr="00E952D9">
        <w:t xml:space="preserve"> </w:t>
      </w:r>
      <w:r>
        <w:t xml:space="preserve"> </w:t>
      </w:r>
      <w:r w:rsidR="0089461E">
        <w:t xml:space="preserve">Tampnet also </w:t>
      </w:r>
      <w:r>
        <w:t xml:space="preserve">would </w:t>
      </w:r>
      <w:r w:rsidR="0089461E">
        <w:t>obtain Broadpoint’s</w:t>
      </w:r>
      <w:r>
        <w:t xml:space="preserve"> remaining </w:t>
      </w:r>
      <w:r w:rsidRPr="00CD2C87">
        <w:t>two cellular licenses</w:t>
      </w:r>
      <w:r w:rsidR="00511F0C">
        <w:t>, which</w:t>
      </w:r>
      <w:r>
        <w:t xml:space="preserve"> </w:t>
      </w:r>
      <w:r w:rsidR="0089461E">
        <w:t xml:space="preserve">provide access to 50 megahertz </w:t>
      </w:r>
      <w:r>
        <w:t>cover</w:t>
      </w:r>
      <w:r w:rsidR="0089461E">
        <w:t>ing</w:t>
      </w:r>
      <w:r>
        <w:t xml:space="preserve"> the </w:t>
      </w:r>
      <w:r w:rsidR="00CD2C87">
        <w:t xml:space="preserve">rest </w:t>
      </w:r>
      <w:r>
        <w:t xml:space="preserve">of the </w:t>
      </w:r>
      <w:r w:rsidR="00106A70">
        <w:t>GMEZ</w:t>
      </w:r>
      <w:r>
        <w:t>,</w:t>
      </w:r>
      <w:r w:rsidRPr="00C04C9C">
        <w:rPr>
          <w:rStyle w:val="FootnoteReference"/>
          <w:szCs w:val="22"/>
        </w:rPr>
        <w:footnoteReference w:id="20"/>
      </w:r>
      <w:r w:rsidRPr="00C04C9C">
        <w:t xml:space="preserve"> </w:t>
      </w:r>
      <w:r>
        <w:t xml:space="preserve">as well as </w:t>
      </w:r>
      <w:r w:rsidRPr="007A1A22">
        <w:t>two</w:t>
      </w:r>
      <w:r>
        <w:t xml:space="preserve"> Advanced Wireless Services</w:t>
      </w:r>
      <w:r w:rsidR="00415C83">
        <w:t xml:space="preserve"> (AWS</w:t>
      </w:r>
      <w:r w:rsidR="00106A70">
        <w:t>-1</w:t>
      </w:r>
      <w:r w:rsidR="00415C83">
        <w:t>)</w:t>
      </w:r>
      <w:r>
        <w:t xml:space="preserve"> licenses encompassing the Gulf of Mexico and </w:t>
      </w:r>
      <w:r w:rsidR="00C85057">
        <w:t xml:space="preserve">licenses for </w:t>
      </w:r>
      <w:r>
        <w:t>satellite earth station</w:t>
      </w:r>
      <w:r w:rsidR="00C85057">
        <w:t>s</w:t>
      </w:r>
      <w:r>
        <w:t xml:space="preserve"> primarily located in the Gulf of Mexico. </w:t>
      </w:r>
      <w:r w:rsidR="00682DE5">
        <w:t xml:space="preserve"> </w:t>
      </w:r>
      <w:r w:rsidRPr="00D45FB7">
        <w:t xml:space="preserve">Post-transaction, Tampnet would hold or lease </w:t>
      </w:r>
      <w:r w:rsidR="000E583F">
        <w:t>55</w:t>
      </w:r>
      <w:r w:rsidR="000E583F" w:rsidRPr="00D45FB7">
        <w:t xml:space="preserve"> </w:t>
      </w:r>
      <w:r w:rsidRPr="00D45FB7">
        <w:t>to 80 megahertz of spectrum in total, including up to 50 megahertz of below-1-GHz spectrum</w:t>
      </w:r>
      <w:r w:rsidR="007A1A22">
        <w:t>,</w:t>
      </w:r>
      <w:r w:rsidRPr="00D45FB7">
        <w:t xml:space="preserve"> in </w:t>
      </w:r>
      <w:r w:rsidR="00CD2C87">
        <w:t xml:space="preserve">parts of </w:t>
      </w:r>
      <w:r w:rsidRPr="00D45FB7">
        <w:t>the Gulf of Mexico.</w:t>
      </w:r>
      <w:r w:rsidR="00CD2C87">
        <w:rPr>
          <w:rStyle w:val="FootnoteReference"/>
        </w:rPr>
        <w:footnoteReference w:id="21"/>
      </w:r>
      <w:r>
        <w:t xml:space="preserve">  </w:t>
      </w:r>
      <w:r w:rsidR="00141676" w:rsidRPr="00682DE5">
        <w:rPr>
          <w:szCs w:val="22"/>
        </w:rPr>
        <w:t xml:space="preserve">As a result of the instant transaction, Tampnet and AT&amp;T each would </w:t>
      </w:r>
      <w:r w:rsidR="00DF06BD">
        <w:rPr>
          <w:szCs w:val="22"/>
        </w:rPr>
        <w:t>be attributed with</w:t>
      </w:r>
      <w:r w:rsidR="00DF06BD" w:rsidRPr="00682DE5">
        <w:rPr>
          <w:szCs w:val="22"/>
        </w:rPr>
        <w:t xml:space="preserve"> </w:t>
      </w:r>
      <w:r w:rsidR="00141676" w:rsidRPr="00682DE5">
        <w:rPr>
          <w:szCs w:val="22"/>
        </w:rPr>
        <w:t xml:space="preserve">more than 45 megahertz of the 134 megahertz of currently suitable and available below-1-GHz spectrum in </w:t>
      </w:r>
      <w:r w:rsidR="00F460CC">
        <w:rPr>
          <w:szCs w:val="22"/>
        </w:rPr>
        <w:t xml:space="preserve">portions of </w:t>
      </w:r>
      <w:r w:rsidR="00141676" w:rsidRPr="00682DE5">
        <w:rPr>
          <w:szCs w:val="22"/>
        </w:rPr>
        <w:t>the Gulf of Mexico.</w:t>
      </w:r>
    </w:p>
    <w:p w14:paraId="5448023D" w14:textId="60E22B06" w:rsidR="008B79FF" w:rsidRPr="00DE2E88" w:rsidRDefault="008B79FF" w:rsidP="00010BAD">
      <w:pPr>
        <w:pStyle w:val="ParaNum"/>
        <w:widowControl/>
        <w:rPr>
          <w:szCs w:val="22"/>
        </w:rPr>
      </w:pPr>
      <w:r w:rsidRPr="00232D48">
        <w:t xml:space="preserve">Tampnet </w:t>
      </w:r>
      <w:r w:rsidR="006B2888">
        <w:t>f</w:t>
      </w:r>
      <w:r w:rsidRPr="00232D48">
        <w:t xml:space="preserve">iled a petition for declaratory ruling pursuant to </w:t>
      </w:r>
      <w:r w:rsidR="00A35B57">
        <w:t>S</w:t>
      </w:r>
      <w:r w:rsidRPr="00232D48">
        <w:t>ection 310(b)(4) of the Act</w:t>
      </w:r>
      <w:r w:rsidRPr="00D259AF">
        <w:rPr>
          <w:rStyle w:val="FootnoteReference"/>
          <w:color w:val="000000"/>
          <w:szCs w:val="22"/>
        </w:rPr>
        <w:footnoteReference w:id="22"/>
      </w:r>
      <w:r w:rsidRPr="00232D48">
        <w:t xml:space="preserve"> and </w:t>
      </w:r>
      <w:r w:rsidR="00A35B57">
        <w:t>S</w:t>
      </w:r>
      <w:r w:rsidRPr="00232D48">
        <w:t>ection 1.990(a)(1) of the Commission’s</w:t>
      </w:r>
      <w:r>
        <w:t xml:space="preserve"> </w:t>
      </w:r>
      <w:r w:rsidRPr="00232D48">
        <w:t>rules</w:t>
      </w:r>
      <w:r>
        <w:t>,</w:t>
      </w:r>
      <w:r w:rsidRPr="00D259AF">
        <w:rPr>
          <w:rStyle w:val="FootnoteReference"/>
          <w:color w:val="000000"/>
          <w:szCs w:val="22"/>
        </w:rPr>
        <w:footnoteReference w:id="23"/>
      </w:r>
      <w:r w:rsidRPr="00232D48">
        <w:t xml:space="preserve"> requesting that the Commission issue a declaratory ruling permitting foreign </w:t>
      </w:r>
      <w:r w:rsidRPr="009A411F">
        <w:t>ownership</w:t>
      </w:r>
      <w:r w:rsidRPr="00232D48">
        <w:t xml:space="preserve"> of Tampnet</w:t>
      </w:r>
      <w:r w:rsidR="00793E48">
        <w:t xml:space="preserve"> Inc., as the controlling U.S.</w:t>
      </w:r>
      <w:r w:rsidR="009D2373">
        <w:t>-</w:t>
      </w:r>
      <w:r w:rsidRPr="00232D48">
        <w:t xml:space="preserve">organized parent of Tampnet Licensee, to exceed the 25 percent benchmark in </w:t>
      </w:r>
      <w:r w:rsidR="00A35B57">
        <w:t>S</w:t>
      </w:r>
      <w:r w:rsidRPr="00232D48">
        <w:t xml:space="preserve">ection 310(b)(4).  </w:t>
      </w:r>
      <w:r w:rsidR="002A2D44">
        <w:t>Tampnet</w:t>
      </w:r>
      <w:r w:rsidRPr="00232D48">
        <w:t xml:space="preserve"> states that it is owned by a 50-50 joint venture of Brent Infrastructure I S.a.r.l. and Brent Infrastructure II SA, both of which are organized under the laws of Luxembourg.  These companies are affiliated with EQT I and EQT II, comprised of a group of private equity funds based in Europe.</w:t>
      </w:r>
    </w:p>
    <w:p w14:paraId="2F641EA8" w14:textId="5713E117" w:rsidR="00DE2E88" w:rsidRPr="008A477D" w:rsidRDefault="00DE2E88" w:rsidP="006340D9">
      <w:pPr>
        <w:pStyle w:val="ParaNum"/>
        <w:rPr>
          <w:rStyle w:val="Normal1"/>
          <w:sz w:val="22"/>
          <w:szCs w:val="22"/>
        </w:rPr>
      </w:pPr>
      <w:r w:rsidRPr="001878D3">
        <w:t>On</w:t>
      </w:r>
      <w:r>
        <w:t xml:space="preserve"> November 4, 2015, </w:t>
      </w:r>
      <w:r w:rsidRPr="001878D3">
        <w:t xml:space="preserve">the Commission received a submission from the Department of Justice (DOJ), including the Federal Bureau of Investigation, </w:t>
      </w:r>
      <w:r>
        <w:t xml:space="preserve">with </w:t>
      </w:r>
      <w:r w:rsidRPr="001878D3">
        <w:t xml:space="preserve">the </w:t>
      </w:r>
      <w:r>
        <w:t xml:space="preserve">concurrence of the </w:t>
      </w:r>
      <w:r w:rsidRPr="001878D3">
        <w:t xml:space="preserve">Department of </w:t>
      </w:r>
      <w:r w:rsidR="00392651">
        <w:t>Homeland Security (DHS)</w:t>
      </w:r>
      <w:r w:rsidRPr="001878D3">
        <w:t xml:space="preserve"> and the Department of Defense (DOD)</w:t>
      </w:r>
      <w:r w:rsidR="00392651">
        <w:t xml:space="preserve"> (collectively, the Agencies</w:t>
      </w:r>
      <w:r>
        <w:t>)</w:t>
      </w:r>
      <w:r w:rsidRPr="001878D3">
        <w:t>.</w:t>
      </w:r>
      <w:r w:rsidRPr="001878D3">
        <w:rPr>
          <w:rStyle w:val="FootnoteReference"/>
          <w:szCs w:val="22"/>
        </w:rPr>
        <w:footnoteReference w:id="24"/>
      </w:r>
      <w:r w:rsidRPr="001878D3">
        <w:t xml:space="preserve">  In that filing, the </w:t>
      </w:r>
      <w:r>
        <w:t xml:space="preserve">Agencies </w:t>
      </w:r>
      <w:r w:rsidRPr="001878D3">
        <w:t>requested that the Commission defer action on the Application</w:t>
      </w:r>
      <w:r>
        <w:t>s</w:t>
      </w:r>
      <w:r w:rsidRPr="001878D3">
        <w:t xml:space="preserve"> and Petition until they had completed their review of any national security, law enforcement, or public safety implications.  Subsequently, on</w:t>
      </w:r>
      <w:r>
        <w:t xml:space="preserve"> June 10, 2016</w:t>
      </w:r>
      <w:r w:rsidRPr="001878D3">
        <w:t xml:space="preserve">, the </w:t>
      </w:r>
      <w:r>
        <w:t>DOJ, including the Federal Bureau of Investigation, with the concurrence of DHS and DOD</w:t>
      </w:r>
      <w:r w:rsidR="00392651">
        <w:t>,</w:t>
      </w:r>
      <w:r>
        <w:t xml:space="preserve"> </w:t>
      </w:r>
      <w:r w:rsidRPr="001878D3">
        <w:t>submitted a Petition to Adopt Conditions.</w:t>
      </w:r>
      <w:r w:rsidRPr="001878D3">
        <w:rPr>
          <w:rStyle w:val="FootnoteReference"/>
          <w:szCs w:val="22"/>
        </w:rPr>
        <w:footnoteReference w:id="25"/>
      </w:r>
      <w:r w:rsidRPr="001878D3">
        <w:t xml:space="preserve">  The filing states that the </w:t>
      </w:r>
      <w:r>
        <w:t>Agencies have</w:t>
      </w:r>
      <w:r w:rsidRPr="001878D3">
        <w:t xml:space="preserve"> no objection to grant of the </w:t>
      </w:r>
      <w:r w:rsidRPr="008A477D">
        <w:t>Application</w:t>
      </w:r>
      <w:r>
        <w:t>s</w:t>
      </w:r>
      <w:r w:rsidRPr="001878D3">
        <w:t xml:space="preserve"> and Petition </w:t>
      </w:r>
      <w:r w:rsidRPr="001878D3">
        <w:rPr>
          <w:szCs w:val="22"/>
        </w:rPr>
        <w:t xml:space="preserve">provided that the Commission conditions its approval on the compliance by </w:t>
      </w:r>
      <w:r>
        <w:rPr>
          <w:szCs w:val="22"/>
        </w:rPr>
        <w:t>Tampnet and Tampnet AS with the commitments and undertakings set forth in the June 8, 2016, Letter of Agreement (Agreement)</w:t>
      </w:r>
      <w:r>
        <w:rPr>
          <w:rStyle w:val="FootnoteReference"/>
          <w:szCs w:val="22"/>
        </w:rPr>
        <w:footnoteReference w:id="26"/>
      </w:r>
      <w:r w:rsidRPr="001878D3">
        <w:rPr>
          <w:szCs w:val="22"/>
        </w:rPr>
        <w:t xml:space="preserve"> </w:t>
      </w:r>
      <w:r>
        <w:rPr>
          <w:szCs w:val="22"/>
        </w:rPr>
        <w:t>between Tampnet, Tampnet AS, and the DOJ.</w:t>
      </w:r>
    </w:p>
    <w:p w14:paraId="5ADF77D6" w14:textId="77777777" w:rsidR="00065B9F" w:rsidRPr="00053890" w:rsidRDefault="00065B9F" w:rsidP="0014236B">
      <w:pPr>
        <w:pStyle w:val="ParaNum"/>
        <w:widowControl/>
      </w:pPr>
      <w:bookmarkStart w:id="83" w:name="_Toc403981895"/>
      <w:bookmarkStart w:id="84" w:name="_Toc403998347"/>
      <w:bookmarkStart w:id="85" w:name="_Toc403998434"/>
      <w:bookmarkStart w:id="86" w:name="_Toc404003258"/>
      <w:bookmarkStart w:id="87" w:name="_Toc404003538"/>
      <w:bookmarkStart w:id="88" w:name="_Toc404152159"/>
      <w:bookmarkStart w:id="89" w:name="_Toc405185087"/>
      <w:bookmarkStart w:id="90" w:name="_Toc405799106"/>
      <w:bookmarkStart w:id="91" w:name="_Toc405799333"/>
      <w:bookmarkStart w:id="92" w:name="_Toc405801048"/>
      <w:bookmarkStart w:id="93" w:name="_Toc406492306"/>
      <w:bookmarkStart w:id="94" w:name="_Toc408387314"/>
      <w:r w:rsidRPr="00053890">
        <w:rPr>
          <w:i/>
        </w:rPr>
        <w:t>Standard of Review</w:t>
      </w:r>
      <w:r w:rsidRPr="00936DA3">
        <w:t xml:space="preserve">.  </w:t>
      </w:r>
      <w:r w:rsidRPr="00053890">
        <w:t xml:space="preserve">Pursuant to </w:t>
      </w:r>
      <w:r>
        <w:t>S</w:t>
      </w:r>
      <w:r w:rsidRPr="00053890">
        <w:t>ection</w:t>
      </w:r>
      <w:r>
        <w:t>s</w:t>
      </w:r>
      <w:r w:rsidRPr="00053890">
        <w:t xml:space="preserve"> </w:t>
      </w:r>
      <w:r>
        <w:t xml:space="preserve">214 and </w:t>
      </w:r>
      <w:r w:rsidRPr="00053890">
        <w:t>310(d) of the Act,</w:t>
      </w:r>
      <w:r w:rsidRPr="00053890">
        <w:rPr>
          <w:rFonts w:eastAsia="MS Mincho"/>
          <w:sz w:val="20"/>
          <w:vertAlign w:val="superscript"/>
        </w:rPr>
        <w:footnoteReference w:id="27"/>
      </w:r>
      <w:r w:rsidRPr="00053890">
        <w:rPr>
          <w:b/>
        </w:rPr>
        <w:t xml:space="preserve"> </w:t>
      </w:r>
      <w:r w:rsidRPr="00053890">
        <w:t>we must determine whether the Applicants have demonstrated that the proposed transaction would serve the public interest, convenience, and necessity.</w:t>
      </w:r>
      <w:r w:rsidRPr="00053890">
        <w:rPr>
          <w:rStyle w:val="FootnoteReference"/>
        </w:rPr>
        <w:footnoteReference w:id="28"/>
      </w:r>
      <w:r w:rsidRPr="00053890">
        <w:t xml:space="preserve">  In making this determination, we first assess whether the proposed transaction complies with the specific provisions of the Act,</w:t>
      </w:r>
      <w:r w:rsidRPr="00053890">
        <w:rPr>
          <w:rStyle w:val="FootnoteReference"/>
        </w:rPr>
        <w:footnoteReference w:id="29"/>
      </w:r>
      <w:r w:rsidRPr="00053890">
        <w:t xml:space="preserve"> other applicable statutes, and the Commission’s rules.</w:t>
      </w:r>
      <w:r w:rsidRPr="00936DA3">
        <w:rPr>
          <w:sz w:val="20"/>
          <w:vertAlign w:val="superscript"/>
        </w:rPr>
        <w:footnoteReference w:id="30"/>
      </w:r>
      <w:r w:rsidRPr="00053890">
        <w:t xml:space="preserve">  If the proposed transaction does not violate a statute or rule, we next consider whether the proposed transaction could result in public interest harms by substantially frustrating or impairing the objectives or implementation of the Act or related statutes.</w:t>
      </w:r>
      <w:r w:rsidRPr="00936DA3">
        <w:rPr>
          <w:sz w:val="20"/>
          <w:vertAlign w:val="superscript"/>
        </w:rPr>
        <w:footnoteReference w:id="31"/>
      </w:r>
      <w:r w:rsidRPr="00053890">
        <w:t xml:space="preserve">  We then employ a balancing test weighing any potential public interest harms of the proposed transaction against any potential public interest benefits.</w:t>
      </w:r>
      <w:r w:rsidRPr="00936DA3">
        <w:rPr>
          <w:sz w:val="20"/>
          <w:vertAlign w:val="superscript"/>
        </w:rPr>
        <w:footnoteReference w:id="32"/>
      </w:r>
      <w:r w:rsidRPr="00053890">
        <w:t xml:space="preserve">  The Applicants bear the burden of proving, by a preponderance of the evidence, that the proposed transaction, on balance, would serve the public interest.</w:t>
      </w:r>
      <w:r w:rsidRPr="00053890">
        <w:rPr>
          <w:rFonts w:eastAsia="MS Mincho"/>
          <w:sz w:val="20"/>
          <w:vertAlign w:val="superscript"/>
        </w:rPr>
        <w:footnoteReference w:id="33"/>
      </w:r>
    </w:p>
    <w:p w14:paraId="4A052A7A" w14:textId="319DAEAB" w:rsidR="00065B9F" w:rsidRPr="00053890" w:rsidRDefault="00065B9F" w:rsidP="005B1D6A">
      <w:pPr>
        <w:pStyle w:val="ParaNum"/>
      </w:pPr>
      <w:r>
        <w:t>The Commission has fully discussed the contours of the required public interest determination in several orders</w:t>
      </w:r>
      <w:r w:rsidR="009F047C">
        <w:t>,</w:t>
      </w:r>
      <w:r>
        <w:rPr>
          <w:rStyle w:val="FootnoteReference"/>
        </w:rPr>
        <w:footnoteReference w:id="34"/>
      </w:r>
      <w:r w:rsidRPr="00444AE3">
        <w:rPr>
          <w:rStyle w:val="FootnoteReference"/>
        </w:rPr>
        <w:t xml:space="preserve"> </w:t>
      </w:r>
      <w:r>
        <w:t>which we follow here.  In general, the</w:t>
      </w:r>
      <w:r w:rsidRPr="00053890">
        <w:t xml:space="preserve"> competitive analysis, which forms an important part of the public interest evaluation, is informed by, but not limited to, traditional antitrust principles.</w:t>
      </w:r>
      <w:r w:rsidRPr="00053890">
        <w:rPr>
          <w:sz w:val="20"/>
          <w:vertAlign w:val="superscript"/>
        </w:rPr>
        <w:footnoteReference w:id="35"/>
      </w:r>
      <w:r w:rsidRPr="00053890">
        <w:t xml:space="preserve">  The Commission and the DOJ each have independent authority to examine the competitive impacts of proposed mergers and transactions involving transfers of Commission licenses, but the Commission’s competitive analysis under the public interest standard is somewhat broader.</w:t>
      </w:r>
      <w:r w:rsidRPr="00936DA3">
        <w:rPr>
          <w:sz w:val="20"/>
          <w:vertAlign w:val="superscript"/>
        </w:rPr>
        <w:footnoteReference w:id="36"/>
      </w:r>
      <w:r w:rsidRPr="00053890">
        <w:t xml:space="preserve"> </w:t>
      </w:r>
      <w:r w:rsidRPr="00053890">
        <w:rPr>
          <w:rFonts w:eastAsia="MS Mincho"/>
          <w:lang w:eastAsia="ja-JP"/>
        </w:rPr>
        <w:t xml:space="preserve"> </w:t>
      </w:r>
      <w:r w:rsidRPr="00053890">
        <w:t>The Commission’s public interest authority enables us, where appropriate, to impose and enforce narrowly tailored, transaction-specific conditions that ensure that the public interest is served by the transaction.</w:t>
      </w:r>
      <w:r w:rsidRPr="00053890">
        <w:rPr>
          <w:rStyle w:val="FootnoteReference"/>
          <w:szCs w:val="22"/>
        </w:rPr>
        <w:footnoteReference w:id="37"/>
      </w:r>
      <w:r w:rsidRPr="00053890">
        <w:t xml:space="preserve">  If we are unable to find that the proposed transaction serves the public interest for any reason or if the record presents a substantial and material question of fact, we must designate the application(s) for hearing.</w:t>
      </w:r>
      <w:r w:rsidRPr="00053890">
        <w:rPr>
          <w:sz w:val="20"/>
          <w:vertAlign w:val="superscript"/>
        </w:rPr>
        <w:footnoteReference w:id="38"/>
      </w:r>
    </w:p>
    <w:bookmarkEnd w:id="83"/>
    <w:bookmarkEnd w:id="84"/>
    <w:bookmarkEnd w:id="85"/>
    <w:bookmarkEnd w:id="86"/>
    <w:bookmarkEnd w:id="87"/>
    <w:bookmarkEnd w:id="88"/>
    <w:bookmarkEnd w:id="89"/>
    <w:bookmarkEnd w:id="90"/>
    <w:bookmarkEnd w:id="91"/>
    <w:bookmarkEnd w:id="92"/>
    <w:bookmarkEnd w:id="93"/>
    <w:bookmarkEnd w:id="94"/>
    <w:p w14:paraId="3B697255" w14:textId="33DC78F4" w:rsidR="00AD0169" w:rsidRDefault="00D83443" w:rsidP="00EA43C0">
      <w:pPr>
        <w:pStyle w:val="ParaNum"/>
        <w:rPr>
          <w:szCs w:val="22"/>
        </w:rPr>
      </w:pPr>
      <w:r>
        <w:rPr>
          <w:i/>
        </w:rPr>
        <w:t>Qualifications of the Applicants</w:t>
      </w:r>
      <w:r w:rsidRPr="00974198">
        <w:t xml:space="preserve">.  </w:t>
      </w:r>
      <w:r>
        <w:t>A</w:t>
      </w:r>
      <w:r w:rsidRPr="005211DB">
        <w:t xml:space="preserve">s a threshold matter, the Commission must determine whether the applicants to </w:t>
      </w:r>
      <w:r>
        <w:t>a</w:t>
      </w:r>
      <w:r w:rsidRPr="005211DB">
        <w:t xml:space="preserve"> proposed transaction </w:t>
      </w:r>
      <w:r>
        <w:t xml:space="preserve">meet </w:t>
      </w:r>
      <w:r w:rsidRPr="005211DB">
        <w:t xml:space="preserve">the requisite qualifications requirements to hold and transfer licenses under </w:t>
      </w:r>
      <w:r w:rsidR="000D018C">
        <w:t>S</w:t>
      </w:r>
      <w:r w:rsidRPr="005211DB">
        <w:t>ection 310(d) and the Commission’s rules.</w:t>
      </w:r>
      <w:r w:rsidRPr="00EC5D49">
        <w:rPr>
          <w:sz w:val="20"/>
          <w:vertAlign w:val="superscript"/>
        </w:rPr>
        <w:footnoteReference w:id="39"/>
      </w:r>
      <w:r>
        <w:t xml:space="preserve">  </w:t>
      </w:r>
      <w:r w:rsidR="002225FA">
        <w:t>W</w:t>
      </w:r>
      <w:r w:rsidR="00561EB8" w:rsidRPr="00561EB8">
        <w:rPr>
          <w:szCs w:val="22"/>
        </w:rPr>
        <w:t xml:space="preserve">e note that no issues were raised with respect to the basic qualifications of </w:t>
      </w:r>
      <w:r w:rsidR="008155A1">
        <w:rPr>
          <w:szCs w:val="22"/>
        </w:rPr>
        <w:t xml:space="preserve">Broadpoint, </w:t>
      </w:r>
      <w:r w:rsidR="00561EB8" w:rsidRPr="00561EB8">
        <w:rPr>
          <w:szCs w:val="22"/>
        </w:rPr>
        <w:t>AT&amp;T</w:t>
      </w:r>
      <w:r w:rsidR="000D018C">
        <w:rPr>
          <w:szCs w:val="22"/>
        </w:rPr>
        <w:t>,</w:t>
      </w:r>
      <w:r w:rsidR="005E2F45">
        <w:rPr>
          <w:szCs w:val="22"/>
        </w:rPr>
        <w:t xml:space="preserve"> and </w:t>
      </w:r>
      <w:r w:rsidR="008155A1">
        <w:rPr>
          <w:szCs w:val="22"/>
        </w:rPr>
        <w:t>Tampnet</w:t>
      </w:r>
      <w:r w:rsidR="0016220D">
        <w:rPr>
          <w:szCs w:val="22"/>
        </w:rPr>
        <w:t xml:space="preserve">, </w:t>
      </w:r>
      <w:r w:rsidR="0016220D">
        <w:t xml:space="preserve">and </w:t>
      </w:r>
      <w:r w:rsidR="008155A1">
        <w:t xml:space="preserve">in addition, </w:t>
      </w:r>
      <w:r w:rsidR="00561EB8" w:rsidRPr="005211DB">
        <w:t>AT&amp;T</w:t>
      </w:r>
      <w:r w:rsidR="005E2F45">
        <w:t xml:space="preserve"> and </w:t>
      </w:r>
      <w:r w:rsidR="008155A1">
        <w:t xml:space="preserve">Tampnet </w:t>
      </w:r>
      <w:r w:rsidR="00561EB8" w:rsidRPr="005211DB">
        <w:t>previously ha</w:t>
      </w:r>
      <w:r w:rsidR="00A05EF6">
        <w:t>ve</w:t>
      </w:r>
      <w:r w:rsidR="00561EB8" w:rsidRPr="005211DB">
        <w:t xml:space="preserve"> been found qualified to hold Commission licenses.</w:t>
      </w:r>
      <w:r w:rsidR="00561EB8" w:rsidRPr="005211DB">
        <w:rPr>
          <w:rStyle w:val="FootnoteReference"/>
        </w:rPr>
        <w:footnoteReference w:id="40"/>
      </w:r>
      <w:r w:rsidR="00561EB8" w:rsidRPr="00561EB8">
        <w:rPr>
          <w:szCs w:val="22"/>
        </w:rPr>
        <w:t xml:space="preserve">  </w:t>
      </w:r>
      <w:r w:rsidR="00561EB8">
        <w:t>We</w:t>
      </w:r>
      <w:r w:rsidR="00561EB8" w:rsidRPr="005211DB">
        <w:t xml:space="preserve"> find there is no reason to reevaluate the requisite citizenship, character, financial, technical, or other basic qualifications under the Act and our rules, regulations, and policies, of </w:t>
      </w:r>
      <w:r w:rsidR="0091730B">
        <w:t xml:space="preserve">Broadpoint, </w:t>
      </w:r>
      <w:r w:rsidR="00820569" w:rsidRPr="00820569">
        <w:t>AT&amp;T</w:t>
      </w:r>
      <w:r w:rsidR="0091730B">
        <w:t>,</w:t>
      </w:r>
      <w:r w:rsidR="00820569" w:rsidRPr="00820569">
        <w:t xml:space="preserve"> </w:t>
      </w:r>
      <w:r w:rsidR="00AD0169">
        <w:t xml:space="preserve">or </w:t>
      </w:r>
      <w:r w:rsidR="0091730B">
        <w:t>Tampnet</w:t>
      </w:r>
      <w:r w:rsidR="00561EB8" w:rsidRPr="00561EB8">
        <w:rPr>
          <w:szCs w:val="22"/>
        </w:rPr>
        <w:t>.</w:t>
      </w:r>
      <w:r w:rsidR="00561EB8">
        <w:rPr>
          <w:rStyle w:val="FootnoteReference"/>
          <w:szCs w:val="22"/>
        </w:rPr>
        <w:footnoteReference w:id="41"/>
      </w:r>
    </w:p>
    <w:p w14:paraId="4211F6AD" w14:textId="77777777" w:rsidR="00DF0EAC" w:rsidRPr="00F20E4E" w:rsidRDefault="00A964D2" w:rsidP="00DF0EAC">
      <w:pPr>
        <w:pStyle w:val="ParaNum"/>
        <w:rPr>
          <w:szCs w:val="22"/>
        </w:rPr>
      </w:pPr>
      <w:r w:rsidRPr="006F51FE">
        <w:t xml:space="preserve">The Applicants state that </w:t>
      </w:r>
      <w:r w:rsidR="00820569" w:rsidRPr="00974198">
        <w:t>Tampnet</w:t>
      </w:r>
      <w:r w:rsidR="00B4309B" w:rsidRPr="00974198">
        <w:t xml:space="preserve"> and its parent company</w:t>
      </w:r>
      <w:r w:rsidR="00FD358D" w:rsidRPr="00974198">
        <w:t>,</w:t>
      </w:r>
      <w:r w:rsidR="00B4309B" w:rsidRPr="00974198">
        <w:t xml:space="preserve"> Tampnet AS, currently operate two offshore, high capacity communication networks serving approximately 250 oil and gas platforms, floating production storage and offloading units and exploration rigs in the Gulf of Mexico and the North Sea</w:t>
      </w:r>
      <w:r w:rsidR="00B4309B" w:rsidRPr="006F51FE">
        <w:rPr>
          <w:sz w:val="23"/>
          <w:szCs w:val="23"/>
        </w:rPr>
        <w:t>.</w:t>
      </w:r>
      <w:r w:rsidR="00B4309B">
        <w:rPr>
          <w:rStyle w:val="FootnoteReference"/>
          <w:szCs w:val="23"/>
        </w:rPr>
        <w:footnoteReference w:id="42"/>
      </w:r>
      <w:r w:rsidR="00B4309B" w:rsidRPr="006F51FE">
        <w:rPr>
          <w:sz w:val="23"/>
          <w:szCs w:val="23"/>
        </w:rPr>
        <w:t xml:space="preserve"> </w:t>
      </w:r>
      <w:r w:rsidR="00624701" w:rsidRPr="006F51FE">
        <w:rPr>
          <w:sz w:val="23"/>
          <w:szCs w:val="23"/>
        </w:rPr>
        <w:t xml:space="preserve"> </w:t>
      </w:r>
      <w:r w:rsidR="00706DE0">
        <w:t>Tampnet’s domestic U.S. operations include operating a</w:t>
      </w:r>
      <w:r w:rsidR="00706DE0" w:rsidRPr="007917CA">
        <w:t xml:space="preserve"> high speed, multi-point </w:t>
      </w:r>
      <w:r w:rsidR="00706DE0" w:rsidRPr="006F51FE">
        <w:rPr>
          <w:szCs w:val="22"/>
        </w:rPr>
        <w:t>broadband network utilizing, in part, thirty-eight microwave licenses issued to the company in 2014.</w:t>
      </w:r>
      <w:r w:rsidR="00706DE0" w:rsidRPr="00D249DF">
        <w:rPr>
          <w:rStyle w:val="FootnoteReference"/>
        </w:rPr>
        <w:footnoteReference w:id="43"/>
      </w:r>
      <w:r w:rsidR="008D514D" w:rsidRPr="006F51FE">
        <w:rPr>
          <w:szCs w:val="22"/>
        </w:rPr>
        <w:t xml:space="preserve"> Tampnet AS is a Norwegian company operating as an independent supplier of high capacity and low latency communication</w:t>
      </w:r>
      <w:r w:rsidR="00057E63">
        <w:rPr>
          <w:szCs w:val="22"/>
        </w:rPr>
        <w:t>s</w:t>
      </w:r>
      <w:r w:rsidR="008D514D" w:rsidRPr="006F51FE">
        <w:rPr>
          <w:szCs w:val="22"/>
        </w:rPr>
        <w:t xml:space="preserve"> to offshore oil and gas installations in both the Norwegian and United Kingdom parts of the North Sea.</w:t>
      </w:r>
      <w:r w:rsidR="008D514D">
        <w:rPr>
          <w:rStyle w:val="FootnoteReference"/>
          <w:szCs w:val="22"/>
        </w:rPr>
        <w:footnoteReference w:id="44"/>
      </w:r>
      <w:r w:rsidR="006C7B8A">
        <w:rPr>
          <w:szCs w:val="22"/>
        </w:rPr>
        <w:t xml:space="preserve">  </w:t>
      </w:r>
      <w:r w:rsidR="00624701" w:rsidRPr="00974198">
        <w:rPr>
          <w:szCs w:val="22"/>
        </w:rPr>
        <w:t xml:space="preserve">According to the Applicants, </w:t>
      </w:r>
      <w:r w:rsidR="00B4309B" w:rsidRPr="00974198">
        <w:rPr>
          <w:szCs w:val="22"/>
        </w:rPr>
        <w:t>Tampnet and its parent have deployed, installed</w:t>
      </w:r>
      <w:r w:rsidR="000D018C">
        <w:rPr>
          <w:szCs w:val="22"/>
        </w:rPr>
        <w:t>,</w:t>
      </w:r>
      <w:r w:rsidR="00B4309B" w:rsidRPr="00974198">
        <w:rPr>
          <w:szCs w:val="22"/>
        </w:rPr>
        <w:t xml:space="preserve"> and currently operate a redundant subsea infrastructure network of 2,500 km fiber and approximately 100 radio links</w:t>
      </w:r>
      <w:r w:rsidR="00624701" w:rsidRPr="006F51FE">
        <w:rPr>
          <w:sz w:val="23"/>
          <w:szCs w:val="23"/>
        </w:rPr>
        <w:t>.</w:t>
      </w:r>
      <w:r w:rsidR="00FD358D">
        <w:rPr>
          <w:rStyle w:val="FootnoteReference"/>
          <w:szCs w:val="23"/>
        </w:rPr>
        <w:footnoteReference w:id="45"/>
      </w:r>
      <w:r w:rsidR="00624701" w:rsidRPr="006F51FE">
        <w:rPr>
          <w:sz w:val="23"/>
          <w:szCs w:val="23"/>
        </w:rPr>
        <w:t xml:space="preserve"> </w:t>
      </w:r>
      <w:r w:rsidR="000D018C">
        <w:rPr>
          <w:sz w:val="23"/>
          <w:szCs w:val="23"/>
        </w:rPr>
        <w:t xml:space="preserve"> </w:t>
      </w:r>
      <w:r w:rsidR="00624701" w:rsidRPr="00974198">
        <w:rPr>
          <w:szCs w:val="22"/>
        </w:rPr>
        <w:t xml:space="preserve">The Applicants </w:t>
      </w:r>
      <w:r w:rsidR="000D018C">
        <w:rPr>
          <w:szCs w:val="22"/>
        </w:rPr>
        <w:t>assert</w:t>
      </w:r>
      <w:r w:rsidR="00624701" w:rsidRPr="00974198">
        <w:rPr>
          <w:szCs w:val="22"/>
        </w:rPr>
        <w:t xml:space="preserve"> that Tamp</w:t>
      </w:r>
      <w:r w:rsidR="006C7B8A">
        <w:rPr>
          <w:szCs w:val="22"/>
        </w:rPr>
        <w:t>ne</w:t>
      </w:r>
      <w:r w:rsidR="00624701" w:rsidRPr="00974198">
        <w:rPr>
          <w:szCs w:val="22"/>
        </w:rPr>
        <w:t>t’s and Tamp</w:t>
      </w:r>
      <w:r w:rsidR="006C7B8A">
        <w:rPr>
          <w:szCs w:val="22"/>
        </w:rPr>
        <w:t>net</w:t>
      </w:r>
      <w:r w:rsidR="00624701" w:rsidRPr="00974198">
        <w:rPr>
          <w:szCs w:val="22"/>
        </w:rPr>
        <w:t xml:space="preserve"> AS’s collective experience in deploying high-capacity networks in unique </w:t>
      </w:r>
      <w:r w:rsidR="00D7469F" w:rsidRPr="006F51FE">
        <w:rPr>
          <w:szCs w:val="22"/>
        </w:rPr>
        <w:t>off-</w:t>
      </w:r>
      <w:r w:rsidR="00624701" w:rsidRPr="00974198">
        <w:rPr>
          <w:szCs w:val="22"/>
        </w:rPr>
        <w:t xml:space="preserve">shore environments demonstrates </w:t>
      </w:r>
      <w:r w:rsidR="00F75E1C">
        <w:rPr>
          <w:szCs w:val="22"/>
        </w:rPr>
        <w:t>its capabilities to</w:t>
      </w:r>
      <w:r w:rsidR="002D6C64">
        <w:rPr>
          <w:szCs w:val="22"/>
        </w:rPr>
        <w:t xml:space="preserve"> deploy and operate</w:t>
      </w:r>
      <w:r w:rsidR="00FD358D" w:rsidRPr="00974198">
        <w:rPr>
          <w:szCs w:val="22"/>
        </w:rPr>
        <w:t xml:space="preserve"> the planned 4G </w:t>
      </w:r>
      <w:r w:rsidR="00624701" w:rsidRPr="00974198">
        <w:rPr>
          <w:szCs w:val="22"/>
        </w:rPr>
        <w:t xml:space="preserve">LTE network in a manner that will meet the demands of consumers of wireless data </w:t>
      </w:r>
      <w:r w:rsidR="00F75E1C">
        <w:rPr>
          <w:szCs w:val="22"/>
        </w:rPr>
        <w:t xml:space="preserve">and voice services </w:t>
      </w:r>
      <w:r w:rsidR="00624701" w:rsidRPr="00974198">
        <w:rPr>
          <w:szCs w:val="22"/>
        </w:rPr>
        <w:t>in the Gulf</w:t>
      </w:r>
      <w:r w:rsidR="007A50FB">
        <w:rPr>
          <w:szCs w:val="22"/>
        </w:rPr>
        <w:t xml:space="preserve"> of Mexico</w:t>
      </w:r>
      <w:r w:rsidR="00624701" w:rsidRPr="00974198">
        <w:rPr>
          <w:szCs w:val="22"/>
        </w:rPr>
        <w:t>.</w:t>
      </w:r>
      <w:r w:rsidR="00624701">
        <w:rPr>
          <w:rStyle w:val="FootnoteReference"/>
          <w:szCs w:val="23"/>
        </w:rPr>
        <w:footnoteReference w:id="46"/>
      </w:r>
      <w:r w:rsidR="00DF0EAC" w:rsidRPr="00DF0EAC">
        <w:rPr>
          <w:i/>
          <w:szCs w:val="22"/>
        </w:rPr>
        <w:t xml:space="preserve"> </w:t>
      </w:r>
    </w:p>
    <w:p w14:paraId="5438AF4D" w14:textId="77777777" w:rsidR="006831D7" w:rsidRPr="008C16A1" w:rsidRDefault="006831D7" w:rsidP="002B43DD">
      <w:pPr>
        <w:pStyle w:val="Heading1"/>
      </w:pPr>
      <w:bookmarkStart w:id="95" w:name="_Toc403981896"/>
      <w:bookmarkStart w:id="96" w:name="_Toc403998348"/>
      <w:bookmarkStart w:id="97" w:name="_Toc403998435"/>
      <w:bookmarkStart w:id="98" w:name="_Toc404003259"/>
      <w:bookmarkStart w:id="99" w:name="_Toc404003539"/>
      <w:bookmarkStart w:id="100" w:name="_Toc404152160"/>
      <w:bookmarkStart w:id="101" w:name="_Toc405185088"/>
      <w:bookmarkStart w:id="102" w:name="_Toc405799107"/>
      <w:bookmarkStart w:id="103" w:name="_Toc405799334"/>
      <w:bookmarkStart w:id="104" w:name="_Toc405801049"/>
      <w:bookmarkStart w:id="105" w:name="_Toc406492307"/>
      <w:bookmarkStart w:id="106" w:name="_Toc408387315"/>
      <w:bookmarkStart w:id="107" w:name="_Toc419201236"/>
      <w:bookmarkStart w:id="108" w:name="_Toc419201463"/>
      <w:bookmarkStart w:id="109" w:name="_Toc419206329"/>
      <w:bookmarkStart w:id="110" w:name="_Toc419206925"/>
      <w:bookmarkStart w:id="111" w:name="_Toc419207003"/>
      <w:bookmarkStart w:id="112" w:name="_Toc419287175"/>
      <w:bookmarkStart w:id="113" w:name="_Toc419447047"/>
      <w:bookmarkStart w:id="114" w:name="_Toc419815666"/>
      <w:bookmarkStart w:id="115" w:name="_Toc420400637"/>
      <w:bookmarkStart w:id="116" w:name="_Toc420499767"/>
      <w:bookmarkStart w:id="117" w:name="_Toc426371651"/>
      <w:bookmarkStart w:id="118" w:name="_Toc431369387"/>
      <w:bookmarkStart w:id="119" w:name="_Toc432079506"/>
      <w:bookmarkStart w:id="120" w:name="_Toc433031347"/>
      <w:bookmarkStart w:id="121" w:name="_Toc433613267"/>
      <w:bookmarkStart w:id="122" w:name="_Toc433631087"/>
      <w:bookmarkStart w:id="123" w:name="_Toc433631150"/>
      <w:bookmarkStart w:id="124" w:name="_Toc433631215"/>
      <w:bookmarkStart w:id="125" w:name="_Toc433631269"/>
      <w:bookmarkStart w:id="126" w:name="_Toc433631613"/>
      <w:bookmarkStart w:id="127" w:name="_Toc434313059"/>
      <w:bookmarkStart w:id="128" w:name="_Toc456165415"/>
      <w:bookmarkStart w:id="129" w:name="_Toc456165539"/>
      <w:bookmarkStart w:id="130" w:name="_Toc456166103"/>
      <w:bookmarkStart w:id="131" w:name="_Toc456701256"/>
      <w:bookmarkStart w:id="132" w:name="_Toc456702320"/>
      <w:bookmarkStart w:id="133" w:name="_Toc456859844"/>
      <w:bookmarkStart w:id="134" w:name="_Toc456863037"/>
      <w:r w:rsidRPr="008C16A1">
        <w:t>potential public interest harms</w:t>
      </w:r>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 w14:paraId="1A962392" w14:textId="7B732688" w:rsidR="00234505" w:rsidRDefault="00234505" w:rsidP="0014236B">
      <w:pPr>
        <w:pStyle w:val="ParaNum"/>
        <w:widowControl/>
      </w:pPr>
      <w:r w:rsidRPr="00033385">
        <w:rPr>
          <w:i/>
        </w:rPr>
        <w:t>Competitive Overview</w:t>
      </w:r>
      <w:r w:rsidRPr="00974198">
        <w:t>.</w:t>
      </w:r>
      <w:r w:rsidRPr="00033385">
        <w:rPr>
          <w:i/>
        </w:rPr>
        <w:t xml:space="preserve">  </w:t>
      </w:r>
      <w:r w:rsidRPr="005211DB">
        <w:t xml:space="preserve">In </w:t>
      </w:r>
      <w:r>
        <w:t xml:space="preserve">its examination of </w:t>
      </w:r>
      <w:r w:rsidRPr="005211DB">
        <w:t>a proposed transaction, the Commission evaluates the potential public interest harms</w:t>
      </w:r>
      <w:r>
        <w:t xml:space="preserve"> and u</w:t>
      </w:r>
      <w:r w:rsidRPr="005211DB">
        <w:t>ndertakes a case-by-case review of the competitive effects of any increase in market concentration or in spectrum holdings in the relevant markets.</w:t>
      </w:r>
      <w:r w:rsidRPr="005211DB">
        <w:rPr>
          <w:rStyle w:val="FootnoteReference"/>
        </w:rPr>
        <w:footnoteReference w:id="47"/>
      </w:r>
      <w:r w:rsidRPr="005211DB">
        <w:t xml:space="preserve">  </w:t>
      </w:r>
      <w:r>
        <w:t>In the past, t</w:t>
      </w:r>
      <w:r w:rsidRPr="005211DB">
        <w:t xml:space="preserve">he Commission </w:t>
      </w:r>
      <w:r>
        <w:t>has used</w:t>
      </w:r>
      <w:r w:rsidRPr="005211DB">
        <w:t xml:space="preserve"> </w:t>
      </w:r>
      <w:r>
        <w:t>a</w:t>
      </w:r>
      <w:r w:rsidRPr="005211DB">
        <w:t xml:space="preserve"> </w:t>
      </w:r>
      <w:r>
        <w:t xml:space="preserve">two-part </w:t>
      </w:r>
      <w:r w:rsidRPr="005211DB">
        <w:t>screen to help identify those markets that provide particular reason for further competitive analysis</w:t>
      </w:r>
      <w:r>
        <w:t xml:space="preserve">, but has </w:t>
      </w:r>
      <w:r w:rsidRPr="005211DB">
        <w:t>not limit</w:t>
      </w:r>
      <w:r>
        <w:t>ed</w:t>
      </w:r>
      <w:r w:rsidRPr="005211DB">
        <w:t xml:space="preserve"> its consideration of potential competitive harms solely to markets identified by its screen if it encounters other factors that may bear on the public interest inquiry.</w:t>
      </w:r>
      <w:r w:rsidRPr="005211DB">
        <w:rPr>
          <w:rStyle w:val="FootnoteReference"/>
        </w:rPr>
        <w:footnoteReference w:id="48"/>
      </w:r>
      <w:r>
        <w:t xml:space="preserve">  In the </w:t>
      </w:r>
      <w:r w:rsidRPr="00033385">
        <w:rPr>
          <w:i/>
        </w:rPr>
        <w:t>Mobile Spectrum Holdings Report and Order</w:t>
      </w:r>
      <w:r>
        <w:t>, the Commission found that it is in the public interest to continue to use its spectrum screen and case-by-case review,</w:t>
      </w:r>
      <w:r>
        <w:rPr>
          <w:rStyle w:val="FootnoteReference"/>
        </w:rPr>
        <w:footnoteReference w:id="49"/>
      </w:r>
      <w:r>
        <w:t xml:space="preserve"> and, in addition, to require</w:t>
      </w:r>
      <w:r w:rsidRPr="007C28FE">
        <w:t xml:space="preserve"> that any increase in spectrum holdings of below 1 GHz be treated as an “enhanced factor”</w:t>
      </w:r>
      <w:r>
        <w:t xml:space="preserve"> in its review if post-transaction the acquiring entity would hold approximately one-third or more of such spectrum</w:t>
      </w:r>
      <w:r w:rsidRPr="00607167">
        <w:t>.</w:t>
      </w:r>
      <w:r>
        <w:rPr>
          <w:rStyle w:val="FootnoteReference"/>
        </w:rPr>
        <w:footnoteReference w:id="50"/>
      </w:r>
      <w:r>
        <w:t xml:space="preserve">  The Commission stated that it anticipated “that</w:t>
      </w:r>
      <w:r w:rsidRPr="001800E5">
        <w:t xml:space="preserve"> </w:t>
      </w:r>
      <w:r w:rsidRPr="006A7868">
        <w:t>any entity that would end up with more than one third of below</w:t>
      </w:r>
      <w:r>
        <w:t>-</w:t>
      </w:r>
      <w:r w:rsidRPr="006A7868">
        <w:t>1</w:t>
      </w:r>
      <w:r>
        <w:t>-</w:t>
      </w:r>
      <w:r w:rsidRPr="006A7868">
        <w:t>GHz spectrum as a result of a proposed transaction would facilitate our case-by-case review with a detailed demonstration</w:t>
      </w:r>
      <w:r>
        <w:t xml:space="preserve"> </w:t>
      </w:r>
      <w:r w:rsidRPr="006A7868">
        <w:t>regarding why the public interest benefits outweigh harms</w:t>
      </w:r>
      <w:r>
        <w:t>.”</w:t>
      </w:r>
      <w:r w:rsidRPr="00894362">
        <w:rPr>
          <w:rStyle w:val="FootnoteReference"/>
          <w:szCs w:val="22"/>
        </w:rPr>
        <w:footnoteReference w:id="51"/>
      </w:r>
      <w:r w:rsidRPr="00033385">
        <w:rPr>
          <w:rStyle w:val="StyleParaNumTimesNewRoman11ptChar"/>
          <w:szCs w:val="22"/>
          <w:lang w:eastAsia="x-none"/>
        </w:rPr>
        <w:t xml:space="preserve">  The Commission further stated, however, that whe</w:t>
      </w:r>
      <w:r w:rsidRPr="001800E5">
        <w:t>n the other factors ordinarily consider</w:t>
      </w:r>
      <w:r>
        <w:t>ed</w:t>
      </w:r>
      <w:r w:rsidRPr="001800E5">
        <w:t xml:space="preserve"> indicate a low potential for competitive or other public interest harm, the acquisition of </w:t>
      </w:r>
      <w:r>
        <w:t>below-1-GHz</w:t>
      </w:r>
      <w:r w:rsidRPr="001800E5">
        <w:t xml:space="preserve"> spectrum resulting in holdings of approximately one-third or more </w:t>
      </w:r>
      <w:r>
        <w:t xml:space="preserve">would </w:t>
      </w:r>
      <w:r w:rsidRPr="001800E5">
        <w:t>not preclude a conclusion that a proposed transaction, on balance, furthers the public interest.</w:t>
      </w:r>
      <w:r w:rsidRPr="00894362">
        <w:rPr>
          <w:rStyle w:val="FootnoteReference"/>
          <w:szCs w:val="22"/>
        </w:rPr>
        <w:footnoteReference w:id="52"/>
      </w:r>
    </w:p>
    <w:p w14:paraId="0CDF5509" w14:textId="77777777" w:rsidR="00234505" w:rsidRPr="00394B02" w:rsidRDefault="00234505" w:rsidP="00EA43C0">
      <w:pPr>
        <w:pStyle w:val="ParaNum"/>
      </w:pPr>
      <w:r>
        <w:t xml:space="preserve">The Commission stated in the </w:t>
      </w:r>
      <w:r w:rsidRPr="00634A05">
        <w:rPr>
          <w:i/>
        </w:rPr>
        <w:t>Mobile Spectrum Holdings Report and Order</w:t>
      </w:r>
      <w:r>
        <w:t xml:space="preserve"> that low-band spectrum is </w:t>
      </w:r>
      <w:r w:rsidRPr="004902DC">
        <w:t>less costly to deploy and provides higher quality coverage than higher-band spectrum,</w:t>
      </w:r>
      <w:r w:rsidRPr="00974198">
        <w:rPr>
          <w:sz w:val="20"/>
          <w:vertAlign w:val="superscript"/>
        </w:rPr>
        <w:footnoteReference w:id="53"/>
      </w:r>
      <w:r w:rsidRPr="004902DC">
        <w:t xml:space="preserve"> and </w:t>
      </w:r>
      <w:r>
        <w:t xml:space="preserve">that </w:t>
      </w:r>
      <w:r w:rsidRPr="004902DC">
        <w:t xml:space="preserve">the leading </w:t>
      </w:r>
      <w:r>
        <w:t xml:space="preserve">two </w:t>
      </w:r>
      <w:r w:rsidRPr="004902DC">
        <w:t xml:space="preserve">nationwide </w:t>
      </w:r>
      <w:r>
        <w:t xml:space="preserve">service </w:t>
      </w:r>
      <w:r w:rsidRPr="004902DC">
        <w:t>providers hold most of the low-band spectrum available today.</w:t>
      </w:r>
      <w:r w:rsidRPr="00974198">
        <w:rPr>
          <w:sz w:val="20"/>
          <w:vertAlign w:val="superscript"/>
        </w:rPr>
        <w:footnoteReference w:id="54"/>
      </w:r>
      <w:r w:rsidRPr="004902DC">
        <w:t xml:space="preserve">  The Commission </w:t>
      </w:r>
      <w:r w:rsidRPr="00EA43C0">
        <w:rPr>
          <w:color w:val="010101"/>
        </w:rPr>
        <w:t>found</w:t>
      </w:r>
      <w:r w:rsidRPr="004902DC">
        <w:t xml:space="preserve"> that if they were to acquire all, or substantially all, of the remaining low-band spectrum, </w:t>
      </w:r>
      <w:r w:rsidRPr="001800E5">
        <w:t>they would benefit</w:t>
      </w:r>
      <w:r>
        <w:t>,</w:t>
      </w:r>
      <w:r w:rsidRPr="001800E5">
        <w:t xml:space="preserve"> independently of any deployment</w:t>
      </w:r>
      <w:r>
        <w:t>,</w:t>
      </w:r>
      <w:r w:rsidRPr="001800E5">
        <w:t xml:space="preserve"> to the extent that </w:t>
      </w:r>
      <w:r>
        <w:t>rival service providers</w:t>
      </w:r>
      <w:r w:rsidRPr="001800E5">
        <w:t xml:space="preserve"> are denied its use</w:t>
      </w:r>
      <w:r>
        <w:t>.</w:t>
      </w:r>
      <w:r w:rsidRPr="00974198">
        <w:rPr>
          <w:sz w:val="20"/>
          <w:vertAlign w:val="superscript"/>
        </w:rPr>
        <w:footnoteReference w:id="55"/>
      </w:r>
      <w:r>
        <w:t xml:space="preserve">  </w:t>
      </w:r>
      <w:r w:rsidRPr="00963A08">
        <w:t>As the Commission found</w:t>
      </w:r>
      <w:r>
        <w:t xml:space="preserve">, without access </w:t>
      </w:r>
      <w:r w:rsidRPr="001800E5">
        <w:t xml:space="preserve">to this low-band spectrum, </w:t>
      </w:r>
      <w:r>
        <w:t>rival service providers</w:t>
      </w:r>
      <w:r w:rsidRPr="001800E5">
        <w:t xml:space="preserve"> </w:t>
      </w:r>
      <w:r>
        <w:t xml:space="preserve">that may lack a mix of low-band and higher-band spectrum </w:t>
      </w:r>
      <w:r w:rsidRPr="001800E5">
        <w:t xml:space="preserve">would be less able to provide a </w:t>
      </w:r>
      <w:r>
        <w:t xml:space="preserve">robust </w:t>
      </w:r>
      <w:r w:rsidRPr="001800E5">
        <w:t>competitive alternative</w:t>
      </w:r>
      <w:r>
        <w:t>,</w:t>
      </w:r>
      <w:r w:rsidRPr="001800E5">
        <w:t xml:space="preserve"> </w:t>
      </w:r>
      <w:r>
        <w:t xml:space="preserve">and </w:t>
      </w:r>
      <w:r w:rsidRPr="004902DC">
        <w:t>may not be able to quickly expand coverage or provide new services.</w:t>
      </w:r>
      <w:r w:rsidRPr="00974198">
        <w:rPr>
          <w:sz w:val="20"/>
          <w:vertAlign w:val="superscript"/>
        </w:rPr>
        <w:footnoteReference w:id="56"/>
      </w:r>
      <w:r w:rsidRPr="001800E5">
        <w:t xml:space="preserve"> </w:t>
      </w:r>
      <w:r w:rsidRPr="004902DC">
        <w:t xml:space="preserve"> We consider below whether there would be an increased likelihood as a result of the proposed transaction that rival service providers or potential entrants would be foreclosed from expanding capacity, deploying mobile broadband technologies, or entering the market, and whether rivals’ costs would be increased to the extent that they would be less likely to be able to compete robustly.</w:t>
      </w:r>
      <w:r w:rsidRPr="00974198">
        <w:rPr>
          <w:sz w:val="20"/>
          <w:vertAlign w:val="superscript"/>
        </w:rPr>
        <w:footnoteReference w:id="57"/>
      </w:r>
    </w:p>
    <w:p w14:paraId="7A3F990D" w14:textId="77777777" w:rsidR="001B296A" w:rsidRPr="0001496F" w:rsidRDefault="001B296A" w:rsidP="002B43DD">
      <w:pPr>
        <w:pStyle w:val="Heading2"/>
      </w:pPr>
      <w:bookmarkStart w:id="135" w:name="_Toc420400639"/>
      <w:bookmarkStart w:id="136" w:name="_Toc420499768"/>
      <w:bookmarkStart w:id="137" w:name="_Toc426371652"/>
      <w:bookmarkStart w:id="138" w:name="_Toc431369388"/>
      <w:bookmarkStart w:id="139" w:name="_Toc432079507"/>
      <w:bookmarkStart w:id="140" w:name="_Toc433031348"/>
      <w:bookmarkStart w:id="141" w:name="_Toc433613268"/>
      <w:bookmarkStart w:id="142" w:name="_Toc433631088"/>
      <w:bookmarkStart w:id="143" w:name="_Toc433631151"/>
      <w:bookmarkStart w:id="144" w:name="_Toc433631216"/>
      <w:bookmarkStart w:id="145" w:name="_Toc433631270"/>
      <w:bookmarkStart w:id="146" w:name="_Toc433631614"/>
      <w:bookmarkStart w:id="147" w:name="_Toc434313060"/>
      <w:bookmarkStart w:id="148" w:name="_Toc456165416"/>
      <w:bookmarkStart w:id="149" w:name="_Toc456165540"/>
      <w:bookmarkStart w:id="150" w:name="_Toc456166104"/>
      <w:bookmarkStart w:id="151" w:name="_Toc456701257"/>
      <w:bookmarkStart w:id="152" w:name="_Toc456702321"/>
      <w:bookmarkStart w:id="153" w:name="_Toc456859845"/>
      <w:bookmarkStart w:id="154" w:name="_Toc456863038"/>
      <w:r w:rsidRPr="0001496F">
        <w:t>Market Definitions</w:t>
      </w:r>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p>
    <w:p w14:paraId="4FF7D51F" w14:textId="0B9A365B" w:rsidR="005A58A0" w:rsidRDefault="00234505" w:rsidP="00EA43C0">
      <w:pPr>
        <w:pStyle w:val="ParaNum"/>
        <w:rPr>
          <w:color w:val="010101"/>
        </w:rPr>
      </w:pPr>
      <w:r w:rsidRPr="00935160">
        <w:rPr>
          <w:color w:val="010101"/>
        </w:rPr>
        <w:t>We begin our competitive analysis by determining the appropriate market definitions for the proposed transaction,</w:t>
      </w:r>
      <w:r w:rsidRPr="005211DB">
        <w:rPr>
          <w:rStyle w:val="FootnoteReference"/>
        </w:rPr>
        <w:footnoteReference w:id="58"/>
      </w:r>
      <w:r w:rsidRPr="00935160">
        <w:rPr>
          <w:color w:val="010101"/>
        </w:rPr>
        <w:t xml:space="preserve"> including a determination of the product market, the geographic market, the input market for spectrum suitable and available for the provision of mobile wireless services</w:t>
      </w:r>
      <w:r>
        <w:rPr>
          <w:color w:val="010101"/>
        </w:rPr>
        <w:t>, and the market participants.</w:t>
      </w:r>
    </w:p>
    <w:p w14:paraId="6115DEBC" w14:textId="1D5A5640" w:rsidR="00107A75" w:rsidRDefault="00234505" w:rsidP="0014236B">
      <w:pPr>
        <w:pStyle w:val="ParaNum"/>
        <w:widowControl/>
        <w:rPr>
          <w:szCs w:val="22"/>
        </w:rPr>
      </w:pPr>
      <w:r>
        <w:rPr>
          <w:i/>
        </w:rPr>
        <w:t>Product and Geographic Market</w:t>
      </w:r>
      <w:r>
        <w:t>.</w:t>
      </w:r>
      <w:r>
        <w:rPr>
          <w:i/>
        </w:rPr>
        <w:t xml:space="preserve">  </w:t>
      </w:r>
      <w:r>
        <w:t>Consistent with recent transaction orders, we find that the relevant product market is a combined “mobile telephony/broadband services” product market that comprises mobile voice and data services, including mobile voice and data services provided over advanced broadband wireless networks (mobile broadband services).</w:t>
      </w:r>
      <w:r>
        <w:rPr>
          <w:rStyle w:val="FootnoteReference"/>
        </w:rPr>
        <w:footnoteReference w:id="59"/>
      </w:r>
      <w:r>
        <w:t xml:space="preserve">  In addition, </w:t>
      </w:r>
      <w:r>
        <w:rPr>
          <w:color w:val="010101"/>
        </w:rPr>
        <w:t>we find that the relevant geographic market is local.</w:t>
      </w:r>
      <w:r>
        <w:rPr>
          <w:rStyle w:val="FootnoteReference"/>
        </w:rPr>
        <w:footnoteReference w:id="60"/>
      </w:r>
      <w:r>
        <w:t xml:space="preserve">  </w:t>
      </w:r>
      <w:r w:rsidR="00923E50">
        <w:t xml:space="preserve">The </w:t>
      </w:r>
      <w:r w:rsidR="001A6847">
        <w:t xml:space="preserve">Applicants </w:t>
      </w:r>
      <w:r w:rsidR="00923E50">
        <w:t>are</w:t>
      </w:r>
      <w:r w:rsidR="00107A75">
        <w:t xml:space="preserve"> </w:t>
      </w:r>
      <w:r w:rsidR="00B83495" w:rsidRPr="00CB1872">
        <w:rPr>
          <w:color w:val="010101"/>
        </w:rPr>
        <w:t xml:space="preserve">seeking Commission approval </w:t>
      </w:r>
      <w:r w:rsidR="00383DB4">
        <w:rPr>
          <w:color w:val="010101"/>
        </w:rPr>
        <w:t>of</w:t>
      </w:r>
      <w:r w:rsidR="00B83495" w:rsidRPr="00CB1872">
        <w:rPr>
          <w:color w:val="010101"/>
        </w:rPr>
        <w:t xml:space="preserve"> the</w:t>
      </w:r>
      <w:r w:rsidR="00107A75">
        <w:rPr>
          <w:color w:val="010101"/>
        </w:rPr>
        <w:t xml:space="preserve"> </w:t>
      </w:r>
      <w:r w:rsidR="00923E50">
        <w:rPr>
          <w:color w:val="010101"/>
        </w:rPr>
        <w:t xml:space="preserve">proposed </w:t>
      </w:r>
      <w:r w:rsidR="00107A75">
        <w:rPr>
          <w:color w:val="010101"/>
        </w:rPr>
        <w:t xml:space="preserve">assignment of </w:t>
      </w:r>
      <w:r w:rsidR="00E837BB">
        <w:rPr>
          <w:szCs w:val="22"/>
        </w:rPr>
        <w:t>5</w:t>
      </w:r>
      <w:r w:rsidR="00107A75">
        <w:rPr>
          <w:szCs w:val="22"/>
        </w:rPr>
        <w:t xml:space="preserve">0 </w:t>
      </w:r>
      <w:r w:rsidR="00107A75" w:rsidRPr="00775103">
        <w:rPr>
          <w:szCs w:val="22"/>
        </w:rPr>
        <w:t>megahertz of</w:t>
      </w:r>
      <w:r w:rsidR="00107A75">
        <w:rPr>
          <w:szCs w:val="22"/>
        </w:rPr>
        <w:t xml:space="preserve"> </w:t>
      </w:r>
      <w:r w:rsidR="004B1A72">
        <w:rPr>
          <w:szCs w:val="22"/>
        </w:rPr>
        <w:t xml:space="preserve">cellular </w:t>
      </w:r>
      <w:r w:rsidR="00107A75">
        <w:rPr>
          <w:szCs w:val="22"/>
        </w:rPr>
        <w:t xml:space="preserve">spectrum </w:t>
      </w:r>
      <w:r w:rsidR="00923E50">
        <w:rPr>
          <w:szCs w:val="22"/>
        </w:rPr>
        <w:t xml:space="preserve">to AT&amp;T </w:t>
      </w:r>
      <w:r w:rsidR="00107A75">
        <w:rPr>
          <w:szCs w:val="22"/>
        </w:rPr>
        <w:t xml:space="preserve">in </w:t>
      </w:r>
      <w:r w:rsidR="00C00DE6">
        <w:rPr>
          <w:szCs w:val="22"/>
        </w:rPr>
        <w:t xml:space="preserve">a portion of </w:t>
      </w:r>
      <w:r w:rsidR="00B512C1">
        <w:rPr>
          <w:szCs w:val="22"/>
        </w:rPr>
        <w:t xml:space="preserve">one local market, </w:t>
      </w:r>
      <w:r w:rsidR="00107A75">
        <w:rPr>
          <w:szCs w:val="22"/>
        </w:rPr>
        <w:t>the Gulf of Mexico</w:t>
      </w:r>
      <w:r w:rsidR="00923E50">
        <w:rPr>
          <w:szCs w:val="22"/>
        </w:rPr>
        <w:t xml:space="preserve">, and the proposed assignment or lease of </w:t>
      </w:r>
      <w:r w:rsidR="00B512C1">
        <w:rPr>
          <w:szCs w:val="22"/>
        </w:rPr>
        <w:t xml:space="preserve">55 </w:t>
      </w:r>
      <w:r w:rsidR="00107A75">
        <w:rPr>
          <w:szCs w:val="22"/>
        </w:rPr>
        <w:t>to 80 megahertz of spectrum</w:t>
      </w:r>
      <w:r w:rsidR="00923E50">
        <w:rPr>
          <w:szCs w:val="22"/>
        </w:rPr>
        <w:t xml:space="preserve"> to Tampnet, </w:t>
      </w:r>
      <w:r w:rsidR="00107A75">
        <w:rPr>
          <w:szCs w:val="22"/>
        </w:rPr>
        <w:t>in the Gulf of Mexico.</w:t>
      </w:r>
    </w:p>
    <w:p w14:paraId="27C48998" w14:textId="476FB5D6" w:rsidR="0015567D" w:rsidRDefault="0015567D" w:rsidP="0015567D">
      <w:pPr>
        <w:pStyle w:val="ParaNum"/>
        <w:widowControl/>
        <w:tabs>
          <w:tab w:val="num" w:pos="0"/>
          <w:tab w:val="num" w:pos="990"/>
        </w:tabs>
      </w:pPr>
      <w:r w:rsidRPr="00D43DB0">
        <w:rPr>
          <w:i/>
        </w:rPr>
        <w:t>Input Market for Spectrum and Market Participants</w:t>
      </w:r>
      <w:r w:rsidRPr="00EE6399">
        <w:t xml:space="preserve">.  </w:t>
      </w:r>
      <w:r w:rsidRPr="00053890">
        <w:t>The Commission has determined in prior orders that the following bands, or portions thereof, should be included in the input market:  cellular, broadband PCS, SMR, 700 MHz, AWS-1</w:t>
      </w:r>
      <w:r>
        <w:t xml:space="preserve"> and BRS </w:t>
      </w:r>
      <w:r w:rsidRPr="00053890">
        <w:t xml:space="preserve">on a market-by-market basis, </w:t>
      </w:r>
      <w:r>
        <w:t>W</w:t>
      </w:r>
      <w:r w:rsidRPr="00053890">
        <w:t xml:space="preserve">CS, the 600 MHz band (at the conclusion of the Incentive Auction), </w:t>
      </w:r>
      <w:r>
        <w:t>AWS-4</w:t>
      </w:r>
      <w:r w:rsidRPr="00053890">
        <w:t>, H Block, the majority of the EBS spectrum, and the AWS-3 band (on a market-by-market basis as it becomes “available”).</w:t>
      </w:r>
      <w:r w:rsidRPr="00053890">
        <w:rPr>
          <w:rStyle w:val="FootnoteReference"/>
        </w:rPr>
        <w:footnoteReference w:id="61"/>
      </w:r>
      <w:r>
        <w:t xml:space="preserve">  The </w:t>
      </w:r>
      <w:r w:rsidRPr="00B623EB">
        <w:rPr>
          <w:i/>
        </w:rPr>
        <w:t>Sprint</w:t>
      </w:r>
      <w:r>
        <w:rPr>
          <w:i/>
        </w:rPr>
        <w:t>-</w:t>
      </w:r>
      <w:r w:rsidRPr="00B623EB">
        <w:rPr>
          <w:i/>
        </w:rPr>
        <w:t>Shentel</w:t>
      </w:r>
      <w:r>
        <w:rPr>
          <w:i/>
        </w:rPr>
        <w:t>-</w:t>
      </w:r>
      <w:r w:rsidRPr="00B623EB">
        <w:rPr>
          <w:i/>
        </w:rPr>
        <w:t xml:space="preserve">NTELOS Order </w:t>
      </w:r>
      <w:r>
        <w:t xml:space="preserve">found </w:t>
      </w:r>
      <w:r w:rsidRPr="00053890">
        <w:t xml:space="preserve">that the </w:t>
      </w:r>
      <w:r>
        <w:t xml:space="preserve">AWS-3 </w:t>
      </w:r>
      <w:r w:rsidRPr="00053890">
        <w:t xml:space="preserve">1695-1710 </w:t>
      </w:r>
      <w:r>
        <w:t xml:space="preserve">MHz </w:t>
      </w:r>
      <w:r w:rsidRPr="00053890">
        <w:t xml:space="preserve">band </w:t>
      </w:r>
      <w:r>
        <w:t xml:space="preserve">satisfies the standard adopted by the Commission in the </w:t>
      </w:r>
      <w:r w:rsidRPr="00D43DB0">
        <w:rPr>
          <w:i/>
        </w:rPr>
        <w:t xml:space="preserve">Mobile Spectrum Holdings Report and Order </w:t>
      </w:r>
      <w:r>
        <w:t>and “</w:t>
      </w:r>
      <w:r w:rsidRPr="00053890">
        <w:t xml:space="preserve">should now be considered available, as well as suitable, </w:t>
      </w:r>
      <w:r>
        <w:t>on a nationwide basis.”</w:t>
      </w:r>
      <w:r>
        <w:rPr>
          <w:rStyle w:val="FootnoteReference"/>
        </w:rPr>
        <w:footnoteReference w:id="62"/>
      </w:r>
      <w:r w:rsidDel="00626A21">
        <w:t xml:space="preserve"> </w:t>
      </w:r>
      <w:r>
        <w:t xml:space="preserve"> Therefore, the total amount of spectrum suitable and available for the provision of mobile telephony/broadband services is now 595.5 megahertz, approximately one-third of which is 199 megahertz.</w:t>
      </w:r>
      <w:r>
        <w:rPr>
          <w:rStyle w:val="FootnoteReference"/>
        </w:rPr>
        <w:footnoteReference w:id="63"/>
      </w:r>
      <w:r>
        <w:t xml:space="preserve">  </w:t>
      </w:r>
      <w:r w:rsidRPr="00D43DB0">
        <w:rPr>
          <w:color w:val="010101"/>
        </w:rPr>
        <w:t>W</w:t>
      </w:r>
      <w:r w:rsidRPr="00053890">
        <w:t>e consider facilities-based entities providing mobile telephony/broadband services using</w:t>
      </w:r>
      <w:r>
        <w:t xml:space="preserve"> these spectrum bands </w:t>
      </w:r>
      <w:r w:rsidRPr="00053890">
        <w:t>to be market participants.</w:t>
      </w:r>
      <w:r w:rsidRPr="00936DA3">
        <w:rPr>
          <w:sz w:val="20"/>
          <w:vertAlign w:val="superscript"/>
        </w:rPr>
        <w:footnoteReference w:id="64"/>
      </w:r>
    </w:p>
    <w:p w14:paraId="34438CF6" w14:textId="77777777" w:rsidR="00440069" w:rsidRPr="0001496F" w:rsidRDefault="0004492D" w:rsidP="002B43DD">
      <w:pPr>
        <w:pStyle w:val="Heading2"/>
      </w:pPr>
      <w:bookmarkStart w:id="155" w:name="_Toc403981900"/>
      <w:bookmarkStart w:id="156" w:name="_Toc403998356"/>
      <w:bookmarkStart w:id="157" w:name="_Toc403998443"/>
      <w:bookmarkStart w:id="158" w:name="_Toc404003267"/>
      <w:bookmarkStart w:id="159" w:name="_Toc404003547"/>
      <w:bookmarkStart w:id="160" w:name="_Toc404152168"/>
      <w:bookmarkStart w:id="161" w:name="_Toc405185096"/>
      <w:bookmarkStart w:id="162" w:name="_Toc405799111"/>
      <w:bookmarkStart w:id="163" w:name="_Toc405799338"/>
      <w:bookmarkStart w:id="164" w:name="_Toc405801053"/>
      <w:bookmarkStart w:id="165" w:name="_Toc406492311"/>
      <w:bookmarkStart w:id="166" w:name="_Toc408387319"/>
      <w:bookmarkStart w:id="167" w:name="_Toc419201240"/>
      <w:bookmarkStart w:id="168" w:name="_Toc419201467"/>
      <w:bookmarkStart w:id="169" w:name="_Toc419206331"/>
      <w:bookmarkStart w:id="170" w:name="_Toc419206927"/>
      <w:bookmarkStart w:id="171" w:name="_Toc419207005"/>
      <w:bookmarkStart w:id="172" w:name="_Toc419287177"/>
      <w:bookmarkStart w:id="173" w:name="_Toc419447049"/>
      <w:bookmarkStart w:id="174" w:name="_Toc419815668"/>
      <w:bookmarkStart w:id="175" w:name="_Toc420400640"/>
      <w:bookmarkStart w:id="176" w:name="_Toc420499769"/>
      <w:bookmarkStart w:id="177" w:name="_Toc426371653"/>
      <w:bookmarkStart w:id="178" w:name="_Toc431369389"/>
      <w:bookmarkStart w:id="179" w:name="_Toc432079508"/>
      <w:bookmarkStart w:id="180" w:name="_Toc433031349"/>
      <w:bookmarkStart w:id="181" w:name="_Toc433613269"/>
      <w:bookmarkStart w:id="182" w:name="_Toc433631089"/>
      <w:bookmarkStart w:id="183" w:name="_Toc433631152"/>
      <w:bookmarkStart w:id="184" w:name="_Toc433631217"/>
      <w:bookmarkStart w:id="185" w:name="_Toc433631271"/>
      <w:bookmarkStart w:id="186" w:name="_Toc433631615"/>
      <w:bookmarkStart w:id="187" w:name="_Toc434313061"/>
      <w:bookmarkStart w:id="188" w:name="_Toc456165417"/>
      <w:bookmarkStart w:id="189" w:name="_Toc456165541"/>
      <w:bookmarkStart w:id="190" w:name="_Toc456166105"/>
      <w:bookmarkStart w:id="191" w:name="_Toc456701258"/>
      <w:bookmarkStart w:id="192" w:name="_Toc456702322"/>
      <w:bookmarkStart w:id="193" w:name="_Toc456859846"/>
      <w:bookmarkStart w:id="194" w:name="_Toc456863039"/>
      <w:r w:rsidRPr="0001496F">
        <w:t>Competitive Effects of the Proposed Transaction</w:t>
      </w:r>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0CCC935D" w14:textId="201E0147" w:rsidR="00D137E1" w:rsidRDefault="00D137E1" w:rsidP="00EA43C0">
      <w:pPr>
        <w:pStyle w:val="ParaNum"/>
        <w:rPr>
          <w:rStyle w:val="StyleParaNumTimesNewRoman11ptChar"/>
          <w:szCs w:val="22"/>
        </w:rPr>
      </w:pPr>
      <w:bookmarkStart w:id="195" w:name="_Toc405799112"/>
      <w:bookmarkStart w:id="196" w:name="_Toc405799339"/>
      <w:bookmarkStart w:id="197" w:name="_Toc405801054"/>
      <w:bookmarkStart w:id="198" w:name="_Toc406492312"/>
      <w:bookmarkStart w:id="199" w:name="_Toc408387320"/>
      <w:r w:rsidRPr="003B2B58">
        <w:rPr>
          <w:i/>
        </w:rPr>
        <w:t>Initial Review</w:t>
      </w:r>
      <w:bookmarkEnd w:id="195"/>
      <w:bookmarkEnd w:id="196"/>
      <w:bookmarkEnd w:id="197"/>
      <w:bookmarkEnd w:id="198"/>
      <w:bookmarkEnd w:id="199"/>
      <w:r w:rsidRPr="003B2B58">
        <w:t>.</w:t>
      </w:r>
      <w:r>
        <w:t xml:space="preserve">  </w:t>
      </w:r>
      <w:r w:rsidRPr="005211DB">
        <w:t xml:space="preserve">As discussed above, to help identify </w:t>
      </w:r>
      <w:r>
        <w:t xml:space="preserve">those </w:t>
      </w:r>
      <w:r w:rsidRPr="005211DB">
        <w:t xml:space="preserve">local markets </w:t>
      </w:r>
      <w:r>
        <w:t xml:space="preserve">in which </w:t>
      </w:r>
      <w:r w:rsidRPr="005211DB">
        <w:t>competitive concerns are more likely</w:t>
      </w:r>
      <w:r>
        <w:t xml:space="preserve">, initially </w:t>
      </w:r>
      <w:r w:rsidRPr="005211DB">
        <w:t xml:space="preserve">we apply </w:t>
      </w:r>
      <w:r>
        <w:t>a</w:t>
      </w:r>
      <w:r w:rsidRPr="005211DB">
        <w:t xml:space="preserve"> two-part screen</w:t>
      </w:r>
      <w:r>
        <w:t>, and if the acquiring entity would increase its below-1-GHz spectrum holdings to hold approximately one-third or more of such spectrum post-transaction, we apply enhanced factor review.</w:t>
      </w:r>
      <w:r w:rsidRPr="005211DB">
        <w:rPr>
          <w:rStyle w:val="FootnoteReference"/>
        </w:rPr>
        <w:footnoteReference w:id="65"/>
      </w:r>
      <w:r>
        <w:t xml:space="preserve">  </w:t>
      </w:r>
      <w:r w:rsidRPr="005211DB">
        <w:t xml:space="preserve">The first part of the screen is based on the size of the post-transaction </w:t>
      </w:r>
      <w:r w:rsidR="00434225">
        <w:t>Herfindahl-Hirschman Index (HHI</w:t>
      </w:r>
      <w:r w:rsidRPr="00D96CD7">
        <w:t>)</w:t>
      </w:r>
      <w:r w:rsidRPr="005211DB">
        <w:t xml:space="preserve"> and the change in the HHI</w:t>
      </w:r>
      <w:r>
        <w:t>.</w:t>
      </w:r>
      <w:r>
        <w:rPr>
          <w:rStyle w:val="FootnoteReference"/>
        </w:rPr>
        <w:footnoteReference w:id="66"/>
      </w:r>
      <w:r>
        <w:t xml:space="preserve">  The </w:t>
      </w:r>
      <w:r w:rsidRPr="005211DB">
        <w:t xml:space="preserve">second part of the </w:t>
      </w:r>
      <w:r>
        <w:t>screen, which is applied on a county-by-county basis,</w:t>
      </w:r>
      <w:r w:rsidRPr="005211DB">
        <w:t xml:space="preserve"> identifies local markets where an entity would </w:t>
      </w:r>
      <w:r>
        <w:t>hold</w:t>
      </w:r>
      <w:r w:rsidRPr="005211DB">
        <w:t xml:space="preserve"> approximately one-third </w:t>
      </w:r>
      <w:r>
        <w:t xml:space="preserve">or more </w:t>
      </w:r>
      <w:r w:rsidRPr="005211DB">
        <w:t>of the total spectrum suitable and available for the provision of mobile telephony/broadband services</w:t>
      </w:r>
      <w:r>
        <w:t>, post-transaction</w:t>
      </w:r>
      <w:r w:rsidRPr="005211DB">
        <w:t>.</w:t>
      </w:r>
      <w:r w:rsidRPr="00CB1872">
        <w:rPr>
          <w:sz w:val="20"/>
          <w:vertAlign w:val="superscript"/>
        </w:rPr>
        <w:footnoteReference w:id="67"/>
      </w:r>
      <w:r w:rsidRPr="00B40330">
        <w:rPr>
          <w:sz w:val="20"/>
        </w:rPr>
        <w:t xml:space="preserve"> </w:t>
      </w:r>
      <w:r w:rsidRPr="005211DB">
        <w:t xml:space="preserve"> </w:t>
      </w:r>
      <w:r>
        <w:t xml:space="preserve">In instances where an applicant </w:t>
      </w:r>
      <w:r w:rsidRPr="005211DB">
        <w:t>is</w:t>
      </w:r>
      <w:r>
        <w:t xml:space="preserve"> acquiring</w:t>
      </w:r>
      <w:r w:rsidRPr="005211DB">
        <w:t xml:space="preserve"> spectrum below 1 GHz, </w:t>
      </w:r>
      <w:r w:rsidRPr="004A0496">
        <w:rPr>
          <w:bCs/>
        </w:rPr>
        <w:t xml:space="preserve">we also carefully examine the possible competitive effects resulting from an increase in </w:t>
      </w:r>
      <w:r>
        <w:rPr>
          <w:bCs/>
        </w:rPr>
        <w:t xml:space="preserve">below-1-GHz </w:t>
      </w:r>
      <w:r w:rsidRPr="004A0496">
        <w:rPr>
          <w:bCs/>
        </w:rPr>
        <w:t xml:space="preserve">spectrum holdings </w:t>
      </w:r>
      <w:r>
        <w:rPr>
          <w:bCs/>
        </w:rPr>
        <w:t xml:space="preserve">that would be </w:t>
      </w:r>
      <w:r>
        <w:t xml:space="preserve">above the threshold identified in the </w:t>
      </w:r>
      <w:r w:rsidRPr="00806C23">
        <w:rPr>
          <w:i/>
        </w:rPr>
        <w:t>Mobile Spectrum Holdings Report and Order</w:t>
      </w:r>
      <w:r w:rsidRPr="00CB1872">
        <w:t>.</w:t>
      </w:r>
      <w:r w:rsidRPr="00FE118A">
        <w:rPr>
          <w:sz w:val="20"/>
          <w:vertAlign w:val="superscript"/>
        </w:rPr>
        <w:footnoteReference w:id="68"/>
      </w:r>
    </w:p>
    <w:p w14:paraId="1DC69001" w14:textId="4573E704" w:rsidR="00D746BD" w:rsidRPr="00D746BD" w:rsidRDefault="00C801C9" w:rsidP="00C801C9">
      <w:pPr>
        <w:pStyle w:val="ParaNum"/>
        <w:rPr>
          <w:szCs w:val="22"/>
        </w:rPr>
      </w:pPr>
      <w:r w:rsidRPr="00C801C9">
        <w:t xml:space="preserve">As the instant transaction does not result in a change in the number of competitors in the Gulf of Mexico, we find no reason to consider further any </w:t>
      </w:r>
      <w:r w:rsidR="00F51303">
        <w:t>changes in market concentration</w:t>
      </w:r>
      <w:r w:rsidR="00D746BD">
        <w:t>.</w:t>
      </w:r>
      <w:r w:rsidR="00B001B8">
        <w:rPr>
          <w:rStyle w:val="FootnoteReference"/>
        </w:rPr>
        <w:footnoteReference w:id="69"/>
      </w:r>
      <w:r w:rsidR="00D746BD">
        <w:t xml:space="preserve">  </w:t>
      </w:r>
      <w:r w:rsidR="00E837BB">
        <w:t>T</w:t>
      </w:r>
      <w:r w:rsidR="00D746BD">
        <w:rPr>
          <w:szCs w:val="22"/>
        </w:rPr>
        <w:t>he total spectrum screen</w:t>
      </w:r>
      <w:r w:rsidR="00E440EA">
        <w:rPr>
          <w:szCs w:val="22"/>
        </w:rPr>
        <w:t xml:space="preserve"> </w:t>
      </w:r>
      <w:r w:rsidR="00E837BB">
        <w:rPr>
          <w:szCs w:val="22"/>
        </w:rPr>
        <w:t xml:space="preserve">is not triggered in this transaction </w:t>
      </w:r>
      <w:r w:rsidR="00E440EA">
        <w:rPr>
          <w:szCs w:val="22"/>
        </w:rPr>
        <w:t>but in our review of the below-1-</w:t>
      </w:r>
      <w:r w:rsidR="00E440EA" w:rsidRPr="00EA43C0">
        <w:t>GHz</w:t>
      </w:r>
      <w:r w:rsidR="00E440EA">
        <w:rPr>
          <w:szCs w:val="22"/>
        </w:rPr>
        <w:t xml:space="preserve"> spectrum holding</w:t>
      </w:r>
      <w:r w:rsidR="001A79F7">
        <w:rPr>
          <w:szCs w:val="22"/>
        </w:rPr>
        <w:t xml:space="preserve">s, we find that </w:t>
      </w:r>
      <w:r w:rsidR="00D746BD">
        <w:rPr>
          <w:szCs w:val="22"/>
        </w:rPr>
        <w:t xml:space="preserve">AT&amp;T and </w:t>
      </w:r>
      <w:r w:rsidR="00E837BB">
        <w:rPr>
          <w:szCs w:val="22"/>
        </w:rPr>
        <w:t xml:space="preserve">Tampnet </w:t>
      </w:r>
      <w:r w:rsidR="004B1A72">
        <w:rPr>
          <w:szCs w:val="22"/>
        </w:rPr>
        <w:t xml:space="preserve">each </w:t>
      </w:r>
      <w:r w:rsidR="00D746BD">
        <w:rPr>
          <w:szCs w:val="22"/>
        </w:rPr>
        <w:t xml:space="preserve">would </w:t>
      </w:r>
      <w:r w:rsidR="003F1EC4">
        <w:rPr>
          <w:szCs w:val="22"/>
        </w:rPr>
        <w:t>be attributed with</w:t>
      </w:r>
      <w:r w:rsidR="00D746BD">
        <w:rPr>
          <w:szCs w:val="22"/>
        </w:rPr>
        <w:t xml:space="preserve"> more than one-third, or more than 45 megahertz, of the currently suitable and available below-1-GHz spectrum </w:t>
      </w:r>
      <w:r w:rsidR="003F1EC4">
        <w:rPr>
          <w:szCs w:val="22"/>
        </w:rPr>
        <w:t xml:space="preserve">in </w:t>
      </w:r>
      <w:r w:rsidR="00E837BB">
        <w:rPr>
          <w:szCs w:val="22"/>
        </w:rPr>
        <w:t xml:space="preserve">the </w:t>
      </w:r>
      <w:r w:rsidR="000E583F">
        <w:rPr>
          <w:szCs w:val="22"/>
        </w:rPr>
        <w:t>Gulf of Mexico</w:t>
      </w:r>
      <w:r w:rsidR="00665711">
        <w:rPr>
          <w:szCs w:val="22"/>
        </w:rPr>
        <w:t xml:space="preserve"> as a result of the </w:t>
      </w:r>
      <w:r w:rsidR="004B1A72">
        <w:rPr>
          <w:szCs w:val="22"/>
        </w:rPr>
        <w:t>proposed transaction</w:t>
      </w:r>
      <w:r w:rsidR="003F1EC4">
        <w:rPr>
          <w:szCs w:val="22"/>
        </w:rPr>
        <w:t>.</w:t>
      </w:r>
      <w:r w:rsidR="009A6A39">
        <w:rPr>
          <w:rStyle w:val="FootnoteReference"/>
          <w:szCs w:val="22"/>
        </w:rPr>
        <w:footnoteReference w:id="70"/>
      </w:r>
      <w:r w:rsidR="003F1EC4">
        <w:rPr>
          <w:szCs w:val="22"/>
        </w:rPr>
        <w:t xml:space="preserve">  </w:t>
      </w:r>
      <w:r w:rsidR="001F44E6">
        <w:rPr>
          <w:szCs w:val="22"/>
        </w:rPr>
        <w:t xml:space="preserve">We </w:t>
      </w:r>
      <w:r w:rsidR="00D746BD">
        <w:rPr>
          <w:szCs w:val="22"/>
        </w:rPr>
        <w:t xml:space="preserve">therefore look more closely at the potential competitive effects that these proposed spectrum </w:t>
      </w:r>
      <w:r w:rsidR="00546C56">
        <w:rPr>
          <w:szCs w:val="22"/>
        </w:rPr>
        <w:t xml:space="preserve">transfer and </w:t>
      </w:r>
      <w:r w:rsidR="00D746BD">
        <w:rPr>
          <w:szCs w:val="22"/>
        </w:rPr>
        <w:t>leasing arrangements may have.</w:t>
      </w:r>
    </w:p>
    <w:p w14:paraId="1D992CF2" w14:textId="239FB247" w:rsidR="0004492D" w:rsidRPr="00464821" w:rsidRDefault="008021E6" w:rsidP="00453518">
      <w:pPr>
        <w:pStyle w:val="ParaNum"/>
        <w:tabs>
          <w:tab w:val="left" w:pos="1980"/>
        </w:tabs>
        <w:rPr>
          <w:szCs w:val="22"/>
        </w:rPr>
      </w:pPr>
      <w:r w:rsidRPr="00464821">
        <w:rPr>
          <w:i/>
        </w:rPr>
        <w:t>Record</w:t>
      </w:r>
      <w:r w:rsidRPr="00974198">
        <w:t>.</w:t>
      </w:r>
      <w:r w:rsidRPr="00464821">
        <w:rPr>
          <w:i/>
        </w:rPr>
        <w:t xml:space="preserve"> </w:t>
      </w:r>
      <w:r w:rsidR="00C757F8" w:rsidRPr="00464821">
        <w:rPr>
          <w:i/>
        </w:rPr>
        <w:t xml:space="preserve"> </w:t>
      </w:r>
      <w:r w:rsidR="00C00B15">
        <w:t>The Applicants</w:t>
      </w:r>
      <w:r w:rsidR="00BD53D4">
        <w:t xml:space="preserve"> contend </w:t>
      </w:r>
      <w:r w:rsidR="00C00B15">
        <w:t xml:space="preserve">that </w:t>
      </w:r>
      <w:r w:rsidRPr="005C30E2">
        <w:t>the proposed transaction would have no adverse competitive effects, as it would neither cause an overall aggregation of spectrum that would pose an anticompetitive risk nor reduce competition in a meaningful way</w:t>
      </w:r>
      <w:r w:rsidR="009C3C57">
        <w:t>.</w:t>
      </w:r>
      <w:r w:rsidRPr="00D249DF">
        <w:rPr>
          <w:rStyle w:val="FootnoteReference"/>
        </w:rPr>
        <w:footnoteReference w:id="71"/>
      </w:r>
      <w:r w:rsidR="00516964" w:rsidRPr="00723059">
        <w:t xml:space="preserve"> </w:t>
      </w:r>
      <w:r w:rsidR="00A76806">
        <w:t xml:space="preserve"> </w:t>
      </w:r>
      <w:r w:rsidR="00C00B15">
        <w:t>AT&amp;T</w:t>
      </w:r>
      <w:r w:rsidR="00662B09">
        <w:t xml:space="preserve"> </w:t>
      </w:r>
      <w:r w:rsidR="00416F79">
        <w:t xml:space="preserve">asserts </w:t>
      </w:r>
      <w:r w:rsidR="00662B09">
        <w:t xml:space="preserve">that although </w:t>
      </w:r>
      <w:r w:rsidR="009F1707">
        <w:t xml:space="preserve">all of </w:t>
      </w:r>
      <w:r w:rsidR="00662B09">
        <w:t xml:space="preserve">the spectrum </w:t>
      </w:r>
      <w:r w:rsidR="005C1467">
        <w:t>it</w:t>
      </w:r>
      <w:r w:rsidR="00662B09">
        <w:t xml:space="preserve"> proposes to acquire in this transaction will be attributed to AT&amp;T under the Commission’s rules,</w:t>
      </w:r>
      <w:r w:rsidR="00FB7D62">
        <w:rPr>
          <w:rStyle w:val="FootnoteReference"/>
        </w:rPr>
        <w:footnoteReference w:id="72"/>
      </w:r>
      <w:r w:rsidR="00662B09">
        <w:t xml:space="preserve"> </w:t>
      </w:r>
      <w:r w:rsidR="005C1467">
        <w:t>it</w:t>
      </w:r>
      <w:r w:rsidR="00662B09">
        <w:t xml:space="preserve"> </w:t>
      </w:r>
      <w:r w:rsidR="00416F79">
        <w:t xml:space="preserve">would </w:t>
      </w:r>
      <w:r w:rsidR="00662B09">
        <w:t xml:space="preserve">only be operating on 25 </w:t>
      </w:r>
      <w:r w:rsidR="00C00B15">
        <w:t xml:space="preserve">megahertz </w:t>
      </w:r>
      <w:r w:rsidR="00662B09">
        <w:t xml:space="preserve">of cellular spectrum in the </w:t>
      </w:r>
      <w:r w:rsidR="00AF5443">
        <w:t>partitioned area that it</w:t>
      </w:r>
      <w:r w:rsidR="00397881">
        <w:t xml:space="preserve"> calls the </w:t>
      </w:r>
      <w:r w:rsidR="009358D7">
        <w:t xml:space="preserve">Gulf of Mexico </w:t>
      </w:r>
      <w:r w:rsidR="00662B09">
        <w:t>Coastal Area</w:t>
      </w:r>
      <w:r w:rsidR="00397881">
        <w:rPr>
          <w:rStyle w:val="FootnoteReference"/>
        </w:rPr>
        <w:footnoteReference w:id="73"/>
      </w:r>
      <w:r w:rsidR="00662B09">
        <w:t xml:space="preserve"> since Tampnet </w:t>
      </w:r>
      <w:r w:rsidR="00416F79">
        <w:t>would be operating</w:t>
      </w:r>
      <w:r w:rsidR="00662B09">
        <w:t xml:space="preserve"> on the other 25 </w:t>
      </w:r>
      <w:r w:rsidR="001F007B">
        <w:t xml:space="preserve">megahertz </w:t>
      </w:r>
      <w:r w:rsidR="00662B09">
        <w:t xml:space="preserve">pursuant to the </w:t>
      </w:r>
      <w:r w:rsidR="00662B09" w:rsidRPr="00974198">
        <w:rPr>
          <w:i/>
        </w:rPr>
        <w:t>de facto</w:t>
      </w:r>
      <w:r w:rsidR="00662B09">
        <w:t xml:space="preserve"> transfer </w:t>
      </w:r>
      <w:r w:rsidR="00C00B15">
        <w:t xml:space="preserve">spectrum leasing arrangements </w:t>
      </w:r>
      <w:r w:rsidR="00662B09">
        <w:t xml:space="preserve">described </w:t>
      </w:r>
      <w:r w:rsidR="00D01871">
        <w:t>above</w:t>
      </w:r>
      <w:r w:rsidR="00662B09">
        <w:t>.</w:t>
      </w:r>
      <w:r w:rsidR="00F310E1">
        <w:rPr>
          <w:rStyle w:val="FootnoteReference"/>
        </w:rPr>
        <w:footnoteReference w:id="74"/>
      </w:r>
      <w:r w:rsidR="00662B09">
        <w:t xml:space="preserve">  </w:t>
      </w:r>
      <w:r w:rsidR="00D01871" w:rsidRPr="00D01871">
        <w:t xml:space="preserve">AT&amp;T </w:t>
      </w:r>
      <w:r w:rsidR="0037171C">
        <w:t xml:space="preserve">further </w:t>
      </w:r>
      <w:r w:rsidR="00416F79">
        <w:t xml:space="preserve">contends </w:t>
      </w:r>
      <w:r w:rsidR="00D01871">
        <w:t xml:space="preserve">that as a result of the proposed transaction AT&amp;T </w:t>
      </w:r>
      <w:r w:rsidR="00416F79">
        <w:t>would</w:t>
      </w:r>
      <w:r w:rsidR="00416F79" w:rsidRPr="00D01871">
        <w:t xml:space="preserve"> </w:t>
      </w:r>
      <w:r w:rsidR="00D01871" w:rsidRPr="00D01871">
        <w:t xml:space="preserve">be able to enhance and extend </w:t>
      </w:r>
      <w:r w:rsidR="00416F79">
        <w:t>its</w:t>
      </w:r>
      <w:r w:rsidR="00D01871" w:rsidRPr="00D01871">
        <w:t xml:space="preserve"> terrestrial network services and expand</w:t>
      </w:r>
      <w:r w:rsidR="00D01871">
        <w:t xml:space="preserve"> </w:t>
      </w:r>
      <w:r w:rsidR="00416F79">
        <w:t>its</w:t>
      </w:r>
      <w:r w:rsidR="00D01871" w:rsidRPr="00D01871">
        <w:t xml:space="preserve"> cellular spectrum coverage over the Gulf of Mexico.</w:t>
      </w:r>
      <w:r w:rsidR="00D01871">
        <w:rPr>
          <w:rStyle w:val="FootnoteReference"/>
        </w:rPr>
        <w:footnoteReference w:id="75"/>
      </w:r>
      <w:r w:rsidR="00D01871" w:rsidRPr="00D01871">
        <w:t xml:space="preserve"> </w:t>
      </w:r>
      <w:r w:rsidR="00D01871">
        <w:t xml:space="preserve"> </w:t>
      </w:r>
      <w:r w:rsidR="001F007B">
        <w:t>AT&amp;T claims</w:t>
      </w:r>
      <w:r w:rsidR="00D01871">
        <w:t xml:space="preserve"> that these</w:t>
      </w:r>
      <w:r w:rsidR="00D01871" w:rsidRPr="00D01871">
        <w:t xml:space="preserve"> benefits cannot be</w:t>
      </w:r>
      <w:r w:rsidR="00D01871">
        <w:t xml:space="preserve"> </w:t>
      </w:r>
      <w:r w:rsidR="00D01871" w:rsidRPr="00D01871">
        <w:t>replicated through the acquisition of any spectrum in these markets other than the Broadpoint</w:t>
      </w:r>
      <w:r w:rsidR="00D01871">
        <w:t xml:space="preserve"> licenses</w:t>
      </w:r>
      <w:r w:rsidR="000D678C">
        <w:t>.</w:t>
      </w:r>
      <w:r w:rsidR="000D678C">
        <w:rPr>
          <w:rStyle w:val="FootnoteReference"/>
        </w:rPr>
        <w:footnoteReference w:id="76"/>
      </w:r>
      <w:r w:rsidR="000D678C">
        <w:t xml:space="preserve"> </w:t>
      </w:r>
      <w:r w:rsidR="00F3320B">
        <w:t xml:space="preserve"> </w:t>
      </w:r>
      <w:r w:rsidR="00A612FB">
        <w:t xml:space="preserve">Tampnet </w:t>
      </w:r>
      <w:r w:rsidR="00D06196">
        <w:t xml:space="preserve">asserts </w:t>
      </w:r>
      <w:r w:rsidR="008B5EB0">
        <w:t xml:space="preserve">that the </w:t>
      </w:r>
      <w:r w:rsidR="00A456E5">
        <w:t xml:space="preserve">50 megahertz of cellular </w:t>
      </w:r>
      <w:r w:rsidR="008B5EB0">
        <w:t xml:space="preserve">spectrum </w:t>
      </w:r>
      <w:r w:rsidR="001E7589">
        <w:t xml:space="preserve">is necessary for </w:t>
      </w:r>
      <w:r w:rsidR="00416F79">
        <w:t>it</w:t>
      </w:r>
      <w:r w:rsidR="00A612FB" w:rsidRPr="00A612FB">
        <w:t xml:space="preserve"> to deliver </w:t>
      </w:r>
      <w:r w:rsidR="004B1A72">
        <w:t xml:space="preserve">its </w:t>
      </w:r>
      <w:r w:rsidR="00A612FB" w:rsidRPr="00A612FB">
        <w:t>market-specific service offerings</w:t>
      </w:r>
      <w:r w:rsidR="00C31C26">
        <w:t xml:space="preserve"> in the Gulf of Mexico</w:t>
      </w:r>
      <w:r w:rsidR="00D06196">
        <w:t>,</w:t>
      </w:r>
      <w:r w:rsidR="00A612FB">
        <w:t xml:space="preserve"> given the unique customer base</w:t>
      </w:r>
      <w:r w:rsidR="00A456E5">
        <w:t>, the large distance between base stations,</w:t>
      </w:r>
      <w:r w:rsidR="00A612FB">
        <w:t xml:space="preserve"> and </w:t>
      </w:r>
      <w:r w:rsidR="00A456E5">
        <w:t xml:space="preserve">the </w:t>
      </w:r>
      <w:r w:rsidR="00A612FB">
        <w:t>sometime harsh weather conditions</w:t>
      </w:r>
      <w:r w:rsidR="00933C23">
        <w:t xml:space="preserve"> such as hurricanes</w:t>
      </w:r>
      <w:r w:rsidR="00D06196">
        <w:t>,</w:t>
      </w:r>
      <w:r w:rsidR="00A612FB" w:rsidRPr="00A612FB">
        <w:t xml:space="preserve"> which </w:t>
      </w:r>
      <w:r w:rsidR="00933C23">
        <w:t>necessitate</w:t>
      </w:r>
      <w:r w:rsidR="00A612FB" w:rsidRPr="00A612FB">
        <w:t xml:space="preserve"> high-bandwidth applications.</w:t>
      </w:r>
      <w:r w:rsidR="00A612FB">
        <w:rPr>
          <w:rStyle w:val="FootnoteReference"/>
        </w:rPr>
        <w:footnoteReference w:id="77"/>
      </w:r>
      <w:r w:rsidR="00464821">
        <w:t xml:space="preserve">  </w:t>
      </w:r>
      <w:r w:rsidR="00483978" w:rsidRPr="00464821">
        <w:rPr>
          <w:szCs w:val="22"/>
        </w:rPr>
        <w:t>No petitions to deny or comments were received</w:t>
      </w:r>
      <w:r w:rsidR="003F1EC4" w:rsidRPr="00464821">
        <w:rPr>
          <w:szCs w:val="22"/>
        </w:rPr>
        <w:t>.</w:t>
      </w:r>
      <w:r w:rsidR="00A76806">
        <w:rPr>
          <w:rStyle w:val="FootnoteReference"/>
          <w:szCs w:val="22"/>
        </w:rPr>
        <w:footnoteReference w:id="78"/>
      </w:r>
    </w:p>
    <w:p w14:paraId="185E0CCB" w14:textId="1B3E30C1" w:rsidR="000129EB" w:rsidRDefault="0053379C" w:rsidP="00331719">
      <w:pPr>
        <w:pStyle w:val="ParaNum"/>
      </w:pPr>
      <w:r w:rsidRPr="00841D47">
        <w:rPr>
          <w:i/>
          <w:szCs w:val="22"/>
        </w:rPr>
        <w:t>Market-Specific Review</w:t>
      </w:r>
      <w:r w:rsidRPr="00974198">
        <w:t>.</w:t>
      </w:r>
      <w:r w:rsidRPr="00841D47">
        <w:rPr>
          <w:i/>
        </w:rPr>
        <w:t xml:space="preserve">  </w:t>
      </w:r>
      <w:r w:rsidRPr="00B40E50">
        <w:rPr>
          <w:rStyle w:val="StyleParaNumTimesNewRoman11ptChar"/>
          <w:szCs w:val="22"/>
          <w:lang w:eastAsia="x-none"/>
        </w:rPr>
        <w:t>Generally, i</w:t>
      </w:r>
      <w:r w:rsidRPr="00B40E50">
        <w:rPr>
          <w:szCs w:val="22"/>
        </w:rPr>
        <w:t xml:space="preserve">n undertaking our analysis, we consider various competitive variables that help to predict the likelihood of competitive harm post-transaction.  These competitive variables </w:t>
      </w:r>
      <w:r w:rsidRPr="00EA43C0">
        <w:t>include</w:t>
      </w:r>
      <w:r w:rsidRPr="00B40E50">
        <w:rPr>
          <w:szCs w:val="22"/>
        </w:rPr>
        <w:t xml:space="preserve">, but are not limited to: </w:t>
      </w:r>
      <w:r>
        <w:rPr>
          <w:szCs w:val="22"/>
        </w:rPr>
        <w:t xml:space="preserve"> </w:t>
      </w:r>
      <w:r w:rsidRPr="00B40E50">
        <w:rPr>
          <w:szCs w:val="22"/>
        </w:rPr>
        <w:t xml:space="preserve">the total number of rival service providers; </w:t>
      </w:r>
      <w:r w:rsidRPr="00B40E50">
        <w:t>the number of rival firms that can offer competitive service plans</w:t>
      </w:r>
      <w:r w:rsidRPr="00B40E50">
        <w:rPr>
          <w:szCs w:val="22"/>
        </w:rPr>
        <w:t>; the coverage by technology of the firms’ respective networks; the rival firms’ market shares; the combined entity’s post-transaction market share and how that share changes as a result of the transaction; the amount of spectrum suitable for the provision of mobile telephony/broadband services controlled by the combined entity; and the spectrum holdings of each of the rival service providers.</w:t>
      </w:r>
      <w:r w:rsidRPr="00B40E50">
        <w:rPr>
          <w:rStyle w:val="FootnoteReference"/>
          <w:szCs w:val="22"/>
        </w:rPr>
        <w:footnoteReference w:id="79"/>
      </w:r>
    </w:p>
    <w:p w14:paraId="5FF95362" w14:textId="5F68FC6C" w:rsidR="005701CC" w:rsidRDefault="008A0B7B" w:rsidP="00331719">
      <w:pPr>
        <w:pStyle w:val="ParaNum"/>
        <w:rPr>
          <w:szCs w:val="22"/>
        </w:rPr>
      </w:pPr>
      <w:r w:rsidRPr="00313F0B">
        <w:rPr>
          <w:i/>
          <w:szCs w:val="22"/>
        </w:rPr>
        <w:t xml:space="preserve">Gulf of </w:t>
      </w:r>
      <w:r w:rsidRPr="00313F0B">
        <w:rPr>
          <w:i/>
          <w:snapToGrid/>
        </w:rPr>
        <w:t>Mexico</w:t>
      </w:r>
      <w:r w:rsidRPr="0069046F">
        <w:rPr>
          <w:szCs w:val="22"/>
        </w:rPr>
        <w:t>.</w:t>
      </w:r>
      <w:r w:rsidR="002C0CCE" w:rsidRPr="0069046F">
        <w:rPr>
          <w:szCs w:val="22"/>
        </w:rPr>
        <w:t xml:space="preserve"> </w:t>
      </w:r>
      <w:r w:rsidR="00AE6D2A" w:rsidRPr="0069046F">
        <w:rPr>
          <w:szCs w:val="22"/>
        </w:rPr>
        <w:t xml:space="preserve"> </w:t>
      </w:r>
      <w:r w:rsidR="00514940" w:rsidRPr="00B52A50">
        <w:rPr>
          <w:szCs w:val="22"/>
        </w:rPr>
        <w:t xml:space="preserve">As we have done in </w:t>
      </w:r>
      <w:r w:rsidR="00C33A6D">
        <w:rPr>
          <w:szCs w:val="22"/>
        </w:rPr>
        <w:t>other contexts</w:t>
      </w:r>
      <w:r w:rsidR="00514940" w:rsidRPr="00B52A50">
        <w:rPr>
          <w:szCs w:val="22"/>
        </w:rPr>
        <w:t>, we consider the specific and unique conditions in the Gulf of Mexico as an integral part of our competitive analysis.</w:t>
      </w:r>
      <w:r w:rsidR="00514940" w:rsidRPr="008A477D">
        <w:rPr>
          <w:sz w:val="20"/>
          <w:vertAlign w:val="superscript"/>
        </w:rPr>
        <w:footnoteReference w:id="80"/>
      </w:r>
      <w:r w:rsidR="00514940" w:rsidRPr="00B52A50">
        <w:rPr>
          <w:szCs w:val="22"/>
        </w:rPr>
        <w:t xml:space="preserve">  As a body of water</w:t>
      </w:r>
      <w:r w:rsidR="00EF0CE6" w:rsidRPr="00B52A50">
        <w:rPr>
          <w:szCs w:val="22"/>
        </w:rPr>
        <w:t xml:space="preserve"> with no permanent residents</w:t>
      </w:r>
      <w:r w:rsidR="00514940" w:rsidRPr="00B52A50">
        <w:rPr>
          <w:szCs w:val="22"/>
        </w:rPr>
        <w:t xml:space="preserve">, </w:t>
      </w:r>
      <w:r w:rsidR="00EF0CE6" w:rsidRPr="00B52A50">
        <w:rPr>
          <w:szCs w:val="22"/>
        </w:rPr>
        <w:t>and with varied weather conditions, t</w:t>
      </w:r>
      <w:r w:rsidR="00514940" w:rsidRPr="00B52A50">
        <w:rPr>
          <w:szCs w:val="22"/>
        </w:rPr>
        <w:t>he Gulf of Mexi</w:t>
      </w:r>
      <w:r w:rsidR="00EF0CE6" w:rsidRPr="00B52A50">
        <w:rPr>
          <w:szCs w:val="22"/>
        </w:rPr>
        <w:t>co</w:t>
      </w:r>
      <w:r w:rsidR="00514940" w:rsidRPr="00B52A50">
        <w:rPr>
          <w:szCs w:val="22"/>
        </w:rPr>
        <w:t xml:space="preserve"> presents particular operating challenges for mobile networks.  </w:t>
      </w:r>
      <w:r w:rsidR="00BC1035" w:rsidRPr="00B52A50">
        <w:rPr>
          <w:szCs w:val="22"/>
        </w:rPr>
        <w:t xml:space="preserve">We </w:t>
      </w:r>
      <w:r w:rsidR="00E14AB1" w:rsidRPr="00B52A50">
        <w:rPr>
          <w:szCs w:val="22"/>
        </w:rPr>
        <w:t xml:space="preserve">note first that AT&amp;T already operates </w:t>
      </w:r>
      <w:r w:rsidR="00235946">
        <w:rPr>
          <w:szCs w:val="22"/>
        </w:rPr>
        <w:t xml:space="preserve">pursuant to lease </w:t>
      </w:r>
      <w:r w:rsidR="00E14AB1" w:rsidRPr="00B52A50">
        <w:rPr>
          <w:szCs w:val="22"/>
        </w:rPr>
        <w:t xml:space="preserve">on </w:t>
      </w:r>
      <w:r w:rsidR="00235946">
        <w:rPr>
          <w:szCs w:val="22"/>
        </w:rPr>
        <w:t>25 megahertz of</w:t>
      </w:r>
      <w:r w:rsidR="00E14AB1" w:rsidRPr="00B52A50">
        <w:rPr>
          <w:szCs w:val="22"/>
        </w:rPr>
        <w:t xml:space="preserve"> the spectrum it would acquire from Broadpoint, and</w:t>
      </w:r>
      <w:r w:rsidR="00E14AB1">
        <w:t xml:space="preserve"> </w:t>
      </w:r>
      <w:r w:rsidR="00235946">
        <w:t xml:space="preserve">that it </w:t>
      </w:r>
      <w:r w:rsidR="00E14AB1">
        <w:t xml:space="preserve">would lease </w:t>
      </w:r>
      <w:r w:rsidR="00235946">
        <w:t xml:space="preserve">25 megahertz of  the spectrum </w:t>
      </w:r>
      <w:r w:rsidR="00E14AB1">
        <w:t xml:space="preserve">to </w:t>
      </w:r>
      <w:r w:rsidR="00235946">
        <w:t xml:space="preserve">be acquired to </w:t>
      </w:r>
      <w:r w:rsidR="00E14AB1">
        <w:t>Tampnet</w:t>
      </w:r>
      <w:r w:rsidR="00235946">
        <w:t xml:space="preserve">. </w:t>
      </w:r>
      <w:r w:rsidR="00E14AB1">
        <w:t xml:space="preserve"> Although</w:t>
      </w:r>
      <w:r w:rsidR="00AB72B6">
        <w:t xml:space="preserve"> AT&amp;T and Tampnet both </w:t>
      </w:r>
      <w:r w:rsidR="0043659B">
        <w:t>would be attributed with</w:t>
      </w:r>
      <w:r w:rsidR="00AB72B6">
        <w:t xml:space="preserve"> more than one-third of the currently suitable and available spectrum below</w:t>
      </w:r>
      <w:r w:rsidR="00E14AB1">
        <w:t xml:space="preserve"> </w:t>
      </w:r>
      <w:r w:rsidR="00AB72B6">
        <w:t>1 GHz post-transaction, other service providers would continue to hold low-band spectrum</w:t>
      </w:r>
      <w:r w:rsidR="008F4F6F">
        <w:t xml:space="preserve"> </w:t>
      </w:r>
      <w:r w:rsidR="00E14AB1">
        <w:t>throughout</w:t>
      </w:r>
      <w:r w:rsidR="008F4F6F">
        <w:t xml:space="preserve"> the Gulf of Mexico</w:t>
      </w:r>
      <w:r w:rsidR="00AB72B6">
        <w:t>.</w:t>
      </w:r>
      <w:r w:rsidR="008F4F6F">
        <w:rPr>
          <w:rStyle w:val="FootnoteReference"/>
        </w:rPr>
        <w:footnoteReference w:id="81"/>
      </w:r>
      <w:r w:rsidR="00AB72B6">
        <w:t xml:space="preserve">  In particular, Sprint holds 14 megahertz, Chevron holds 30 megahertz, and Verizon Wireless holds 22 megahertz.  </w:t>
      </w:r>
      <w:r w:rsidR="008F4F6F">
        <w:t xml:space="preserve">In addition, </w:t>
      </w:r>
      <w:r w:rsidR="00AB72B6">
        <w:t>Infras</w:t>
      </w:r>
      <w:r w:rsidR="008F4F6F">
        <w:t>tructure Networks is also attributed with 22 megahertz of low-band spectrum through its spectrum manager leasing arrangement with Verizon Wireless</w:t>
      </w:r>
      <w:r w:rsidR="00AB72B6">
        <w:t>.</w:t>
      </w:r>
      <w:r w:rsidR="008F4F6F">
        <w:rPr>
          <w:rStyle w:val="FootnoteReference"/>
        </w:rPr>
        <w:footnoteReference w:id="82"/>
      </w:r>
      <w:r w:rsidR="00BC1035">
        <w:t xml:space="preserve"> </w:t>
      </w:r>
      <w:r w:rsidR="00035D14">
        <w:t xml:space="preserve"> </w:t>
      </w:r>
      <w:r w:rsidR="002F0BA7">
        <w:t xml:space="preserve">Taking into account the particular </w:t>
      </w:r>
      <w:r w:rsidR="006722D6">
        <w:t xml:space="preserve">facts of this case, including the unique </w:t>
      </w:r>
      <w:r w:rsidR="002F0BA7">
        <w:t>challenges posed in the Gulf of Mexico</w:t>
      </w:r>
      <w:r w:rsidR="009C6A9A">
        <w:t xml:space="preserve">, </w:t>
      </w:r>
      <w:r w:rsidR="00610D8E">
        <w:t xml:space="preserve">particularly </w:t>
      </w:r>
      <w:r w:rsidR="00244BA5">
        <w:t xml:space="preserve">deep </w:t>
      </w:r>
      <w:r w:rsidR="00610D8E">
        <w:t xml:space="preserve">offshore, </w:t>
      </w:r>
      <w:r w:rsidR="00371730">
        <w:rPr>
          <w:szCs w:val="22"/>
        </w:rPr>
        <w:t>w</w:t>
      </w:r>
      <w:r w:rsidR="00371730" w:rsidRPr="0023304A">
        <w:rPr>
          <w:szCs w:val="22"/>
        </w:rPr>
        <w:t xml:space="preserve">e find that the </w:t>
      </w:r>
      <w:r w:rsidR="00371730">
        <w:rPr>
          <w:szCs w:val="22"/>
        </w:rPr>
        <w:t>proposed transaction is</w:t>
      </w:r>
      <w:r w:rsidR="00371730" w:rsidRPr="0023304A">
        <w:rPr>
          <w:szCs w:val="22"/>
        </w:rPr>
        <w:t xml:space="preserve"> unlikely to foreclose rival</w:t>
      </w:r>
      <w:r w:rsidR="00371730">
        <w:rPr>
          <w:szCs w:val="22"/>
        </w:rPr>
        <w:t xml:space="preserve"> service providers</w:t>
      </w:r>
      <w:r w:rsidR="00371730" w:rsidRPr="0023304A">
        <w:rPr>
          <w:szCs w:val="22"/>
        </w:rPr>
        <w:t xml:space="preserve"> from </w:t>
      </w:r>
      <w:r w:rsidR="00371730">
        <w:rPr>
          <w:szCs w:val="22"/>
        </w:rPr>
        <w:t>entering or expanding in the Gulf of Mexico</w:t>
      </w:r>
      <w:r w:rsidR="00371730" w:rsidRPr="0023304A">
        <w:rPr>
          <w:szCs w:val="22"/>
        </w:rPr>
        <w:t xml:space="preserve">, </w:t>
      </w:r>
      <w:r w:rsidR="00371730">
        <w:rPr>
          <w:szCs w:val="22"/>
        </w:rPr>
        <w:t>or</w:t>
      </w:r>
      <w:r w:rsidR="00371730" w:rsidRPr="0023304A">
        <w:rPr>
          <w:szCs w:val="22"/>
        </w:rPr>
        <w:t xml:space="preserve"> raise rivals’ costs</w:t>
      </w:r>
      <w:r w:rsidR="00371730">
        <w:rPr>
          <w:szCs w:val="22"/>
        </w:rPr>
        <w:t xml:space="preserve">.  </w:t>
      </w:r>
      <w:r w:rsidR="00371730">
        <w:t xml:space="preserve">We </w:t>
      </w:r>
      <w:r w:rsidR="009C6A9A">
        <w:t xml:space="preserve">find </w:t>
      </w:r>
      <w:r w:rsidR="00371730">
        <w:t xml:space="preserve">therefore that the likelihood of any competitive harm is low.  </w:t>
      </w:r>
    </w:p>
    <w:p w14:paraId="1772716E" w14:textId="6F455AE9" w:rsidR="003A4700" w:rsidRPr="003A4700" w:rsidRDefault="003A4700" w:rsidP="002B43DD">
      <w:pPr>
        <w:pStyle w:val="Heading1"/>
        <w:rPr>
          <w:snapToGrid/>
        </w:rPr>
      </w:pPr>
      <w:bookmarkStart w:id="200" w:name="_Toc419201243"/>
      <w:bookmarkStart w:id="201" w:name="_Toc419201470"/>
      <w:bookmarkStart w:id="202" w:name="_Toc419206332"/>
      <w:bookmarkStart w:id="203" w:name="_Toc419206928"/>
      <w:bookmarkStart w:id="204" w:name="_Toc419207006"/>
      <w:bookmarkStart w:id="205" w:name="_Toc419287178"/>
      <w:bookmarkStart w:id="206" w:name="_Toc419447050"/>
      <w:bookmarkStart w:id="207" w:name="_Toc419815669"/>
      <w:bookmarkStart w:id="208" w:name="_Toc420400641"/>
      <w:bookmarkStart w:id="209" w:name="_Toc420499770"/>
      <w:bookmarkStart w:id="210" w:name="_Toc426371654"/>
      <w:bookmarkStart w:id="211" w:name="_Toc431369390"/>
      <w:bookmarkStart w:id="212" w:name="_Toc432079509"/>
      <w:bookmarkStart w:id="213" w:name="_Toc433031350"/>
      <w:bookmarkStart w:id="214" w:name="_Toc433613270"/>
      <w:bookmarkStart w:id="215" w:name="_Toc433631090"/>
      <w:bookmarkStart w:id="216" w:name="_Toc433631153"/>
      <w:bookmarkStart w:id="217" w:name="_Toc433631218"/>
      <w:bookmarkStart w:id="218" w:name="_Toc433631272"/>
      <w:bookmarkStart w:id="219" w:name="_Toc433631616"/>
      <w:bookmarkStart w:id="220" w:name="_Toc434313062"/>
      <w:bookmarkStart w:id="221" w:name="_Toc456165418"/>
      <w:bookmarkStart w:id="222" w:name="_Toc456165542"/>
      <w:bookmarkStart w:id="223" w:name="_Toc456166106"/>
      <w:bookmarkStart w:id="224" w:name="_Toc456701259"/>
      <w:bookmarkStart w:id="225" w:name="_Toc456702323"/>
      <w:bookmarkStart w:id="226" w:name="_Toc456859847"/>
      <w:bookmarkStart w:id="227" w:name="_Toc456863040"/>
      <w:r>
        <w:rPr>
          <w:snapToGrid/>
        </w:rPr>
        <w:t>potential public interest benefits</w:t>
      </w:r>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 w14:paraId="54EBB16D" w14:textId="7445CC31" w:rsidR="00311120" w:rsidRPr="00311120" w:rsidRDefault="00311120" w:rsidP="00010BAD">
      <w:pPr>
        <w:pStyle w:val="ParaNum"/>
        <w:rPr>
          <w:snapToGrid/>
          <w:szCs w:val="22"/>
        </w:rPr>
      </w:pPr>
      <w:r w:rsidRPr="00311120">
        <w:rPr>
          <w:snapToGrid/>
        </w:rPr>
        <w:t xml:space="preserve">We next consider whether the proposed transaction </w:t>
      </w:r>
      <w:r w:rsidRPr="00053890">
        <w:t>is likely to generate verifiable, transaction-specific public interest benefits</w:t>
      </w:r>
      <w:r w:rsidRPr="00311120">
        <w:rPr>
          <w:snapToGrid/>
        </w:rPr>
        <w:t>.</w:t>
      </w:r>
      <w:r w:rsidRPr="00053890">
        <w:rPr>
          <w:rStyle w:val="FootnoteReference"/>
          <w:snapToGrid/>
          <w:szCs w:val="22"/>
        </w:rPr>
        <w:footnoteReference w:id="83"/>
      </w:r>
      <w:r w:rsidRPr="00311120">
        <w:rPr>
          <w:snapToGrid/>
        </w:rPr>
        <w:t xml:space="preserve">  </w:t>
      </w:r>
      <w:r w:rsidRPr="005211DB">
        <w:t xml:space="preserve">Under Commission precedent, the Applicants bear the burden of demonstrating </w:t>
      </w:r>
      <w:r>
        <w:t xml:space="preserve">the </w:t>
      </w:r>
      <w:r w:rsidRPr="005211DB">
        <w:t xml:space="preserve">potential public interest benefits of </w:t>
      </w:r>
      <w:r>
        <w:t>a</w:t>
      </w:r>
      <w:r w:rsidRPr="005211DB">
        <w:t xml:space="preserve"> proposed transaction.</w:t>
      </w:r>
      <w:r w:rsidRPr="00936DA3">
        <w:rPr>
          <w:sz w:val="20"/>
          <w:vertAlign w:val="superscript"/>
        </w:rPr>
        <w:footnoteReference w:id="84"/>
      </w:r>
      <w:r>
        <w:t xml:space="preserve">  </w:t>
      </w:r>
      <w:r w:rsidRPr="00311120">
        <w:rPr>
          <w:szCs w:val="22"/>
        </w:rPr>
        <w:t xml:space="preserve">The Commission applies several criteria in deciding whether a claimed benefit is cognizable.  </w:t>
      </w:r>
      <w:r w:rsidRPr="00613D7C">
        <w:t xml:space="preserve">First, </w:t>
      </w:r>
      <w:r>
        <w:t>each</w:t>
      </w:r>
      <w:r w:rsidRPr="00613D7C">
        <w:t xml:space="preserve"> claimed benefit must be transaction</w:t>
      </w:r>
      <w:r w:rsidR="0097480E">
        <w:t>-</w:t>
      </w:r>
      <w:r w:rsidRPr="00613D7C">
        <w:t>specific.</w:t>
      </w:r>
      <w:r>
        <w:rPr>
          <w:rStyle w:val="FootnoteReference"/>
        </w:rPr>
        <w:footnoteReference w:id="85"/>
      </w:r>
      <w:r w:rsidRPr="00613D7C">
        <w:t xml:space="preserve">  That is, the claimed benefit must be likely to occur as a result of the transaction </w:t>
      </w:r>
      <w:r>
        <w:t>and</w:t>
      </w:r>
      <w:r w:rsidRPr="00613D7C">
        <w:t xml:space="preserve"> unlikely to be realized </w:t>
      </w:r>
      <w:r>
        <w:t xml:space="preserve">without the transaction or </w:t>
      </w:r>
      <w:r w:rsidRPr="00613D7C">
        <w:t xml:space="preserve">by </w:t>
      </w:r>
      <w:r>
        <w:t>a practical alternative that would raise fewer competitive concerns than the proposed transaction</w:t>
      </w:r>
      <w:r w:rsidRPr="00613D7C">
        <w:t>.</w:t>
      </w:r>
      <w:r w:rsidRPr="00613D7C">
        <w:rPr>
          <w:rStyle w:val="FootnoteReference"/>
        </w:rPr>
        <w:footnoteReference w:id="86"/>
      </w:r>
      <w:r>
        <w:t xml:space="preserve">  </w:t>
      </w:r>
      <w:r w:rsidRPr="00613D7C">
        <w:t xml:space="preserve">Second, </w:t>
      </w:r>
      <w:r>
        <w:t>each</w:t>
      </w:r>
      <w:r w:rsidRPr="00613D7C">
        <w:t xml:space="preserve"> claimed benefit must be verifiable.</w:t>
      </w:r>
      <w:r w:rsidRPr="00613D7C">
        <w:rPr>
          <w:rStyle w:val="FootnoteReference"/>
        </w:rPr>
        <w:footnoteReference w:id="87"/>
      </w:r>
      <w:r w:rsidRPr="00613D7C">
        <w:t xml:space="preserve">  Because much of the information relating to the potential benefits of a transaction is in the sole possession of the Applicants, they have the burden of providing sufficient evidence to support each claimed benefit to enable </w:t>
      </w:r>
      <w:r>
        <w:t>us</w:t>
      </w:r>
      <w:r w:rsidRPr="00613D7C">
        <w:t xml:space="preserve"> to verify its likelihood and magnitude.</w:t>
      </w:r>
      <w:r w:rsidRPr="00613D7C">
        <w:rPr>
          <w:rStyle w:val="FootnoteReference"/>
        </w:rPr>
        <w:footnoteReference w:id="88"/>
      </w:r>
      <w:r w:rsidRPr="00613D7C">
        <w:t xml:space="preserve">  </w:t>
      </w:r>
      <w:r>
        <w:t>We</w:t>
      </w:r>
      <w:r w:rsidRPr="00613D7C">
        <w:t xml:space="preserve"> will discount or dismiss speculative benefits that </w:t>
      </w:r>
      <w:r>
        <w:t>we</w:t>
      </w:r>
      <w:r w:rsidRPr="00613D7C">
        <w:t xml:space="preserve"> cannot verify.  </w:t>
      </w:r>
      <w:r w:rsidRPr="00311120">
        <w:rPr>
          <w:szCs w:val="22"/>
        </w:rPr>
        <w:t>Further, b</w:t>
      </w:r>
      <w:r w:rsidRPr="004B093E">
        <w:t>enefits expected to occur only in the distant future may be discounted or dismissed because, among other things, predictions about the distant future are inherently more speculative than predictions that are expected to occur closer to the present.</w:t>
      </w:r>
      <w:r w:rsidRPr="00936DA3">
        <w:rPr>
          <w:sz w:val="20"/>
          <w:vertAlign w:val="superscript"/>
        </w:rPr>
        <w:footnoteReference w:id="89"/>
      </w:r>
      <w:r w:rsidRPr="004B093E">
        <w:t xml:space="preserve">  </w:t>
      </w:r>
      <w:bookmarkStart w:id="228" w:name="_Ref419970965"/>
      <w:r w:rsidRPr="00613D7C">
        <w:t xml:space="preserve">Third, </w:t>
      </w:r>
      <w:r>
        <w:t>we calculate</w:t>
      </w:r>
      <w:r w:rsidRPr="00613D7C">
        <w:t xml:space="preserve"> the magnitude of</w:t>
      </w:r>
      <w:r w:rsidRPr="00311120">
        <w:rPr>
          <w:b/>
        </w:rPr>
        <w:t xml:space="preserve"> </w:t>
      </w:r>
      <w:r w:rsidRPr="00613D7C">
        <w:t>benefits net of the cost of achieving them</w:t>
      </w:r>
      <w:r>
        <w:t xml:space="preserve"> and </w:t>
      </w:r>
      <w:r w:rsidRPr="00613D7C">
        <w:t>benefits must flow through to consumers, and not inure solely to the benefit of the company.</w:t>
      </w:r>
      <w:r>
        <w:t xml:space="preserve">  </w:t>
      </w:r>
      <w:r w:rsidRPr="00613D7C">
        <w:t xml:space="preserve">For example, </w:t>
      </w:r>
      <w:r>
        <w:t>we</w:t>
      </w:r>
      <w:r w:rsidRPr="00613D7C">
        <w:t xml:space="preserve"> will more likely find marginal cost reductions to be cognizable than reductions in fixed cost because reductions in marginal cost are more likely to result in lower prices for consumers.</w:t>
      </w:r>
      <w:bookmarkStart w:id="229" w:name="_Ref419970984"/>
      <w:r w:rsidRPr="00010BAD">
        <w:rPr>
          <w:rStyle w:val="FootnoteCharacters"/>
          <w:sz w:val="20"/>
        </w:rPr>
        <w:footnoteReference w:id="90"/>
      </w:r>
      <w:bookmarkEnd w:id="228"/>
      <w:bookmarkEnd w:id="229"/>
    </w:p>
    <w:p w14:paraId="71028294" w14:textId="77777777" w:rsidR="00311120" w:rsidRPr="00BC6B80" w:rsidRDefault="00311120" w:rsidP="00311120">
      <w:pPr>
        <w:pStyle w:val="ParaNum"/>
        <w:widowControl/>
        <w:rPr>
          <w:snapToGrid/>
          <w:szCs w:val="22"/>
        </w:rPr>
      </w:pPr>
      <w:r>
        <w:t xml:space="preserve">The Commission </w:t>
      </w:r>
      <w:r w:rsidRPr="00CF3B02">
        <w:rPr>
          <w:szCs w:val="22"/>
        </w:rPr>
        <w:t xml:space="preserve">applies a “sliding scale </w:t>
      </w:r>
      <w:r w:rsidRPr="00454023">
        <w:t>approach</w:t>
      </w:r>
      <w:r w:rsidRPr="00CF3B02">
        <w:rPr>
          <w:szCs w:val="22"/>
        </w:rPr>
        <w:t>” to evaluating benefit claims</w:t>
      </w:r>
      <w:r>
        <w:rPr>
          <w:szCs w:val="22"/>
        </w:rPr>
        <w:t>:  U</w:t>
      </w:r>
      <w:r w:rsidRPr="00CF3B02">
        <w:rPr>
          <w:szCs w:val="22"/>
        </w:rPr>
        <w:t>nder this approach, where potential harms appear “both substantial and likely, a demonstration of claimed benefits also must reveal a higher degree of magnitude and likelihood than we would otherwise demand.”</w:t>
      </w:r>
      <w:r w:rsidRPr="00053890">
        <w:rPr>
          <w:sz w:val="20"/>
          <w:vertAlign w:val="superscript"/>
        </w:rPr>
        <w:footnoteReference w:id="91"/>
      </w:r>
      <w:r w:rsidRPr="00CF3B02">
        <w:rPr>
          <w:szCs w:val="22"/>
        </w:rPr>
        <w:t xml:space="preserve">  </w:t>
      </w:r>
      <w:r w:rsidRPr="00053890">
        <w:t>Conversely, where potential harms appear less likely and less substantial, we will accept a lesser showing to approve the proposed transaction.</w:t>
      </w:r>
      <w:r w:rsidRPr="00053890">
        <w:rPr>
          <w:rStyle w:val="FootnoteReference"/>
          <w:szCs w:val="22"/>
        </w:rPr>
        <w:footnoteReference w:id="92"/>
      </w:r>
      <w:r>
        <w:t xml:space="preserve">  </w:t>
      </w:r>
    </w:p>
    <w:p w14:paraId="7761A17A" w14:textId="041B5C08" w:rsidR="009F16B8" w:rsidRPr="009F16B8" w:rsidRDefault="00625D35" w:rsidP="00EA43C0">
      <w:pPr>
        <w:pStyle w:val="ParaNum"/>
        <w:rPr>
          <w:snapToGrid/>
        </w:rPr>
      </w:pPr>
      <w:r w:rsidRPr="009F16B8">
        <w:rPr>
          <w:i/>
        </w:rPr>
        <w:t>Potential Benefits</w:t>
      </w:r>
      <w:r w:rsidRPr="009866C4">
        <w:t xml:space="preserve">.  </w:t>
      </w:r>
      <w:r w:rsidR="00915EE7">
        <w:t xml:space="preserve">The Applicants assert, in their detailed demonstration of the claimed benefits, </w:t>
      </w:r>
      <w:r w:rsidR="00915EE7" w:rsidRPr="00845DC9">
        <w:t xml:space="preserve">that the proposed transaction </w:t>
      </w:r>
      <w:r w:rsidR="00915EE7">
        <w:t>would</w:t>
      </w:r>
      <w:r w:rsidR="00915EE7" w:rsidRPr="00845DC9">
        <w:t xml:space="preserve"> enable AT&amp;T to increase its system capacity to enhance existing services, better accommodate its overall growth, and facilitate the provision of additional products and </w:t>
      </w:r>
      <w:r w:rsidR="00915EE7">
        <w:t>services</w:t>
      </w:r>
      <w:r w:rsidR="00276347">
        <w:t xml:space="preserve"> to its customers</w:t>
      </w:r>
      <w:r w:rsidR="00915EE7" w:rsidRPr="00845DC9">
        <w:t>.</w:t>
      </w:r>
      <w:r w:rsidR="00915EE7" w:rsidRPr="00A4188B">
        <w:rPr>
          <w:rStyle w:val="FootnoteReference"/>
        </w:rPr>
        <w:footnoteReference w:id="93"/>
      </w:r>
      <w:r w:rsidR="00915EE7">
        <w:t xml:space="preserve">  </w:t>
      </w:r>
      <w:r w:rsidR="00C1124E">
        <w:t>AT&amp;T maintains that the spectrum to be acquired in this transaction will enable it to provide its terrestrial customers with improved quality of service while also providing coverage to other roaming partners.</w:t>
      </w:r>
      <w:r w:rsidR="00C1124E">
        <w:rPr>
          <w:rStyle w:val="FootnoteReference"/>
        </w:rPr>
        <w:footnoteReference w:id="94"/>
      </w:r>
      <w:r w:rsidR="00C1124E">
        <w:t xml:space="preserve">  </w:t>
      </w:r>
      <w:r w:rsidR="00B25E16" w:rsidRPr="00B25E16">
        <w:rPr>
          <w:szCs w:val="22"/>
        </w:rPr>
        <w:t xml:space="preserve">AT&amp;T </w:t>
      </w:r>
      <w:r w:rsidR="00B25E16">
        <w:rPr>
          <w:szCs w:val="22"/>
        </w:rPr>
        <w:t xml:space="preserve">also </w:t>
      </w:r>
      <w:r w:rsidR="00B25E16" w:rsidRPr="00B25E16">
        <w:rPr>
          <w:szCs w:val="22"/>
        </w:rPr>
        <w:t xml:space="preserve">asserts that the proposed transaction will allow it to offer new services </w:t>
      </w:r>
      <w:r w:rsidR="00B25E16">
        <w:rPr>
          <w:szCs w:val="22"/>
        </w:rPr>
        <w:t xml:space="preserve">and facilities </w:t>
      </w:r>
      <w:r w:rsidR="00B25E16" w:rsidRPr="00B25E16">
        <w:rPr>
          <w:szCs w:val="22"/>
        </w:rPr>
        <w:t>over the Gulf of Mexico.</w:t>
      </w:r>
      <w:r w:rsidR="00B25E16">
        <w:rPr>
          <w:rStyle w:val="FootnoteReference"/>
          <w:szCs w:val="22"/>
        </w:rPr>
        <w:footnoteReference w:id="95"/>
      </w:r>
      <w:r w:rsidR="00B25E16" w:rsidRPr="00B25E16">
        <w:rPr>
          <w:szCs w:val="22"/>
        </w:rPr>
        <w:t xml:space="preserve">  </w:t>
      </w:r>
      <w:r w:rsidR="004A7D17" w:rsidRPr="00B25E16">
        <w:rPr>
          <w:szCs w:val="22"/>
        </w:rPr>
        <w:t>According to</w:t>
      </w:r>
      <w:r w:rsidR="008E7EC1" w:rsidRPr="00B25E16">
        <w:rPr>
          <w:szCs w:val="22"/>
        </w:rPr>
        <w:t xml:space="preserve"> the Applicants</w:t>
      </w:r>
      <w:r w:rsidR="00726E03">
        <w:t>,</w:t>
      </w:r>
      <w:r w:rsidR="008E7EC1">
        <w:t xml:space="preserve"> the acquisition of this spectrum will also preserve the interference management that AT&amp;T currently achieves through its existing </w:t>
      </w:r>
      <w:r w:rsidR="00276347">
        <w:t xml:space="preserve">spectrum </w:t>
      </w:r>
      <w:r w:rsidR="008E7EC1">
        <w:t>leas</w:t>
      </w:r>
      <w:r w:rsidR="00276347">
        <w:t>ing arrangement</w:t>
      </w:r>
      <w:r w:rsidR="006061EC">
        <w:t>s</w:t>
      </w:r>
      <w:r w:rsidR="008E7EC1">
        <w:t xml:space="preserve"> with Broadpoint</w:t>
      </w:r>
      <w:r w:rsidR="00726E03">
        <w:t xml:space="preserve"> in the Gulf of Mexico Coastal Area</w:t>
      </w:r>
      <w:r w:rsidRPr="009866C4">
        <w:t>.</w:t>
      </w:r>
      <w:r w:rsidRPr="00F7607E">
        <w:rPr>
          <w:rStyle w:val="FootnoteReference"/>
        </w:rPr>
        <w:footnoteReference w:id="96"/>
      </w:r>
    </w:p>
    <w:p w14:paraId="24D40403" w14:textId="1B09959C" w:rsidR="00901860" w:rsidRPr="00974198" w:rsidRDefault="00AC5E7D" w:rsidP="0005536B">
      <w:pPr>
        <w:pStyle w:val="ParaNum"/>
        <w:rPr>
          <w:snapToGrid/>
        </w:rPr>
      </w:pPr>
      <w:r>
        <w:t>T</w:t>
      </w:r>
      <w:r w:rsidR="009F16B8">
        <w:t xml:space="preserve">he Applicants </w:t>
      </w:r>
      <w:r>
        <w:t xml:space="preserve">assert </w:t>
      </w:r>
      <w:r w:rsidR="009F16B8">
        <w:t>that Tampnet is planning to deploy an offshore 4G/LTE network in the Gulf of Mexico that will yield higher capacity and lower latency network infrastructure to benefit users in the Gulf, improving upon the existing 2G network infrastructure in this market.</w:t>
      </w:r>
      <w:r w:rsidR="009F16B8">
        <w:rPr>
          <w:rStyle w:val="FootnoteReference"/>
        </w:rPr>
        <w:footnoteReference w:id="97"/>
      </w:r>
      <w:r w:rsidR="009F16B8">
        <w:t xml:space="preserve"> </w:t>
      </w:r>
      <w:r w:rsidR="006F79E9">
        <w:t xml:space="preserve"> </w:t>
      </w:r>
      <w:r w:rsidR="0005536B" w:rsidRPr="0005536B">
        <w:rPr>
          <w:szCs w:val="22"/>
        </w:rPr>
        <w:t>Tampnet asserts that the below-1-GHz</w:t>
      </w:r>
      <w:r w:rsidR="0005536B" w:rsidRPr="0005536B">
        <w:rPr>
          <w:rStyle w:val="StyleParaNumTimesNewRoman11ptChar"/>
          <w:szCs w:val="22"/>
          <w:lang w:eastAsia="x-none"/>
        </w:rPr>
        <w:t xml:space="preserve"> spectrum is necessary to fulfill its network deployment plans because </w:t>
      </w:r>
      <w:r w:rsidR="0005536B" w:rsidRPr="0005536B">
        <w:rPr>
          <w:szCs w:val="22"/>
        </w:rPr>
        <w:t xml:space="preserve">higher frequency bands do not show equal performance within steel structures and radio frequency studies have demonstrated that 850 MHz </w:t>
      </w:r>
      <w:r w:rsidR="0005536B">
        <w:rPr>
          <w:szCs w:val="22"/>
        </w:rPr>
        <w:t xml:space="preserve">spectrum </w:t>
      </w:r>
      <w:r w:rsidR="0005536B" w:rsidRPr="0005536B">
        <w:rPr>
          <w:szCs w:val="22"/>
        </w:rPr>
        <w:t>has deeper signal penetration capabilities on offshore facilities like th</w:t>
      </w:r>
      <w:r w:rsidR="00010BAD">
        <w:rPr>
          <w:szCs w:val="22"/>
        </w:rPr>
        <w:t>ose used in the Gulf of Mexico</w:t>
      </w:r>
      <w:r w:rsidR="0005536B">
        <w:t>.</w:t>
      </w:r>
      <w:r w:rsidR="0005536B" w:rsidRPr="0005536B">
        <w:rPr>
          <w:vertAlign w:val="superscript"/>
        </w:rPr>
        <w:footnoteReference w:id="98"/>
      </w:r>
      <w:r w:rsidR="0005536B" w:rsidRPr="0005536B">
        <w:t xml:space="preserve">  </w:t>
      </w:r>
      <w:r w:rsidR="00901860">
        <w:t xml:space="preserve">Specifically, Tampnet </w:t>
      </w:r>
      <w:r w:rsidR="008361FB">
        <w:t xml:space="preserve">contends </w:t>
      </w:r>
      <w:r w:rsidR="00901860">
        <w:t xml:space="preserve">that it will add more </w:t>
      </w:r>
      <w:r w:rsidR="006061EC">
        <w:t xml:space="preserve">new </w:t>
      </w:r>
      <w:r w:rsidR="00901860">
        <w:t>cell sites to the current GSM network in the Gulf of Mexico, with a focus on deploying new sites where existing coverage is lacking.</w:t>
      </w:r>
      <w:r w:rsidR="00921B89">
        <w:rPr>
          <w:rStyle w:val="FootnoteReference"/>
        </w:rPr>
        <w:footnoteReference w:id="99"/>
      </w:r>
      <w:r w:rsidR="00901860">
        <w:t xml:space="preserve"> </w:t>
      </w:r>
      <w:r w:rsidR="00DC7378">
        <w:t xml:space="preserve"> </w:t>
      </w:r>
      <w:r w:rsidR="008361FB">
        <w:t>Tamp</w:t>
      </w:r>
      <w:r w:rsidR="006722D6">
        <w:t>n</w:t>
      </w:r>
      <w:r w:rsidR="008361FB">
        <w:t>et further contends that it</w:t>
      </w:r>
      <w:r w:rsidR="00901860">
        <w:t xml:space="preserve"> plans to add </w:t>
      </w:r>
      <w:r w:rsidR="00411A58">
        <w:rPr>
          <w:szCs w:val="22"/>
        </w:rPr>
        <w:t>[</w:t>
      </w:r>
      <w:r w:rsidR="00411A58">
        <w:rPr>
          <w:b/>
          <w:bCs/>
        </w:rPr>
        <w:t>REDACTED</w:t>
      </w:r>
      <w:r w:rsidR="00411A58" w:rsidRPr="00E66F20">
        <w:rPr>
          <w:b/>
          <w:szCs w:val="22"/>
        </w:rPr>
        <w:t>]</w:t>
      </w:r>
      <w:r w:rsidR="00901860" w:rsidRPr="00974198">
        <w:t>.</w:t>
      </w:r>
      <w:r w:rsidR="00901860">
        <w:rPr>
          <w:rStyle w:val="FootnoteReference"/>
        </w:rPr>
        <w:footnoteReference w:id="100"/>
      </w:r>
      <w:r w:rsidR="00901860">
        <w:t xml:space="preserve">  Further, Tampnet </w:t>
      </w:r>
      <w:r w:rsidR="006F152F">
        <w:t xml:space="preserve">maintains that it </w:t>
      </w:r>
      <w:r w:rsidR="00901860">
        <w:t>expects to achieve greater coverage through technical modifications to existing antennas.</w:t>
      </w:r>
      <w:r w:rsidR="00901860">
        <w:rPr>
          <w:rStyle w:val="FootnoteReference"/>
        </w:rPr>
        <w:footnoteReference w:id="101"/>
      </w:r>
    </w:p>
    <w:p w14:paraId="0BED9164" w14:textId="38F69A73" w:rsidR="00E42C8F" w:rsidRPr="00E42C8F" w:rsidRDefault="006F79E9" w:rsidP="006A0D4F">
      <w:pPr>
        <w:pStyle w:val="ParaNum"/>
        <w:widowControl/>
        <w:rPr>
          <w:snapToGrid/>
        </w:rPr>
      </w:pPr>
      <w:r>
        <w:t>Tampnet asserts that t</w:t>
      </w:r>
      <w:r w:rsidRPr="006F79E9">
        <w:t xml:space="preserve">he planned upgrade of the </w:t>
      </w:r>
      <w:r>
        <w:t>existing 2G n</w:t>
      </w:r>
      <w:r w:rsidRPr="006F79E9">
        <w:t xml:space="preserve">etwork </w:t>
      </w:r>
      <w:r w:rsidR="00610D8E">
        <w:t xml:space="preserve">to 4G/LTE </w:t>
      </w:r>
      <w:r w:rsidRPr="006F79E9">
        <w:t xml:space="preserve">is necessary to meet </w:t>
      </w:r>
      <w:r w:rsidR="00384844">
        <w:t xml:space="preserve">increasing </w:t>
      </w:r>
      <w:r w:rsidRPr="006F79E9">
        <w:t>customer demand</w:t>
      </w:r>
      <w:r w:rsidR="009F5146">
        <w:t>,</w:t>
      </w:r>
      <w:r w:rsidRPr="006F79E9">
        <w:t xml:space="preserve"> </w:t>
      </w:r>
      <w:r w:rsidR="0053095C" w:rsidRPr="0053095C">
        <w:rPr>
          <w:szCs w:val="22"/>
        </w:rPr>
        <w:t xml:space="preserve">and </w:t>
      </w:r>
      <w:r w:rsidR="0053095C" w:rsidRPr="003B1E23">
        <w:rPr>
          <w:szCs w:val="22"/>
        </w:rPr>
        <w:t xml:space="preserve">will improve the health, safety, quality, </w:t>
      </w:r>
      <w:r w:rsidR="0036213F">
        <w:rPr>
          <w:szCs w:val="22"/>
        </w:rPr>
        <w:t xml:space="preserve">and </w:t>
      </w:r>
      <w:r w:rsidR="0053095C" w:rsidRPr="003B1E23">
        <w:rPr>
          <w:szCs w:val="22"/>
        </w:rPr>
        <w:t xml:space="preserve">operational efficiency of persons involved in offshore operations </w:t>
      </w:r>
      <w:r w:rsidR="009F5146">
        <w:rPr>
          <w:szCs w:val="22"/>
        </w:rPr>
        <w:t>through</w:t>
      </w:r>
      <w:r w:rsidR="0053095C" w:rsidRPr="003B1E23">
        <w:rPr>
          <w:szCs w:val="22"/>
        </w:rPr>
        <w:t xml:space="preserve"> the use of bandwidth-intensive applications such as high definition video, video conference call</w:t>
      </w:r>
      <w:r w:rsidR="0036213F">
        <w:rPr>
          <w:szCs w:val="22"/>
        </w:rPr>
        <w:t>s</w:t>
      </w:r>
      <w:r w:rsidR="009F5146">
        <w:rPr>
          <w:szCs w:val="22"/>
        </w:rPr>
        <w:t xml:space="preserve">, and machine-to-machine </w:t>
      </w:r>
      <w:r w:rsidR="00B25E16">
        <w:rPr>
          <w:szCs w:val="22"/>
        </w:rPr>
        <w:t>communications</w:t>
      </w:r>
      <w:r w:rsidR="0053095C" w:rsidRPr="003B1E23">
        <w:rPr>
          <w:szCs w:val="22"/>
        </w:rPr>
        <w:t>.</w:t>
      </w:r>
      <w:r>
        <w:rPr>
          <w:rStyle w:val="FootnoteReference"/>
        </w:rPr>
        <w:footnoteReference w:id="102"/>
      </w:r>
      <w:r w:rsidRPr="006F79E9">
        <w:t xml:space="preserve"> </w:t>
      </w:r>
      <w:r w:rsidR="001B6C49">
        <w:t xml:space="preserve"> Tampnet </w:t>
      </w:r>
      <w:r w:rsidR="00DF0EAC">
        <w:t xml:space="preserve">claims </w:t>
      </w:r>
      <w:r w:rsidR="001B6C49">
        <w:t>that the remote</w:t>
      </w:r>
      <w:r w:rsidR="00BE4A35">
        <w:t xml:space="preserve"> </w:t>
      </w:r>
      <w:r w:rsidR="001B6C49">
        <w:t xml:space="preserve">and </w:t>
      </w:r>
      <w:r w:rsidR="001B6C49" w:rsidRPr="001B6C49">
        <w:t xml:space="preserve">harsh environment of the </w:t>
      </w:r>
      <w:r w:rsidR="001B6C49">
        <w:t>Gulf of Mexico</w:t>
      </w:r>
      <w:r w:rsidR="001B6C49" w:rsidRPr="001B6C49">
        <w:t xml:space="preserve"> and the high expense of helicopters and marine vessels used for transportation to and from sites in the </w:t>
      </w:r>
      <w:r w:rsidR="001B6C49">
        <w:t>Gulf</w:t>
      </w:r>
      <w:r w:rsidR="001B6C49" w:rsidRPr="001B6C49">
        <w:t xml:space="preserve"> </w:t>
      </w:r>
      <w:r w:rsidR="00DF0EAC">
        <w:t xml:space="preserve">of Mexico </w:t>
      </w:r>
      <w:r w:rsidR="001B6C49" w:rsidRPr="001B6C49">
        <w:t>create the need for reliable remote solutions.</w:t>
      </w:r>
      <w:r w:rsidR="001B6C49">
        <w:rPr>
          <w:rStyle w:val="FootnoteReference"/>
        </w:rPr>
        <w:footnoteReference w:id="103"/>
      </w:r>
      <w:r w:rsidR="001B6C49" w:rsidRPr="001B6C49">
        <w:t xml:space="preserve"> </w:t>
      </w:r>
      <w:r w:rsidR="001B6C49">
        <w:t xml:space="preserve"> </w:t>
      </w:r>
      <w:r w:rsidR="00DB26E8">
        <w:t xml:space="preserve">Tampnet </w:t>
      </w:r>
      <w:r w:rsidR="00DF0EAC">
        <w:t xml:space="preserve">maintains </w:t>
      </w:r>
      <w:r w:rsidR="00DB26E8">
        <w:t>that the distance between sites in the Gulf of Mexico requires high bandwidth channels in low frequency bands in order to achieve high capacity offering</w:t>
      </w:r>
      <w:r w:rsidR="00DF0EAC">
        <w:t>s</w:t>
      </w:r>
      <w:r w:rsidR="0050410E">
        <w:t>,</w:t>
      </w:r>
      <w:r w:rsidR="00DB26E8">
        <w:t xml:space="preserve"> and the 50 megahertz of cellular spectrum is particularly well suited for these needs because of the low carrier frequency and wide bandwidth available in this band.</w:t>
      </w:r>
      <w:r w:rsidR="00DB26E8">
        <w:rPr>
          <w:rStyle w:val="FootnoteReference"/>
        </w:rPr>
        <w:footnoteReference w:id="104"/>
      </w:r>
      <w:r w:rsidR="00DB26E8">
        <w:t xml:space="preserve">  </w:t>
      </w:r>
    </w:p>
    <w:p w14:paraId="589018AF" w14:textId="3585C891" w:rsidR="001570DB" w:rsidRPr="00010BAD" w:rsidRDefault="00923F63" w:rsidP="006A0D4F">
      <w:pPr>
        <w:pStyle w:val="ParaNum"/>
        <w:widowControl/>
        <w:rPr>
          <w:snapToGrid/>
        </w:rPr>
      </w:pPr>
      <w:r w:rsidRPr="00C269C6">
        <w:rPr>
          <w:szCs w:val="22"/>
        </w:rPr>
        <w:t xml:space="preserve">Tampnet </w:t>
      </w:r>
      <w:r w:rsidR="00D94842">
        <w:rPr>
          <w:szCs w:val="22"/>
        </w:rPr>
        <w:t>claims</w:t>
      </w:r>
      <w:r w:rsidRPr="00C269C6">
        <w:rPr>
          <w:szCs w:val="22"/>
        </w:rPr>
        <w:t xml:space="preserve"> that </w:t>
      </w:r>
      <w:r w:rsidRPr="00974198">
        <w:rPr>
          <w:szCs w:val="22"/>
        </w:rPr>
        <w:t>the</w:t>
      </w:r>
      <w:r w:rsidRPr="00C269C6">
        <w:rPr>
          <w:szCs w:val="22"/>
        </w:rPr>
        <w:t xml:space="preserve"> floating oil and gas production facilities in the Gulf of Mexico have been limited to low bandwidth satellite services, or installation of stabilized radio link systems, because of the nature of the production vessels</w:t>
      </w:r>
      <w:r w:rsidR="00921B89">
        <w:rPr>
          <w:szCs w:val="22"/>
        </w:rPr>
        <w:t>,</w:t>
      </w:r>
      <w:r w:rsidRPr="00974198">
        <w:rPr>
          <w:snapToGrid/>
          <w:kern w:val="0"/>
          <w:szCs w:val="22"/>
        </w:rPr>
        <w:t xml:space="preserve"> which experience rotation, pitch</w:t>
      </w:r>
      <w:r w:rsidR="00921B89">
        <w:rPr>
          <w:snapToGrid/>
          <w:kern w:val="0"/>
          <w:szCs w:val="22"/>
        </w:rPr>
        <w:t>,</w:t>
      </w:r>
      <w:r w:rsidRPr="00974198">
        <w:rPr>
          <w:snapToGrid/>
          <w:kern w:val="0"/>
          <w:szCs w:val="22"/>
        </w:rPr>
        <w:t xml:space="preserve"> and roll</w:t>
      </w:r>
      <w:r w:rsidRPr="00C269C6">
        <w:rPr>
          <w:snapToGrid/>
          <w:kern w:val="0"/>
          <w:szCs w:val="22"/>
        </w:rPr>
        <w:t xml:space="preserve">.  </w:t>
      </w:r>
      <w:r w:rsidR="00C4409D">
        <w:rPr>
          <w:snapToGrid/>
          <w:kern w:val="0"/>
          <w:szCs w:val="22"/>
        </w:rPr>
        <w:t>C</w:t>
      </w:r>
      <w:r w:rsidRPr="00C269C6">
        <w:rPr>
          <w:snapToGrid/>
          <w:kern w:val="0"/>
          <w:szCs w:val="22"/>
        </w:rPr>
        <w:t>ustomers in the Gulf require symmetrical end-to-end, non-contended, dedicated, services with a high degree of service guarantees for large bandwidth operations</w:t>
      </w:r>
      <w:r w:rsidR="00027821" w:rsidRPr="00C269C6">
        <w:rPr>
          <w:snapToGrid/>
          <w:kern w:val="0"/>
          <w:szCs w:val="22"/>
        </w:rPr>
        <w:t>.</w:t>
      </w:r>
      <w:r w:rsidR="00027821">
        <w:rPr>
          <w:rStyle w:val="FootnoteReference"/>
          <w:snapToGrid/>
          <w:kern w:val="0"/>
          <w:szCs w:val="22"/>
        </w:rPr>
        <w:footnoteReference w:id="105"/>
      </w:r>
      <w:r w:rsidR="00027821" w:rsidRPr="00C269C6">
        <w:rPr>
          <w:snapToGrid/>
          <w:kern w:val="0"/>
          <w:szCs w:val="22"/>
        </w:rPr>
        <w:t xml:space="preserve"> </w:t>
      </w:r>
      <w:r w:rsidR="00B31CC6" w:rsidRPr="00C269C6">
        <w:rPr>
          <w:snapToGrid/>
          <w:kern w:val="0"/>
          <w:szCs w:val="22"/>
        </w:rPr>
        <w:t xml:space="preserve"> </w:t>
      </w:r>
      <w:r w:rsidR="00027821" w:rsidRPr="00C269C6">
        <w:rPr>
          <w:snapToGrid/>
          <w:kern w:val="0"/>
          <w:szCs w:val="22"/>
        </w:rPr>
        <w:t xml:space="preserve">Further, </w:t>
      </w:r>
      <w:r w:rsidR="00B31CC6" w:rsidRPr="00C269C6">
        <w:rPr>
          <w:snapToGrid/>
          <w:kern w:val="0"/>
          <w:szCs w:val="22"/>
        </w:rPr>
        <w:t>Tampnet</w:t>
      </w:r>
      <w:r w:rsidR="00027821" w:rsidRPr="00C269C6">
        <w:rPr>
          <w:snapToGrid/>
          <w:kern w:val="0"/>
          <w:szCs w:val="22"/>
        </w:rPr>
        <w:t xml:space="preserve"> </w:t>
      </w:r>
      <w:r w:rsidR="00E236E2">
        <w:rPr>
          <w:snapToGrid/>
          <w:kern w:val="0"/>
          <w:szCs w:val="22"/>
        </w:rPr>
        <w:t>asserts</w:t>
      </w:r>
      <w:r w:rsidR="00027821" w:rsidRPr="00C269C6">
        <w:rPr>
          <w:snapToGrid/>
          <w:kern w:val="0"/>
          <w:szCs w:val="22"/>
        </w:rPr>
        <w:t xml:space="preserve"> that</w:t>
      </w:r>
      <w:r w:rsidRPr="00C269C6">
        <w:rPr>
          <w:snapToGrid/>
          <w:kern w:val="0"/>
          <w:szCs w:val="22"/>
        </w:rPr>
        <w:t xml:space="preserve"> </w:t>
      </w:r>
      <w:r w:rsidR="00027821" w:rsidRPr="00974198">
        <w:rPr>
          <w:szCs w:val="22"/>
        </w:rPr>
        <w:t>h</w:t>
      </w:r>
      <w:r w:rsidR="00027821" w:rsidRPr="00C269C6">
        <w:rPr>
          <w:snapToGrid/>
          <w:kern w:val="0"/>
          <w:szCs w:val="22"/>
        </w:rPr>
        <w:t xml:space="preserve">aving access to high quality and high speed communications in an emergency will enable a better and more focused response, increasing safety at sea and </w:t>
      </w:r>
      <w:r w:rsidR="00A965C4" w:rsidRPr="00C269C6">
        <w:rPr>
          <w:snapToGrid/>
          <w:kern w:val="0"/>
          <w:szCs w:val="22"/>
        </w:rPr>
        <w:t>minimizing</w:t>
      </w:r>
      <w:r w:rsidR="00027821" w:rsidRPr="00C269C6">
        <w:rPr>
          <w:snapToGrid/>
          <w:kern w:val="0"/>
          <w:szCs w:val="22"/>
        </w:rPr>
        <w:t xml:space="preserve"> the impact to the environment in case of an incident.</w:t>
      </w:r>
      <w:r w:rsidR="00027821">
        <w:rPr>
          <w:rStyle w:val="FootnoteReference"/>
          <w:snapToGrid/>
          <w:kern w:val="0"/>
          <w:szCs w:val="22"/>
        </w:rPr>
        <w:footnoteReference w:id="106"/>
      </w:r>
      <w:r w:rsidR="00027821" w:rsidRPr="00C269C6">
        <w:rPr>
          <w:snapToGrid/>
          <w:kern w:val="0"/>
          <w:szCs w:val="22"/>
        </w:rPr>
        <w:t xml:space="preserve">  </w:t>
      </w:r>
      <w:r w:rsidR="001B6C49" w:rsidRPr="003732E1">
        <w:t xml:space="preserve">Tampnet </w:t>
      </w:r>
      <w:r w:rsidR="00BE4A35" w:rsidRPr="003732E1">
        <w:t>states</w:t>
      </w:r>
      <w:r w:rsidR="00BE4A35">
        <w:t xml:space="preserve"> that the company </w:t>
      </w:r>
      <w:r w:rsidR="001B6C49" w:rsidRPr="001B6C49">
        <w:t xml:space="preserve">will </w:t>
      </w:r>
      <w:r w:rsidR="00BE4A35">
        <w:t>upgrade</w:t>
      </w:r>
      <w:r w:rsidR="001B6C49">
        <w:t xml:space="preserve"> the network </w:t>
      </w:r>
      <w:r w:rsidR="001B6C49" w:rsidRPr="001B6C49">
        <w:t xml:space="preserve">as a dual frequency, high channel bandwidth network to </w:t>
      </w:r>
      <w:r w:rsidR="00303699">
        <w:t>provide</w:t>
      </w:r>
      <w:r w:rsidR="00303699" w:rsidRPr="001B6C49">
        <w:t xml:space="preserve"> </w:t>
      </w:r>
      <w:r w:rsidR="001B6C49" w:rsidRPr="001B6C49">
        <w:t>LTE services with minimal offshore intervention</w:t>
      </w:r>
      <w:r w:rsidR="00C269C6">
        <w:t>, and continuous service when customers move offshore</w:t>
      </w:r>
      <w:r w:rsidR="001B6C49" w:rsidRPr="001B6C49">
        <w:t>.</w:t>
      </w:r>
      <w:r w:rsidR="00BE4A35">
        <w:rPr>
          <w:rStyle w:val="FootnoteReference"/>
        </w:rPr>
        <w:footnoteReference w:id="107"/>
      </w:r>
    </w:p>
    <w:p w14:paraId="7BCAC60E" w14:textId="77777777" w:rsidR="00B61651" w:rsidRPr="00A456E5" w:rsidRDefault="00B61651" w:rsidP="00B61651">
      <w:pPr>
        <w:pStyle w:val="ParaNum"/>
        <w:rPr>
          <w:szCs w:val="22"/>
        </w:rPr>
      </w:pPr>
      <w:r w:rsidRPr="00A456E5">
        <w:rPr>
          <w:i/>
          <w:szCs w:val="22"/>
        </w:rPr>
        <w:t xml:space="preserve">Customer </w:t>
      </w:r>
      <w:r w:rsidRPr="00A456E5">
        <w:rPr>
          <w:i/>
        </w:rPr>
        <w:t>Transition</w:t>
      </w:r>
      <w:r w:rsidRPr="00A456E5">
        <w:rPr>
          <w:szCs w:val="22"/>
        </w:rPr>
        <w:t xml:space="preserve">.  </w:t>
      </w:r>
      <w:r>
        <w:t>A</w:t>
      </w:r>
      <w:r w:rsidRPr="005C30E2">
        <w:t>s a result of the proposed transaction</w:t>
      </w:r>
      <w:r>
        <w:t>, certain s</w:t>
      </w:r>
      <w:r w:rsidRPr="005C30E2">
        <w:t xml:space="preserve">ubscriber transition </w:t>
      </w:r>
      <w:r>
        <w:t>issues are</w:t>
      </w:r>
      <w:r w:rsidRPr="005C30E2">
        <w:t xml:space="preserve"> implicated.</w:t>
      </w:r>
      <w:r w:rsidRPr="00D249DF">
        <w:rPr>
          <w:rStyle w:val="FootnoteReference"/>
        </w:rPr>
        <w:footnoteReference w:id="108"/>
      </w:r>
      <w:r w:rsidRPr="00A456E5">
        <w:rPr>
          <w:szCs w:val="22"/>
        </w:rPr>
        <w:t xml:space="preserve">  We note that Broadpoint and Tampnet have agreed to </w:t>
      </w:r>
      <w:r w:rsidRPr="00514940">
        <w:rPr>
          <w:szCs w:val="22"/>
        </w:rPr>
        <w:t xml:space="preserve">a </w:t>
      </w:r>
      <w:r w:rsidRPr="008D7278">
        <w:t>Transition Service</w:t>
      </w:r>
      <w:r>
        <w:t>s</w:t>
      </w:r>
      <w:r w:rsidRPr="008D7278">
        <w:t xml:space="preserve"> Agreement</w:t>
      </w:r>
      <w:r>
        <w:t xml:space="preserve"> (TSA)</w:t>
      </w:r>
      <w:r w:rsidRPr="00A456E5">
        <w:rPr>
          <w:szCs w:val="22"/>
        </w:rPr>
        <w:t xml:space="preserve"> to ensure </w:t>
      </w:r>
      <w:r>
        <w:t>continued service to Broadpoint’s current retail, wholesale, and roaming customers</w:t>
      </w:r>
      <w:r w:rsidRPr="00A456E5">
        <w:rPr>
          <w:szCs w:val="22"/>
        </w:rPr>
        <w:t>.</w:t>
      </w:r>
      <w:r>
        <w:rPr>
          <w:rStyle w:val="FootnoteReference"/>
          <w:szCs w:val="22"/>
        </w:rPr>
        <w:footnoteReference w:id="109"/>
      </w:r>
      <w:r w:rsidRPr="00A456E5">
        <w:rPr>
          <w:szCs w:val="22"/>
        </w:rPr>
        <w:t xml:space="preserve">  </w:t>
      </w:r>
      <w:r>
        <w:t>Broadpoint and Tampnet assert that t</w:t>
      </w:r>
      <w:r w:rsidRPr="008D7278">
        <w:t>he TSA specifically addresses th</w:t>
      </w:r>
      <w:r>
        <w:t>e</w:t>
      </w:r>
      <w:r w:rsidRPr="008D7278">
        <w:t xml:space="preserve"> transition process and contemplates that the parties will continue to provide services to existing Broadpoint customers that are substantially similar to those currently provided by Broadpoint.</w:t>
      </w:r>
      <w:r>
        <w:rPr>
          <w:rStyle w:val="FootnoteReference"/>
        </w:rPr>
        <w:footnoteReference w:id="110"/>
      </w:r>
      <w:r w:rsidRPr="008D7278">
        <w:t xml:space="preserve">  </w:t>
      </w:r>
      <w:r w:rsidRPr="00A456E5">
        <w:rPr>
          <w:szCs w:val="22"/>
        </w:rPr>
        <w:t>In the TSA, Broadpoint and Tampnet agree</w:t>
      </w:r>
      <w:r w:rsidRPr="00514940">
        <w:rPr>
          <w:szCs w:val="22"/>
        </w:rPr>
        <w:t xml:space="preserve"> </w:t>
      </w:r>
      <w:r w:rsidRPr="008D7278">
        <w:t>to continue to provide current services at current prices to each of Broadpoint’s customers until the earlier of six</w:t>
      </w:r>
      <w:r>
        <w:t xml:space="preserve"> </w:t>
      </w:r>
      <w:r w:rsidRPr="008D7278">
        <w:t>months after closing or the execution of a written contract with such customers.</w:t>
      </w:r>
      <w:r>
        <w:rPr>
          <w:rStyle w:val="FootnoteReference"/>
        </w:rPr>
        <w:footnoteReference w:id="111"/>
      </w:r>
      <w:r w:rsidRPr="008D7278">
        <w:t xml:space="preserve">  </w:t>
      </w:r>
      <w:r>
        <w:t xml:space="preserve">Broadpoint and Tampnet maintain that the </w:t>
      </w:r>
      <w:r w:rsidRPr="008D7278">
        <w:t>TSA specifically contemplates continuity of the service plans, service features, and bill format that customers currently receive.</w:t>
      </w:r>
      <w:r>
        <w:rPr>
          <w:rStyle w:val="FootnoteReference"/>
        </w:rPr>
        <w:footnoteReference w:id="112"/>
      </w:r>
      <w:r w:rsidRPr="008D7278">
        <w:t xml:space="preserve">  </w:t>
      </w:r>
      <w:r>
        <w:t>The Applicants note that d</w:t>
      </w:r>
      <w:r w:rsidRPr="008D7278">
        <w:t xml:space="preserve">uring the transition period, Tampnet will actively communicate </w:t>
      </w:r>
      <w:r>
        <w:t xml:space="preserve">to </w:t>
      </w:r>
      <w:r w:rsidRPr="008D7278">
        <w:t>customers the details of the network upgrade plans and the terms and rates for the services that will be available over the new 4G LTE network.</w:t>
      </w:r>
      <w:r>
        <w:rPr>
          <w:rStyle w:val="FootnoteReference"/>
        </w:rPr>
        <w:footnoteReference w:id="113"/>
      </w:r>
    </w:p>
    <w:p w14:paraId="1A17DADE" w14:textId="0482C249" w:rsidR="00417F7C" w:rsidRPr="007C02BF" w:rsidRDefault="00A209B5" w:rsidP="00FE53B5">
      <w:pPr>
        <w:pStyle w:val="ParaNum"/>
        <w:rPr>
          <w:bCs/>
          <w:snapToGrid/>
        </w:rPr>
      </w:pPr>
      <w:r w:rsidRPr="007C02BF">
        <w:rPr>
          <w:i/>
          <w:snapToGrid/>
        </w:rPr>
        <w:t>Evaluation</w:t>
      </w:r>
      <w:r w:rsidRPr="007C02BF">
        <w:rPr>
          <w:snapToGrid/>
        </w:rPr>
        <w:t xml:space="preserve">.  We have reviewed the Applicants’ asserted benefits, as well as their responses to our requests for additional </w:t>
      </w:r>
      <w:r w:rsidRPr="007C02BF">
        <w:rPr>
          <w:snapToGrid/>
          <w:kern w:val="0"/>
        </w:rPr>
        <w:t xml:space="preserve">information and documents </w:t>
      </w:r>
      <w:r>
        <w:t xml:space="preserve">regarding the potential benefits of the arrangements </w:t>
      </w:r>
      <w:r w:rsidRPr="005F2B35">
        <w:t>involving</w:t>
      </w:r>
      <w:r>
        <w:t xml:space="preserve"> each Applicant acquiring</w:t>
      </w:r>
      <w:r w:rsidR="00664AF9">
        <w:t xml:space="preserve"> </w:t>
      </w:r>
      <w:r w:rsidR="00A965C4">
        <w:t>or leas</w:t>
      </w:r>
      <w:r w:rsidR="00664AF9">
        <w:t>ing</w:t>
      </w:r>
      <w:r>
        <w:t xml:space="preserve">, in particular, the below-1-GHz spectrum at issue.  </w:t>
      </w:r>
      <w:r w:rsidRPr="00E54CED">
        <w:t>The record provides general support for the Applicants’ contentions that the</w:t>
      </w:r>
      <w:r>
        <w:t xml:space="preserve"> </w:t>
      </w:r>
      <w:r w:rsidRPr="006343FB">
        <w:t xml:space="preserve">proposed </w:t>
      </w:r>
      <w:r w:rsidR="00333F3B">
        <w:t xml:space="preserve">license assignments </w:t>
      </w:r>
      <w:r w:rsidR="00AB14EC">
        <w:t xml:space="preserve">and </w:t>
      </w:r>
      <w:r w:rsidR="00333F3B">
        <w:t xml:space="preserve">spectrum </w:t>
      </w:r>
      <w:r>
        <w:t xml:space="preserve">leasing arrangements </w:t>
      </w:r>
      <w:r w:rsidRPr="006343FB">
        <w:t xml:space="preserve">would result in some </w:t>
      </w:r>
      <w:r w:rsidRPr="009E72E0">
        <w:t>public interest benefits</w:t>
      </w:r>
      <w:r>
        <w:t xml:space="preserve"> post-transaction.  S</w:t>
      </w:r>
      <w:r w:rsidRPr="009E72E0">
        <w:t>pecifically</w:t>
      </w:r>
      <w:r>
        <w:t>, w</w:t>
      </w:r>
      <w:r w:rsidRPr="006E754E">
        <w:t xml:space="preserve">e anticipate that </w:t>
      </w:r>
      <w:r w:rsidR="00333F3B">
        <w:t xml:space="preserve">the </w:t>
      </w:r>
      <w:r w:rsidR="00302439">
        <w:t>acquisition</w:t>
      </w:r>
      <w:r w:rsidRPr="006E754E">
        <w:t xml:space="preserve"> of </w:t>
      </w:r>
      <w:r w:rsidR="006E0D4C">
        <w:t xml:space="preserve">spectrum </w:t>
      </w:r>
      <w:r w:rsidR="00333F3B">
        <w:t>by AT&amp;T and Tampnet from Broadpoint, including</w:t>
      </w:r>
      <w:r w:rsidR="006E0D4C">
        <w:t xml:space="preserve"> the </w:t>
      </w:r>
      <w:r w:rsidR="003D1C4A">
        <w:t xml:space="preserve">spectrum </w:t>
      </w:r>
      <w:r w:rsidR="006E0D4C">
        <w:t>leas</w:t>
      </w:r>
      <w:r w:rsidR="007B650E">
        <w:t xml:space="preserve">ing arrangement between AT&amp;T and </w:t>
      </w:r>
      <w:r w:rsidR="006E0D4C">
        <w:t xml:space="preserve">Tampnet will </w:t>
      </w:r>
      <w:r w:rsidR="006E0D4C" w:rsidRPr="007C02BF">
        <w:rPr>
          <w:color w:val="000000" w:themeColor="text1"/>
          <w:szCs w:val="22"/>
        </w:rPr>
        <w:t xml:space="preserve">enable AT&amp;T </w:t>
      </w:r>
      <w:r w:rsidR="00747D20">
        <w:rPr>
          <w:color w:val="000000" w:themeColor="text1"/>
          <w:szCs w:val="22"/>
        </w:rPr>
        <w:t xml:space="preserve">and Tampnet </w:t>
      </w:r>
      <w:r w:rsidR="006E0D4C" w:rsidRPr="007C02BF">
        <w:rPr>
          <w:color w:val="000000" w:themeColor="text1"/>
          <w:szCs w:val="22"/>
        </w:rPr>
        <w:t xml:space="preserve">to increase system </w:t>
      </w:r>
      <w:r w:rsidR="00A03879">
        <w:rPr>
          <w:color w:val="000000" w:themeColor="text1"/>
          <w:szCs w:val="22"/>
        </w:rPr>
        <w:t xml:space="preserve">bandwidth, </w:t>
      </w:r>
      <w:r w:rsidR="006E0D4C" w:rsidRPr="007C02BF">
        <w:rPr>
          <w:color w:val="000000" w:themeColor="text1"/>
          <w:szCs w:val="22"/>
        </w:rPr>
        <w:t>capacity</w:t>
      </w:r>
      <w:r w:rsidR="00747D20">
        <w:rPr>
          <w:color w:val="000000" w:themeColor="text1"/>
          <w:szCs w:val="22"/>
        </w:rPr>
        <w:t>,</w:t>
      </w:r>
      <w:r w:rsidR="006E0D4C" w:rsidRPr="007C02BF">
        <w:rPr>
          <w:color w:val="000000" w:themeColor="text1"/>
          <w:szCs w:val="22"/>
        </w:rPr>
        <w:t xml:space="preserve"> and enhance existing services to consumers in the Gulf of Mexico</w:t>
      </w:r>
      <w:r w:rsidR="00514940">
        <w:rPr>
          <w:color w:val="000000" w:themeColor="text1"/>
          <w:szCs w:val="22"/>
        </w:rPr>
        <w:t xml:space="preserve">, an area with a </w:t>
      </w:r>
      <w:r w:rsidR="009E539A">
        <w:rPr>
          <w:color w:val="000000" w:themeColor="text1"/>
          <w:szCs w:val="22"/>
        </w:rPr>
        <w:t xml:space="preserve">particularly </w:t>
      </w:r>
      <w:r w:rsidR="00514940">
        <w:rPr>
          <w:color w:val="000000" w:themeColor="text1"/>
          <w:szCs w:val="22"/>
        </w:rPr>
        <w:t>challenging operating environment</w:t>
      </w:r>
      <w:r w:rsidRPr="006E754E">
        <w:t xml:space="preserve">. </w:t>
      </w:r>
      <w:r w:rsidR="00796B0E">
        <w:t xml:space="preserve"> </w:t>
      </w:r>
      <w:r w:rsidR="00610D8E">
        <w:t xml:space="preserve">In particular, we note that the proposed transaction will likely enable Tampnet to upgrade the existing 2G network, and deploy a </w:t>
      </w:r>
      <w:r w:rsidR="008361FB">
        <w:t>Gulf</w:t>
      </w:r>
      <w:r w:rsidR="00610D8E">
        <w:t xml:space="preserve">-wide 4G/LTE network, which will be more robust and reliable.  </w:t>
      </w:r>
      <w:r w:rsidR="00442C11">
        <w:t xml:space="preserve">As we found in the </w:t>
      </w:r>
      <w:r w:rsidR="00442C11" w:rsidRPr="00D95384">
        <w:rPr>
          <w:i/>
        </w:rPr>
        <w:t>AT&amp;T-Plateau Wireless Order</w:t>
      </w:r>
      <w:r w:rsidR="009F0157" w:rsidRPr="009F0157">
        <w:t xml:space="preserve"> </w:t>
      </w:r>
      <w:r w:rsidR="009F0157">
        <w:t xml:space="preserve">and the </w:t>
      </w:r>
      <w:r w:rsidR="009F0157" w:rsidRPr="00F34EF5">
        <w:rPr>
          <w:i/>
        </w:rPr>
        <w:t>AT&amp;T-Club 42 Order</w:t>
      </w:r>
      <w:r w:rsidR="00442C11">
        <w:t>, customers are likely to benefit from access to improved performance and a more robust network as a result of the instant transaction</w:t>
      </w:r>
      <w:r w:rsidR="003D1C4A">
        <w:t>, resulting in a better customer experience</w:t>
      </w:r>
      <w:r w:rsidR="00442C11">
        <w:t>.</w:t>
      </w:r>
      <w:r w:rsidR="00A35C98">
        <w:rPr>
          <w:rStyle w:val="FootnoteReference"/>
        </w:rPr>
        <w:footnoteReference w:id="114"/>
      </w:r>
    </w:p>
    <w:p w14:paraId="2034488C" w14:textId="77777777" w:rsidR="00087F8E" w:rsidRDefault="00087F8E" w:rsidP="002B43DD">
      <w:pPr>
        <w:pStyle w:val="Heading1"/>
      </w:pPr>
      <w:bookmarkStart w:id="230" w:name="_Toc405185105"/>
      <w:bookmarkStart w:id="231" w:name="_Toc413413920"/>
      <w:bookmarkStart w:id="232" w:name="_Toc413661531"/>
      <w:bookmarkStart w:id="233" w:name="_Toc418763701"/>
      <w:bookmarkStart w:id="234" w:name="_Toc418780426"/>
      <w:bookmarkStart w:id="235" w:name="_Toc418781220"/>
      <w:bookmarkStart w:id="236" w:name="_Toc419201474"/>
      <w:bookmarkStart w:id="237" w:name="_Toc419206335"/>
      <w:bookmarkStart w:id="238" w:name="_Toc419206931"/>
      <w:bookmarkStart w:id="239" w:name="_Toc419207009"/>
      <w:bookmarkStart w:id="240" w:name="_Toc419287181"/>
      <w:bookmarkStart w:id="241" w:name="_Toc419447053"/>
      <w:bookmarkStart w:id="242" w:name="_Toc419815672"/>
      <w:bookmarkStart w:id="243" w:name="_Toc420400643"/>
      <w:bookmarkStart w:id="244" w:name="_Toc420499771"/>
      <w:bookmarkStart w:id="245" w:name="_Toc426371655"/>
      <w:bookmarkStart w:id="246" w:name="_Toc431369391"/>
      <w:bookmarkStart w:id="247" w:name="_Toc432079510"/>
      <w:bookmarkStart w:id="248" w:name="_Toc433031351"/>
      <w:bookmarkStart w:id="249" w:name="_Toc433613271"/>
      <w:bookmarkStart w:id="250" w:name="_Toc433631091"/>
      <w:bookmarkStart w:id="251" w:name="_Toc433631154"/>
      <w:bookmarkStart w:id="252" w:name="_Toc433631219"/>
      <w:bookmarkStart w:id="253" w:name="_Toc433631273"/>
      <w:bookmarkStart w:id="254" w:name="_Toc433631617"/>
      <w:bookmarkStart w:id="255" w:name="_Toc434313063"/>
      <w:bookmarkStart w:id="256" w:name="_Toc456165419"/>
      <w:bookmarkStart w:id="257" w:name="_Toc456165543"/>
      <w:bookmarkStart w:id="258" w:name="_Toc456166107"/>
      <w:bookmarkStart w:id="259" w:name="_Toc456701260"/>
      <w:bookmarkStart w:id="260" w:name="_Toc456702324"/>
      <w:bookmarkStart w:id="261" w:name="_Toc456859848"/>
      <w:bookmarkStart w:id="262" w:name="_Toc456863041"/>
      <w:bookmarkStart w:id="263" w:name="_Toc403981911"/>
      <w:bookmarkStart w:id="264" w:name="_Toc403998367"/>
      <w:bookmarkStart w:id="265" w:name="_Toc403998454"/>
      <w:bookmarkStart w:id="266" w:name="_Toc404003278"/>
      <w:bookmarkStart w:id="267" w:name="_Toc404003558"/>
      <w:bookmarkStart w:id="268" w:name="_Toc404152179"/>
      <w:bookmarkStart w:id="269" w:name="_Toc405185106"/>
      <w:bookmarkStart w:id="270" w:name="_Toc405799119"/>
      <w:bookmarkStart w:id="271" w:name="_Toc405799346"/>
      <w:bookmarkStart w:id="272" w:name="_Toc405801061"/>
      <w:bookmarkStart w:id="273" w:name="_Toc406492319"/>
      <w:bookmarkStart w:id="274" w:name="_Toc408387327"/>
      <w:bookmarkStart w:id="275" w:name="_Toc419201248"/>
      <w:bookmarkEnd w:id="230"/>
      <w:r>
        <w:t>Balancing The potential benefits and the potential harms</w:t>
      </w:r>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p>
    <w:p w14:paraId="10CFEACB" w14:textId="2DABA9D8" w:rsidR="00E27CF0" w:rsidRDefault="00CB558D" w:rsidP="0042387E">
      <w:pPr>
        <w:pStyle w:val="ParaNum"/>
        <w:widowControl/>
      </w:pPr>
      <w:r w:rsidRPr="00053890">
        <w:t xml:space="preserve">The Applicants bear the burden of </w:t>
      </w:r>
      <w:r w:rsidRPr="005211DB">
        <w:t xml:space="preserve">demonstrating that </w:t>
      </w:r>
      <w:r>
        <w:t xml:space="preserve">the </w:t>
      </w:r>
      <w:r w:rsidRPr="005211DB">
        <w:t>potential public interest benefits of the proposed transaction outweigh the potential public interest harms</w:t>
      </w:r>
      <w:r w:rsidRPr="00053890">
        <w:t>.</w:t>
      </w:r>
      <w:r>
        <w:t xml:space="preserve">  </w:t>
      </w:r>
      <w:r w:rsidRPr="007B650E">
        <w:t xml:space="preserve">We have reviewed the Applicants’ </w:t>
      </w:r>
      <w:r w:rsidR="007B650E">
        <w:t>asserted public interest benefits,</w:t>
      </w:r>
      <w:r w:rsidRPr="007B650E">
        <w:t xml:space="preserve"> as well as their </w:t>
      </w:r>
      <w:r w:rsidR="007B650E">
        <w:t xml:space="preserve">detailed </w:t>
      </w:r>
      <w:r w:rsidRPr="007B650E">
        <w:t>responses to our requests for additional information and documents</w:t>
      </w:r>
      <w:r w:rsidR="007B650E">
        <w:t xml:space="preserve"> regarding the potential benefits of AT&amp;T and Tampnet acquiring</w:t>
      </w:r>
      <w:r w:rsidR="00A456E5">
        <w:t xml:space="preserve"> and/or leasing</w:t>
      </w:r>
      <w:r w:rsidR="007B650E">
        <w:t>, in particular, the below-1-GHz spectrum at issue in the Gulf of Mexico</w:t>
      </w:r>
      <w:r w:rsidRPr="007B650E">
        <w:t xml:space="preserve">.  </w:t>
      </w:r>
      <w:r w:rsidR="006850D2">
        <w:t xml:space="preserve">After carefully evaluating the likely competitive effects of both AT&amp;T’s </w:t>
      </w:r>
      <w:r w:rsidR="00AB14EC">
        <w:t xml:space="preserve">and Tampnet’s </w:t>
      </w:r>
      <w:r w:rsidR="006850D2">
        <w:t>increased aggregation of below-1-GHz spectrum</w:t>
      </w:r>
      <w:r w:rsidR="00DF553E">
        <w:t xml:space="preserve"> in the Gulf of Mexico</w:t>
      </w:r>
      <w:r w:rsidR="006850D2">
        <w:t xml:space="preserve">, </w:t>
      </w:r>
      <w:r w:rsidR="006850D2" w:rsidRPr="006B53A2">
        <w:rPr>
          <w:kern w:val="0"/>
        </w:rPr>
        <w:t xml:space="preserve">we find that </w:t>
      </w:r>
      <w:r w:rsidR="006850D2" w:rsidRPr="006269A7">
        <w:t xml:space="preserve">the ability of rival service providers to offer a competitive response to any </w:t>
      </w:r>
      <w:r w:rsidR="006850D2">
        <w:t>anticompetitive behavior on the part of AT&amp;T</w:t>
      </w:r>
      <w:r w:rsidR="00AB14EC">
        <w:t xml:space="preserve"> or Tampnet</w:t>
      </w:r>
      <w:r w:rsidR="006850D2">
        <w:t xml:space="preserve"> </w:t>
      </w:r>
      <w:r w:rsidR="001F6546">
        <w:t>is</w:t>
      </w:r>
      <w:r w:rsidR="006850D2" w:rsidRPr="006269A7">
        <w:t xml:space="preserve"> </w:t>
      </w:r>
      <w:r w:rsidR="006850D2">
        <w:t>unlikely to be materially le</w:t>
      </w:r>
      <w:r w:rsidR="006850D2" w:rsidRPr="006269A7">
        <w:t>ssened</w:t>
      </w:r>
      <w:r w:rsidR="00D16D3E">
        <w:t>.</w:t>
      </w:r>
      <w:r w:rsidR="00737C84">
        <w:t xml:space="preserve"> </w:t>
      </w:r>
      <w:r w:rsidR="00D16D3E">
        <w:t xml:space="preserve"> </w:t>
      </w:r>
      <w:r w:rsidR="006850D2" w:rsidRPr="006B53A2">
        <w:rPr>
          <w:snapToGrid/>
          <w:szCs w:val="22"/>
        </w:rPr>
        <w:t xml:space="preserve">Further, </w:t>
      </w:r>
      <w:r w:rsidR="006850D2" w:rsidRPr="006B53A2">
        <w:rPr>
          <w:snapToGrid/>
          <w:color w:val="000000" w:themeColor="text1"/>
          <w:szCs w:val="22"/>
        </w:rPr>
        <w:t xml:space="preserve">we </w:t>
      </w:r>
      <w:r w:rsidR="006850D2" w:rsidRPr="006B53A2">
        <w:rPr>
          <w:snapToGrid/>
          <w:color w:val="000000" w:themeColor="text1"/>
          <w:kern w:val="0"/>
          <w:szCs w:val="22"/>
        </w:rPr>
        <w:t xml:space="preserve">find that </w:t>
      </w:r>
      <w:r w:rsidR="006850D2">
        <w:t>t</w:t>
      </w:r>
      <w:r w:rsidR="006850D2" w:rsidRPr="00E54CED">
        <w:t xml:space="preserve">he record provides general support for the Applicants’ </w:t>
      </w:r>
      <w:r w:rsidR="006850D2">
        <w:t>claims</w:t>
      </w:r>
      <w:r w:rsidR="00EC7431">
        <w:t xml:space="preserve"> of potential public interest benefits.</w:t>
      </w:r>
      <w:r w:rsidR="006850D2">
        <w:t xml:space="preserve"> </w:t>
      </w:r>
      <w:r w:rsidR="00EC7431">
        <w:t xml:space="preserve"> Therefore, </w:t>
      </w:r>
      <w:r w:rsidR="006850D2">
        <w:t xml:space="preserve">under our sliding scale approach, </w:t>
      </w:r>
      <w:r w:rsidR="00EC7431">
        <w:t xml:space="preserve">we find that </w:t>
      </w:r>
      <w:r w:rsidR="006850D2" w:rsidRPr="00E54CED">
        <w:t>the</w:t>
      </w:r>
      <w:r w:rsidR="006850D2">
        <w:t xml:space="preserve"> likelihood of </w:t>
      </w:r>
      <w:r w:rsidR="001A6847">
        <w:t xml:space="preserve">public interest </w:t>
      </w:r>
      <w:r w:rsidR="006850D2">
        <w:t>harm</w:t>
      </w:r>
      <w:r w:rsidR="001A6847">
        <w:t>s</w:t>
      </w:r>
      <w:r w:rsidR="006850D2">
        <w:t xml:space="preserve"> is low and the potential public interest benefits outweigh </w:t>
      </w:r>
      <w:r w:rsidR="001A6847">
        <w:t xml:space="preserve">any </w:t>
      </w:r>
      <w:r w:rsidR="006850D2">
        <w:t xml:space="preserve">harms.  </w:t>
      </w:r>
      <w:r w:rsidR="00EC7431">
        <w:t>As a result</w:t>
      </w:r>
      <w:r w:rsidR="006850D2">
        <w:t xml:space="preserve">, based on the record before us and our competitive review, we find that </w:t>
      </w:r>
      <w:r w:rsidR="00DF553E">
        <w:t xml:space="preserve">approval </w:t>
      </w:r>
      <w:r w:rsidR="00331D3E">
        <w:t xml:space="preserve">of </w:t>
      </w:r>
      <w:r w:rsidR="006850D2">
        <w:t xml:space="preserve">the proposed </w:t>
      </w:r>
      <w:r w:rsidR="00DF553E">
        <w:t>transaction</w:t>
      </w:r>
      <w:r w:rsidR="006850D2" w:rsidRPr="00E443DF">
        <w:t xml:space="preserve"> </w:t>
      </w:r>
      <w:r w:rsidR="006850D2">
        <w:t>would serve the public interest, convenience, and necessity.</w:t>
      </w:r>
    </w:p>
    <w:p w14:paraId="45BCB92F" w14:textId="58AEA239" w:rsidR="007B650E" w:rsidRDefault="007B650E" w:rsidP="00974198">
      <w:pPr>
        <w:pStyle w:val="Heading1"/>
      </w:pPr>
      <w:bookmarkStart w:id="276" w:name="_Toc456165420"/>
      <w:bookmarkStart w:id="277" w:name="_Toc456165544"/>
      <w:bookmarkStart w:id="278" w:name="_Toc456166108"/>
      <w:bookmarkStart w:id="279" w:name="_Toc456701261"/>
      <w:bookmarkStart w:id="280" w:name="_Toc456702325"/>
      <w:bookmarkStart w:id="281" w:name="_Toc456859849"/>
      <w:bookmarkStart w:id="282" w:name="_Toc456863042"/>
      <w:r>
        <w:t>foreign ownership and declaratory ruling</w:t>
      </w:r>
      <w:bookmarkEnd w:id="276"/>
      <w:bookmarkEnd w:id="277"/>
      <w:bookmarkEnd w:id="278"/>
      <w:bookmarkEnd w:id="279"/>
      <w:bookmarkEnd w:id="280"/>
      <w:bookmarkEnd w:id="281"/>
      <w:bookmarkEnd w:id="282"/>
    </w:p>
    <w:p w14:paraId="2A675182" w14:textId="0AD3E9E1" w:rsidR="007B650E" w:rsidRDefault="007B650E" w:rsidP="00974198">
      <w:pPr>
        <w:pStyle w:val="Heading2"/>
      </w:pPr>
      <w:bookmarkStart w:id="283" w:name="_Toc456165421"/>
      <w:bookmarkStart w:id="284" w:name="_Toc456165545"/>
      <w:bookmarkStart w:id="285" w:name="_Toc456166109"/>
      <w:bookmarkStart w:id="286" w:name="_Toc456701262"/>
      <w:bookmarkStart w:id="287" w:name="_Toc456702326"/>
      <w:bookmarkStart w:id="288" w:name="_Toc456859850"/>
      <w:bookmarkStart w:id="289" w:name="_Toc456863043"/>
      <w:r>
        <w:t>Foreign Ownership</w:t>
      </w:r>
      <w:bookmarkEnd w:id="283"/>
      <w:bookmarkEnd w:id="284"/>
      <w:bookmarkEnd w:id="285"/>
      <w:bookmarkEnd w:id="286"/>
      <w:bookmarkEnd w:id="287"/>
      <w:bookmarkEnd w:id="288"/>
      <w:bookmarkEnd w:id="289"/>
    </w:p>
    <w:p w14:paraId="2EDB37B9" w14:textId="22C9420F" w:rsidR="00615384" w:rsidRDefault="00615384" w:rsidP="00615384">
      <w:pPr>
        <w:pStyle w:val="ParaNum"/>
        <w:rPr>
          <w:szCs w:val="22"/>
        </w:rPr>
      </w:pPr>
      <w:r w:rsidRPr="001D23EC">
        <w:rPr>
          <w:szCs w:val="22"/>
        </w:rPr>
        <w:t xml:space="preserve">Tampnet </w:t>
      </w:r>
      <w:r>
        <w:rPr>
          <w:szCs w:val="22"/>
        </w:rPr>
        <w:t xml:space="preserve">requests a declaratory ruling, </w:t>
      </w:r>
      <w:r w:rsidR="00E92190">
        <w:rPr>
          <w:szCs w:val="22"/>
        </w:rPr>
        <w:t>pursuant to S</w:t>
      </w:r>
      <w:r w:rsidRPr="001878D3">
        <w:rPr>
          <w:szCs w:val="22"/>
        </w:rPr>
        <w:t>e</w:t>
      </w:r>
      <w:r w:rsidR="00E92190">
        <w:rPr>
          <w:szCs w:val="22"/>
        </w:rPr>
        <w:t>ction 310(b)(4) of the Act and S</w:t>
      </w:r>
      <w:r w:rsidRPr="001878D3">
        <w:rPr>
          <w:szCs w:val="22"/>
        </w:rPr>
        <w:t>ection 1.990(</w:t>
      </w:r>
      <w:r>
        <w:rPr>
          <w:szCs w:val="22"/>
        </w:rPr>
        <w:t>a)(1) of the Commission’s rules,</w:t>
      </w:r>
      <w:r w:rsidRPr="008A477D">
        <w:rPr>
          <w:sz w:val="20"/>
          <w:vertAlign w:val="superscript"/>
        </w:rPr>
        <w:footnoteReference w:id="115"/>
      </w:r>
      <w:r w:rsidRPr="001878D3">
        <w:rPr>
          <w:szCs w:val="22"/>
        </w:rPr>
        <w:t xml:space="preserve"> </w:t>
      </w:r>
      <w:r>
        <w:rPr>
          <w:szCs w:val="22"/>
        </w:rPr>
        <w:t xml:space="preserve">to permit 100 percent </w:t>
      </w:r>
      <w:r w:rsidRPr="001878D3">
        <w:rPr>
          <w:szCs w:val="22"/>
        </w:rPr>
        <w:t xml:space="preserve">foreign ownership of </w:t>
      </w:r>
      <w:r w:rsidRPr="001D23EC">
        <w:rPr>
          <w:szCs w:val="22"/>
        </w:rPr>
        <w:t>Tampnet</w:t>
      </w:r>
      <w:r w:rsidR="00FB5EF1">
        <w:rPr>
          <w:szCs w:val="22"/>
        </w:rPr>
        <w:t xml:space="preserve"> </w:t>
      </w:r>
      <w:r w:rsidR="00F2783F">
        <w:rPr>
          <w:szCs w:val="22"/>
        </w:rPr>
        <w:t xml:space="preserve">Inc., </w:t>
      </w:r>
      <w:r>
        <w:rPr>
          <w:szCs w:val="22"/>
        </w:rPr>
        <w:t xml:space="preserve">which is the direct, controlling U.S.-organized parent of Tampnet Licensee. </w:t>
      </w:r>
      <w:r w:rsidR="00E92190">
        <w:rPr>
          <w:szCs w:val="22"/>
        </w:rPr>
        <w:t xml:space="preserve"> </w:t>
      </w:r>
      <w:r w:rsidRPr="00FF5EE7">
        <w:rPr>
          <w:szCs w:val="22"/>
        </w:rPr>
        <w:t xml:space="preserve">As discussed in Section </w:t>
      </w:r>
      <w:r w:rsidR="00AA08CF" w:rsidRPr="008A477D">
        <w:rPr>
          <w:szCs w:val="22"/>
        </w:rPr>
        <w:t>II</w:t>
      </w:r>
      <w:r w:rsidRPr="00FF5EE7">
        <w:rPr>
          <w:szCs w:val="22"/>
        </w:rPr>
        <w:t xml:space="preserve"> above, Tampnet</w:t>
      </w:r>
      <w:r w:rsidR="00A355F6">
        <w:rPr>
          <w:szCs w:val="22"/>
        </w:rPr>
        <w:t xml:space="preserve">, through its proposed ownership of </w:t>
      </w:r>
      <w:r w:rsidR="00A355F6" w:rsidRPr="00404623">
        <w:t>Broadpoint Newco, LLC</w:t>
      </w:r>
      <w:r w:rsidR="00A355F6">
        <w:t>,</w:t>
      </w:r>
      <w:r w:rsidRPr="00FF5EE7">
        <w:rPr>
          <w:szCs w:val="22"/>
        </w:rPr>
        <w:t xml:space="preserve"> is the proposed assignee of certain of Broadpoint’s cellular and AWS licenses</w:t>
      </w:r>
      <w:r w:rsidR="00A355F6">
        <w:rPr>
          <w:szCs w:val="22"/>
        </w:rPr>
        <w:t>,</w:t>
      </w:r>
      <w:r w:rsidRPr="00FF5EE7">
        <w:rPr>
          <w:szCs w:val="22"/>
        </w:rPr>
        <w:t xml:space="preserve"> and </w:t>
      </w:r>
      <w:r w:rsidR="00A355F6">
        <w:rPr>
          <w:szCs w:val="22"/>
        </w:rPr>
        <w:t>Tampnet Licensee is the</w:t>
      </w:r>
      <w:r w:rsidR="00A355F6" w:rsidRPr="00FF5EE7">
        <w:rPr>
          <w:szCs w:val="22"/>
        </w:rPr>
        <w:t xml:space="preserve"> </w:t>
      </w:r>
      <w:r w:rsidRPr="00FF5EE7">
        <w:rPr>
          <w:szCs w:val="22"/>
        </w:rPr>
        <w:t xml:space="preserve">proposed lessee of 25 </w:t>
      </w:r>
      <w:r w:rsidR="00E92190">
        <w:rPr>
          <w:szCs w:val="22"/>
        </w:rPr>
        <w:t>megahertz</w:t>
      </w:r>
      <w:r w:rsidRPr="00FF5EE7">
        <w:rPr>
          <w:szCs w:val="22"/>
        </w:rPr>
        <w:t xml:space="preserve"> of cellular spectrum that AT&amp;T would acquire from Broadpoint</w:t>
      </w:r>
      <w:r>
        <w:rPr>
          <w:szCs w:val="22"/>
        </w:rPr>
        <w:t xml:space="preserve"> upon closing of the proposed transaction</w:t>
      </w:r>
      <w:r w:rsidRPr="00FF5EE7">
        <w:rPr>
          <w:szCs w:val="22"/>
        </w:rPr>
        <w:t>.</w:t>
      </w:r>
      <w:r>
        <w:rPr>
          <w:szCs w:val="22"/>
        </w:rPr>
        <w:t xml:space="preserve">  Tampnet requests that the ruling apply to Tampnet Licensee as well as any of Tampnet’s subsidiaries and affiliates, whether currently existing or subsequently formed or acquired.</w:t>
      </w:r>
      <w:r>
        <w:rPr>
          <w:rStyle w:val="FootnoteReference"/>
          <w:szCs w:val="22"/>
        </w:rPr>
        <w:footnoteReference w:id="116"/>
      </w:r>
      <w:r>
        <w:rPr>
          <w:szCs w:val="22"/>
        </w:rPr>
        <w:t xml:space="preserve">  Tampnet also requests specific approval for the </w:t>
      </w:r>
      <w:r>
        <w:t xml:space="preserve">85 foreign-organized entities and foreign individuals that hold equity and/or voting interests directly or indirectly in Tampnet in excess of </w:t>
      </w:r>
      <w:r w:rsidR="001B5A9E">
        <w:t xml:space="preserve">five </w:t>
      </w:r>
      <w:r>
        <w:t>percent (or, in certain situations, 10 percent).</w:t>
      </w:r>
      <w:r>
        <w:rPr>
          <w:rStyle w:val="FootnoteReference"/>
        </w:rPr>
        <w:footnoteReference w:id="117"/>
      </w:r>
      <w:r>
        <w:t xml:space="preserve">  The Petition further seeks </w:t>
      </w:r>
      <w:r w:rsidRPr="001878D3">
        <w:t>advance approval</w:t>
      </w:r>
      <w:r>
        <w:t xml:space="preserve"> </w:t>
      </w:r>
      <w:r w:rsidRPr="001878D3">
        <w:t>for the</w:t>
      </w:r>
      <w:r>
        <w:t xml:space="preserve">se named foreign entities and individuals to increase their </w:t>
      </w:r>
      <w:r w:rsidRPr="001878D3">
        <w:t xml:space="preserve">interests in </w:t>
      </w:r>
      <w:r>
        <w:t xml:space="preserve">Tampnet at some future time </w:t>
      </w:r>
      <w:r w:rsidRPr="001878D3">
        <w:t>up to and including a non-controlling 49.99</w:t>
      </w:r>
      <w:r>
        <w:t xml:space="preserve"> percent</w:t>
      </w:r>
      <w:r w:rsidRPr="001878D3">
        <w:t xml:space="preserve"> equity and/or voting interest.</w:t>
      </w:r>
      <w:r w:rsidRPr="008A477D">
        <w:rPr>
          <w:sz w:val="20"/>
          <w:vertAlign w:val="superscript"/>
        </w:rPr>
        <w:footnoteReference w:id="118"/>
      </w:r>
      <w:r>
        <w:t xml:space="preserve">  </w:t>
      </w:r>
      <w:r>
        <w:rPr>
          <w:szCs w:val="22"/>
        </w:rPr>
        <w:t>Tampnet currently operates in the Gulf of Mexico on a private carrier basis, utilizing, in part, 38 microwave licenses issued to the company in 2014.</w:t>
      </w:r>
      <w:r>
        <w:rPr>
          <w:rStyle w:val="FootnoteReference"/>
          <w:szCs w:val="22"/>
        </w:rPr>
        <w:footnoteReference w:id="119"/>
      </w:r>
      <w:r>
        <w:rPr>
          <w:szCs w:val="22"/>
        </w:rPr>
        <w:t xml:space="preserve"> </w:t>
      </w:r>
      <w:r w:rsidRPr="00FF5EE7">
        <w:rPr>
          <w:szCs w:val="22"/>
        </w:rPr>
        <w:t xml:space="preserve"> </w:t>
      </w:r>
      <w:r>
        <w:rPr>
          <w:szCs w:val="22"/>
        </w:rPr>
        <w:t>Tampnet states that grant of its Petition will provide it with greater operational flexibility to market its services on a common carrier basis and thereby reach additional customers, which will further strengthen Tampnet’s ability to provide innovative products and services in the Gulf of Mexico.</w:t>
      </w:r>
      <w:r>
        <w:rPr>
          <w:rStyle w:val="FootnoteReference"/>
          <w:szCs w:val="22"/>
        </w:rPr>
        <w:footnoteReference w:id="120"/>
      </w:r>
    </w:p>
    <w:p w14:paraId="2AF574DF" w14:textId="5F997D70" w:rsidR="00615384" w:rsidRDefault="00615384" w:rsidP="00010BAD">
      <w:pPr>
        <w:pStyle w:val="ParaNum"/>
        <w:widowControl/>
        <w:rPr>
          <w:szCs w:val="22"/>
        </w:rPr>
      </w:pPr>
      <w:r>
        <w:rPr>
          <w:szCs w:val="22"/>
        </w:rPr>
        <w:t>According to the Petition, Tampnet</w:t>
      </w:r>
      <w:r w:rsidR="00A355F6">
        <w:rPr>
          <w:szCs w:val="22"/>
        </w:rPr>
        <w:t xml:space="preserve"> Inc.</w:t>
      </w:r>
      <w:r>
        <w:rPr>
          <w:szCs w:val="22"/>
        </w:rPr>
        <w:t xml:space="preserve"> is a direct, wholly-owned subsidiary of Tampnet AS, a Norwegian company.  Tampnet AS is owned by a 50-50 joint venture of Brent Infrastructure I S.a.r.l. and Brent Infrastructure II S.A., both organized under the laws of Luxembourg.</w:t>
      </w:r>
      <w:r>
        <w:rPr>
          <w:rStyle w:val="FootnoteReference"/>
          <w:szCs w:val="22"/>
        </w:rPr>
        <w:footnoteReference w:id="121"/>
      </w:r>
      <w:r>
        <w:rPr>
          <w:szCs w:val="22"/>
        </w:rPr>
        <w:t xml:space="preserve">  Each of these companies is, in turn, owned and controlled by foreign private equity holders through two funds, EQT Infrastructure and EQT Infrastructure II, which were established by the European private equity firm EQT.</w:t>
      </w:r>
      <w:r>
        <w:rPr>
          <w:rStyle w:val="FootnoteReference"/>
          <w:szCs w:val="22"/>
        </w:rPr>
        <w:footnoteReference w:id="122"/>
      </w:r>
      <w:r>
        <w:rPr>
          <w:szCs w:val="22"/>
        </w:rPr>
        <w:t xml:space="preserve">  Numerous foreign-organized entities and foreign individuals hold indirect equity and voting interests in Tampnet through these two funds.  In accor</w:t>
      </w:r>
      <w:r w:rsidR="00E6549D">
        <w:rPr>
          <w:szCs w:val="22"/>
        </w:rPr>
        <w:t>dance with the requirements of S</w:t>
      </w:r>
      <w:r>
        <w:rPr>
          <w:szCs w:val="22"/>
        </w:rPr>
        <w:t xml:space="preserve">ections 1.991(e) through (h) of the </w:t>
      </w:r>
      <w:r w:rsidR="00E6549D">
        <w:rPr>
          <w:szCs w:val="22"/>
        </w:rPr>
        <w:t xml:space="preserve">Commission’s </w:t>
      </w:r>
      <w:r>
        <w:rPr>
          <w:szCs w:val="22"/>
        </w:rPr>
        <w:t>rules, Tampnet has provided a narrative description and ownership diagram of its disclosable interest holders that reflects the aggregate equity and voting interests held directly and/or indirectly by each such interest holder.</w:t>
      </w:r>
      <w:r>
        <w:rPr>
          <w:rStyle w:val="FootnoteReference"/>
          <w:szCs w:val="22"/>
        </w:rPr>
        <w:footnoteReference w:id="123"/>
      </w:r>
    </w:p>
    <w:p w14:paraId="25915F7D" w14:textId="0D33159D" w:rsidR="00615384" w:rsidRDefault="00615384" w:rsidP="00615384">
      <w:pPr>
        <w:pStyle w:val="ParaNum"/>
        <w:rPr>
          <w:szCs w:val="22"/>
        </w:rPr>
      </w:pPr>
      <w:r>
        <w:rPr>
          <w:szCs w:val="22"/>
        </w:rPr>
        <w:t>Tampnet states that it is, and will continue to be, controlled by its Board of Directors and company officers, who are responsible for the management and oversee the day-to-day operations of the company.</w:t>
      </w:r>
      <w:r>
        <w:rPr>
          <w:rStyle w:val="FootnoteReference"/>
          <w:szCs w:val="22"/>
        </w:rPr>
        <w:footnoteReference w:id="124"/>
      </w:r>
      <w:r>
        <w:rPr>
          <w:szCs w:val="22"/>
        </w:rPr>
        <w:t xml:space="preserve">  The board of directors of Tampnet’s parent company, Tampnet AS, also exercises indirect control over Tampnet through the power of the Tampnet AS Board of Directors to appoint members of the Tampnet board.</w:t>
      </w:r>
      <w:r>
        <w:rPr>
          <w:rStyle w:val="FootnoteReference"/>
          <w:szCs w:val="22"/>
        </w:rPr>
        <w:footnoteReference w:id="125"/>
      </w:r>
      <w:r>
        <w:rPr>
          <w:szCs w:val="22"/>
        </w:rPr>
        <w:t xml:space="preserve">  Tampnet states that no single person or entity or “group” has </w:t>
      </w:r>
      <w:r w:rsidRPr="00A002AA">
        <w:rPr>
          <w:i/>
          <w:szCs w:val="22"/>
        </w:rPr>
        <w:t>de jure</w:t>
      </w:r>
      <w:r>
        <w:rPr>
          <w:szCs w:val="22"/>
        </w:rPr>
        <w:t xml:space="preserve"> or </w:t>
      </w:r>
      <w:r w:rsidRPr="00A002AA">
        <w:rPr>
          <w:i/>
          <w:szCs w:val="22"/>
        </w:rPr>
        <w:t>de facto</w:t>
      </w:r>
      <w:r>
        <w:rPr>
          <w:szCs w:val="22"/>
        </w:rPr>
        <w:t xml:space="preserve"> control of Tampnet or Tampnet AS.</w:t>
      </w:r>
      <w:r>
        <w:rPr>
          <w:rStyle w:val="FootnoteReference"/>
          <w:szCs w:val="22"/>
        </w:rPr>
        <w:footnoteReference w:id="126"/>
      </w:r>
    </w:p>
    <w:p w14:paraId="5508F508" w14:textId="4CA95754" w:rsidR="00615384" w:rsidRDefault="00615384" w:rsidP="00615384">
      <w:pPr>
        <w:pStyle w:val="ParaNum"/>
      </w:pPr>
      <w:r>
        <w:t>The equity and voting interests of all foreign-organized entities and foreign individuals req</w:t>
      </w:r>
      <w:r w:rsidR="00E6549D">
        <w:t>uiring specific approval under S</w:t>
      </w:r>
      <w:r>
        <w:t>ection 1.991(i) are included in the ownership diagram in Exhibit B of the Petition and in Exhibit C-1, which lists the name of each of the entities and individuals for which Tampnet seeks specific approval and their place(s) of formation or citizenship; the type of organization (in the case of a business entity); principal business; and each investor’s direct and/or indirect aggregate equity interest and aggregate voting interest in Tampnet.</w:t>
      </w:r>
    </w:p>
    <w:p w14:paraId="53AD1DB4" w14:textId="5B06729A" w:rsidR="00615384" w:rsidRDefault="00615384" w:rsidP="00615384">
      <w:pPr>
        <w:pStyle w:val="ParaNum"/>
      </w:pPr>
      <w:r w:rsidRPr="00ED2FF5">
        <w:t xml:space="preserve">Certain </w:t>
      </w:r>
      <w:r>
        <w:t xml:space="preserve">of the </w:t>
      </w:r>
      <w:r w:rsidRPr="00ED2FF5">
        <w:t xml:space="preserve">foreign individuals </w:t>
      </w:r>
      <w:r>
        <w:t xml:space="preserve">that </w:t>
      </w:r>
      <w:r w:rsidRPr="00ED2FF5">
        <w:t xml:space="preserve">require specific approval </w:t>
      </w:r>
      <w:r>
        <w:t xml:space="preserve">hold </w:t>
      </w:r>
      <w:r w:rsidRPr="002369D5">
        <w:t>no equity interest</w:t>
      </w:r>
      <w:r>
        <w:t xml:space="preserve"> in Tampnet but </w:t>
      </w:r>
      <w:r w:rsidRPr="00ED2FF5">
        <w:t>serve as non-member managers or directors of numerous</w:t>
      </w:r>
      <w:r>
        <w:t xml:space="preserve"> foreign</w:t>
      </w:r>
      <w:r w:rsidRPr="00ED2FF5">
        <w:t xml:space="preserve"> </w:t>
      </w:r>
      <w:r>
        <w:t xml:space="preserve">limited liability companies (LLCs) </w:t>
      </w:r>
      <w:r w:rsidRPr="00ED2FF5">
        <w:t xml:space="preserve">situated above Tampnet in its vertical chain of ownership.  </w:t>
      </w:r>
      <w:r>
        <w:t>As non-member managers/directors, t</w:t>
      </w:r>
      <w:r w:rsidRPr="00ED2FF5">
        <w:t xml:space="preserve">hese foreign individuals </w:t>
      </w:r>
      <w:r>
        <w:t xml:space="preserve">cannot satisfy the “no active involvement” </w:t>
      </w:r>
      <w:r w:rsidR="00E6549D">
        <w:t>insulation criteria in S</w:t>
      </w:r>
      <w:r>
        <w:t>ection 1.993 of the rules</w:t>
      </w:r>
      <w:r>
        <w:rPr>
          <w:rStyle w:val="FootnoteReference"/>
        </w:rPr>
        <w:footnoteReference w:id="127"/>
      </w:r>
      <w:r>
        <w:t xml:space="preserve"> and are therefore deemed </w:t>
      </w:r>
      <w:r w:rsidRPr="00AA1071">
        <w:t xml:space="preserve">to hold </w:t>
      </w:r>
      <w:r>
        <w:t xml:space="preserve">indirectly </w:t>
      </w:r>
      <w:r w:rsidRPr="00AA1071">
        <w:t xml:space="preserve">the same voting interest </w:t>
      </w:r>
      <w:r>
        <w:t xml:space="preserve">in Tampnet as is held or is deemed held, under the rules, by the </w:t>
      </w:r>
      <w:r w:rsidRPr="00ED2FF5">
        <w:t xml:space="preserve">foreign </w:t>
      </w:r>
      <w:r>
        <w:t xml:space="preserve">LLCs </w:t>
      </w:r>
      <w:r w:rsidRPr="00ED2FF5">
        <w:t>for which they serve as managers</w:t>
      </w:r>
      <w:r>
        <w:t>/</w:t>
      </w:r>
      <w:r w:rsidRPr="00ED2FF5">
        <w:t>directors</w:t>
      </w:r>
      <w:r>
        <w:t>.</w:t>
      </w:r>
      <w:r w:rsidRPr="008A477D">
        <w:rPr>
          <w:sz w:val="20"/>
          <w:vertAlign w:val="superscript"/>
        </w:rPr>
        <w:footnoteReference w:id="128"/>
      </w:r>
      <w:r w:rsidRPr="001878D3">
        <w:t xml:space="preserve">  </w:t>
      </w:r>
      <w:r>
        <w:t xml:space="preserve">These foreign individuals and the LLCs </w:t>
      </w:r>
      <w:r w:rsidRPr="00ED2FF5">
        <w:t>for which they serve as non-member managers</w:t>
      </w:r>
      <w:r>
        <w:t>/</w:t>
      </w:r>
      <w:r w:rsidRPr="00ED2FF5">
        <w:t xml:space="preserve">directors are listed in Exhibit C-2 of the Petition and </w:t>
      </w:r>
      <w:r w:rsidRPr="00870D2D">
        <w:t>on</w:t>
      </w:r>
      <w:r w:rsidRPr="00ED2FF5">
        <w:t xml:space="preserve"> the ownership diagram</w:t>
      </w:r>
      <w:r>
        <w:t xml:space="preserve"> in Exhibit B-1</w:t>
      </w:r>
      <w:r w:rsidRPr="00ED2FF5">
        <w:t xml:space="preserve">.  </w:t>
      </w:r>
      <w:r>
        <w:t xml:space="preserve">Similarly, certain foreign individuals and entities that are </w:t>
      </w:r>
      <w:r w:rsidRPr="005E3E18">
        <w:t>limited partners</w:t>
      </w:r>
      <w:r>
        <w:t xml:space="preserve"> or members of the </w:t>
      </w:r>
      <w:r w:rsidRPr="005E3E18">
        <w:t>limited partnerships</w:t>
      </w:r>
      <w:r>
        <w:t xml:space="preserve"> (LPs) </w:t>
      </w:r>
      <w:r w:rsidRPr="00CC69A5">
        <w:t>or</w:t>
      </w:r>
      <w:r>
        <w:t xml:space="preserve"> LLCs in </w:t>
      </w:r>
      <w:r w:rsidRPr="00ED2FF5">
        <w:t>Tampnet</w:t>
      </w:r>
      <w:r>
        <w:t>’s</w:t>
      </w:r>
      <w:r w:rsidRPr="00ED2FF5">
        <w:t xml:space="preserve"> vertical </w:t>
      </w:r>
      <w:r>
        <w:t xml:space="preserve">ownership </w:t>
      </w:r>
      <w:r w:rsidRPr="00ED2FF5">
        <w:t>chain</w:t>
      </w:r>
      <w:r>
        <w:t xml:space="preserve"> require</w:t>
      </w:r>
      <w:r w:rsidRPr="00ED2FF5">
        <w:t xml:space="preserve"> </w:t>
      </w:r>
      <w:r>
        <w:t xml:space="preserve">specific approval because, although their respective equity interests in Tampnet may be </w:t>
      </w:r>
      <w:r w:rsidRPr="0079147C">
        <w:rPr>
          <w:i/>
        </w:rPr>
        <w:t>de</w:t>
      </w:r>
      <w:r>
        <w:t xml:space="preserve"> </w:t>
      </w:r>
      <w:r w:rsidRPr="0079147C">
        <w:rPr>
          <w:i/>
        </w:rPr>
        <w:t>minimis</w:t>
      </w:r>
      <w:r>
        <w:t xml:space="preserve">, the record does not support a finding that the </w:t>
      </w:r>
      <w:r w:rsidRPr="005E3E18">
        <w:t>limited partner</w:t>
      </w:r>
      <w:r>
        <w:t xml:space="preserve">/member is “insulated” from active involvement in the management or operation of the </w:t>
      </w:r>
      <w:r w:rsidRPr="005E3E18">
        <w:t>LP</w:t>
      </w:r>
      <w:r>
        <w:t xml:space="preserve">/LLC.  As a result, the uninsulated partner/member is deemed to hold indirectly </w:t>
      </w:r>
      <w:r w:rsidRPr="00AA1071">
        <w:t xml:space="preserve">the same voting interest </w:t>
      </w:r>
      <w:r>
        <w:t xml:space="preserve">in Tampnet as is held or is deemed held, under the rules, by the </w:t>
      </w:r>
      <w:r w:rsidRPr="005E3E18">
        <w:t>LP</w:t>
      </w:r>
      <w:r w:rsidRPr="00B50609">
        <w:rPr>
          <w:b/>
        </w:rPr>
        <w:t>/</w:t>
      </w:r>
      <w:r>
        <w:t xml:space="preserve">LLC.  Thus, to the extent the LP/LLC holds or is deemed to hold a voting interest in Tampnet that requires specific approval, the uninsulated </w:t>
      </w:r>
      <w:r w:rsidRPr="005E3E18">
        <w:t>partners</w:t>
      </w:r>
      <w:r w:rsidRPr="00B50609">
        <w:rPr>
          <w:b/>
        </w:rPr>
        <w:t>/</w:t>
      </w:r>
      <w:r>
        <w:t>members also require specific approval.</w:t>
      </w:r>
      <w:r>
        <w:rPr>
          <w:rStyle w:val="FootnoteReference"/>
        </w:rPr>
        <w:footnoteReference w:id="129"/>
      </w:r>
    </w:p>
    <w:p w14:paraId="33596E83" w14:textId="66BFD2A7" w:rsidR="00615384" w:rsidRDefault="00615384" w:rsidP="00615384">
      <w:pPr>
        <w:pStyle w:val="ParaNum"/>
      </w:pPr>
      <w:r>
        <w:t>The Petition has identified for the record, in response to staff request, 85 foreign-organized entities that hold ownership interests indirectly in Tampnet that are not shown on the ownership diagram in Exhibit B.  Exhibit E of the Petition identifies each of these entities and their places of formation.  Tampnet states that none of these entities is required to be d</w:t>
      </w:r>
      <w:r w:rsidR="0037664D">
        <w:t>isclosed in the Petition under S</w:t>
      </w:r>
      <w:r>
        <w:t xml:space="preserve">ection 1.991(e)-(f) of the </w:t>
      </w:r>
      <w:r w:rsidR="0037664D">
        <w:t xml:space="preserve">Commission’s </w:t>
      </w:r>
      <w:r>
        <w:t>rules because none holds, directly or indirectly, a 10 percent or greater equity or voting interest in Tampnet.  Tampnet also asserts that these entities do not r</w:t>
      </w:r>
      <w:r w:rsidR="0037664D">
        <w:t>equire specific approval under S</w:t>
      </w:r>
      <w:r>
        <w:t xml:space="preserve">ection 1.991(i) because their indirect interests in Tampnet do not exceed 10 percent and are effectively insulated </w:t>
      </w:r>
      <w:r w:rsidRPr="001878D3">
        <w:t>within the mea</w:t>
      </w:r>
      <w:r w:rsidR="0037664D">
        <w:t>ning of S</w:t>
      </w:r>
      <w:r>
        <w:t>ection 1.993 of the</w:t>
      </w:r>
      <w:r w:rsidRPr="001878D3">
        <w:t xml:space="preserve"> </w:t>
      </w:r>
      <w:r w:rsidR="0037664D">
        <w:t xml:space="preserve">Commission’s </w:t>
      </w:r>
      <w:r w:rsidRPr="001878D3">
        <w:t>rules</w:t>
      </w:r>
      <w:r>
        <w:t>.</w:t>
      </w:r>
      <w:r>
        <w:rPr>
          <w:rStyle w:val="FootnoteReference"/>
        </w:rPr>
        <w:footnoteReference w:id="130"/>
      </w:r>
    </w:p>
    <w:p w14:paraId="08F1758E" w14:textId="432046AE" w:rsidR="00615384" w:rsidRPr="001878D3" w:rsidRDefault="00615384" w:rsidP="00615384">
      <w:pPr>
        <w:pStyle w:val="ParaNum"/>
      </w:pPr>
      <w:r>
        <w:t xml:space="preserve">Tampnet explains that the 85 foreign-organized entities listed in Exhibit E hold their interests in Tampnet through three “feeder” entities in the Tampnet ownership structure: </w:t>
      </w:r>
      <w:r w:rsidR="000425C7">
        <w:t xml:space="preserve"> </w:t>
      </w:r>
      <w:r>
        <w:t>SEP Holdings, B.V. (SEP Holdings); CBTJ Financial Services, B.V. (CBTJ); and EQT Holdings Cooperatief, W.A. (EQT Holdings Cooperatief).</w:t>
      </w:r>
      <w:r>
        <w:rPr>
          <w:rStyle w:val="FootnoteReference"/>
        </w:rPr>
        <w:footnoteReference w:id="131"/>
      </w:r>
      <w:r>
        <w:t xml:space="preserve">  Tampnet states that </w:t>
      </w:r>
      <w:r>
        <w:rPr>
          <w:szCs w:val="22"/>
        </w:rPr>
        <w:t xml:space="preserve">the organizational documents for the three “feeder” entities do not </w:t>
      </w:r>
      <w:r w:rsidRPr="001878D3">
        <w:rPr>
          <w:szCs w:val="22"/>
        </w:rPr>
        <w:t>contain</w:t>
      </w:r>
      <w:r>
        <w:rPr>
          <w:szCs w:val="22"/>
        </w:rPr>
        <w:t xml:space="preserve"> language that explicitly insulates the 85 foreign-organized entities listed in Exhibit E.</w:t>
      </w:r>
      <w:r>
        <w:rPr>
          <w:rStyle w:val="FootnoteReference"/>
          <w:szCs w:val="22"/>
        </w:rPr>
        <w:footnoteReference w:id="132"/>
      </w:r>
      <w:r>
        <w:rPr>
          <w:szCs w:val="22"/>
        </w:rPr>
        <w:t xml:space="preserve">  However, Tampnet has supplemented its Petition with a certification from each of the three “feeder” entities </w:t>
      </w:r>
      <w:r>
        <w:t>stating that, notwithstanding any provision of the company’s articles of association or any other agreement, no foreign share owner of the company that has not received the Commission’s specific approval is, or will be, engaged in active involvement in the management or operation of the company, Tampnet AS, or Tampnet, any subsidiaries of Tampnet, or any of their successors-in-interest (referred to collectively as the “Covered Entities”).</w:t>
      </w:r>
      <w:r>
        <w:rPr>
          <w:rStyle w:val="FootnoteReference"/>
        </w:rPr>
        <w:footnoteReference w:id="133"/>
      </w:r>
      <w:r>
        <w:t xml:space="preserve">  We find that </w:t>
      </w:r>
      <w:r w:rsidRPr="001878D3">
        <w:rPr>
          <w:szCs w:val="22"/>
        </w:rPr>
        <w:t>the certification</w:t>
      </w:r>
      <w:r>
        <w:rPr>
          <w:szCs w:val="22"/>
        </w:rPr>
        <w:t>s</w:t>
      </w:r>
      <w:r w:rsidRPr="001878D3">
        <w:rPr>
          <w:szCs w:val="22"/>
        </w:rPr>
        <w:t xml:space="preserve"> provided </w:t>
      </w:r>
      <w:r>
        <w:rPr>
          <w:szCs w:val="22"/>
        </w:rPr>
        <w:t xml:space="preserve">for the record </w:t>
      </w:r>
      <w:r w:rsidRPr="001878D3">
        <w:rPr>
          <w:szCs w:val="22"/>
        </w:rPr>
        <w:t xml:space="preserve">satisfy the concerns underlying the insulation criteria in </w:t>
      </w:r>
      <w:r w:rsidR="00AA69B2">
        <w:rPr>
          <w:szCs w:val="22"/>
        </w:rPr>
        <w:t>S</w:t>
      </w:r>
      <w:r w:rsidRPr="001878D3">
        <w:rPr>
          <w:szCs w:val="22"/>
        </w:rPr>
        <w:t>ection 1.993 of the Commission’s rules.</w:t>
      </w:r>
      <w:r w:rsidRPr="001878D3">
        <w:rPr>
          <w:rStyle w:val="FootnoteReference"/>
          <w:szCs w:val="22"/>
        </w:rPr>
        <w:footnoteReference w:id="134"/>
      </w:r>
      <w:r w:rsidRPr="001878D3">
        <w:rPr>
          <w:szCs w:val="22"/>
        </w:rPr>
        <w:t xml:space="preserve"> </w:t>
      </w:r>
      <w:r>
        <w:t xml:space="preserve"> </w:t>
      </w:r>
      <w:r w:rsidRPr="001878D3">
        <w:t xml:space="preserve">Based on </w:t>
      </w:r>
      <w:r>
        <w:t xml:space="preserve">the </w:t>
      </w:r>
      <w:r w:rsidRPr="001878D3">
        <w:t>certification</w:t>
      </w:r>
      <w:r>
        <w:t>s</w:t>
      </w:r>
      <w:r w:rsidRPr="001878D3">
        <w:t xml:space="preserve"> </w:t>
      </w:r>
      <w:r>
        <w:t xml:space="preserve">of </w:t>
      </w:r>
      <w:r>
        <w:rPr>
          <w:szCs w:val="22"/>
        </w:rPr>
        <w:t xml:space="preserve">SEP Holdings, </w:t>
      </w:r>
      <w:r>
        <w:t xml:space="preserve">CBTJ, and EQT Cooperatief, </w:t>
      </w:r>
      <w:r w:rsidRPr="001878D3">
        <w:t xml:space="preserve">we find that the </w:t>
      </w:r>
      <w:r>
        <w:t xml:space="preserve">foreign-organized entities listed in Exhibit E of the Petition are exempt from </w:t>
      </w:r>
      <w:r w:rsidRPr="001878D3">
        <w:rPr>
          <w:szCs w:val="22"/>
        </w:rPr>
        <w:t xml:space="preserve">specific approval </w:t>
      </w:r>
      <w:r>
        <w:rPr>
          <w:szCs w:val="22"/>
        </w:rPr>
        <w:t xml:space="preserve">pursuant to </w:t>
      </w:r>
      <w:r w:rsidR="00EB6341">
        <w:rPr>
          <w:szCs w:val="22"/>
        </w:rPr>
        <w:t>S</w:t>
      </w:r>
      <w:r w:rsidRPr="001878D3">
        <w:rPr>
          <w:szCs w:val="22"/>
        </w:rPr>
        <w:t>ection 1.991(i)</w:t>
      </w:r>
      <w:r>
        <w:rPr>
          <w:szCs w:val="22"/>
        </w:rPr>
        <w:t>(3)</w:t>
      </w:r>
      <w:r w:rsidRPr="001878D3">
        <w:rPr>
          <w:szCs w:val="22"/>
        </w:rPr>
        <w:t>.</w:t>
      </w:r>
    </w:p>
    <w:p w14:paraId="32377385" w14:textId="3DDE99D8" w:rsidR="00615384" w:rsidRPr="001878D3" w:rsidRDefault="00615384" w:rsidP="00615384">
      <w:pPr>
        <w:pStyle w:val="ParaNum"/>
      </w:pPr>
      <w:r w:rsidRPr="001878D3">
        <w:rPr>
          <w:i/>
        </w:rPr>
        <w:t>Section 310(b)(4) Declaratory Ruling</w:t>
      </w:r>
      <w:r w:rsidRPr="001878D3">
        <w:t xml:space="preserve">.  We grant </w:t>
      </w:r>
      <w:r>
        <w:t xml:space="preserve">Tampnet’s </w:t>
      </w:r>
      <w:r w:rsidRPr="001878D3">
        <w:t xml:space="preserve">Petition subject to the conditions set out below.  We received no comments objecting to grant of the Petition, and the </w:t>
      </w:r>
      <w:r>
        <w:t xml:space="preserve">Agencies </w:t>
      </w:r>
      <w:r w:rsidRPr="001878D3">
        <w:t>ha</w:t>
      </w:r>
      <w:r>
        <w:t>ve</w:t>
      </w:r>
      <w:r w:rsidRPr="001878D3">
        <w:t xml:space="preserve"> advised the Commission that </w:t>
      </w:r>
      <w:r>
        <w:t>they have</w:t>
      </w:r>
      <w:r w:rsidRPr="001878D3">
        <w:t xml:space="preserve"> no objection to the Commission approving the authority sought provided that the Commission conditions its approval on the compliance by </w:t>
      </w:r>
      <w:r>
        <w:t xml:space="preserve">Tampnet </w:t>
      </w:r>
      <w:r w:rsidRPr="001878D3">
        <w:t xml:space="preserve">and </w:t>
      </w:r>
      <w:r>
        <w:t xml:space="preserve">Tampnet AS </w:t>
      </w:r>
      <w:r w:rsidRPr="001878D3">
        <w:t>with the commitments and undertakings set forth in the</w:t>
      </w:r>
      <w:r>
        <w:t xml:space="preserve"> June 8, 2016, </w:t>
      </w:r>
      <w:r w:rsidRPr="001878D3">
        <w:t xml:space="preserve">Agreement </w:t>
      </w:r>
      <w:r>
        <w:t xml:space="preserve">between Tampnet, Tampnet AS, and the </w:t>
      </w:r>
      <w:r w:rsidRPr="001878D3">
        <w:t>DOJ.</w:t>
      </w:r>
      <w:r w:rsidRPr="008A477D">
        <w:rPr>
          <w:sz w:val="20"/>
          <w:vertAlign w:val="superscript"/>
        </w:rPr>
        <w:footnoteReference w:id="135"/>
      </w:r>
      <w:r w:rsidRPr="001878D3">
        <w:t xml:space="preserve">  We find that </w:t>
      </w:r>
      <w:r>
        <w:t xml:space="preserve">grant of the Petition </w:t>
      </w:r>
      <w:r w:rsidRPr="001878D3">
        <w:t xml:space="preserve">will serve the public interest by </w:t>
      </w:r>
      <w:r w:rsidRPr="0097390F">
        <w:t xml:space="preserve">providing Tampnet </w:t>
      </w:r>
      <w:r>
        <w:t xml:space="preserve">Licensee </w:t>
      </w:r>
      <w:r w:rsidRPr="0097390F">
        <w:t xml:space="preserve">with the authority required under </w:t>
      </w:r>
      <w:r w:rsidR="000425C7">
        <w:t>S</w:t>
      </w:r>
      <w:r w:rsidRPr="0097390F">
        <w:t xml:space="preserve">ection 310(b) of the Act to </w:t>
      </w:r>
      <w:r>
        <w:t xml:space="preserve">acquire and operate common carrier wireless facilities.  Such authorization should facilitate Tampnet’s ability </w:t>
      </w:r>
      <w:r w:rsidRPr="0097390F">
        <w:t xml:space="preserve">to reach additional customers and </w:t>
      </w:r>
      <w:r>
        <w:t xml:space="preserve">strengthen its ability </w:t>
      </w:r>
      <w:r w:rsidRPr="0097390F">
        <w:t>to compete in the provision of a variety of wireless products and services in the Gulf of Mexico to serve the unique needs of customers in that area.</w:t>
      </w:r>
      <w:r w:rsidRPr="001878D3">
        <w:t xml:space="preserve">  As explained </w:t>
      </w:r>
      <w:r w:rsidR="000425C7">
        <w:t>above</w:t>
      </w:r>
      <w:r w:rsidRPr="001878D3">
        <w:t xml:space="preserve">, </w:t>
      </w:r>
      <w:r w:rsidRPr="00AA08CF">
        <w:t xml:space="preserve">we find </w:t>
      </w:r>
      <w:r w:rsidR="005C08EA" w:rsidRPr="004746CE">
        <w:t xml:space="preserve">that the likelihood of </w:t>
      </w:r>
      <w:r w:rsidR="00A95615">
        <w:t xml:space="preserve">public interest </w:t>
      </w:r>
      <w:r w:rsidR="005C08EA" w:rsidRPr="004746CE">
        <w:t>harm</w:t>
      </w:r>
      <w:r w:rsidR="00A95615">
        <w:t>s</w:t>
      </w:r>
      <w:r w:rsidR="005C08EA" w:rsidRPr="004746CE">
        <w:t xml:space="preserve"> is low and the potential public interest benefits outweigh </w:t>
      </w:r>
      <w:r w:rsidR="00A95615">
        <w:t>any</w:t>
      </w:r>
      <w:r w:rsidR="005C08EA" w:rsidRPr="004746CE">
        <w:t xml:space="preserve"> harm</w:t>
      </w:r>
      <w:r w:rsidR="00A95615">
        <w:t>s</w:t>
      </w:r>
      <w:r w:rsidRPr="001878D3">
        <w:t xml:space="preserve">.  Thus, pursuant to the rules and policies established by the Commission’s </w:t>
      </w:r>
      <w:r w:rsidRPr="001878D3">
        <w:rPr>
          <w:i/>
        </w:rPr>
        <w:t>2013 Foreign Ownership Second Report and Order</w:t>
      </w:r>
      <w:r w:rsidRPr="001878D3">
        <w:t xml:space="preserve">, we find that the public interest would not be served by prohibiting foreign ownership of </w:t>
      </w:r>
      <w:r>
        <w:t xml:space="preserve">Tampnet </w:t>
      </w:r>
      <w:r w:rsidRPr="001878D3">
        <w:t>in excess of the 25</w:t>
      </w:r>
      <w:r>
        <w:t xml:space="preserve"> percent</w:t>
      </w:r>
      <w:r w:rsidRPr="001878D3">
        <w:t xml:space="preserve"> benchmark in </w:t>
      </w:r>
      <w:r w:rsidR="00EB6341">
        <w:t>S</w:t>
      </w:r>
      <w:r w:rsidRPr="001878D3">
        <w:t>ection 310(b)(4) of the Act.</w:t>
      </w:r>
    </w:p>
    <w:p w14:paraId="1457923B" w14:textId="065A7DA7" w:rsidR="00615384" w:rsidRPr="001878D3" w:rsidRDefault="00615384" w:rsidP="0045130C">
      <w:pPr>
        <w:pStyle w:val="ParaNum"/>
        <w:widowControl/>
      </w:pPr>
      <w:r w:rsidRPr="001878D3">
        <w:t xml:space="preserve">Specifically, this ruling permits aggregate foreign ownership of </w:t>
      </w:r>
      <w:r>
        <w:t>Tampnet, as the controlling U.S.-organized parent of Tampnet Licensee,</w:t>
      </w:r>
      <w:r w:rsidRPr="001878D3">
        <w:t xml:space="preserve"> to exceed, directly and/or indirectly, 25</w:t>
      </w:r>
      <w:r>
        <w:t xml:space="preserve"> percent </w:t>
      </w:r>
      <w:r w:rsidRPr="001878D3">
        <w:t xml:space="preserve">of </w:t>
      </w:r>
      <w:r>
        <w:t xml:space="preserve">Tampnet’s </w:t>
      </w:r>
      <w:r w:rsidRPr="001878D3">
        <w:t>equity and/or voting interests, subject to the terms and con</w:t>
      </w:r>
      <w:r w:rsidR="000704FE">
        <w:t xml:space="preserve">ditions set forth </w:t>
      </w:r>
      <w:r w:rsidR="00FE3A4C">
        <w:t xml:space="preserve">herein </w:t>
      </w:r>
      <w:r w:rsidR="000704FE">
        <w:t>and in S</w:t>
      </w:r>
      <w:r w:rsidRPr="001878D3">
        <w:t xml:space="preserve">ection 1.994 of the Commission’s rules, including the requirement to obtain Commission approval before </w:t>
      </w:r>
      <w:r>
        <w:t xml:space="preserve">Tampnet’s </w:t>
      </w:r>
      <w:r w:rsidRPr="001878D3">
        <w:t xml:space="preserve">foreign ownership exceeds the terms and conditions of this ruling.  In addition, this ruling specifically permits </w:t>
      </w:r>
      <w:r>
        <w:t xml:space="preserve">the foreign individuals and entities listed in Exhibit C-1 of the Petition (which is included as </w:t>
      </w:r>
      <w:r w:rsidR="000704FE" w:rsidRPr="008A477D">
        <w:t xml:space="preserve">Appendix </w:t>
      </w:r>
      <w:r w:rsidR="00181838">
        <w:t>B</w:t>
      </w:r>
      <w:r>
        <w:t xml:space="preserve"> to this Order) </w:t>
      </w:r>
      <w:r w:rsidRPr="001878D3">
        <w:t xml:space="preserve">to hold equity and/or voting interests directly and/or indirectly in </w:t>
      </w:r>
      <w:r>
        <w:t xml:space="preserve">Tampnet in the amounts specified in </w:t>
      </w:r>
      <w:r w:rsidRPr="008A477D">
        <w:t>Appendix</w:t>
      </w:r>
      <w:r w:rsidRPr="000704FE">
        <w:t xml:space="preserve"> </w:t>
      </w:r>
      <w:r w:rsidR="00181838">
        <w:t>B</w:t>
      </w:r>
      <w:r>
        <w:t xml:space="preserve">.  This ruling also </w:t>
      </w:r>
      <w:r w:rsidR="000704FE">
        <w:t>grants advance approval, under S</w:t>
      </w:r>
      <w:r w:rsidRPr="001878D3">
        <w:t>ection 1</w:t>
      </w:r>
      <w:r>
        <w:t xml:space="preserve">.991(k)(2) of the rules, for the foreign investors named in </w:t>
      </w:r>
      <w:r w:rsidRPr="008A477D">
        <w:t>Appendix</w:t>
      </w:r>
      <w:r w:rsidRPr="000704FE">
        <w:t xml:space="preserve"> </w:t>
      </w:r>
      <w:r w:rsidR="00181838">
        <w:t>B</w:t>
      </w:r>
      <w:r>
        <w:t xml:space="preserve"> </w:t>
      </w:r>
      <w:r w:rsidRPr="001878D3">
        <w:t xml:space="preserve">to increase their respective </w:t>
      </w:r>
      <w:r>
        <w:t xml:space="preserve">equity and/or voting </w:t>
      </w:r>
      <w:r w:rsidRPr="001878D3">
        <w:t>interests</w:t>
      </w:r>
      <w:r>
        <w:t xml:space="preserve"> in Tampnet</w:t>
      </w:r>
      <w:r w:rsidRPr="001878D3">
        <w:t xml:space="preserve"> up to and including a non-controlling 49.99</w:t>
      </w:r>
      <w:r>
        <w:t xml:space="preserve"> percent</w:t>
      </w:r>
      <w:r w:rsidRPr="001878D3">
        <w:t xml:space="preserve"> equity and/or voting interest</w:t>
      </w:r>
      <w:r>
        <w:t xml:space="preserve"> (to the extent their current interests shown in Appendix </w:t>
      </w:r>
      <w:r w:rsidR="00181838">
        <w:t>B</w:t>
      </w:r>
      <w:r>
        <w:t xml:space="preserve"> fall at or below 49.99 percent).  </w:t>
      </w:r>
      <w:r w:rsidRPr="001878D3">
        <w:t xml:space="preserve">Grant of the Petition is also conditioned on </w:t>
      </w:r>
      <w:r>
        <w:t>Tampnet</w:t>
      </w:r>
      <w:r w:rsidR="009D2373">
        <w:t>’s</w:t>
      </w:r>
      <w:r>
        <w:t xml:space="preserve"> and Tampnet AS’s </w:t>
      </w:r>
      <w:r w:rsidRPr="001878D3">
        <w:t>compliance with the commitments and undertakings set forth in the</w:t>
      </w:r>
      <w:r>
        <w:t>ir Agreement with the DOJ</w:t>
      </w:r>
      <w:r w:rsidRPr="001878D3">
        <w:t>.</w:t>
      </w:r>
    </w:p>
    <w:p w14:paraId="7EC015E8" w14:textId="228F5365" w:rsidR="007B650E" w:rsidRDefault="00615384" w:rsidP="009A47CE">
      <w:pPr>
        <w:pStyle w:val="ParaNum"/>
        <w:widowControl/>
      </w:pPr>
      <w:r>
        <w:t xml:space="preserve">We add that Tampnet Licensee, </w:t>
      </w:r>
      <w:r w:rsidR="000704FE">
        <w:t>pursuant to S</w:t>
      </w:r>
      <w:r>
        <w:t xml:space="preserve">ection 1.994(a)(1), is required to seek and obtain Commission approval before any foreign individual, entity, or “group” not specifically approved in this ruling acquires, directly and/or indirectly, more than </w:t>
      </w:r>
      <w:r w:rsidR="004A5EE7">
        <w:t xml:space="preserve">five </w:t>
      </w:r>
      <w:r>
        <w:t xml:space="preserve">percent of Tampnet’s equity and/or voting interests, or a controlling interest, with the exception of any foreign individual, entity, or “group” that acquires an equity and/or voting interest of </w:t>
      </w:r>
      <w:r w:rsidR="004A5EE7">
        <w:t xml:space="preserve">10 </w:t>
      </w:r>
      <w:r>
        <w:t xml:space="preserve">percent or less, </w:t>
      </w:r>
      <w:r w:rsidRPr="00C117BD">
        <w:rPr>
          <w:i/>
        </w:rPr>
        <w:t>provided</w:t>
      </w:r>
      <w:r>
        <w:t xml:space="preserve"> </w:t>
      </w:r>
      <w:r w:rsidRPr="00C117BD">
        <w:rPr>
          <w:i/>
        </w:rPr>
        <w:t>that</w:t>
      </w:r>
      <w:r>
        <w:t xml:space="preserve"> </w:t>
      </w:r>
      <w:r w:rsidR="000704FE">
        <w:t>the interest is exempt under S</w:t>
      </w:r>
      <w:r>
        <w:t xml:space="preserve">ection 1.991(i)(3) of the </w:t>
      </w:r>
      <w:r w:rsidR="000704FE">
        <w:t xml:space="preserve">Commission’s </w:t>
      </w:r>
      <w:r>
        <w:t>rules.</w:t>
      </w:r>
      <w:r>
        <w:rPr>
          <w:rStyle w:val="FootnoteReference"/>
        </w:rPr>
        <w:footnoteReference w:id="136"/>
      </w:r>
      <w:r>
        <w:t xml:space="preserve">  Tampnet Licensee </w:t>
      </w:r>
      <w:r w:rsidRPr="001878D3">
        <w:t xml:space="preserve">has an affirmative duty to monitor its foreign equity and voting interests, calculate these interests consistent with </w:t>
      </w:r>
      <w:r w:rsidRPr="00416E73">
        <w:t>the standards and criteria</w:t>
      </w:r>
      <w:r w:rsidR="000704FE">
        <w:t xml:space="preserve"> set forth in S</w:t>
      </w:r>
      <w:r w:rsidRPr="001878D3">
        <w:t>ections 1.992 through 1.993 of the Commission’s rules and otherwise ensure continuing compli</w:t>
      </w:r>
      <w:r w:rsidR="000704FE">
        <w:t>ance with the provisions of S</w:t>
      </w:r>
      <w:r w:rsidRPr="001878D3">
        <w:t>ection 310(b) of the Act.</w:t>
      </w:r>
    </w:p>
    <w:p w14:paraId="00985589" w14:textId="0EFDD53F" w:rsidR="007B650E" w:rsidRDefault="007B650E" w:rsidP="00974198">
      <w:pPr>
        <w:pStyle w:val="Heading2"/>
      </w:pPr>
      <w:bookmarkStart w:id="290" w:name="_Toc456165422"/>
      <w:bookmarkStart w:id="291" w:name="_Toc456165546"/>
      <w:bookmarkStart w:id="292" w:name="_Toc456166110"/>
      <w:bookmarkStart w:id="293" w:name="_Toc456701263"/>
      <w:bookmarkStart w:id="294" w:name="_Toc456702327"/>
      <w:bookmarkStart w:id="295" w:name="_Toc456859851"/>
      <w:bookmarkStart w:id="296" w:name="_Toc456863044"/>
      <w:r>
        <w:t xml:space="preserve">National Security, Law Enforcement, Foreign Policy, and Trade </w:t>
      </w:r>
      <w:r w:rsidR="00615384">
        <w:t>Policy</w:t>
      </w:r>
      <w:bookmarkEnd w:id="290"/>
      <w:bookmarkEnd w:id="291"/>
      <w:bookmarkEnd w:id="292"/>
      <w:bookmarkEnd w:id="293"/>
      <w:bookmarkEnd w:id="294"/>
      <w:bookmarkEnd w:id="295"/>
      <w:bookmarkEnd w:id="296"/>
    </w:p>
    <w:p w14:paraId="7EDCD9A5" w14:textId="77777777" w:rsidR="00615384" w:rsidRPr="00BF0E0F" w:rsidRDefault="00615384" w:rsidP="00615384">
      <w:pPr>
        <w:pStyle w:val="ParaNum"/>
      </w:pPr>
      <w:r w:rsidRPr="001878D3">
        <w:t xml:space="preserve">When analyzing an </w:t>
      </w:r>
      <w:r w:rsidRPr="00DE033C">
        <w:t>application</w:t>
      </w:r>
      <w:r w:rsidRPr="001878D3">
        <w:t xml:space="preserve"> in which foreign investment is involved, we also consider any national security, law enforcement, foreign policy, or trade policy concerns raised by the Executive Branch.</w:t>
      </w:r>
      <w:r w:rsidRPr="001878D3">
        <w:rPr>
          <w:rStyle w:val="FootnoteReference"/>
          <w:szCs w:val="22"/>
        </w:rPr>
        <w:footnoteReference w:id="137"/>
      </w:r>
      <w:r w:rsidRPr="001878D3">
        <w:t xml:space="preserve">  </w:t>
      </w:r>
      <w:r w:rsidRPr="001878D3">
        <w:rPr>
          <w:szCs w:val="22"/>
        </w:rPr>
        <w:t xml:space="preserve">As noted above, </w:t>
      </w:r>
      <w:r>
        <w:rPr>
          <w:szCs w:val="22"/>
        </w:rPr>
        <w:t xml:space="preserve">Tampnet and Tampnet AS </w:t>
      </w:r>
      <w:r w:rsidRPr="001878D3">
        <w:rPr>
          <w:szCs w:val="22"/>
        </w:rPr>
        <w:t xml:space="preserve">have entered into </w:t>
      </w:r>
      <w:r>
        <w:rPr>
          <w:szCs w:val="22"/>
        </w:rPr>
        <w:t xml:space="preserve">an Agreement </w:t>
      </w:r>
      <w:r w:rsidRPr="001878D3">
        <w:rPr>
          <w:szCs w:val="22"/>
        </w:rPr>
        <w:t>with the DOJ addressing such concerns.</w:t>
      </w:r>
      <w:r w:rsidRPr="001878D3">
        <w:rPr>
          <w:rStyle w:val="FootnoteReference"/>
          <w:szCs w:val="22"/>
        </w:rPr>
        <w:footnoteReference w:id="138"/>
      </w:r>
    </w:p>
    <w:p w14:paraId="3B413159" w14:textId="3AEA88E2" w:rsidR="007B650E" w:rsidRPr="007B650E" w:rsidRDefault="00615384" w:rsidP="00615384">
      <w:pPr>
        <w:pStyle w:val="ParaNum"/>
      </w:pPr>
      <w:r w:rsidRPr="001878D3">
        <w:t>In assessing the public interest, we take into account the record and consider the national security, law enforcement, foreign policy</w:t>
      </w:r>
      <w:r>
        <w:t>,</w:t>
      </w:r>
      <w:r w:rsidRPr="001878D3">
        <w:t xml:space="preserve"> and trade </w:t>
      </w:r>
      <w:r>
        <w:t xml:space="preserve">policy </w:t>
      </w:r>
      <w:r w:rsidRPr="001878D3">
        <w:t>concerns raised by the Executive Branch as we undertake our independent public interest analysis.</w:t>
      </w:r>
      <w:r w:rsidRPr="001878D3">
        <w:rPr>
          <w:rStyle w:val="FootnoteReference"/>
          <w:szCs w:val="22"/>
        </w:rPr>
        <w:footnoteReference w:id="139"/>
      </w:r>
      <w:r w:rsidRPr="001878D3">
        <w:t xml:space="preserve">  As the Commission stated in the </w:t>
      </w:r>
      <w:r w:rsidRPr="001878D3">
        <w:rPr>
          <w:i/>
        </w:rPr>
        <w:t>Foreign Participation Order</w:t>
      </w:r>
      <w:r w:rsidRPr="001878D3">
        <w:t>, foreign participation in the U.S. telecommunications market may implicate significant national security or law enforcement issues uniquely within the expertise of the Executive Branch.</w:t>
      </w:r>
      <w:r w:rsidRPr="001878D3">
        <w:rPr>
          <w:rStyle w:val="FootnoteReference"/>
          <w:szCs w:val="22"/>
        </w:rPr>
        <w:footnoteReference w:id="140"/>
      </w:r>
      <w:r w:rsidRPr="001878D3">
        <w:t xml:space="preserve">  In accordance with the request of the DOJ, we condition our grant of the </w:t>
      </w:r>
      <w:r w:rsidRPr="008A477D">
        <w:t>Application</w:t>
      </w:r>
      <w:r w:rsidR="000704FE">
        <w:t>s</w:t>
      </w:r>
      <w:r w:rsidRPr="001878D3">
        <w:t xml:space="preserve"> and Petition on compliance </w:t>
      </w:r>
      <w:r>
        <w:t xml:space="preserve">by </w:t>
      </w:r>
      <w:r>
        <w:rPr>
          <w:szCs w:val="22"/>
        </w:rPr>
        <w:t>Tampnet and Tampnet AS</w:t>
      </w:r>
      <w:r w:rsidRPr="001878D3">
        <w:t xml:space="preserve"> with the commitments and undertakings set forth in the Agreement</w:t>
      </w:r>
      <w:r>
        <w:t xml:space="preserve"> </w:t>
      </w:r>
      <w:r w:rsidRPr="001878D3">
        <w:rPr>
          <w:szCs w:val="22"/>
        </w:rPr>
        <w:t>with the DOJ</w:t>
      </w:r>
      <w:r w:rsidRPr="001878D3">
        <w:t>.</w:t>
      </w:r>
    </w:p>
    <w:p w14:paraId="2B82408D" w14:textId="77777777" w:rsidR="006E3EA0" w:rsidRPr="00974198" w:rsidRDefault="006E3EA0" w:rsidP="002B43DD">
      <w:pPr>
        <w:pStyle w:val="Heading1"/>
      </w:pPr>
      <w:bookmarkStart w:id="297" w:name="_Toc419201475"/>
      <w:bookmarkStart w:id="298" w:name="_Toc419206336"/>
      <w:bookmarkStart w:id="299" w:name="_Toc419206932"/>
      <w:bookmarkStart w:id="300" w:name="_Toc419207010"/>
      <w:bookmarkStart w:id="301" w:name="_Toc419287182"/>
      <w:bookmarkStart w:id="302" w:name="_Toc419447054"/>
      <w:bookmarkStart w:id="303" w:name="_Toc419815673"/>
      <w:bookmarkStart w:id="304" w:name="_Toc420400644"/>
      <w:bookmarkStart w:id="305" w:name="_Toc420499772"/>
      <w:bookmarkStart w:id="306" w:name="_Toc426371656"/>
      <w:bookmarkStart w:id="307" w:name="_Toc431369392"/>
      <w:bookmarkStart w:id="308" w:name="_Toc432079511"/>
      <w:bookmarkStart w:id="309" w:name="_Toc433031352"/>
      <w:bookmarkStart w:id="310" w:name="_Toc433613272"/>
      <w:bookmarkStart w:id="311" w:name="_Toc433631092"/>
      <w:bookmarkStart w:id="312" w:name="_Toc433631155"/>
      <w:bookmarkStart w:id="313" w:name="_Toc433631220"/>
      <w:bookmarkStart w:id="314" w:name="_Toc433631274"/>
      <w:bookmarkStart w:id="315" w:name="_Toc433631618"/>
      <w:bookmarkStart w:id="316" w:name="_Toc434313064"/>
      <w:bookmarkStart w:id="317" w:name="_Toc456165423"/>
      <w:bookmarkStart w:id="318" w:name="_Toc456165547"/>
      <w:bookmarkStart w:id="319" w:name="_Toc456166111"/>
      <w:bookmarkStart w:id="320" w:name="_Toc456701264"/>
      <w:bookmarkStart w:id="321" w:name="_Toc456702328"/>
      <w:bookmarkStart w:id="322" w:name="_Toc456859852"/>
      <w:bookmarkStart w:id="323" w:name="_Toc456863045"/>
      <w:r w:rsidRPr="00974198">
        <w:t>ordering clauses</w:t>
      </w:r>
      <w:bookmarkEnd w:id="263"/>
      <w:bookmarkEnd w:id="264"/>
      <w:bookmarkEnd w:id="265"/>
      <w:bookmarkEnd w:id="266"/>
      <w:bookmarkEnd w:id="267"/>
      <w:bookmarkEnd w:id="268"/>
      <w:bookmarkEnd w:id="269"/>
      <w:bookmarkEnd w:id="270"/>
      <w:bookmarkEnd w:id="271"/>
      <w:bookmarkEnd w:id="272"/>
      <w:bookmarkEnd w:id="273"/>
      <w:bookmarkEnd w:id="274"/>
      <w:bookmarkEnd w:id="275"/>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p>
    <w:p w14:paraId="3EF322A3" w14:textId="15C23C48" w:rsidR="00087F8E" w:rsidRPr="007B650E" w:rsidRDefault="00087F8E" w:rsidP="00010BAD">
      <w:pPr>
        <w:pStyle w:val="ParaNum"/>
        <w:widowControl/>
      </w:pPr>
      <w:r w:rsidRPr="00FB1540">
        <w:t>ACCORDINGLY, having reviewed the Appl</w:t>
      </w:r>
      <w:r>
        <w:t>ication</w:t>
      </w:r>
      <w:r w:rsidR="00331D3E">
        <w:t>s</w:t>
      </w:r>
      <w:r>
        <w:t xml:space="preserve"> and the record in this</w:t>
      </w:r>
      <w:r w:rsidRPr="00FB1540">
        <w:t xml:space="preserve"> </w:t>
      </w:r>
      <w:r>
        <w:t>proceeding</w:t>
      </w:r>
      <w:r w:rsidRPr="00FB1540">
        <w:t xml:space="preserve">, IT IS ORDERED that, pursuant to </w:t>
      </w:r>
      <w:r w:rsidR="00DF553E">
        <w:t>S</w:t>
      </w:r>
      <w:r w:rsidRPr="00FB1540">
        <w:t>ections 4(i)</w:t>
      </w:r>
      <w:r w:rsidR="00D82A97">
        <w:t>-</w:t>
      </w:r>
      <w:r w:rsidRPr="00FB1540">
        <w:t xml:space="preserve">(j), </w:t>
      </w:r>
      <w:r w:rsidR="00615384">
        <w:t xml:space="preserve">214(a), </w:t>
      </w:r>
      <w:r w:rsidRPr="00FB1540">
        <w:t xml:space="preserve">303(r), 309, and 310(d) of the Communications Act of 1934, as amended, 47 U.S.C. </w:t>
      </w:r>
      <w:r w:rsidRPr="00D82A97">
        <w:t>§§ 154(i)</w:t>
      </w:r>
      <w:r w:rsidR="00D82A97" w:rsidRPr="008A477D">
        <w:t>-(j)</w:t>
      </w:r>
      <w:r w:rsidRPr="00FB1540">
        <w:t xml:space="preserve">, </w:t>
      </w:r>
      <w:r w:rsidR="00615384">
        <w:t xml:space="preserve">214(a), </w:t>
      </w:r>
      <w:r w:rsidRPr="00FB1540">
        <w:t>303(r), 309, 310(d),</w:t>
      </w:r>
      <w:r w:rsidRPr="00AB14EC">
        <w:rPr>
          <w:b/>
        </w:rPr>
        <w:t xml:space="preserve"> </w:t>
      </w:r>
      <w:r>
        <w:t>the application</w:t>
      </w:r>
      <w:r w:rsidR="00180325">
        <w:t>s</w:t>
      </w:r>
      <w:r w:rsidRPr="00FB1540">
        <w:t xml:space="preserve"> </w:t>
      </w:r>
      <w:r w:rsidR="00331D3E">
        <w:t xml:space="preserve">filed </w:t>
      </w:r>
      <w:r>
        <w:t xml:space="preserve">by </w:t>
      </w:r>
      <w:r w:rsidR="00BA3E89">
        <w:t>AT&amp;T Mobility Spectrum LLC, Tampnet Inc., Tampnet Licensee LLC, Broadpoint License Co., LLC, and Broadpoint Wireless License Co., LLC,</w:t>
      </w:r>
      <w:r w:rsidR="00AB14EC">
        <w:t xml:space="preserve"> </w:t>
      </w:r>
      <w:r w:rsidR="00331D3E" w:rsidRPr="00AB14EC">
        <w:rPr>
          <w:szCs w:val="22"/>
        </w:rPr>
        <w:t>are</w:t>
      </w:r>
      <w:r w:rsidRPr="00AB14EC">
        <w:rPr>
          <w:szCs w:val="22"/>
        </w:rPr>
        <w:t xml:space="preserve"> GRANTED.</w:t>
      </w:r>
    </w:p>
    <w:p w14:paraId="56537E6B" w14:textId="2BCE4CA6" w:rsidR="00615384" w:rsidRPr="00DA1E2B" w:rsidRDefault="00615384" w:rsidP="009A47CE">
      <w:pPr>
        <w:pStyle w:val="ParaNum"/>
        <w:widowControl/>
      </w:pPr>
      <w:r w:rsidRPr="00DA1E2B">
        <w:t>IT IS FURTHER ORDERED that, pursuant to Sections 4(i)-(j) and 310(b) of the Communica</w:t>
      </w:r>
      <w:r>
        <w:t>tions Act of 1934, as amended, 4</w:t>
      </w:r>
      <w:r w:rsidRPr="00DA1E2B">
        <w:t xml:space="preserve">7 U.S.C. </w:t>
      </w:r>
      <w:r w:rsidRPr="00D82A97">
        <w:t>§§ 154(i)-(j)</w:t>
      </w:r>
      <w:r w:rsidRPr="00DA1E2B">
        <w:t xml:space="preserve">, 310(b), and Section 1.2 of the Commission’s rules, 47 </w:t>
      </w:r>
      <w:r w:rsidR="00D82A97">
        <w:t>CFR</w:t>
      </w:r>
      <w:r w:rsidRPr="00DA1E2B">
        <w:t xml:space="preserve"> § 1.2, the Petition for Declaratory Ruling filed by </w:t>
      </w:r>
      <w:r>
        <w:t xml:space="preserve">Tampnet Inc. </w:t>
      </w:r>
      <w:r w:rsidRPr="00DA1E2B">
        <w:t>IS GRANTED to the extent set forth herein, and otherwise DENIED.</w:t>
      </w:r>
    </w:p>
    <w:p w14:paraId="5C25AF61" w14:textId="5491F850" w:rsidR="00615384" w:rsidRPr="00DA1E2B" w:rsidRDefault="00615384" w:rsidP="002851F1">
      <w:pPr>
        <w:pStyle w:val="ParaNum"/>
        <w:widowControl/>
      </w:pPr>
      <w:r w:rsidRPr="00DA1E2B">
        <w:t xml:space="preserve">IT IS FURTHER ORDERED that, pursuant to Sections 4(i)-(j) and 310(b) of the Communications Act of 1934, as amended, 47 U.S.C. </w:t>
      </w:r>
      <w:r w:rsidRPr="00D82A97">
        <w:t>§§ 154(i)-(j)</w:t>
      </w:r>
      <w:r w:rsidRPr="00DA1E2B">
        <w:t xml:space="preserve">, 310(b), and Section 1.41 of the Commission’s rules, 47 </w:t>
      </w:r>
      <w:r w:rsidR="00D82A97">
        <w:t>CFR</w:t>
      </w:r>
      <w:r w:rsidRPr="00DA1E2B">
        <w:t xml:space="preserve"> § 1.41, the Peti</w:t>
      </w:r>
      <w:r w:rsidR="000704FE">
        <w:t>tion T</w:t>
      </w:r>
      <w:r w:rsidRPr="00DA1E2B">
        <w:t xml:space="preserve">o Adopt Conditions </w:t>
      </w:r>
      <w:r>
        <w:t xml:space="preserve">filed by </w:t>
      </w:r>
      <w:r w:rsidRPr="001878D3">
        <w:t>t</w:t>
      </w:r>
      <w:r>
        <w:t>he Department of Justice</w:t>
      </w:r>
      <w:r w:rsidRPr="001878D3">
        <w:t xml:space="preserve">, including the Federal Bureau of Investigation, </w:t>
      </w:r>
      <w:r>
        <w:t xml:space="preserve">with </w:t>
      </w:r>
      <w:r w:rsidRPr="001878D3">
        <w:t xml:space="preserve">the </w:t>
      </w:r>
      <w:r>
        <w:t>concurrence of the Department of Homeland Security</w:t>
      </w:r>
      <w:r w:rsidRPr="001878D3">
        <w:t>, and the Department of Defense</w:t>
      </w:r>
      <w:r w:rsidR="009C2C39">
        <w:t>,</w:t>
      </w:r>
      <w:r w:rsidRPr="001878D3">
        <w:t xml:space="preserve"> </w:t>
      </w:r>
      <w:r w:rsidRPr="00DA1E2B">
        <w:t>IS GRANTED.</w:t>
      </w:r>
    </w:p>
    <w:p w14:paraId="2CC5F448" w14:textId="2D91CA66" w:rsidR="00615384" w:rsidRPr="00DA1E2B" w:rsidRDefault="00615384" w:rsidP="00615384">
      <w:pPr>
        <w:pStyle w:val="ParaNum"/>
      </w:pPr>
      <w:r w:rsidRPr="00DA1E2B">
        <w:t xml:space="preserve">IT IS FURTHER ORDERED that, pursuant to Sections 4(i)-(j), 214, 303(r), 309, 310(b), and 310(d) of the Communications Act of 1934, as amended, </w:t>
      </w:r>
      <w:r w:rsidRPr="00D82A97">
        <w:t>47 U.S.C. §§ 154(i)-(j)</w:t>
      </w:r>
      <w:r w:rsidRPr="00DA1E2B">
        <w:t>, 214, 303(r), 309</w:t>
      </w:r>
      <w:r w:rsidR="000704FE">
        <w:t>, 310(b), 310(d), grant of the A</w:t>
      </w:r>
      <w:r w:rsidRPr="00DA1E2B">
        <w:t xml:space="preserve">pplications and Petition for Declaratory Ruling IS CONDITIONED UPON compliance </w:t>
      </w:r>
      <w:r>
        <w:t xml:space="preserve">by Tampnet Inc. and Tampnet AS </w:t>
      </w:r>
      <w:r>
        <w:rPr>
          <w:szCs w:val="22"/>
        </w:rPr>
        <w:t>with the commitments and undertakings set forth in the June 8, 2016, Letter of Agreement</w:t>
      </w:r>
      <w:r w:rsidRPr="001878D3">
        <w:rPr>
          <w:szCs w:val="22"/>
        </w:rPr>
        <w:t xml:space="preserve"> </w:t>
      </w:r>
      <w:r>
        <w:rPr>
          <w:szCs w:val="22"/>
        </w:rPr>
        <w:t>between Tampnet Inc. and Tampnet AS, and the Department of Justice.</w:t>
      </w:r>
      <w:r w:rsidRPr="001878D3">
        <w:t xml:space="preserve"> </w:t>
      </w:r>
      <w:r>
        <w:t xml:space="preserve"> </w:t>
      </w:r>
      <w:r w:rsidRPr="00DA1E2B">
        <w:t>Any failure to comply and/or remain in compliance with any of these commitments and undertakings shall constitute a failure to meet a condition of the underlying authorizations and licenses and thus grounds for declaring the authorizations and licenses terminated without any further action on the part of the Commission.  Failure to meet a condition of the license may also result in monetary sanctions or other enforcement action by the Commission.</w:t>
      </w:r>
    </w:p>
    <w:p w14:paraId="108490A6" w14:textId="25475D65" w:rsidR="00087F8E" w:rsidRPr="000937DF" w:rsidRDefault="00087F8E" w:rsidP="007C02BF">
      <w:pPr>
        <w:pStyle w:val="ParaNum"/>
      </w:pPr>
      <w:r w:rsidRPr="00A64D81">
        <w:rPr>
          <w:snapToGrid/>
          <w:kern w:val="0"/>
          <w:szCs w:val="22"/>
        </w:rPr>
        <w:t xml:space="preserve">IT IS FURTHER ORDERED that this Order SHALL BE EFFECTIVE upon release.  Petitions for </w:t>
      </w:r>
      <w:r w:rsidRPr="00F80693">
        <w:t>reconsideration</w:t>
      </w:r>
      <w:r w:rsidRPr="00A64D81">
        <w:rPr>
          <w:snapToGrid/>
          <w:kern w:val="0"/>
          <w:szCs w:val="22"/>
        </w:rPr>
        <w:t xml:space="preserve"> under </w:t>
      </w:r>
      <w:r w:rsidR="001F79F7">
        <w:rPr>
          <w:snapToGrid/>
          <w:kern w:val="0"/>
          <w:szCs w:val="22"/>
        </w:rPr>
        <w:t>S</w:t>
      </w:r>
      <w:r w:rsidRPr="00A64D81">
        <w:rPr>
          <w:snapToGrid/>
          <w:kern w:val="0"/>
          <w:szCs w:val="22"/>
        </w:rPr>
        <w:t xml:space="preserve">ection 1.106 of the Commission's rules, 47 </w:t>
      </w:r>
      <w:r w:rsidR="00D82A97">
        <w:rPr>
          <w:snapToGrid/>
          <w:kern w:val="0"/>
          <w:szCs w:val="22"/>
        </w:rPr>
        <w:t>CFR</w:t>
      </w:r>
      <w:r w:rsidRPr="00A64D81">
        <w:rPr>
          <w:snapToGrid/>
          <w:kern w:val="0"/>
          <w:szCs w:val="22"/>
        </w:rPr>
        <w:t xml:space="preserve"> § 1.106, </w:t>
      </w:r>
      <w:r w:rsidR="001F79F7">
        <w:rPr>
          <w:snapToGrid/>
          <w:kern w:val="0"/>
          <w:szCs w:val="22"/>
        </w:rPr>
        <w:t xml:space="preserve">or applications for review under Section 1.115 of the Commission’s rules, 47 </w:t>
      </w:r>
      <w:r w:rsidR="00D82A97">
        <w:rPr>
          <w:snapToGrid/>
          <w:kern w:val="0"/>
          <w:szCs w:val="22"/>
        </w:rPr>
        <w:t>CFR</w:t>
      </w:r>
      <w:r w:rsidR="001F79F7">
        <w:rPr>
          <w:snapToGrid/>
          <w:kern w:val="0"/>
          <w:szCs w:val="22"/>
        </w:rPr>
        <w:t xml:space="preserve"> § 1.115, </w:t>
      </w:r>
      <w:r w:rsidRPr="00A64D81">
        <w:rPr>
          <w:snapToGrid/>
          <w:kern w:val="0"/>
          <w:szCs w:val="22"/>
        </w:rPr>
        <w:t xml:space="preserve">may be filed within thirty days of the date of </w:t>
      </w:r>
      <w:r>
        <w:rPr>
          <w:snapToGrid/>
          <w:kern w:val="0"/>
          <w:szCs w:val="22"/>
        </w:rPr>
        <w:t>release</w:t>
      </w:r>
      <w:r w:rsidRPr="00A64D81">
        <w:rPr>
          <w:snapToGrid/>
          <w:kern w:val="0"/>
          <w:szCs w:val="22"/>
        </w:rPr>
        <w:t xml:space="preserve"> of this Memorandum Opinion and Order.</w:t>
      </w:r>
    </w:p>
    <w:p w14:paraId="48ADE414" w14:textId="3DD6BA37" w:rsidR="00087F8E" w:rsidRDefault="00087F8E" w:rsidP="00974198">
      <w:pPr>
        <w:pStyle w:val="ParaNum"/>
      </w:pPr>
      <w:r w:rsidRPr="005211DB">
        <w:t xml:space="preserve">This action is taken under delegated authority pursuant to </w:t>
      </w:r>
      <w:r w:rsidR="007E2FD8">
        <w:t>S</w:t>
      </w:r>
      <w:r w:rsidRPr="005211DB">
        <w:t xml:space="preserve">ections </w:t>
      </w:r>
      <w:r w:rsidR="007E2FD8">
        <w:t xml:space="preserve">0.51, </w:t>
      </w:r>
      <w:r w:rsidRPr="005211DB">
        <w:t>0.131</w:t>
      </w:r>
      <w:r w:rsidR="007E2FD8">
        <w:t>, 0.261,</w:t>
      </w:r>
      <w:r w:rsidRPr="005211DB">
        <w:t xml:space="preserve"> and 0.331 of the Commission’s Rules, 47 </w:t>
      </w:r>
      <w:r w:rsidR="00D82A97">
        <w:t>CFR</w:t>
      </w:r>
      <w:r w:rsidRPr="005211DB">
        <w:t xml:space="preserve"> §§ </w:t>
      </w:r>
      <w:r w:rsidR="007E2FD8">
        <w:t xml:space="preserve">0.51, </w:t>
      </w:r>
      <w:r w:rsidRPr="005211DB">
        <w:t xml:space="preserve">0.131, </w:t>
      </w:r>
      <w:r w:rsidR="007E2FD8">
        <w:t xml:space="preserve">0.261, </w:t>
      </w:r>
      <w:r w:rsidRPr="005211DB">
        <w:t>0.331.</w:t>
      </w:r>
    </w:p>
    <w:p w14:paraId="5AD8B477" w14:textId="77777777" w:rsidR="00087F8E" w:rsidRDefault="00087F8E" w:rsidP="002B43DD">
      <w:pPr>
        <w:widowControl/>
        <w:ind w:left="3600" w:firstLine="720"/>
      </w:pPr>
      <w:r>
        <w:t>FEDERAL COMMUNICATIONS COMMISSION</w:t>
      </w:r>
    </w:p>
    <w:p w14:paraId="46902F51" w14:textId="77777777" w:rsidR="00087F8E" w:rsidRDefault="00087F8E" w:rsidP="002B43DD">
      <w:pPr>
        <w:widowControl/>
      </w:pPr>
    </w:p>
    <w:p w14:paraId="24741A75" w14:textId="77777777" w:rsidR="00087F8E" w:rsidRDefault="00087F8E" w:rsidP="002B43DD">
      <w:pPr>
        <w:widowControl/>
      </w:pPr>
    </w:p>
    <w:p w14:paraId="1527C0CA" w14:textId="77777777" w:rsidR="00087F8E" w:rsidRDefault="00087F8E" w:rsidP="002B43DD">
      <w:pPr>
        <w:widowControl/>
      </w:pPr>
    </w:p>
    <w:p w14:paraId="311BC765" w14:textId="77777777" w:rsidR="00087F8E" w:rsidRDefault="00087F8E" w:rsidP="002B43DD">
      <w:pPr>
        <w:widowControl/>
      </w:pPr>
    </w:p>
    <w:p w14:paraId="4A64DD0E" w14:textId="77777777" w:rsidR="007B3B03" w:rsidRDefault="007B3B03" w:rsidP="007B3B03">
      <w:pPr>
        <w:widowControl/>
        <w:ind w:left="3600" w:firstLine="720"/>
      </w:pPr>
      <w:r w:rsidRPr="005B7D2F">
        <w:t xml:space="preserve">Jon Wilkins </w:t>
      </w:r>
    </w:p>
    <w:p w14:paraId="25935C66" w14:textId="77777777" w:rsidR="00087F8E" w:rsidRDefault="00087F8E" w:rsidP="002B43DD">
      <w:pPr>
        <w:widowControl/>
        <w:ind w:left="3600" w:firstLine="720"/>
      </w:pPr>
      <w:r>
        <w:t>Chief</w:t>
      </w:r>
    </w:p>
    <w:p w14:paraId="214C7F3C" w14:textId="77777777" w:rsidR="00087F8E" w:rsidRDefault="00087F8E" w:rsidP="002B43DD">
      <w:pPr>
        <w:widowControl/>
        <w:ind w:left="3600" w:firstLine="720"/>
      </w:pPr>
      <w:r>
        <w:t>Wireless Telecommunications Bureau</w:t>
      </w:r>
    </w:p>
    <w:p w14:paraId="6D3B811A" w14:textId="77777777" w:rsidR="003E1691" w:rsidRDefault="003E1691" w:rsidP="002B43DD">
      <w:pPr>
        <w:widowControl/>
        <w:ind w:left="3600" w:firstLine="720"/>
      </w:pPr>
    </w:p>
    <w:p w14:paraId="59AD5C5E" w14:textId="77777777" w:rsidR="003E1691" w:rsidRDefault="003E1691" w:rsidP="002B43DD">
      <w:pPr>
        <w:widowControl/>
        <w:ind w:left="3600" w:firstLine="720"/>
      </w:pPr>
    </w:p>
    <w:p w14:paraId="0A0E0664" w14:textId="77777777" w:rsidR="0007777D" w:rsidRDefault="0007777D" w:rsidP="002B43DD">
      <w:pPr>
        <w:widowControl/>
        <w:ind w:left="3600" w:firstLine="720"/>
      </w:pPr>
    </w:p>
    <w:p w14:paraId="70BCF645" w14:textId="77777777" w:rsidR="0007777D" w:rsidRDefault="0007777D" w:rsidP="002B43DD">
      <w:pPr>
        <w:widowControl/>
        <w:ind w:left="3600" w:firstLine="720"/>
      </w:pPr>
    </w:p>
    <w:p w14:paraId="5717D5EF" w14:textId="1AEAB0DD" w:rsidR="0007777D" w:rsidRDefault="0007777D" w:rsidP="002B43DD">
      <w:pPr>
        <w:widowControl/>
        <w:ind w:left="3600" w:firstLine="720"/>
      </w:pPr>
      <w:r>
        <w:t>Mindel De La Torre</w:t>
      </w:r>
    </w:p>
    <w:p w14:paraId="388FDBD6" w14:textId="27F597EF" w:rsidR="0007777D" w:rsidRDefault="0007777D" w:rsidP="002B43DD">
      <w:pPr>
        <w:widowControl/>
        <w:ind w:left="3600" w:firstLine="720"/>
      </w:pPr>
      <w:r>
        <w:t>Chief</w:t>
      </w:r>
    </w:p>
    <w:p w14:paraId="01F17A83" w14:textId="13D262FA" w:rsidR="0007777D" w:rsidRDefault="0007777D" w:rsidP="002B43DD">
      <w:pPr>
        <w:widowControl/>
        <w:ind w:left="3600" w:firstLine="720"/>
      </w:pPr>
      <w:r>
        <w:t>International Bureau</w:t>
      </w:r>
    </w:p>
    <w:p w14:paraId="53A9A882" w14:textId="77777777" w:rsidR="00FF6F55" w:rsidRDefault="00FF6F55" w:rsidP="002B43DD">
      <w:pPr>
        <w:widowControl/>
        <w:ind w:left="3600" w:firstLine="720"/>
      </w:pPr>
    </w:p>
    <w:p w14:paraId="2EB25B6B" w14:textId="4E1F8C6A" w:rsidR="00E020AF" w:rsidRDefault="00E020AF">
      <w:pPr>
        <w:widowControl/>
      </w:pPr>
      <w:r>
        <w:br w:type="page"/>
      </w:r>
    </w:p>
    <w:p w14:paraId="6775C28B" w14:textId="77777777" w:rsidR="00E020AF" w:rsidRPr="00E020AF" w:rsidRDefault="00E020AF" w:rsidP="00E020AF">
      <w:pPr>
        <w:widowControl/>
        <w:jc w:val="center"/>
        <w:rPr>
          <w:snapToGrid/>
          <w:kern w:val="0"/>
        </w:rPr>
      </w:pPr>
      <w:r w:rsidRPr="00E020AF">
        <w:rPr>
          <w:b/>
          <w:snapToGrid/>
          <w:kern w:val="0"/>
        </w:rPr>
        <w:t>APPENDIX A</w:t>
      </w:r>
    </w:p>
    <w:p w14:paraId="2BB5329A" w14:textId="77777777" w:rsidR="00E020AF" w:rsidRDefault="00E020AF" w:rsidP="00E020AF">
      <w:pPr>
        <w:widowControl/>
        <w:jc w:val="center"/>
        <w:rPr>
          <w:snapToGrid/>
          <w:kern w:val="0"/>
        </w:rPr>
      </w:pPr>
    </w:p>
    <w:p w14:paraId="64877B15" w14:textId="3C89D3B5" w:rsidR="00181838" w:rsidRPr="00181838" w:rsidRDefault="00181838" w:rsidP="00E020AF">
      <w:pPr>
        <w:widowControl/>
        <w:jc w:val="center"/>
        <w:rPr>
          <w:b/>
          <w:snapToGrid/>
          <w:kern w:val="0"/>
        </w:rPr>
      </w:pPr>
      <w:r>
        <w:rPr>
          <w:b/>
          <w:snapToGrid/>
          <w:kern w:val="0"/>
        </w:rPr>
        <w:t>Applications Granted</w:t>
      </w:r>
    </w:p>
    <w:p w14:paraId="3E552C0B" w14:textId="77777777" w:rsidR="00181838" w:rsidRPr="00E020AF" w:rsidRDefault="00181838" w:rsidP="00181838">
      <w:pPr>
        <w:widowControl/>
        <w:rPr>
          <w:snapToGrid/>
          <w:kern w:val="0"/>
        </w:rPr>
      </w:pPr>
    </w:p>
    <w:p w14:paraId="61630B32" w14:textId="77777777" w:rsidR="00E020AF" w:rsidRPr="00E020AF" w:rsidRDefault="00E020AF" w:rsidP="00E020AF">
      <w:pPr>
        <w:keepNext/>
        <w:widowControl/>
        <w:spacing w:after="220"/>
        <w:outlineLvl w:val="0"/>
        <w:rPr>
          <w:b/>
          <w:snapToGrid/>
          <w:kern w:val="0"/>
          <w:sz w:val="20"/>
          <w:szCs w:val="22"/>
        </w:rPr>
      </w:pPr>
      <w:r w:rsidRPr="00E020AF">
        <w:rPr>
          <w:rFonts w:hAnsi="Times New Roman Bold"/>
          <w:b/>
          <w:bCs/>
          <w:caps/>
          <w:snapToGrid/>
          <w:kern w:val="0"/>
          <w:szCs w:val="22"/>
        </w:rPr>
        <w:t>Section 310(</w:t>
      </w:r>
      <w:r w:rsidRPr="00E020AF">
        <w:rPr>
          <w:b/>
          <w:snapToGrid/>
          <w:kern w:val="0"/>
          <w:szCs w:val="22"/>
        </w:rPr>
        <w:t>d) APPLICATIONS</w:t>
      </w:r>
    </w:p>
    <w:p w14:paraId="2FB1616B" w14:textId="77777777" w:rsidR="00E020AF" w:rsidRPr="00E020AF" w:rsidRDefault="00E020AF" w:rsidP="00E020AF">
      <w:pPr>
        <w:keepNext/>
        <w:widowControl/>
        <w:spacing w:after="220"/>
        <w:ind w:firstLine="720"/>
        <w:rPr>
          <w:snapToGrid/>
          <w:kern w:val="0"/>
          <w:szCs w:val="22"/>
        </w:rPr>
      </w:pPr>
      <w:r w:rsidRPr="00E020AF">
        <w:rPr>
          <w:snapToGrid/>
          <w:kern w:val="0"/>
          <w:szCs w:val="22"/>
        </w:rPr>
        <w:t xml:space="preserve">The applications for the assignment of licenses and long-term </w:t>
      </w:r>
      <w:r w:rsidRPr="00E020AF">
        <w:rPr>
          <w:i/>
          <w:snapToGrid/>
          <w:kern w:val="0"/>
          <w:szCs w:val="22"/>
        </w:rPr>
        <w:t xml:space="preserve">de facto </w:t>
      </w:r>
      <w:r w:rsidRPr="00E020AF">
        <w:rPr>
          <w:snapToGrid/>
          <w:kern w:val="0"/>
          <w:szCs w:val="22"/>
        </w:rPr>
        <w:t xml:space="preserve">transfer leasing arrangements </w:t>
      </w:r>
      <w:r w:rsidRPr="00E020AF">
        <w:rPr>
          <w:snapToGrid/>
          <w:kern w:val="0"/>
          <w:sz w:val="20"/>
          <w:szCs w:val="22"/>
        </w:rPr>
        <w:t>are granted.</w:t>
      </w:r>
    </w:p>
    <w:tbl>
      <w:tblPr>
        <w:tblW w:w="4979" w:type="pct"/>
        <w:tblCellMar>
          <w:left w:w="40" w:type="dxa"/>
          <w:right w:w="40" w:type="dxa"/>
        </w:tblCellMar>
        <w:tblLook w:val="0000" w:firstRow="0" w:lastRow="0" w:firstColumn="0" w:lastColumn="0" w:noHBand="0" w:noVBand="0"/>
      </w:tblPr>
      <w:tblGrid>
        <w:gridCol w:w="1390"/>
        <w:gridCol w:w="3600"/>
        <w:gridCol w:w="2972"/>
        <w:gridCol w:w="1438"/>
      </w:tblGrid>
      <w:tr w:rsidR="00E020AF" w:rsidRPr="00E020AF" w14:paraId="3E9EACE3" w14:textId="77777777" w:rsidTr="00136E77">
        <w:trPr>
          <w:cantSplit/>
          <w:trHeight w:val="173"/>
          <w:tblHeader/>
        </w:trPr>
        <w:tc>
          <w:tcPr>
            <w:tcW w:w="739" w:type="pct"/>
            <w:shd w:val="clear" w:color="C0C0C0" w:fill="auto"/>
          </w:tcPr>
          <w:p w14:paraId="42F3210F" w14:textId="77777777" w:rsidR="00E020AF" w:rsidRPr="00E020AF" w:rsidRDefault="00E020AF" w:rsidP="00E020AF">
            <w:pPr>
              <w:keepNext/>
              <w:widowControl/>
              <w:autoSpaceDE w:val="0"/>
              <w:autoSpaceDN w:val="0"/>
              <w:adjustRightInd w:val="0"/>
              <w:ind w:left="-40"/>
              <w:rPr>
                <w:b/>
                <w:snapToGrid/>
                <w:color w:val="000000"/>
                <w:kern w:val="0"/>
                <w:szCs w:val="22"/>
                <w:u w:val="single"/>
              </w:rPr>
            </w:pPr>
            <w:r w:rsidRPr="00E020AF">
              <w:rPr>
                <w:snapToGrid/>
                <w:kern w:val="0"/>
                <w:szCs w:val="22"/>
              </w:rPr>
              <w:br w:type="page"/>
            </w:r>
            <w:r w:rsidRPr="00E020AF">
              <w:rPr>
                <w:snapToGrid/>
                <w:kern w:val="0"/>
                <w:szCs w:val="22"/>
              </w:rPr>
              <w:br w:type="page"/>
            </w:r>
            <w:r w:rsidRPr="00E020AF">
              <w:rPr>
                <w:snapToGrid/>
                <w:kern w:val="0"/>
                <w:szCs w:val="22"/>
                <w:u w:val="single"/>
              </w:rPr>
              <w:br w:type="page"/>
            </w:r>
            <w:r w:rsidRPr="00E020AF">
              <w:rPr>
                <w:b/>
                <w:snapToGrid/>
                <w:color w:val="000000"/>
                <w:kern w:val="0"/>
                <w:szCs w:val="22"/>
                <w:u w:val="single"/>
              </w:rPr>
              <w:t>File No.</w:t>
            </w:r>
          </w:p>
          <w:p w14:paraId="04481877" w14:textId="77777777" w:rsidR="00E020AF" w:rsidRPr="00E020AF" w:rsidRDefault="00E020AF" w:rsidP="00E020AF">
            <w:pPr>
              <w:widowControl/>
              <w:autoSpaceDE w:val="0"/>
              <w:autoSpaceDN w:val="0"/>
              <w:adjustRightInd w:val="0"/>
              <w:ind w:left="-40"/>
              <w:rPr>
                <w:b/>
                <w:snapToGrid/>
                <w:color w:val="000000"/>
                <w:kern w:val="0"/>
                <w:szCs w:val="22"/>
                <w:u w:val="single"/>
              </w:rPr>
            </w:pPr>
          </w:p>
        </w:tc>
        <w:tc>
          <w:tcPr>
            <w:tcW w:w="1915" w:type="pct"/>
            <w:shd w:val="clear" w:color="C0C0C0" w:fill="auto"/>
          </w:tcPr>
          <w:p w14:paraId="5CDF42CE" w14:textId="77777777" w:rsidR="00E020AF" w:rsidRPr="00E020AF" w:rsidRDefault="00E020AF" w:rsidP="00E020AF">
            <w:pPr>
              <w:widowControl/>
              <w:autoSpaceDE w:val="0"/>
              <w:autoSpaceDN w:val="0"/>
              <w:adjustRightInd w:val="0"/>
              <w:ind w:left="-41"/>
              <w:rPr>
                <w:b/>
                <w:snapToGrid/>
                <w:color w:val="000000"/>
                <w:kern w:val="0"/>
                <w:szCs w:val="22"/>
                <w:u w:val="single"/>
              </w:rPr>
            </w:pPr>
            <w:r w:rsidRPr="00E020AF">
              <w:rPr>
                <w:b/>
                <w:snapToGrid/>
                <w:color w:val="000000"/>
                <w:kern w:val="0"/>
                <w:szCs w:val="22"/>
                <w:u w:val="single"/>
              </w:rPr>
              <w:t>Assignor or Lessor</w:t>
            </w:r>
          </w:p>
        </w:tc>
        <w:tc>
          <w:tcPr>
            <w:tcW w:w="1581" w:type="pct"/>
            <w:shd w:val="clear" w:color="C0C0C0" w:fill="auto"/>
          </w:tcPr>
          <w:p w14:paraId="7C12ADCD" w14:textId="77777777" w:rsidR="00E020AF" w:rsidRPr="00E020AF" w:rsidRDefault="00E020AF" w:rsidP="00E020AF">
            <w:pPr>
              <w:widowControl/>
              <w:autoSpaceDE w:val="0"/>
              <w:autoSpaceDN w:val="0"/>
              <w:adjustRightInd w:val="0"/>
              <w:ind w:hanging="40"/>
              <w:rPr>
                <w:b/>
                <w:snapToGrid/>
                <w:color w:val="000000"/>
                <w:kern w:val="0"/>
                <w:szCs w:val="22"/>
                <w:u w:val="single"/>
              </w:rPr>
            </w:pPr>
            <w:r w:rsidRPr="00E020AF">
              <w:rPr>
                <w:b/>
                <w:snapToGrid/>
                <w:color w:val="000000"/>
                <w:kern w:val="0"/>
                <w:szCs w:val="22"/>
                <w:u w:val="single"/>
              </w:rPr>
              <w:t>Assignee or Lessee</w:t>
            </w:r>
          </w:p>
        </w:tc>
        <w:tc>
          <w:tcPr>
            <w:tcW w:w="765" w:type="pct"/>
            <w:shd w:val="clear" w:color="C0C0C0" w:fill="auto"/>
          </w:tcPr>
          <w:p w14:paraId="73A290EC" w14:textId="77777777" w:rsidR="00E020AF" w:rsidRPr="00E020AF" w:rsidRDefault="00E020AF" w:rsidP="00E020AF">
            <w:pPr>
              <w:widowControl/>
              <w:autoSpaceDE w:val="0"/>
              <w:autoSpaceDN w:val="0"/>
              <w:adjustRightInd w:val="0"/>
              <w:ind w:hanging="40"/>
              <w:rPr>
                <w:b/>
                <w:snapToGrid/>
                <w:color w:val="000000"/>
                <w:kern w:val="0"/>
                <w:szCs w:val="22"/>
                <w:u w:val="single"/>
              </w:rPr>
            </w:pPr>
            <w:r w:rsidRPr="00E020AF">
              <w:rPr>
                <w:b/>
                <w:snapToGrid/>
                <w:color w:val="000000"/>
                <w:kern w:val="0"/>
                <w:szCs w:val="22"/>
                <w:u w:val="single"/>
              </w:rPr>
              <w:t>Lead Call Sign</w:t>
            </w:r>
          </w:p>
        </w:tc>
      </w:tr>
      <w:tr w:rsidR="00E020AF" w:rsidRPr="00E020AF" w14:paraId="18286AE0" w14:textId="77777777" w:rsidTr="00136E77">
        <w:trPr>
          <w:cantSplit/>
          <w:trHeight w:val="152"/>
        </w:trPr>
        <w:tc>
          <w:tcPr>
            <w:tcW w:w="739" w:type="pct"/>
            <w:shd w:val="clear" w:color="C0C0C0" w:fill="auto"/>
          </w:tcPr>
          <w:p w14:paraId="685B63BE" w14:textId="77777777" w:rsidR="00E020AF" w:rsidRPr="00E020AF" w:rsidRDefault="00E020AF" w:rsidP="00E020AF">
            <w:pPr>
              <w:keepNext/>
              <w:widowControl/>
              <w:tabs>
                <w:tab w:val="left" w:pos="720"/>
              </w:tabs>
              <w:ind w:left="-40"/>
              <w:rPr>
                <w:snapToGrid/>
                <w:kern w:val="0"/>
                <w:szCs w:val="22"/>
              </w:rPr>
            </w:pPr>
            <w:r w:rsidRPr="00E020AF">
              <w:rPr>
                <w:snapToGrid/>
                <w:color w:val="000000"/>
                <w:kern w:val="0"/>
                <w:szCs w:val="22"/>
              </w:rPr>
              <w:t>0006888586</w:t>
            </w:r>
          </w:p>
        </w:tc>
        <w:tc>
          <w:tcPr>
            <w:tcW w:w="1915" w:type="pct"/>
            <w:shd w:val="clear" w:color="C0C0C0" w:fill="auto"/>
          </w:tcPr>
          <w:p w14:paraId="150E63B7" w14:textId="77777777" w:rsidR="00E020AF" w:rsidRPr="00E020AF" w:rsidRDefault="00E020AF" w:rsidP="00E020AF">
            <w:pPr>
              <w:widowControl/>
              <w:rPr>
                <w:snapToGrid/>
                <w:kern w:val="0"/>
                <w:szCs w:val="22"/>
              </w:rPr>
            </w:pPr>
            <w:r w:rsidRPr="00E020AF">
              <w:rPr>
                <w:snapToGrid/>
                <w:kern w:val="0"/>
                <w:szCs w:val="22"/>
              </w:rPr>
              <w:t>Broadpoint License Co., LLC</w:t>
            </w:r>
          </w:p>
        </w:tc>
        <w:tc>
          <w:tcPr>
            <w:tcW w:w="1581" w:type="pct"/>
            <w:shd w:val="clear" w:color="C0C0C0" w:fill="auto"/>
          </w:tcPr>
          <w:p w14:paraId="64142856" w14:textId="77777777" w:rsidR="00E020AF" w:rsidRPr="00E020AF" w:rsidRDefault="00E020AF" w:rsidP="00E020AF">
            <w:pPr>
              <w:widowControl/>
              <w:ind w:hanging="40"/>
              <w:rPr>
                <w:snapToGrid/>
                <w:kern w:val="0"/>
                <w:szCs w:val="22"/>
              </w:rPr>
            </w:pPr>
            <w:r w:rsidRPr="00E020AF">
              <w:rPr>
                <w:snapToGrid/>
                <w:kern w:val="0"/>
                <w:szCs w:val="22"/>
              </w:rPr>
              <w:t>AT&amp;T Mobility Spectrum LLC</w:t>
            </w:r>
          </w:p>
        </w:tc>
        <w:tc>
          <w:tcPr>
            <w:tcW w:w="765" w:type="pct"/>
            <w:shd w:val="clear" w:color="C0C0C0" w:fill="auto"/>
          </w:tcPr>
          <w:p w14:paraId="745C68AB" w14:textId="77777777" w:rsidR="00E020AF" w:rsidRPr="00E020AF" w:rsidRDefault="00E020AF" w:rsidP="00E020AF">
            <w:pPr>
              <w:widowControl/>
              <w:ind w:hanging="40"/>
              <w:rPr>
                <w:snapToGrid/>
                <w:kern w:val="0"/>
                <w:szCs w:val="22"/>
              </w:rPr>
            </w:pPr>
            <w:r w:rsidRPr="00E020AF">
              <w:rPr>
                <w:snapToGrid/>
                <w:kern w:val="0"/>
                <w:szCs w:val="22"/>
              </w:rPr>
              <w:t>WQWD617</w:t>
            </w:r>
          </w:p>
        </w:tc>
      </w:tr>
      <w:tr w:rsidR="00E020AF" w:rsidRPr="00E020AF" w14:paraId="07013809" w14:textId="77777777" w:rsidTr="00136E77">
        <w:trPr>
          <w:cantSplit/>
          <w:trHeight w:hRule="exact" w:val="144"/>
        </w:trPr>
        <w:tc>
          <w:tcPr>
            <w:tcW w:w="739" w:type="pct"/>
            <w:shd w:val="clear" w:color="C0C0C0" w:fill="auto"/>
          </w:tcPr>
          <w:p w14:paraId="6198C580" w14:textId="77777777" w:rsidR="00E020AF" w:rsidRPr="00E020AF" w:rsidRDefault="00E020AF" w:rsidP="00E020AF">
            <w:pPr>
              <w:keepNext/>
              <w:widowControl/>
              <w:tabs>
                <w:tab w:val="left" w:pos="720"/>
              </w:tabs>
              <w:ind w:left="-40"/>
              <w:rPr>
                <w:snapToGrid/>
                <w:color w:val="000000"/>
                <w:kern w:val="0"/>
                <w:szCs w:val="22"/>
              </w:rPr>
            </w:pPr>
          </w:p>
        </w:tc>
        <w:tc>
          <w:tcPr>
            <w:tcW w:w="1915" w:type="pct"/>
            <w:shd w:val="clear" w:color="C0C0C0" w:fill="auto"/>
          </w:tcPr>
          <w:p w14:paraId="3CDDAD32" w14:textId="77777777" w:rsidR="00E020AF" w:rsidRPr="00E020AF" w:rsidRDefault="00E020AF" w:rsidP="00E020AF">
            <w:pPr>
              <w:widowControl/>
              <w:rPr>
                <w:snapToGrid/>
                <w:kern w:val="0"/>
                <w:szCs w:val="22"/>
              </w:rPr>
            </w:pPr>
          </w:p>
        </w:tc>
        <w:tc>
          <w:tcPr>
            <w:tcW w:w="1581" w:type="pct"/>
            <w:shd w:val="clear" w:color="C0C0C0" w:fill="auto"/>
          </w:tcPr>
          <w:p w14:paraId="1F4A2E02" w14:textId="77777777" w:rsidR="00E020AF" w:rsidRPr="00E020AF" w:rsidRDefault="00E020AF" w:rsidP="00E020AF">
            <w:pPr>
              <w:widowControl/>
              <w:ind w:hanging="40"/>
              <w:rPr>
                <w:snapToGrid/>
                <w:kern w:val="0"/>
                <w:szCs w:val="22"/>
              </w:rPr>
            </w:pPr>
          </w:p>
        </w:tc>
        <w:tc>
          <w:tcPr>
            <w:tcW w:w="765" w:type="pct"/>
            <w:shd w:val="clear" w:color="C0C0C0" w:fill="auto"/>
          </w:tcPr>
          <w:p w14:paraId="7BD3CA34" w14:textId="77777777" w:rsidR="00E020AF" w:rsidRPr="00E020AF" w:rsidRDefault="00E020AF" w:rsidP="00E020AF">
            <w:pPr>
              <w:widowControl/>
              <w:ind w:hanging="40"/>
              <w:rPr>
                <w:snapToGrid/>
                <w:kern w:val="0"/>
                <w:szCs w:val="22"/>
              </w:rPr>
            </w:pPr>
          </w:p>
        </w:tc>
      </w:tr>
      <w:tr w:rsidR="00E020AF" w:rsidRPr="00E020AF" w14:paraId="45D35415" w14:textId="77777777" w:rsidTr="00136E77">
        <w:trPr>
          <w:cantSplit/>
          <w:trHeight w:val="152"/>
        </w:trPr>
        <w:tc>
          <w:tcPr>
            <w:tcW w:w="739" w:type="pct"/>
            <w:shd w:val="clear" w:color="C0C0C0" w:fill="auto"/>
          </w:tcPr>
          <w:p w14:paraId="54CF7095" w14:textId="77777777" w:rsidR="00E020AF" w:rsidRPr="00E020AF" w:rsidRDefault="00E020AF" w:rsidP="00E020AF">
            <w:pPr>
              <w:keepNext/>
              <w:widowControl/>
              <w:tabs>
                <w:tab w:val="left" w:pos="720"/>
              </w:tabs>
              <w:ind w:left="-40"/>
              <w:rPr>
                <w:snapToGrid/>
                <w:color w:val="000000"/>
                <w:kern w:val="0"/>
                <w:szCs w:val="22"/>
              </w:rPr>
            </w:pPr>
            <w:r w:rsidRPr="00E020AF">
              <w:rPr>
                <w:snapToGrid/>
                <w:color w:val="000000"/>
                <w:kern w:val="0"/>
                <w:szCs w:val="22"/>
              </w:rPr>
              <w:t>7035CLNL15</w:t>
            </w:r>
          </w:p>
        </w:tc>
        <w:tc>
          <w:tcPr>
            <w:tcW w:w="1915" w:type="pct"/>
            <w:shd w:val="clear" w:color="C0C0C0" w:fill="auto"/>
          </w:tcPr>
          <w:p w14:paraId="351EF0A0" w14:textId="77777777" w:rsidR="00E020AF" w:rsidRPr="00E020AF" w:rsidRDefault="00E020AF" w:rsidP="00E020AF">
            <w:pPr>
              <w:widowControl/>
              <w:rPr>
                <w:snapToGrid/>
                <w:kern w:val="0"/>
                <w:szCs w:val="22"/>
              </w:rPr>
            </w:pPr>
            <w:r w:rsidRPr="00E020AF">
              <w:rPr>
                <w:snapToGrid/>
                <w:kern w:val="0"/>
                <w:szCs w:val="22"/>
              </w:rPr>
              <w:t>AT&amp;T Mobility Spectrum LLC</w:t>
            </w:r>
          </w:p>
        </w:tc>
        <w:tc>
          <w:tcPr>
            <w:tcW w:w="1581" w:type="pct"/>
            <w:shd w:val="clear" w:color="C0C0C0" w:fill="auto"/>
          </w:tcPr>
          <w:p w14:paraId="7F02048F" w14:textId="77777777" w:rsidR="00E020AF" w:rsidRPr="00E020AF" w:rsidRDefault="00E020AF" w:rsidP="00E020AF">
            <w:pPr>
              <w:widowControl/>
              <w:ind w:hanging="40"/>
              <w:rPr>
                <w:snapToGrid/>
                <w:kern w:val="0"/>
                <w:szCs w:val="22"/>
              </w:rPr>
            </w:pPr>
            <w:r w:rsidRPr="00E020AF">
              <w:rPr>
                <w:snapToGrid/>
                <w:kern w:val="0"/>
                <w:szCs w:val="22"/>
              </w:rPr>
              <w:t>Tampnet Licensee LLC</w:t>
            </w:r>
          </w:p>
        </w:tc>
        <w:tc>
          <w:tcPr>
            <w:tcW w:w="765" w:type="pct"/>
            <w:shd w:val="clear" w:color="C0C0C0" w:fill="auto"/>
          </w:tcPr>
          <w:p w14:paraId="0B75EB5F" w14:textId="77777777" w:rsidR="00E020AF" w:rsidRPr="00E020AF" w:rsidRDefault="00E020AF" w:rsidP="00E020AF">
            <w:pPr>
              <w:widowControl/>
              <w:ind w:hanging="40"/>
              <w:rPr>
                <w:snapToGrid/>
                <w:kern w:val="0"/>
                <w:szCs w:val="22"/>
              </w:rPr>
            </w:pPr>
            <w:r w:rsidRPr="00E020AF">
              <w:rPr>
                <w:snapToGrid/>
                <w:kern w:val="0"/>
                <w:szCs w:val="22"/>
              </w:rPr>
              <w:t>WQWD617</w:t>
            </w:r>
          </w:p>
        </w:tc>
      </w:tr>
      <w:tr w:rsidR="00E020AF" w:rsidRPr="00E020AF" w14:paraId="581DA6DD" w14:textId="77777777" w:rsidTr="00136E77">
        <w:trPr>
          <w:cantSplit/>
          <w:trHeight w:hRule="exact" w:val="144"/>
        </w:trPr>
        <w:tc>
          <w:tcPr>
            <w:tcW w:w="739" w:type="pct"/>
            <w:shd w:val="clear" w:color="C0C0C0" w:fill="auto"/>
          </w:tcPr>
          <w:p w14:paraId="574D88C9" w14:textId="77777777" w:rsidR="00E020AF" w:rsidRPr="00E020AF" w:rsidRDefault="00E020AF" w:rsidP="00E020AF">
            <w:pPr>
              <w:keepNext/>
              <w:widowControl/>
              <w:tabs>
                <w:tab w:val="left" w:pos="720"/>
              </w:tabs>
              <w:ind w:left="-40"/>
              <w:rPr>
                <w:snapToGrid/>
                <w:color w:val="000000"/>
                <w:kern w:val="0"/>
                <w:szCs w:val="22"/>
              </w:rPr>
            </w:pPr>
          </w:p>
        </w:tc>
        <w:tc>
          <w:tcPr>
            <w:tcW w:w="1915" w:type="pct"/>
            <w:shd w:val="clear" w:color="C0C0C0" w:fill="auto"/>
          </w:tcPr>
          <w:p w14:paraId="54857B15" w14:textId="77777777" w:rsidR="00E020AF" w:rsidRPr="00E020AF" w:rsidRDefault="00E020AF" w:rsidP="00E020AF">
            <w:pPr>
              <w:widowControl/>
              <w:rPr>
                <w:snapToGrid/>
                <w:kern w:val="0"/>
                <w:szCs w:val="22"/>
              </w:rPr>
            </w:pPr>
          </w:p>
        </w:tc>
        <w:tc>
          <w:tcPr>
            <w:tcW w:w="1581" w:type="pct"/>
            <w:shd w:val="clear" w:color="C0C0C0" w:fill="auto"/>
          </w:tcPr>
          <w:p w14:paraId="1FCFBC55" w14:textId="77777777" w:rsidR="00E020AF" w:rsidRPr="00E020AF" w:rsidRDefault="00E020AF" w:rsidP="00E020AF">
            <w:pPr>
              <w:widowControl/>
              <w:ind w:hanging="40"/>
              <w:rPr>
                <w:snapToGrid/>
                <w:kern w:val="0"/>
                <w:szCs w:val="22"/>
              </w:rPr>
            </w:pPr>
          </w:p>
        </w:tc>
        <w:tc>
          <w:tcPr>
            <w:tcW w:w="765" w:type="pct"/>
            <w:shd w:val="clear" w:color="C0C0C0" w:fill="auto"/>
          </w:tcPr>
          <w:p w14:paraId="7F78CB56" w14:textId="77777777" w:rsidR="00E020AF" w:rsidRPr="00E020AF" w:rsidRDefault="00E020AF" w:rsidP="00E020AF">
            <w:pPr>
              <w:widowControl/>
              <w:ind w:hanging="40"/>
              <w:rPr>
                <w:snapToGrid/>
                <w:kern w:val="0"/>
                <w:szCs w:val="22"/>
              </w:rPr>
            </w:pPr>
          </w:p>
        </w:tc>
      </w:tr>
      <w:tr w:rsidR="00E020AF" w:rsidRPr="00E020AF" w14:paraId="4C662AC3" w14:textId="77777777" w:rsidTr="00136E77">
        <w:trPr>
          <w:cantSplit/>
          <w:trHeight w:val="152"/>
        </w:trPr>
        <w:tc>
          <w:tcPr>
            <w:tcW w:w="739" w:type="pct"/>
            <w:shd w:val="clear" w:color="C0C0C0" w:fill="auto"/>
          </w:tcPr>
          <w:p w14:paraId="0497599C" w14:textId="77777777" w:rsidR="00E020AF" w:rsidRPr="00E020AF" w:rsidRDefault="00E020AF" w:rsidP="00E020AF">
            <w:pPr>
              <w:keepNext/>
              <w:widowControl/>
              <w:tabs>
                <w:tab w:val="left" w:pos="720"/>
              </w:tabs>
              <w:ind w:left="-40"/>
              <w:rPr>
                <w:snapToGrid/>
                <w:color w:val="000000"/>
                <w:kern w:val="0"/>
                <w:szCs w:val="22"/>
              </w:rPr>
            </w:pPr>
            <w:r w:rsidRPr="00E020AF">
              <w:rPr>
                <w:snapToGrid/>
                <w:color w:val="000000"/>
                <w:kern w:val="0"/>
                <w:szCs w:val="22"/>
              </w:rPr>
              <w:t>0006893367</w:t>
            </w:r>
          </w:p>
        </w:tc>
        <w:tc>
          <w:tcPr>
            <w:tcW w:w="1915" w:type="pct"/>
            <w:shd w:val="clear" w:color="C0C0C0" w:fill="auto"/>
          </w:tcPr>
          <w:p w14:paraId="3D5569AC" w14:textId="77777777" w:rsidR="00E020AF" w:rsidRPr="00E020AF" w:rsidRDefault="00E020AF" w:rsidP="00E020AF">
            <w:pPr>
              <w:widowControl/>
              <w:rPr>
                <w:snapToGrid/>
                <w:kern w:val="0"/>
                <w:szCs w:val="22"/>
              </w:rPr>
            </w:pPr>
            <w:r w:rsidRPr="00E020AF">
              <w:rPr>
                <w:snapToGrid/>
                <w:kern w:val="0"/>
                <w:szCs w:val="22"/>
              </w:rPr>
              <w:t>Broadpoint Wireless License Co., LLC</w:t>
            </w:r>
          </w:p>
        </w:tc>
        <w:tc>
          <w:tcPr>
            <w:tcW w:w="1581" w:type="pct"/>
            <w:shd w:val="clear" w:color="C0C0C0" w:fill="auto"/>
          </w:tcPr>
          <w:p w14:paraId="10C3C793" w14:textId="77777777" w:rsidR="00E020AF" w:rsidRPr="00E020AF" w:rsidRDefault="00E020AF" w:rsidP="00E020AF">
            <w:pPr>
              <w:widowControl/>
              <w:ind w:hanging="40"/>
              <w:rPr>
                <w:snapToGrid/>
                <w:kern w:val="0"/>
                <w:szCs w:val="22"/>
              </w:rPr>
            </w:pPr>
            <w:r w:rsidRPr="00E020AF">
              <w:rPr>
                <w:snapToGrid/>
                <w:kern w:val="0"/>
                <w:szCs w:val="22"/>
              </w:rPr>
              <w:t>Broadpoint Newco, LLC</w:t>
            </w:r>
          </w:p>
        </w:tc>
        <w:tc>
          <w:tcPr>
            <w:tcW w:w="765" w:type="pct"/>
            <w:shd w:val="clear" w:color="C0C0C0" w:fill="auto"/>
          </w:tcPr>
          <w:p w14:paraId="41CC0EF2" w14:textId="77777777" w:rsidR="00E020AF" w:rsidRPr="00E020AF" w:rsidRDefault="00E020AF" w:rsidP="00E020AF">
            <w:pPr>
              <w:widowControl/>
              <w:ind w:hanging="40"/>
              <w:rPr>
                <w:snapToGrid/>
                <w:kern w:val="0"/>
                <w:szCs w:val="22"/>
              </w:rPr>
            </w:pPr>
            <w:r w:rsidRPr="00E020AF">
              <w:rPr>
                <w:snapToGrid/>
                <w:kern w:val="0"/>
                <w:szCs w:val="22"/>
              </w:rPr>
              <w:t>KNKA411</w:t>
            </w:r>
          </w:p>
        </w:tc>
      </w:tr>
      <w:tr w:rsidR="00E020AF" w:rsidRPr="00E020AF" w14:paraId="643A3DE8" w14:textId="77777777" w:rsidTr="00136E77">
        <w:trPr>
          <w:cantSplit/>
          <w:trHeight w:hRule="exact" w:val="144"/>
        </w:trPr>
        <w:tc>
          <w:tcPr>
            <w:tcW w:w="739" w:type="pct"/>
            <w:shd w:val="clear" w:color="C0C0C0" w:fill="auto"/>
          </w:tcPr>
          <w:p w14:paraId="0683544F" w14:textId="77777777" w:rsidR="00E020AF" w:rsidRPr="00E020AF" w:rsidRDefault="00E020AF" w:rsidP="00E020AF">
            <w:pPr>
              <w:keepNext/>
              <w:widowControl/>
              <w:tabs>
                <w:tab w:val="left" w:pos="720"/>
              </w:tabs>
              <w:ind w:left="-40"/>
              <w:rPr>
                <w:snapToGrid/>
                <w:color w:val="000000"/>
                <w:kern w:val="0"/>
                <w:szCs w:val="22"/>
              </w:rPr>
            </w:pPr>
          </w:p>
        </w:tc>
        <w:tc>
          <w:tcPr>
            <w:tcW w:w="1915" w:type="pct"/>
            <w:shd w:val="clear" w:color="C0C0C0" w:fill="auto"/>
          </w:tcPr>
          <w:p w14:paraId="77460987" w14:textId="77777777" w:rsidR="00E020AF" w:rsidRPr="00E020AF" w:rsidRDefault="00E020AF" w:rsidP="00E020AF">
            <w:pPr>
              <w:widowControl/>
              <w:rPr>
                <w:snapToGrid/>
                <w:kern w:val="0"/>
                <w:szCs w:val="22"/>
              </w:rPr>
            </w:pPr>
          </w:p>
        </w:tc>
        <w:tc>
          <w:tcPr>
            <w:tcW w:w="1581" w:type="pct"/>
            <w:shd w:val="clear" w:color="C0C0C0" w:fill="auto"/>
          </w:tcPr>
          <w:p w14:paraId="54E86E09" w14:textId="77777777" w:rsidR="00E020AF" w:rsidRPr="00E020AF" w:rsidRDefault="00E020AF" w:rsidP="00E020AF">
            <w:pPr>
              <w:widowControl/>
              <w:ind w:hanging="40"/>
              <w:rPr>
                <w:snapToGrid/>
                <w:kern w:val="0"/>
                <w:szCs w:val="22"/>
              </w:rPr>
            </w:pPr>
          </w:p>
        </w:tc>
        <w:tc>
          <w:tcPr>
            <w:tcW w:w="765" w:type="pct"/>
            <w:shd w:val="clear" w:color="C0C0C0" w:fill="auto"/>
          </w:tcPr>
          <w:p w14:paraId="73D241FB" w14:textId="77777777" w:rsidR="00E020AF" w:rsidRPr="00E020AF" w:rsidRDefault="00E020AF" w:rsidP="00E020AF">
            <w:pPr>
              <w:widowControl/>
              <w:ind w:hanging="40"/>
              <w:rPr>
                <w:snapToGrid/>
                <w:kern w:val="0"/>
                <w:szCs w:val="22"/>
              </w:rPr>
            </w:pPr>
          </w:p>
        </w:tc>
      </w:tr>
      <w:tr w:rsidR="00E020AF" w:rsidRPr="00E020AF" w14:paraId="1476AE00" w14:textId="77777777" w:rsidTr="00136E77">
        <w:trPr>
          <w:cantSplit/>
          <w:trHeight w:val="152"/>
        </w:trPr>
        <w:tc>
          <w:tcPr>
            <w:tcW w:w="739" w:type="pct"/>
            <w:shd w:val="clear" w:color="C0C0C0" w:fill="auto"/>
          </w:tcPr>
          <w:p w14:paraId="2965D3B6" w14:textId="77777777" w:rsidR="00E020AF" w:rsidRPr="00E020AF" w:rsidRDefault="00E020AF" w:rsidP="00E020AF">
            <w:pPr>
              <w:keepNext/>
              <w:widowControl/>
              <w:tabs>
                <w:tab w:val="left" w:pos="720"/>
              </w:tabs>
              <w:ind w:left="-40"/>
              <w:rPr>
                <w:snapToGrid/>
                <w:color w:val="000000"/>
                <w:kern w:val="0"/>
                <w:szCs w:val="22"/>
              </w:rPr>
            </w:pPr>
            <w:r w:rsidRPr="00E020AF">
              <w:rPr>
                <w:snapToGrid/>
                <w:color w:val="000000"/>
                <w:kern w:val="0"/>
                <w:szCs w:val="22"/>
              </w:rPr>
              <w:t>SES-ASG-20150828-00555</w:t>
            </w:r>
          </w:p>
        </w:tc>
        <w:tc>
          <w:tcPr>
            <w:tcW w:w="1915" w:type="pct"/>
            <w:shd w:val="clear" w:color="C0C0C0" w:fill="auto"/>
          </w:tcPr>
          <w:p w14:paraId="4277AC35" w14:textId="77777777" w:rsidR="00E020AF" w:rsidRPr="00E020AF" w:rsidRDefault="00E020AF" w:rsidP="00E020AF">
            <w:pPr>
              <w:widowControl/>
              <w:rPr>
                <w:snapToGrid/>
                <w:kern w:val="0"/>
                <w:szCs w:val="22"/>
              </w:rPr>
            </w:pPr>
            <w:r w:rsidRPr="00E020AF">
              <w:rPr>
                <w:snapToGrid/>
                <w:kern w:val="0"/>
                <w:szCs w:val="22"/>
              </w:rPr>
              <w:t>Broadpoint License Co., LLC</w:t>
            </w:r>
          </w:p>
        </w:tc>
        <w:tc>
          <w:tcPr>
            <w:tcW w:w="1581" w:type="pct"/>
            <w:shd w:val="clear" w:color="C0C0C0" w:fill="auto"/>
          </w:tcPr>
          <w:p w14:paraId="041644D9" w14:textId="77777777" w:rsidR="00E020AF" w:rsidRPr="00E020AF" w:rsidRDefault="00E020AF" w:rsidP="00E020AF">
            <w:pPr>
              <w:widowControl/>
              <w:ind w:hanging="40"/>
              <w:rPr>
                <w:snapToGrid/>
                <w:kern w:val="0"/>
                <w:szCs w:val="22"/>
              </w:rPr>
            </w:pPr>
            <w:r w:rsidRPr="00E020AF">
              <w:rPr>
                <w:snapToGrid/>
                <w:kern w:val="0"/>
                <w:szCs w:val="22"/>
              </w:rPr>
              <w:t>Broadpoint Newco, LLC</w:t>
            </w:r>
          </w:p>
        </w:tc>
        <w:tc>
          <w:tcPr>
            <w:tcW w:w="765" w:type="pct"/>
            <w:shd w:val="clear" w:color="C0C0C0" w:fill="auto"/>
          </w:tcPr>
          <w:p w14:paraId="655BF945" w14:textId="77777777" w:rsidR="00E020AF" w:rsidRPr="00E020AF" w:rsidRDefault="00E020AF" w:rsidP="00E020AF">
            <w:pPr>
              <w:widowControl/>
              <w:ind w:hanging="40"/>
              <w:rPr>
                <w:snapToGrid/>
                <w:kern w:val="0"/>
                <w:szCs w:val="22"/>
              </w:rPr>
            </w:pPr>
            <w:r w:rsidRPr="00E020AF">
              <w:rPr>
                <w:snapToGrid/>
                <w:kern w:val="0"/>
                <w:szCs w:val="22"/>
              </w:rPr>
              <w:t>E850118</w:t>
            </w:r>
          </w:p>
        </w:tc>
      </w:tr>
      <w:tr w:rsidR="00E020AF" w:rsidRPr="00E020AF" w14:paraId="27DE26C2" w14:textId="77777777" w:rsidTr="00136E77">
        <w:trPr>
          <w:cantSplit/>
          <w:trHeight w:hRule="exact" w:val="144"/>
        </w:trPr>
        <w:tc>
          <w:tcPr>
            <w:tcW w:w="739" w:type="pct"/>
            <w:shd w:val="clear" w:color="C0C0C0" w:fill="auto"/>
          </w:tcPr>
          <w:p w14:paraId="27FDF8FD" w14:textId="77777777" w:rsidR="00E020AF" w:rsidRPr="00E020AF" w:rsidRDefault="00E020AF" w:rsidP="00E020AF">
            <w:pPr>
              <w:keepNext/>
              <w:widowControl/>
              <w:tabs>
                <w:tab w:val="left" w:pos="720"/>
              </w:tabs>
              <w:ind w:left="-40"/>
              <w:rPr>
                <w:snapToGrid/>
                <w:color w:val="000000"/>
                <w:kern w:val="0"/>
                <w:szCs w:val="22"/>
              </w:rPr>
            </w:pPr>
          </w:p>
        </w:tc>
        <w:tc>
          <w:tcPr>
            <w:tcW w:w="1915" w:type="pct"/>
            <w:shd w:val="clear" w:color="C0C0C0" w:fill="auto"/>
          </w:tcPr>
          <w:p w14:paraId="5545C439" w14:textId="77777777" w:rsidR="00E020AF" w:rsidRPr="00E020AF" w:rsidRDefault="00E020AF" w:rsidP="00E020AF">
            <w:pPr>
              <w:widowControl/>
              <w:rPr>
                <w:snapToGrid/>
                <w:kern w:val="0"/>
                <w:szCs w:val="22"/>
              </w:rPr>
            </w:pPr>
          </w:p>
        </w:tc>
        <w:tc>
          <w:tcPr>
            <w:tcW w:w="1581" w:type="pct"/>
            <w:shd w:val="clear" w:color="C0C0C0" w:fill="auto"/>
          </w:tcPr>
          <w:p w14:paraId="70858F07" w14:textId="77777777" w:rsidR="00E020AF" w:rsidRPr="00E020AF" w:rsidRDefault="00E020AF" w:rsidP="00E020AF">
            <w:pPr>
              <w:widowControl/>
              <w:ind w:hanging="40"/>
              <w:rPr>
                <w:snapToGrid/>
                <w:kern w:val="0"/>
                <w:szCs w:val="22"/>
              </w:rPr>
            </w:pPr>
          </w:p>
        </w:tc>
        <w:tc>
          <w:tcPr>
            <w:tcW w:w="765" w:type="pct"/>
            <w:shd w:val="clear" w:color="C0C0C0" w:fill="auto"/>
          </w:tcPr>
          <w:p w14:paraId="4ECCF4F4" w14:textId="77777777" w:rsidR="00E020AF" w:rsidRPr="00E020AF" w:rsidRDefault="00E020AF" w:rsidP="00E020AF">
            <w:pPr>
              <w:widowControl/>
              <w:ind w:hanging="40"/>
              <w:rPr>
                <w:snapToGrid/>
                <w:kern w:val="0"/>
                <w:szCs w:val="22"/>
              </w:rPr>
            </w:pPr>
          </w:p>
        </w:tc>
      </w:tr>
      <w:tr w:rsidR="00E020AF" w:rsidRPr="00E020AF" w14:paraId="0C985EA4" w14:textId="77777777" w:rsidTr="00136E77">
        <w:trPr>
          <w:cantSplit/>
          <w:trHeight w:val="152"/>
        </w:trPr>
        <w:tc>
          <w:tcPr>
            <w:tcW w:w="739" w:type="pct"/>
            <w:shd w:val="clear" w:color="C0C0C0" w:fill="auto"/>
          </w:tcPr>
          <w:p w14:paraId="1081AC75" w14:textId="77777777" w:rsidR="00E020AF" w:rsidRPr="00E020AF" w:rsidRDefault="00E020AF" w:rsidP="00E020AF">
            <w:pPr>
              <w:keepNext/>
              <w:widowControl/>
              <w:tabs>
                <w:tab w:val="left" w:pos="720"/>
              </w:tabs>
              <w:ind w:left="-40"/>
              <w:rPr>
                <w:snapToGrid/>
                <w:color w:val="000000"/>
                <w:kern w:val="0"/>
                <w:szCs w:val="22"/>
              </w:rPr>
            </w:pPr>
            <w:r w:rsidRPr="00E020AF">
              <w:rPr>
                <w:snapToGrid/>
                <w:color w:val="000000"/>
                <w:kern w:val="0"/>
                <w:szCs w:val="22"/>
              </w:rPr>
              <w:t>SES-ASG-20150828-00565</w:t>
            </w:r>
          </w:p>
        </w:tc>
        <w:tc>
          <w:tcPr>
            <w:tcW w:w="1915" w:type="pct"/>
            <w:shd w:val="clear" w:color="C0C0C0" w:fill="auto"/>
          </w:tcPr>
          <w:p w14:paraId="59C1BF06" w14:textId="77777777" w:rsidR="00E020AF" w:rsidRPr="00E020AF" w:rsidRDefault="00E020AF" w:rsidP="00E020AF">
            <w:pPr>
              <w:widowControl/>
              <w:rPr>
                <w:snapToGrid/>
                <w:kern w:val="0"/>
                <w:szCs w:val="22"/>
              </w:rPr>
            </w:pPr>
            <w:r w:rsidRPr="00E020AF">
              <w:rPr>
                <w:snapToGrid/>
                <w:kern w:val="0"/>
                <w:szCs w:val="22"/>
              </w:rPr>
              <w:t>Broadpoint License Co., LLC</w:t>
            </w:r>
          </w:p>
        </w:tc>
        <w:tc>
          <w:tcPr>
            <w:tcW w:w="1581" w:type="pct"/>
            <w:shd w:val="clear" w:color="C0C0C0" w:fill="auto"/>
          </w:tcPr>
          <w:p w14:paraId="78CA1DB2" w14:textId="77777777" w:rsidR="00E020AF" w:rsidRPr="00E020AF" w:rsidRDefault="00E020AF" w:rsidP="00E020AF">
            <w:pPr>
              <w:widowControl/>
              <w:ind w:hanging="40"/>
              <w:rPr>
                <w:snapToGrid/>
                <w:kern w:val="0"/>
                <w:szCs w:val="22"/>
              </w:rPr>
            </w:pPr>
            <w:r w:rsidRPr="00E020AF">
              <w:rPr>
                <w:snapToGrid/>
                <w:kern w:val="0"/>
                <w:szCs w:val="22"/>
              </w:rPr>
              <w:t>Broadpoint Newco, LLC</w:t>
            </w:r>
          </w:p>
        </w:tc>
        <w:tc>
          <w:tcPr>
            <w:tcW w:w="765" w:type="pct"/>
            <w:shd w:val="clear" w:color="C0C0C0" w:fill="auto"/>
          </w:tcPr>
          <w:p w14:paraId="7CE231AB" w14:textId="77777777" w:rsidR="00E020AF" w:rsidRPr="00E020AF" w:rsidRDefault="00E020AF" w:rsidP="00E020AF">
            <w:pPr>
              <w:widowControl/>
              <w:ind w:hanging="40"/>
              <w:rPr>
                <w:snapToGrid/>
                <w:kern w:val="0"/>
                <w:szCs w:val="22"/>
              </w:rPr>
            </w:pPr>
            <w:r w:rsidRPr="00E020AF">
              <w:rPr>
                <w:snapToGrid/>
                <w:kern w:val="0"/>
                <w:szCs w:val="22"/>
              </w:rPr>
              <w:t>E040350</w:t>
            </w:r>
          </w:p>
        </w:tc>
      </w:tr>
    </w:tbl>
    <w:p w14:paraId="4C73743F" w14:textId="77777777" w:rsidR="00E020AF" w:rsidRPr="00E020AF" w:rsidRDefault="00E020AF" w:rsidP="00E020AF">
      <w:pPr>
        <w:keepNext/>
        <w:widowControl/>
        <w:spacing w:before="220" w:after="220"/>
        <w:outlineLvl w:val="0"/>
        <w:rPr>
          <w:rFonts w:hAnsi="Times New Roman Bold"/>
          <w:bCs/>
          <w:caps/>
          <w:snapToGrid/>
          <w:kern w:val="0"/>
          <w:szCs w:val="22"/>
        </w:rPr>
      </w:pPr>
      <w:r w:rsidRPr="00E020AF">
        <w:rPr>
          <w:rFonts w:hAnsi="Times New Roman Bold"/>
          <w:b/>
          <w:bCs/>
          <w:caps/>
          <w:snapToGrid/>
          <w:kern w:val="0"/>
          <w:szCs w:val="22"/>
        </w:rPr>
        <w:t>section 214 application</w:t>
      </w:r>
    </w:p>
    <w:p w14:paraId="043F7759" w14:textId="77777777" w:rsidR="00E020AF" w:rsidRPr="00E020AF" w:rsidRDefault="00E020AF" w:rsidP="00E020AF">
      <w:pPr>
        <w:keepNext/>
        <w:widowControl/>
        <w:spacing w:after="220"/>
        <w:ind w:firstLine="720"/>
        <w:outlineLvl w:val="0"/>
        <w:rPr>
          <w:snapToGrid/>
          <w:kern w:val="0"/>
          <w:szCs w:val="22"/>
        </w:rPr>
      </w:pPr>
      <w:r w:rsidRPr="00E020AF">
        <w:rPr>
          <w:snapToGrid/>
          <w:kern w:val="0"/>
          <w:szCs w:val="22"/>
        </w:rPr>
        <w:t xml:space="preserve">The application for consent to the issuance of an international section 214 authorization </w:t>
      </w:r>
      <w:r w:rsidRPr="00E020AF">
        <w:rPr>
          <w:snapToGrid/>
          <w:kern w:val="0"/>
          <w:sz w:val="20"/>
          <w:szCs w:val="22"/>
        </w:rPr>
        <w:t>is granted.</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970"/>
      </w:tblGrid>
      <w:tr w:rsidR="00E020AF" w:rsidRPr="00E020AF" w14:paraId="3C2B49FC" w14:textId="77777777" w:rsidTr="00F4422F">
        <w:tc>
          <w:tcPr>
            <w:tcW w:w="4950" w:type="dxa"/>
            <w:tcBorders>
              <w:top w:val="nil"/>
              <w:left w:val="nil"/>
              <w:bottom w:val="nil"/>
              <w:right w:val="nil"/>
            </w:tcBorders>
          </w:tcPr>
          <w:p w14:paraId="11D2385F" w14:textId="77777777" w:rsidR="00E020AF" w:rsidRPr="00E020AF" w:rsidRDefault="00E020AF" w:rsidP="00F4422F">
            <w:pPr>
              <w:keepNext/>
              <w:widowControl/>
              <w:ind w:left="-115"/>
              <w:outlineLvl w:val="0"/>
              <w:rPr>
                <w:b/>
                <w:snapToGrid/>
                <w:kern w:val="0"/>
                <w:szCs w:val="18"/>
                <w:u w:val="single"/>
              </w:rPr>
            </w:pPr>
            <w:r w:rsidRPr="00E020AF">
              <w:rPr>
                <w:b/>
                <w:snapToGrid/>
                <w:kern w:val="0"/>
                <w:szCs w:val="18"/>
                <w:u w:val="single"/>
              </w:rPr>
              <w:t>File No.</w:t>
            </w:r>
          </w:p>
          <w:p w14:paraId="48C96057" w14:textId="77777777" w:rsidR="00E020AF" w:rsidRPr="00E020AF" w:rsidRDefault="00E020AF" w:rsidP="00F4422F">
            <w:pPr>
              <w:keepNext/>
              <w:widowControl/>
              <w:ind w:left="-216"/>
              <w:outlineLvl w:val="0"/>
              <w:rPr>
                <w:snapToGrid/>
                <w:kern w:val="0"/>
                <w:szCs w:val="18"/>
              </w:rPr>
            </w:pPr>
          </w:p>
        </w:tc>
        <w:tc>
          <w:tcPr>
            <w:tcW w:w="2970" w:type="dxa"/>
            <w:tcBorders>
              <w:top w:val="nil"/>
              <w:left w:val="nil"/>
              <w:bottom w:val="nil"/>
              <w:right w:val="nil"/>
            </w:tcBorders>
          </w:tcPr>
          <w:p w14:paraId="7081BC8C" w14:textId="77777777" w:rsidR="00E020AF" w:rsidRPr="00E020AF" w:rsidRDefault="00E020AF" w:rsidP="00E020AF">
            <w:pPr>
              <w:keepNext/>
              <w:widowControl/>
              <w:ind w:hanging="108"/>
              <w:outlineLvl w:val="0"/>
              <w:rPr>
                <w:b/>
                <w:snapToGrid/>
                <w:kern w:val="0"/>
                <w:szCs w:val="18"/>
                <w:u w:val="single"/>
              </w:rPr>
            </w:pPr>
            <w:r w:rsidRPr="00E020AF">
              <w:rPr>
                <w:b/>
                <w:snapToGrid/>
                <w:kern w:val="0"/>
                <w:szCs w:val="18"/>
                <w:u w:val="single"/>
              </w:rPr>
              <w:t>Applicant</w:t>
            </w:r>
          </w:p>
        </w:tc>
      </w:tr>
      <w:tr w:rsidR="00E020AF" w:rsidRPr="00E020AF" w14:paraId="01E72A9B" w14:textId="77777777" w:rsidTr="00F4422F">
        <w:tc>
          <w:tcPr>
            <w:tcW w:w="4950" w:type="dxa"/>
            <w:tcBorders>
              <w:top w:val="nil"/>
              <w:left w:val="nil"/>
              <w:bottom w:val="nil"/>
              <w:right w:val="nil"/>
            </w:tcBorders>
          </w:tcPr>
          <w:p w14:paraId="63C21D97" w14:textId="77777777" w:rsidR="00E020AF" w:rsidRPr="00E020AF" w:rsidRDefault="00E020AF" w:rsidP="00F4422F">
            <w:pPr>
              <w:widowControl/>
              <w:ind w:left="-108"/>
              <w:outlineLvl w:val="0"/>
              <w:rPr>
                <w:b/>
                <w:snapToGrid/>
                <w:kern w:val="0"/>
                <w:sz w:val="20"/>
                <w:szCs w:val="22"/>
              </w:rPr>
            </w:pPr>
            <w:r w:rsidRPr="00E020AF">
              <w:rPr>
                <w:snapToGrid/>
                <w:kern w:val="0"/>
                <w:szCs w:val="22"/>
              </w:rPr>
              <w:t>ITC-214-20150901-00218</w:t>
            </w:r>
          </w:p>
        </w:tc>
        <w:tc>
          <w:tcPr>
            <w:tcW w:w="2970" w:type="dxa"/>
            <w:tcBorders>
              <w:top w:val="nil"/>
              <w:left w:val="nil"/>
              <w:bottom w:val="nil"/>
              <w:right w:val="nil"/>
            </w:tcBorders>
          </w:tcPr>
          <w:p w14:paraId="28F609EA" w14:textId="77777777" w:rsidR="00E020AF" w:rsidRPr="00E020AF" w:rsidRDefault="00E020AF" w:rsidP="00E020AF">
            <w:pPr>
              <w:keepNext/>
              <w:widowControl/>
              <w:ind w:hanging="108"/>
              <w:outlineLvl w:val="0"/>
              <w:rPr>
                <w:snapToGrid/>
                <w:kern w:val="0"/>
                <w:sz w:val="20"/>
                <w:szCs w:val="22"/>
              </w:rPr>
            </w:pPr>
            <w:r w:rsidRPr="00E020AF">
              <w:rPr>
                <w:snapToGrid/>
                <w:kern w:val="0"/>
                <w:sz w:val="20"/>
                <w:szCs w:val="22"/>
              </w:rPr>
              <w:t>Tampnet Inc.</w:t>
            </w:r>
          </w:p>
        </w:tc>
      </w:tr>
    </w:tbl>
    <w:p w14:paraId="1C5A328F" w14:textId="77777777" w:rsidR="00E020AF" w:rsidRPr="00E020AF" w:rsidRDefault="00E020AF" w:rsidP="00E020AF">
      <w:pPr>
        <w:keepNext/>
        <w:widowControl/>
        <w:spacing w:before="220" w:after="220"/>
        <w:outlineLvl w:val="0"/>
        <w:rPr>
          <w:b/>
          <w:snapToGrid/>
          <w:kern w:val="0"/>
          <w:szCs w:val="22"/>
        </w:rPr>
      </w:pPr>
      <w:r w:rsidRPr="00E020AF">
        <w:rPr>
          <w:b/>
          <w:snapToGrid/>
          <w:kern w:val="0"/>
          <w:szCs w:val="22"/>
        </w:rPr>
        <w:t>PETITION FOR DECLARATORY RULING UNDER SECTION 310(b)(4)</w:t>
      </w:r>
    </w:p>
    <w:p w14:paraId="4B525EE9" w14:textId="3061C563" w:rsidR="00E020AF" w:rsidRPr="00E020AF" w:rsidRDefault="00E020AF" w:rsidP="00E020AF">
      <w:pPr>
        <w:keepNext/>
        <w:widowControl/>
        <w:spacing w:after="220"/>
        <w:outlineLvl w:val="0"/>
        <w:rPr>
          <w:snapToGrid/>
          <w:kern w:val="0"/>
          <w:szCs w:val="22"/>
        </w:rPr>
      </w:pPr>
      <w:r w:rsidRPr="00E020AF">
        <w:rPr>
          <w:snapToGrid/>
          <w:kern w:val="0"/>
          <w:sz w:val="20"/>
          <w:szCs w:val="22"/>
        </w:rPr>
        <w:tab/>
      </w:r>
      <w:r w:rsidRPr="00E020AF">
        <w:rPr>
          <w:snapToGrid/>
          <w:kern w:val="0"/>
          <w:szCs w:val="22"/>
        </w:rPr>
        <w:t xml:space="preserve">The </w:t>
      </w:r>
      <w:r w:rsidRPr="00E020AF">
        <w:rPr>
          <w:snapToGrid/>
          <w:kern w:val="0"/>
          <w:sz w:val="20"/>
          <w:szCs w:val="22"/>
        </w:rPr>
        <w:t xml:space="preserve">Tampnet Inc. </w:t>
      </w:r>
      <w:r w:rsidRPr="00E020AF">
        <w:rPr>
          <w:snapToGrid/>
          <w:kern w:val="0"/>
          <w:szCs w:val="22"/>
        </w:rPr>
        <w:t xml:space="preserve">petition for a declaratory ruling </w:t>
      </w:r>
      <w:r w:rsidRPr="00E020AF">
        <w:rPr>
          <w:snapToGrid/>
          <w:color w:val="000000"/>
          <w:kern w:val="0"/>
          <w:szCs w:val="22"/>
        </w:rPr>
        <w:t>pursuant to Section 310(b)(4) of the Act and Section 1.990(a)(1) of the Commission’s rules</w:t>
      </w:r>
      <w:r w:rsidRPr="00E020AF">
        <w:rPr>
          <w:snapToGrid/>
          <w:kern w:val="0"/>
          <w:sz w:val="20"/>
          <w:szCs w:val="22"/>
        </w:rPr>
        <w:t xml:space="preserve"> is granted, subject to the conditions set forth in the Memorandum Opinion and Order </w:t>
      </w:r>
      <w:r w:rsidR="00A834D0">
        <w:rPr>
          <w:snapToGrid/>
          <w:kern w:val="0"/>
          <w:sz w:val="20"/>
          <w:szCs w:val="22"/>
        </w:rPr>
        <w:t xml:space="preserve">and Declaratory Ruling </w:t>
      </w:r>
      <w:r w:rsidRPr="00E020AF">
        <w:rPr>
          <w:snapToGrid/>
          <w:kern w:val="0"/>
          <w:sz w:val="20"/>
          <w:szCs w:val="22"/>
        </w:rPr>
        <w:t>above.</w:t>
      </w:r>
    </w:p>
    <w:tbl>
      <w:tblPr>
        <w:tblW w:w="7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50"/>
        <w:gridCol w:w="2970"/>
      </w:tblGrid>
      <w:tr w:rsidR="00E020AF" w:rsidRPr="00E020AF" w14:paraId="46DBA7E0" w14:textId="77777777" w:rsidTr="00F4422F">
        <w:tc>
          <w:tcPr>
            <w:tcW w:w="4950" w:type="dxa"/>
            <w:tcBorders>
              <w:top w:val="nil"/>
              <w:left w:val="nil"/>
              <w:bottom w:val="nil"/>
              <w:right w:val="nil"/>
            </w:tcBorders>
          </w:tcPr>
          <w:p w14:paraId="320FDBA6" w14:textId="77777777" w:rsidR="00E020AF" w:rsidRPr="00E020AF" w:rsidRDefault="00E020AF" w:rsidP="00E020AF">
            <w:pPr>
              <w:keepNext/>
              <w:widowControl/>
              <w:ind w:hanging="108"/>
              <w:outlineLvl w:val="0"/>
              <w:rPr>
                <w:b/>
                <w:snapToGrid/>
                <w:kern w:val="0"/>
                <w:szCs w:val="18"/>
                <w:u w:val="single"/>
              </w:rPr>
            </w:pPr>
            <w:r w:rsidRPr="00E020AF">
              <w:rPr>
                <w:b/>
                <w:snapToGrid/>
                <w:kern w:val="0"/>
                <w:szCs w:val="18"/>
                <w:u w:val="single"/>
              </w:rPr>
              <w:t>File No.</w:t>
            </w:r>
          </w:p>
          <w:p w14:paraId="256A4254" w14:textId="77777777" w:rsidR="00E020AF" w:rsidRPr="00E020AF" w:rsidRDefault="00E020AF" w:rsidP="00E020AF">
            <w:pPr>
              <w:keepNext/>
              <w:widowControl/>
              <w:ind w:hanging="108"/>
              <w:outlineLvl w:val="0"/>
              <w:rPr>
                <w:snapToGrid/>
                <w:kern w:val="0"/>
                <w:szCs w:val="18"/>
              </w:rPr>
            </w:pPr>
          </w:p>
        </w:tc>
        <w:tc>
          <w:tcPr>
            <w:tcW w:w="2970" w:type="dxa"/>
            <w:tcBorders>
              <w:top w:val="nil"/>
              <w:left w:val="nil"/>
              <w:bottom w:val="nil"/>
              <w:right w:val="nil"/>
            </w:tcBorders>
          </w:tcPr>
          <w:p w14:paraId="787F4DE1" w14:textId="77777777" w:rsidR="00E020AF" w:rsidRPr="00E020AF" w:rsidRDefault="00E020AF" w:rsidP="00E020AF">
            <w:pPr>
              <w:keepNext/>
              <w:widowControl/>
              <w:ind w:hanging="108"/>
              <w:outlineLvl w:val="0"/>
              <w:rPr>
                <w:b/>
                <w:snapToGrid/>
                <w:kern w:val="0"/>
                <w:szCs w:val="18"/>
                <w:u w:val="single"/>
              </w:rPr>
            </w:pPr>
            <w:r w:rsidRPr="00E020AF">
              <w:rPr>
                <w:b/>
                <w:snapToGrid/>
                <w:kern w:val="0"/>
                <w:szCs w:val="18"/>
                <w:u w:val="single"/>
              </w:rPr>
              <w:t>Petitioner</w:t>
            </w:r>
          </w:p>
        </w:tc>
      </w:tr>
      <w:tr w:rsidR="00E020AF" w:rsidRPr="00E020AF" w14:paraId="4AD1E3B4" w14:textId="77777777" w:rsidTr="00F4422F">
        <w:tc>
          <w:tcPr>
            <w:tcW w:w="4950" w:type="dxa"/>
            <w:tcBorders>
              <w:top w:val="nil"/>
              <w:left w:val="nil"/>
              <w:bottom w:val="nil"/>
              <w:right w:val="nil"/>
            </w:tcBorders>
          </w:tcPr>
          <w:p w14:paraId="73C40F05" w14:textId="77777777" w:rsidR="00E020AF" w:rsidRPr="00E020AF" w:rsidRDefault="00E020AF" w:rsidP="00E020AF">
            <w:pPr>
              <w:widowControl/>
              <w:ind w:hanging="108"/>
              <w:outlineLvl w:val="0"/>
              <w:rPr>
                <w:b/>
                <w:snapToGrid/>
                <w:kern w:val="0"/>
                <w:sz w:val="20"/>
                <w:szCs w:val="22"/>
              </w:rPr>
            </w:pPr>
            <w:r w:rsidRPr="00E020AF">
              <w:rPr>
                <w:snapToGrid/>
                <w:kern w:val="0"/>
                <w:szCs w:val="22"/>
              </w:rPr>
              <w:t>ISP-PDR-20150507-00003</w:t>
            </w:r>
          </w:p>
        </w:tc>
        <w:tc>
          <w:tcPr>
            <w:tcW w:w="2970" w:type="dxa"/>
            <w:tcBorders>
              <w:top w:val="nil"/>
              <w:left w:val="nil"/>
              <w:bottom w:val="nil"/>
              <w:right w:val="nil"/>
            </w:tcBorders>
          </w:tcPr>
          <w:p w14:paraId="43811A11" w14:textId="77777777" w:rsidR="00E020AF" w:rsidRPr="00E020AF" w:rsidRDefault="00E020AF" w:rsidP="00E020AF">
            <w:pPr>
              <w:keepNext/>
              <w:widowControl/>
              <w:ind w:hanging="108"/>
              <w:outlineLvl w:val="0"/>
              <w:rPr>
                <w:snapToGrid/>
                <w:kern w:val="0"/>
                <w:szCs w:val="22"/>
              </w:rPr>
            </w:pPr>
            <w:r w:rsidRPr="00E020AF">
              <w:rPr>
                <w:snapToGrid/>
                <w:kern w:val="0"/>
                <w:szCs w:val="22"/>
              </w:rPr>
              <w:t>Tampnet Inc.</w:t>
            </w:r>
          </w:p>
        </w:tc>
      </w:tr>
    </w:tbl>
    <w:p w14:paraId="71194EF3" w14:textId="77777777" w:rsidR="00E020AF" w:rsidRPr="00E020AF" w:rsidRDefault="00E020AF" w:rsidP="00E020AF">
      <w:pPr>
        <w:widowControl/>
        <w:rPr>
          <w:snapToGrid/>
          <w:kern w:val="0"/>
        </w:rPr>
      </w:pPr>
    </w:p>
    <w:p w14:paraId="72F6A2F5" w14:textId="77777777" w:rsidR="00E020AF" w:rsidRPr="00E020AF" w:rsidRDefault="00E020AF" w:rsidP="00E020AF">
      <w:pPr>
        <w:widowControl/>
        <w:rPr>
          <w:snapToGrid/>
          <w:kern w:val="0"/>
        </w:rPr>
      </w:pPr>
      <w:r w:rsidRPr="00E020AF">
        <w:rPr>
          <w:snapToGrid/>
          <w:kern w:val="0"/>
        </w:rPr>
        <w:br w:type="page"/>
      </w:r>
    </w:p>
    <w:p w14:paraId="2B5AA888" w14:textId="1A911334" w:rsidR="00FF6F55" w:rsidRDefault="00955622" w:rsidP="00955622">
      <w:pPr>
        <w:widowControl/>
        <w:ind w:firstLine="720"/>
        <w:jc w:val="center"/>
        <w:rPr>
          <w:b/>
        </w:rPr>
      </w:pPr>
      <w:r>
        <w:rPr>
          <w:b/>
        </w:rPr>
        <w:t>APPENDIX B</w:t>
      </w:r>
    </w:p>
    <w:p w14:paraId="220FA33A" w14:textId="77777777" w:rsidR="00955622" w:rsidRDefault="00955622" w:rsidP="00955622">
      <w:pPr>
        <w:widowControl/>
      </w:pPr>
    </w:p>
    <w:p w14:paraId="6DF679B0" w14:textId="77777777" w:rsidR="00955622" w:rsidRDefault="00955622" w:rsidP="00955622">
      <w:pPr>
        <w:spacing w:before="240" w:after="240"/>
        <w:contextualSpacing/>
        <w:jc w:val="center"/>
        <w:rPr>
          <w:b/>
          <w:noProof/>
          <w:spacing w:val="5"/>
          <w:szCs w:val="52"/>
        </w:rPr>
      </w:pPr>
      <w:r w:rsidRPr="008D7CDA">
        <w:rPr>
          <w:b/>
          <w:noProof/>
          <w:spacing w:val="5"/>
          <w:szCs w:val="52"/>
        </w:rPr>
        <w:t>Entities and Individual</w:t>
      </w:r>
      <w:r>
        <w:rPr>
          <w:b/>
          <w:noProof/>
          <w:spacing w:val="5"/>
          <w:szCs w:val="52"/>
        </w:rPr>
        <w:t>s</w:t>
      </w:r>
      <w:r w:rsidRPr="008D7CDA">
        <w:rPr>
          <w:b/>
          <w:noProof/>
          <w:spacing w:val="5"/>
          <w:szCs w:val="52"/>
        </w:rPr>
        <w:t xml:space="preserve"> Seeking Specific Approval</w:t>
      </w:r>
    </w:p>
    <w:p w14:paraId="6819BC2E" w14:textId="77777777" w:rsidR="00181838" w:rsidRPr="008D7CDA" w:rsidRDefault="00181838" w:rsidP="00955622">
      <w:pPr>
        <w:spacing w:before="240" w:after="240"/>
        <w:contextualSpacing/>
        <w:jc w:val="center"/>
        <w:rPr>
          <w:b/>
          <w:noProof/>
          <w:spacing w:val="5"/>
          <w:szCs w:val="52"/>
        </w:rPr>
      </w:pPr>
    </w:p>
    <w:tbl>
      <w:tblPr>
        <w:tblStyle w:val="TableGrid"/>
        <w:tblW w:w="9648" w:type="dxa"/>
        <w:tblLayout w:type="fixed"/>
        <w:tblLook w:val="04A0" w:firstRow="1" w:lastRow="0" w:firstColumn="1" w:lastColumn="0" w:noHBand="0" w:noVBand="1"/>
      </w:tblPr>
      <w:tblGrid>
        <w:gridCol w:w="3027"/>
        <w:gridCol w:w="1468"/>
        <w:gridCol w:w="1800"/>
        <w:gridCol w:w="1518"/>
        <w:gridCol w:w="879"/>
        <w:gridCol w:w="956"/>
      </w:tblGrid>
      <w:tr w:rsidR="00955622" w:rsidRPr="008D7CDA" w14:paraId="2FB81D8D" w14:textId="77777777" w:rsidTr="00726B76">
        <w:trPr>
          <w:cantSplit/>
          <w:trHeight w:val="548"/>
        </w:trPr>
        <w:tc>
          <w:tcPr>
            <w:tcW w:w="3027" w:type="dxa"/>
            <w:tcBorders>
              <w:right w:val="single" w:sz="4" w:space="0" w:color="FFFFFF" w:themeColor="background1"/>
            </w:tcBorders>
            <w:shd w:val="clear" w:color="auto" w:fill="000000" w:themeFill="text1"/>
            <w:vAlign w:val="center"/>
          </w:tcPr>
          <w:p w14:paraId="23A73599" w14:textId="77777777" w:rsidR="00955622" w:rsidRPr="008D7CDA" w:rsidRDefault="00955622" w:rsidP="00136E77">
            <w:pPr>
              <w:jc w:val="center"/>
              <w:rPr>
                <w:b/>
              </w:rPr>
            </w:pPr>
            <w:r w:rsidRPr="008D7CDA">
              <w:rPr>
                <w:b/>
              </w:rPr>
              <w:t>Name</w:t>
            </w:r>
          </w:p>
        </w:tc>
        <w:tc>
          <w:tcPr>
            <w:tcW w:w="1468" w:type="dxa"/>
            <w:tcBorders>
              <w:left w:val="single" w:sz="4" w:space="0" w:color="FFFFFF" w:themeColor="background1"/>
              <w:right w:val="single" w:sz="4" w:space="0" w:color="FFFFFF" w:themeColor="background1"/>
            </w:tcBorders>
            <w:shd w:val="clear" w:color="auto" w:fill="000000" w:themeFill="text1"/>
            <w:vAlign w:val="center"/>
          </w:tcPr>
          <w:p w14:paraId="60BFEE58" w14:textId="77777777" w:rsidR="00955622" w:rsidRPr="008D7CDA" w:rsidRDefault="00955622" w:rsidP="00136E77">
            <w:pPr>
              <w:jc w:val="center"/>
              <w:rPr>
                <w:b/>
              </w:rPr>
            </w:pPr>
            <w:r w:rsidRPr="008D7CDA">
              <w:rPr>
                <w:b/>
              </w:rPr>
              <w:t>Citizenship or Place of Organization</w:t>
            </w:r>
          </w:p>
        </w:tc>
        <w:tc>
          <w:tcPr>
            <w:tcW w:w="1800" w:type="dxa"/>
            <w:tcBorders>
              <w:left w:val="single" w:sz="4" w:space="0" w:color="FFFFFF" w:themeColor="background1"/>
              <w:right w:val="single" w:sz="4" w:space="0" w:color="FFFFFF" w:themeColor="background1"/>
            </w:tcBorders>
            <w:shd w:val="clear" w:color="auto" w:fill="000000" w:themeFill="text1"/>
            <w:vAlign w:val="center"/>
          </w:tcPr>
          <w:p w14:paraId="3E2795E9" w14:textId="77777777" w:rsidR="00955622" w:rsidRPr="008D7CDA" w:rsidRDefault="00955622" w:rsidP="00136E77">
            <w:pPr>
              <w:jc w:val="center"/>
              <w:rPr>
                <w:b/>
              </w:rPr>
            </w:pPr>
            <w:r w:rsidRPr="008D7CDA">
              <w:rPr>
                <w:b/>
              </w:rPr>
              <w:t>Type of Organization</w:t>
            </w:r>
          </w:p>
        </w:tc>
        <w:tc>
          <w:tcPr>
            <w:tcW w:w="1518" w:type="dxa"/>
            <w:tcBorders>
              <w:left w:val="single" w:sz="4" w:space="0" w:color="FFFFFF" w:themeColor="background1"/>
              <w:right w:val="nil"/>
            </w:tcBorders>
            <w:shd w:val="clear" w:color="auto" w:fill="000000" w:themeFill="text1"/>
            <w:vAlign w:val="center"/>
          </w:tcPr>
          <w:p w14:paraId="0FAEF3B9" w14:textId="77777777" w:rsidR="00955622" w:rsidRPr="008D7CDA" w:rsidRDefault="00955622" w:rsidP="00136E77">
            <w:pPr>
              <w:jc w:val="center"/>
              <w:rPr>
                <w:b/>
              </w:rPr>
            </w:pPr>
            <w:r w:rsidRPr="008D7CDA">
              <w:rPr>
                <w:b/>
              </w:rPr>
              <w:t>Principal Business</w:t>
            </w:r>
          </w:p>
        </w:tc>
        <w:tc>
          <w:tcPr>
            <w:tcW w:w="1835" w:type="dxa"/>
            <w:gridSpan w:val="2"/>
            <w:tcBorders>
              <w:left w:val="nil"/>
            </w:tcBorders>
            <w:shd w:val="clear" w:color="auto" w:fill="000000" w:themeFill="text1"/>
          </w:tcPr>
          <w:p w14:paraId="45C8BF26" w14:textId="77777777" w:rsidR="00955622" w:rsidRDefault="00955622" w:rsidP="00136E77">
            <w:pPr>
              <w:jc w:val="center"/>
              <w:rPr>
                <w:b/>
              </w:rPr>
            </w:pPr>
            <w:r>
              <w:rPr>
                <w:b/>
              </w:rPr>
              <w:t xml:space="preserve">Interest </w:t>
            </w:r>
          </w:p>
          <w:p w14:paraId="4159DE76" w14:textId="77777777" w:rsidR="00955622" w:rsidRDefault="00955622" w:rsidP="00136E77">
            <w:pPr>
              <w:jc w:val="center"/>
              <w:rPr>
                <w:b/>
              </w:rPr>
            </w:pPr>
            <w:r>
              <w:rPr>
                <w:b/>
              </w:rPr>
              <w:t>in Filer</w:t>
            </w:r>
          </w:p>
        </w:tc>
      </w:tr>
      <w:tr w:rsidR="00955622" w:rsidRPr="008D7CDA" w14:paraId="4CF30DBC" w14:textId="77777777" w:rsidTr="00726B76">
        <w:trPr>
          <w:cantSplit/>
        </w:trPr>
        <w:tc>
          <w:tcPr>
            <w:tcW w:w="3027" w:type="dxa"/>
          </w:tcPr>
          <w:p w14:paraId="4552650B" w14:textId="77777777" w:rsidR="00955622" w:rsidRPr="008D7CDA" w:rsidRDefault="00955622" w:rsidP="00136E77">
            <w:pPr>
              <w:ind w:left="72"/>
              <w:contextualSpacing/>
            </w:pPr>
          </w:p>
        </w:tc>
        <w:tc>
          <w:tcPr>
            <w:tcW w:w="1468" w:type="dxa"/>
          </w:tcPr>
          <w:p w14:paraId="04FB2107" w14:textId="77777777" w:rsidR="00955622" w:rsidRPr="008D7CDA" w:rsidRDefault="00955622" w:rsidP="00136E77">
            <w:pPr>
              <w:jc w:val="center"/>
            </w:pPr>
          </w:p>
        </w:tc>
        <w:tc>
          <w:tcPr>
            <w:tcW w:w="1800" w:type="dxa"/>
          </w:tcPr>
          <w:p w14:paraId="312ECEB4" w14:textId="77777777" w:rsidR="00955622" w:rsidRPr="008D7CDA" w:rsidRDefault="00955622" w:rsidP="00136E77">
            <w:pPr>
              <w:jc w:val="center"/>
            </w:pPr>
          </w:p>
        </w:tc>
        <w:tc>
          <w:tcPr>
            <w:tcW w:w="1518" w:type="dxa"/>
          </w:tcPr>
          <w:p w14:paraId="6BBC9BF7" w14:textId="77777777" w:rsidR="00955622" w:rsidRPr="008D7CDA" w:rsidRDefault="00955622" w:rsidP="00136E77">
            <w:pPr>
              <w:jc w:val="center"/>
            </w:pPr>
          </w:p>
        </w:tc>
        <w:tc>
          <w:tcPr>
            <w:tcW w:w="879" w:type="dxa"/>
          </w:tcPr>
          <w:p w14:paraId="3DB844FF" w14:textId="77777777" w:rsidR="00955622" w:rsidRPr="00754ED2" w:rsidRDefault="00955622" w:rsidP="00136E77">
            <w:pPr>
              <w:jc w:val="center"/>
              <w:rPr>
                <w:i/>
                <w:sz w:val="20"/>
              </w:rPr>
            </w:pPr>
            <w:r w:rsidRPr="00754ED2">
              <w:rPr>
                <w:i/>
                <w:sz w:val="20"/>
              </w:rPr>
              <w:t>Equity</w:t>
            </w:r>
          </w:p>
        </w:tc>
        <w:tc>
          <w:tcPr>
            <w:tcW w:w="956" w:type="dxa"/>
          </w:tcPr>
          <w:p w14:paraId="613BC4A0" w14:textId="77777777" w:rsidR="00955622" w:rsidRPr="00754ED2" w:rsidRDefault="00955622" w:rsidP="00136E77">
            <w:pPr>
              <w:jc w:val="center"/>
              <w:rPr>
                <w:i/>
                <w:sz w:val="20"/>
              </w:rPr>
            </w:pPr>
            <w:r w:rsidRPr="00754ED2">
              <w:rPr>
                <w:i/>
                <w:sz w:val="20"/>
              </w:rPr>
              <w:t xml:space="preserve">Voting </w:t>
            </w:r>
          </w:p>
        </w:tc>
      </w:tr>
      <w:tr w:rsidR="00955622" w:rsidRPr="008D7CDA" w14:paraId="478C10E5" w14:textId="77777777" w:rsidTr="00726B76">
        <w:trPr>
          <w:cantSplit/>
        </w:trPr>
        <w:tc>
          <w:tcPr>
            <w:tcW w:w="3027" w:type="dxa"/>
            <w:shd w:val="clear" w:color="auto" w:fill="auto"/>
          </w:tcPr>
          <w:p w14:paraId="2362B672" w14:textId="77777777" w:rsidR="00955622" w:rsidRPr="00A0565F" w:rsidRDefault="00955622" w:rsidP="00955622">
            <w:pPr>
              <w:widowControl/>
              <w:numPr>
                <w:ilvl w:val="0"/>
                <w:numId w:val="41"/>
              </w:numPr>
              <w:ind w:left="432"/>
              <w:contextualSpacing/>
            </w:pPr>
            <w:r w:rsidRPr="00A0565F">
              <w:t>Tampnet AS</w:t>
            </w:r>
          </w:p>
        </w:tc>
        <w:tc>
          <w:tcPr>
            <w:tcW w:w="1468" w:type="dxa"/>
            <w:shd w:val="clear" w:color="auto" w:fill="auto"/>
          </w:tcPr>
          <w:p w14:paraId="1CFE0264" w14:textId="77777777" w:rsidR="00955622" w:rsidRPr="0027363F" w:rsidRDefault="00955622" w:rsidP="00136E77">
            <w:pPr>
              <w:jc w:val="center"/>
            </w:pPr>
            <w:r w:rsidRPr="0027363F">
              <w:t>Norway</w:t>
            </w:r>
          </w:p>
        </w:tc>
        <w:tc>
          <w:tcPr>
            <w:tcW w:w="1800" w:type="dxa"/>
            <w:shd w:val="clear" w:color="auto" w:fill="auto"/>
          </w:tcPr>
          <w:p w14:paraId="57AE7B09" w14:textId="77777777" w:rsidR="00955622" w:rsidRPr="0027363F" w:rsidRDefault="00955622" w:rsidP="00136E77">
            <w:pPr>
              <w:jc w:val="center"/>
            </w:pPr>
            <w:r w:rsidRPr="0027363F">
              <w:t>Private Corp.</w:t>
            </w:r>
          </w:p>
        </w:tc>
        <w:tc>
          <w:tcPr>
            <w:tcW w:w="1518" w:type="dxa"/>
            <w:shd w:val="clear" w:color="auto" w:fill="auto"/>
          </w:tcPr>
          <w:p w14:paraId="5BB2F7C3" w14:textId="0DDBA4D3" w:rsidR="00955622" w:rsidRPr="0027363F" w:rsidRDefault="00955622" w:rsidP="00136E77">
            <w:pPr>
              <w:jc w:val="center"/>
            </w:pPr>
            <w:r w:rsidRPr="0027363F">
              <w:t>Telecommuni</w:t>
            </w:r>
            <w:r w:rsidR="00726B76">
              <w:t>-</w:t>
            </w:r>
            <w:r w:rsidRPr="0027363F">
              <w:t>cations</w:t>
            </w:r>
          </w:p>
        </w:tc>
        <w:tc>
          <w:tcPr>
            <w:tcW w:w="879" w:type="dxa"/>
            <w:shd w:val="clear" w:color="auto" w:fill="auto"/>
          </w:tcPr>
          <w:p w14:paraId="7BD7D877" w14:textId="77777777" w:rsidR="00955622" w:rsidRPr="00A0565F" w:rsidRDefault="00955622" w:rsidP="00136E77">
            <w:pPr>
              <w:rPr>
                <w:sz w:val="20"/>
                <w:szCs w:val="22"/>
              </w:rPr>
            </w:pPr>
            <w:r w:rsidRPr="00A0565F">
              <w:rPr>
                <w:sz w:val="20"/>
                <w:szCs w:val="22"/>
              </w:rPr>
              <w:t>100%</w:t>
            </w:r>
          </w:p>
        </w:tc>
        <w:tc>
          <w:tcPr>
            <w:tcW w:w="956" w:type="dxa"/>
          </w:tcPr>
          <w:p w14:paraId="22984B43" w14:textId="77777777" w:rsidR="00955622" w:rsidRPr="00A0565F" w:rsidRDefault="00955622" w:rsidP="00136E77">
            <w:pPr>
              <w:rPr>
                <w:sz w:val="20"/>
                <w:szCs w:val="22"/>
              </w:rPr>
            </w:pPr>
            <w:r w:rsidRPr="00A0565F">
              <w:rPr>
                <w:sz w:val="20"/>
                <w:szCs w:val="22"/>
              </w:rPr>
              <w:t>100%</w:t>
            </w:r>
          </w:p>
        </w:tc>
      </w:tr>
      <w:tr w:rsidR="00955622" w:rsidRPr="008D7CDA" w14:paraId="1FCA6D61" w14:textId="77777777" w:rsidTr="00726B76">
        <w:trPr>
          <w:cantSplit/>
        </w:trPr>
        <w:tc>
          <w:tcPr>
            <w:tcW w:w="3027" w:type="dxa"/>
            <w:shd w:val="clear" w:color="auto" w:fill="auto"/>
          </w:tcPr>
          <w:p w14:paraId="63710CF0" w14:textId="77777777" w:rsidR="00955622" w:rsidRPr="00A0565F" w:rsidRDefault="00955622" w:rsidP="00955622">
            <w:pPr>
              <w:widowControl/>
              <w:numPr>
                <w:ilvl w:val="0"/>
                <w:numId w:val="41"/>
              </w:numPr>
              <w:ind w:left="432"/>
              <w:contextualSpacing/>
            </w:pPr>
            <w:r w:rsidRPr="00A0565F">
              <w:t>Brent Invest AS</w:t>
            </w:r>
          </w:p>
        </w:tc>
        <w:tc>
          <w:tcPr>
            <w:tcW w:w="1468" w:type="dxa"/>
            <w:shd w:val="clear" w:color="auto" w:fill="auto"/>
          </w:tcPr>
          <w:p w14:paraId="030A34AC" w14:textId="77777777" w:rsidR="00955622" w:rsidRPr="0027363F" w:rsidRDefault="00955622" w:rsidP="00136E77">
            <w:pPr>
              <w:jc w:val="center"/>
            </w:pPr>
            <w:r w:rsidRPr="0027363F">
              <w:t>Norway</w:t>
            </w:r>
          </w:p>
        </w:tc>
        <w:tc>
          <w:tcPr>
            <w:tcW w:w="1800" w:type="dxa"/>
            <w:shd w:val="clear" w:color="auto" w:fill="auto"/>
          </w:tcPr>
          <w:p w14:paraId="39936A06" w14:textId="77777777" w:rsidR="00955622" w:rsidRPr="0027363F" w:rsidRDefault="00955622" w:rsidP="00136E77">
            <w:pPr>
              <w:jc w:val="center"/>
            </w:pPr>
            <w:r w:rsidRPr="0027363F">
              <w:t>Private Corp.</w:t>
            </w:r>
          </w:p>
        </w:tc>
        <w:tc>
          <w:tcPr>
            <w:tcW w:w="1518" w:type="dxa"/>
            <w:shd w:val="clear" w:color="auto" w:fill="auto"/>
          </w:tcPr>
          <w:p w14:paraId="67574338" w14:textId="77777777" w:rsidR="00955622" w:rsidRPr="0027363F" w:rsidRDefault="00955622" w:rsidP="00136E77">
            <w:pPr>
              <w:jc w:val="center"/>
            </w:pPr>
            <w:r w:rsidRPr="0027363F">
              <w:t>Investment</w:t>
            </w:r>
          </w:p>
        </w:tc>
        <w:tc>
          <w:tcPr>
            <w:tcW w:w="879" w:type="dxa"/>
            <w:shd w:val="clear" w:color="auto" w:fill="auto"/>
          </w:tcPr>
          <w:p w14:paraId="19BAA06D" w14:textId="77777777" w:rsidR="00955622" w:rsidRPr="00A0565F" w:rsidRDefault="00955622" w:rsidP="00136E77">
            <w:pPr>
              <w:rPr>
                <w:sz w:val="20"/>
                <w:szCs w:val="22"/>
              </w:rPr>
            </w:pPr>
            <w:r w:rsidRPr="00A0565F">
              <w:rPr>
                <w:sz w:val="20"/>
                <w:szCs w:val="22"/>
              </w:rPr>
              <w:t>100%</w:t>
            </w:r>
          </w:p>
        </w:tc>
        <w:tc>
          <w:tcPr>
            <w:tcW w:w="956" w:type="dxa"/>
          </w:tcPr>
          <w:p w14:paraId="27A92A59" w14:textId="77777777" w:rsidR="00955622" w:rsidRPr="00A0565F" w:rsidRDefault="00955622" w:rsidP="00136E77">
            <w:pPr>
              <w:rPr>
                <w:sz w:val="20"/>
                <w:szCs w:val="22"/>
              </w:rPr>
            </w:pPr>
            <w:r w:rsidRPr="00A0565F">
              <w:rPr>
                <w:sz w:val="20"/>
                <w:szCs w:val="22"/>
              </w:rPr>
              <w:t>100%</w:t>
            </w:r>
          </w:p>
        </w:tc>
      </w:tr>
      <w:tr w:rsidR="00955622" w:rsidRPr="008D7CDA" w14:paraId="3B224DD4" w14:textId="77777777" w:rsidTr="00726B76">
        <w:trPr>
          <w:cantSplit/>
        </w:trPr>
        <w:tc>
          <w:tcPr>
            <w:tcW w:w="3027" w:type="dxa"/>
            <w:shd w:val="clear" w:color="auto" w:fill="auto"/>
          </w:tcPr>
          <w:p w14:paraId="33D2DBEF" w14:textId="77777777" w:rsidR="00955622" w:rsidRPr="00A0565F" w:rsidRDefault="00955622" w:rsidP="00955622">
            <w:pPr>
              <w:widowControl/>
              <w:numPr>
                <w:ilvl w:val="0"/>
                <w:numId w:val="41"/>
              </w:numPr>
              <w:ind w:left="432"/>
              <w:contextualSpacing/>
            </w:pPr>
            <w:r w:rsidRPr="00A0565F">
              <w:t>Brent Holding AS</w:t>
            </w:r>
          </w:p>
        </w:tc>
        <w:tc>
          <w:tcPr>
            <w:tcW w:w="1468" w:type="dxa"/>
            <w:shd w:val="clear" w:color="auto" w:fill="auto"/>
          </w:tcPr>
          <w:p w14:paraId="3B4C346B" w14:textId="77777777" w:rsidR="00955622" w:rsidRPr="0027363F" w:rsidRDefault="00955622" w:rsidP="00136E77">
            <w:pPr>
              <w:jc w:val="center"/>
            </w:pPr>
            <w:r w:rsidRPr="0027363F">
              <w:t>Norway</w:t>
            </w:r>
          </w:p>
        </w:tc>
        <w:tc>
          <w:tcPr>
            <w:tcW w:w="1800" w:type="dxa"/>
            <w:shd w:val="clear" w:color="auto" w:fill="auto"/>
          </w:tcPr>
          <w:p w14:paraId="7583C97B" w14:textId="77777777" w:rsidR="00955622" w:rsidRPr="0027363F" w:rsidRDefault="00955622" w:rsidP="00136E77">
            <w:pPr>
              <w:jc w:val="center"/>
            </w:pPr>
            <w:r w:rsidRPr="0027363F">
              <w:t>Private Corp.</w:t>
            </w:r>
          </w:p>
        </w:tc>
        <w:tc>
          <w:tcPr>
            <w:tcW w:w="1518" w:type="dxa"/>
            <w:shd w:val="clear" w:color="auto" w:fill="auto"/>
          </w:tcPr>
          <w:p w14:paraId="5BD56101" w14:textId="77777777" w:rsidR="00955622" w:rsidRPr="0027363F" w:rsidRDefault="00955622" w:rsidP="00136E77">
            <w:pPr>
              <w:jc w:val="center"/>
            </w:pPr>
            <w:r w:rsidRPr="0027363F">
              <w:t>Investment</w:t>
            </w:r>
          </w:p>
        </w:tc>
        <w:tc>
          <w:tcPr>
            <w:tcW w:w="879" w:type="dxa"/>
            <w:shd w:val="clear" w:color="auto" w:fill="auto"/>
          </w:tcPr>
          <w:p w14:paraId="23F73DCE" w14:textId="77777777" w:rsidR="00955622" w:rsidRPr="00A0565F" w:rsidRDefault="00955622" w:rsidP="00136E77">
            <w:pPr>
              <w:rPr>
                <w:sz w:val="20"/>
                <w:szCs w:val="22"/>
              </w:rPr>
            </w:pPr>
            <w:r w:rsidRPr="00A0565F">
              <w:rPr>
                <w:sz w:val="20"/>
                <w:szCs w:val="22"/>
              </w:rPr>
              <w:t>100%</w:t>
            </w:r>
          </w:p>
        </w:tc>
        <w:tc>
          <w:tcPr>
            <w:tcW w:w="956" w:type="dxa"/>
          </w:tcPr>
          <w:p w14:paraId="5F0AC487" w14:textId="77777777" w:rsidR="00955622" w:rsidRPr="00A0565F" w:rsidRDefault="00955622" w:rsidP="00136E77">
            <w:pPr>
              <w:rPr>
                <w:sz w:val="20"/>
                <w:szCs w:val="22"/>
              </w:rPr>
            </w:pPr>
            <w:r w:rsidRPr="00A0565F">
              <w:rPr>
                <w:sz w:val="20"/>
                <w:szCs w:val="22"/>
              </w:rPr>
              <w:t>100%</w:t>
            </w:r>
          </w:p>
        </w:tc>
      </w:tr>
      <w:tr w:rsidR="00955622" w:rsidRPr="008D7CDA" w14:paraId="45487ADF" w14:textId="77777777" w:rsidTr="00726B76">
        <w:trPr>
          <w:cantSplit/>
        </w:trPr>
        <w:tc>
          <w:tcPr>
            <w:tcW w:w="3027" w:type="dxa"/>
            <w:shd w:val="clear" w:color="auto" w:fill="auto"/>
          </w:tcPr>
          <w:p w14:paraId="2E108F3D" w14:textId="77777777" w:rsidR="00955622" w:rsidRPr="00A0565F" w:rsidRDefault="00955622" w:rsidP="00955622">
            <w:pPr>
              <w:widowControl/>
              <w:numPr>
                <w:ilvl w:val="0"/>
                <w:numId w:val="41"/>
              </w:numPr>
              <w:ind w:left="432"/>
              <w:contextualSpacing/>
            </w:pPr>
            <w:r w:rsidRPr="00A0565F">
              <w:t>Brent Infrastructure I B.V.</w:t>
            </w:r>
          </w:p>
        </w:tc>
        <w:tc>
          <w:tcPr>
            <w:tcW w:w="1468" w:type="dxa"/>
            <w:shd w:val="clear" w:color="auto" w:fill="auto"/>
          </w:tcPr>
          <w:p w14:paraId="4C53ED1A" w14:textId="77777777" w:rsidR="00955622" w:rsidRPr="0027363F" w:rsidRDefault="00955622" w:rsidP="00136E77">
            <w:pPr>
              <w:jc w:val="center"/>
            </w:pPr>
            <w:r w:rsidRPr="0027363F">
              <w:t>Netherlands</w:t>
            </w:r>
          </w:p>
        </w:tc>
        <w:tc>
          <w:tcPr>
            <w:tcW w:w="1800" w:type="dxa"/>
            <w:shd w:val="clear" w:color="auto" w:fill="auto"/>
          </w:tcPr>
          <w:p w14:paraId="4ABBE565" w14:textId="77777777" w:rsidR="00955622" w:rsidRPr="0027363F" w:rsidRDefault="00955622" w:rsidP="00136E77">
            <w:pPr>
              <w:jc w:val="center"/>
            </w:pPr>
            <w:r w:rsidRPr="0027363F">
              <w:t>Limited Liability Corp.</w:t>
            </w:r>
          </w:p>
        </w:tc>
        <w:tc>
          <w:tcPr>
            <w:tcW w:w="1518" w:type="dxa"/>
            <w:shd w:val="clear" w:color="auto" w:fill="auto"/>
          </w:tcPr>
          <w:p w14:paraId="255C4390" w14:textId="77777777" w:rsidR="00955622" w:rsidRPr="0027363F" w:rsidRDefault="00955622" w:rsidP="00136E77">
            <w:pPr>
              <w:jc w:val="center"/>
            </w:pPr>
            <w:r w:rsidRPr="0027363F">
              <w:t>Investment</w:t>
            </w:r>
          </w:p>
        </w:tc>
        <w:tc>
          <w:tcPr>
            <w:tcW w:w="879" w:type="dxa"/>
            <w:shd w:val="clear" w:color="auto" w:fill="auto"/>
          </w:tcPr>
          <w:p w14:paraId="5F98A60E" w14:textId="77777777" w:rsidR="00955622" w:rsidRPr="00A0565F" w:rsidRDefault="00955622" w:rsidP="00136E77">
            <w:pPr>
              <w:rPr>
                <w:sz w:val="20"/>
                <w:szCs w:val="22"/>
              </w:rPr>
            </w:pPr>
            <w:r w:rsidRPr="00A0565F">
              <w:rPr>
                <w:sz w:val="20"/>
                <w:szCs w:val="22"/>
              </w:rPr>
              <w:t>94.92%</w:t>
            </w:r>
          </w:p>
        </w:tc>
        <w:tc>
          <w:tcPr>
            <w:tcW w:w="956" w:type="dxa"/>
          </w:tcPr>
          <w:p w14:paraId="7E275082" w14:textId="77777777" w:rsidR="00955622" w:rsidRPr="00A0565F" w:rsidRDefault="00955622" w:rsidP="00136E77">
            <w:pPr>
              <w:rPr>
                <w:sz w:val="20"/>
                <w:szCs w:val="22"/>
              </w:rPr>
            </w:pPr>
            <w:r w:rsidRPr="00A0565F">
              <w:rPr>
                <w:sz w:val="20"/>
                <w:szCs w:val="22"/>
              </w:rPr>
              <w:t>100%</w:t>
            </w:r>
          </w:p>
        </w:tc>
      </w:tr>
      <w:tr w:rsidR="00955622" w:rsidRPr="008D7CDA" w14:paraId="6A8BC7BB" w14:textId="77777777" w:rsidTr="00726B76">
        <w:trPr>
          <w:cantSplit/>
        </w:trPr>
        <w:tc>
          <w:tcPr>
            <w:tcW w:w="3027" w:type="dxa"/>
            <w:shd w:val="clear" w:color="auto" w:fill="auto"/>
          </w:tcPr>
          <w:p w14:paraId="089E895E" w14:textId="77777777" w:rsidR="00955622" w:rsidRPr="00A0565F" w:rsidRDefault="00955622" w:rsidP="00955622">
            <w:pPr>
              <w:widowControl/>
              <w:numPr>
                <w:ilvl w:val="0"/>
                <w:numId w:val="41"/>
              </w:numPr>
              <w:ind w:left="432"/>
              <w:contextualSpacing/>
            </w:pPr>
            <w:r w:rsidRPr="00A0565F">
              <w:t>Brent Infrastructure I S.à.r.l.</w:t>
            </w:r>
          </w:p>
        </w:tc>
        <w:tc>
          <w:tcPr>
            <w:tcW w:w="1468" w:type="dxa"/>
            <w:shd w:val="clear" w:color="auto" w:fill="auto"/>
          </w:tcPr>
          <w:p w14:paraId="45089225" w14:textId="77777777" w:rsidR="00955622" w:rsidRPr="0027363F" w:rsidRDefault="00955622" w:rsidP="00136E77">
            <w:pPr>
              <w:jc w:val="center"/>
            </w:pPr>
            <w:r w:rsidRPr="0027363F">
              <w:t>Luxembourg</w:t>
            </w:r>
          </w:p>
        </w:tc>
        <w:tc>
          <w:tcPr>
            <w:tcW w:w="1800" w:type="dxa"/>
            <w:shd w:val="clear" w:color="auto" w:fill="auto"/>
          </w:tcPr>
          <w:p w14:paraId="74DB7BB7" w14:textId="77777777" w:rsidR="00955622" w:rsidRPr="0027363F" w:rsidRDefault="00955622" w:rsidP="00136E77">
            <w:pPr>
              <w:jc w:val="center"/>
            </w:pPr>
            <w:r w:rsidRPr="0027363F">
              <w:t>Limited Liability Corp.</w:t>
            </w:r>
          </w:p>
        </w:tc>
        <w:tc>
          <w:tcPr>
            <w:tcW w:w="1518" w:type="dxa"/>
            <w:shd w:val="clear" w:color="auto" w:fill="auto"/>
          </w:tcPr>
          <w:p w14:paraId="2326195D" w14:textId="77777777" w:rsidR="00955622" w:rsidRPr="0027363F" w:rsidRDefault="00955622" w:rsidP="00136E77">
            <w:pPr>
              <w:jc w:val="center"/>
            </w:pPr>
            <w:r w:rsidRPr="0027363F">
              <w:t>Investment</w:t>
            </w:r>
          </w:p>
        </w:tc>
        <w:tc>
          <w:tcPr>
            <w:tcW w:w="879" w:type="dxa"/>
            <w:shd w:val="clear" w:color="auto" w:fill="auto"/>
          </w:tcPr>
          <w:p w14:paraId="07A7BE42" w14:textId="77777777" w:rsidR="00955622" w:rsidRPr="00A0565F" w:rsidRDefault="00955622" w:rsidP="00136E77">
            <w:pPr>
              <w:rPr>
                <w:sz w:val="20"/>
                <w:szCs w:val="22"/>
              </w:rPr>
            </w:pPr>
            <w:r w:rsidRPr="00A0565F">
              <w:rPr>
                <w:sz w:val="20"/>
                <w:szCs w:val="22"/>
              </w:rPr>
              <w:t>47.46%</w:t>
            </w:r>
          </w:p>
        </w:tc>
        <w:tc>
          <w:tcPr>
            <w:tcW w:w="956" w:type="dxa"/>
          </w:tcPr>
          <w:p w14:paraId="493AA9AA" w14:textId="77777777" w:rsidR="00955622" w:rsidRPr="00A0565F" w:rsidRDefault="00955622" w:rsidP="00136E77">
            <w:pPr>
              <w:rPr>
                <w:sz w:val="20"/>
                <w:szCs w:val="22"/>
              </w:rPr>
            </w:pPr>
            <w:r w:rsidRPr="00A0565F">
              <w:rPr>
                <w:sz w:val="20"/>
                <w:szCs w:val="22"/>
              </w:rPr>
              <w:t>100%</w:t>
            </w:r>
          </w:p>
        </w:tc>
      </w:tr>
      <w:tr w:rsidR="00955622" w:rsidRPr="008D7CDA" w14:paraId="2B826551" w14:textId="77777777" w:rsidTr="00726B76">
        <w:trPr>
          <w:cantSplit/>
        </w:trPr>
        <w:tc>
          <w:tcPr>
            <w:tcW w:w="3027" w:type="dxa"/>
            <w:shd w:val="clear" w:color="auto" w:fill="auto"/>
          </w:tcPr>
          <w:p w14:paraId="0F7A3D22" w14:textId="77777777" w:rsidR="00955622" w:rsidRPr="00A0565F" w:rsidRDefault="00955622" w:rsidP="00955622">
            <w:pPr>
              <w:widowControl/>
              <w:numPr>
                <w:ilvl w:val="0"/>
                <w:numId w:val="41"/>
              </w:numPr>
              <w:ind w:left="432"/>
              <w:contextualSpacing/>
            </w:pPr>
            <w:r w:rsidRPr="00A0565F">
              <w:t>Brent Holding Guernsey Limited</w:t>
            </w:r>
          </w:p>
        </w:tc>
        <w:tc>
          <w:tcPr>
            <w:tcW w:w="1468" w:type="dxa"/>
            <w:shd w:val="clear" w:color="auto" w:fill="auto"/>
          </w:tcPr>
          <w:p w14:paraId="5F87FFEA" w14:textId="77777777" w:rsidR="00955622" w:rsidRPr="0027363F" w:rsidRDefault="00955622" w:rsidP="00136E77">
            <w:pPr>
              <w:jc w:val="center"/>
            </w:pPr>
            <w:r w:rsidRPr="0027363F">
              <w:t>Guernsey</w:t>
            </w:r>
          </w:p>
        </w:tc>
        <w:tc>
          <w:tcPr>
            <w:tcW w:w="1800" w:type="dxa"/>
            <w:shd w:val="clear" w:color="auto" w:fill="auto"/>
          </w:tcPr>
          <w:p w14:paraId="7F71A78B" w14:textId="77777777" w:rsidR="00955622" w:rsidRPr="0027363F" w:rsidRDefault="00955622" w:rsidP="00136E77">
            <w:pPr>
              <w:jc w:val="center"/>
            </w:pPr>
            <w:r w:rsidRPr="0027363F">
              <w:t>Private Corp.</w:t>
            </w:r>
          </w:p>
        </w:tc>
        <w:tc>
          <w:tcPr>
            <w:tcW w:w="1518" w:type="dxa"/>
            <w:shd w:val="clear" w:color="auto" w:fill="auto"/>
          </w:tcPr>
          <w:p w14:paraId="46358325" w14:textId="77777777" w:rsidR="00955622" w:rsidRPr="0027363F" w:rsidRDefault="00955622" w:rsidP="00136E77">
            <w:pPr>
              <w:jc w:val="center"/>
            </w:pPr>
            <w:r w:rsidRPr="0027363F">
              <w:t>Investment</w:t>
            </w:r>
          </w:p>
        </w:tc>
        <w:tc>
          <w:tcPr>
            <w:tcW w:w="879" w:type="dxa"/>
            <w:shd w:val="clear" w:color="auto" w:fill="auto"/>
          </w:tcPr>
          <w:p w14:paraId="0DF501D4" w14:textId="77777777" w:rsidR="00955622" w:rsidRPr="00A0565F" w:rsidRDefault="00955622" w:rsidP="00136E77">
            <w:pPr>
              <w:rPr>
                <w:sz w:val="20"/>
                <w:szCs w:val="22"/>
              </w:rPr>
            </w:pPr>
            <w:r w:rsidRPr="00A0565F">
              <w:rPr>
                <w:sz w:val="20"/>
                <w:szCs w:val="22"/>
              </w:rPr>
              <w:t>47.46%</w:t>
            </w:r>
          </w:p>
        </w:tc>
        <w:tc>
          <w:tcPr>
            <w:tcW w:w="956" w:type="dxa"/>
          </w:tcPr>
          <w:p w14:paraId="0B53DE43" w14:textId="77777777" w:rsidR="00955622" w:rsidRPr="00A0565F" w:rsidRDefault="00955622" w:rsidP="00136E77">
            <w:pPr>
              <w:rPr>
                <w:sz w:val="20"/>
                <w:szCs w:val="22"/>
              </w:rPr>
            </w:pPr>
            <w:r w:rsidRPr="00A0565F">
              <w:rPr>
                <w:sz w:val="20"/>
                <w:szCs w:val="22"/>
              </w:rPr>
              <w:t>100%</w:t>
            </w:r>
          </w:p>
        </w:tc>
      </w:tr>
      <w:tr w:rsidR="00955622" w:rsidRPr="008D7CDA" w14:paraId="67295F16" w14:textId="77777777" w:rsidTr="00726B76">
        <w:trPr>
          <w:cantSplit/>
        </w:trPr>
        <w:tc>
          <w:tcPr>
            <w:tcW w:w="3027" w:type="dxa"/>
            <w:shd w:val="clear" w:color="auto" w:fill="auto"/>
          </w:tcPr>
          <w:p w14:paraId="44759803" w14:textId="77777777" w:rsidR="00955622" w:rsidRPr="00A0565F" w:rsidRDefault="00955622" w:rsidP="00955622">
            <w:pPr>
              <w:widowControl/>
              <w:numPr>
                <w:ilvl w:val="0"/>
                <w:numId w:val="41"/>
              </w:numPr>
              <w:ind w:left="432"/>
              <w:contextualSpacing/>
            </w:pPr>
            <w:r w:rsidRPr="00A0565F">
              <w:t>EQT Infrastructure (No. 1) Limited Partnership</w:t>
            </w:r>
          </w:p>
        </w:tc>
        <w:tc>
          <w:tcPr>
            <w:tcW w:w="1468" w:type="dxa"/>
            <w:shd w:val="clear" w:color="auto" w:fill="auto"/>
          </w:tcPr>
          <w:p w14:paraId="6E557EC8" w14:textId="77777777" w:rsidR="00955622" w:rsidRPr="0027363F" w:rsidRDefault="00955622" w:rsidP="00136E77">
            <w:pPr>
              <w:jc w:val="center"/>
            </w:pPr>
            <w:r w:rsidRPr="0027363F">
              <w:t>England and Wales</w:t>
            </w:r>
          </w:p>
        </w:tc>
        <w:tc>
          <w:tcPr>
            <w:tcW w:w="1800" w:type="dxa"/>
            <w:shd w:val="clear" w:color="auto" w:fill="auto"/>
          </w:tcPr>
          <w:p w14:paraId="60EDBABC" w14:textId="77777777" w:rsidR="00955622" w:rsidRPr="0027363F" w:rsidRDefault="00955622" w:rsidP="00136E77">
            <w:pPr>
              <w:jc w:val="center"/>
            </w:pPr>
            <w:r w:rsidRPr="0027363F">
              <w:t>Limited Partnership</w:t>
            </w:r>
          </w:p>
        </w:tc>
        <w:tc>
          <w:tcPr>
            <w:tcW w:w="1518" w:type="dxa"/>
            <w:shd w:val="clear" w:color="auto" w:fill="auto"/>
          </w:tcPr>
          <w:p w14:paraId="1B21B6B6" w14:textId="77777777" w:rsidR="00955622" w:rsidRPr="0027363F" w:rsidRDefault="00955622" w:rsidP="00136E77">
            <w:pPr>
              <w:jc w:val="center"/>
            </w:pPr>
            <w:r w:rsidRPr="0027363F">
              <w:t>Investment</w:t>
            </w:r>
          </w:p>
        </w:tc>
        <w:tc>
          <w:tcPr>
            <w:tcW w:w="879" w:type="dxa"/>
            <w:shd w:val="clear" w:color="auto" w:fill="auto"/>
          </w:tcPr>
          <w:p w14:paraId="776B139E" w14:textId="77777777" w:rsidR="00955622" w:rsidRPr="00A0565F" w:rsidRDefault="00955622" w:rsidP="00136E77">
            <w:pPr>
              <w:rPr>
                <w:sz w:val="20"/>
                <w:szCs w:val="22"/>
              </w:rPr>
            </w:pPr>
            <w:r w:rsidRPr="00A0565F">
              <w:rPr>
                <w:sz w:val="20"/>
                <w:szCs w:val="22"/>
              </w:rPr>
              <w:t>39.79%</w:t>
            </w:r>
          </w:p>
        </w:tc>
        <w:tc>
          <w:tcPr>
            <w:tcW w:w="956" w:type="dxa"/>
          </w:tcPr>
          <w:p w14:paraId="61DC9ABE" w14:textId="77777777" w:rsidR="00955622" w:rsidRPr="00A0565F" w:rsidRDefault="00955622" w:rsidP="00136E77">
            <w:pPr>
              <w:rPr>
                <w:sz w:val="20"/>
                <w:szCs w:val="22"/>
              </w:rPr>
            </w:pPr>
            <w:r w:rsidRPr="00A0565F">
              <w:rPr>
                <w:sz w:val="20"/>
                <w:szCs w:val="22"/>
              </w:rPr>
              <w:t>84.99%</w:t>
            </w:r>
          </w:p>
        </w:tc>
      </w:tr>
      <w:tr w:rsidR="00955622" w:rsidRPr="008D7CDA" w14:paraId="7F81719E" w14:textId="77777777" w:rsidTr="00726B76">
        <w:trPr>
          <w:cantSplit/>
        </w:trPr>
        <w:tc>
          <w:tcPr>
            <w:tcW w:w="3027" w:type="dxa"/>
            <w:shd w:val="clear" w:color="auto" w:fill="auto"/>
          </w:tcPr>
          <w:p w14:paraId="3931B6B2" w14:textId="77777777" w:rsidR="00955622" w:rsidRPr="00A0565F" w:rsidRDefault="00955622" w:rsidP="00955622">
            <w:pPr>
              <w:widowControl/>
              <w:numPr>
                <w:ilvl w:val="0"/>
                <w:numId w:val="41"/>
              </w:numPr>
              <w:ind w:left="432"/>
              <w:contextualSpacing/>
            </w:pPr>
            <w:r w:rsidRPr="00A0565F">
              <w:t>EQT Infrastructure (No. 3) Limited Partnership</w:t>
            </w:r>
          </w:p>
        </w:tc>
        <w:tc>
          <w:tcPr>
            <w:tcW w:w="1468" w:type="dxa"/>
            <w:shd w:val="clear" w:color="auto" w:fill="auto"/>
          </w:tcPr>
          <w:p w14:paraId="433A8D20" w14:textId="77777777" w:rsidR="00955622" w:rsidRPr="0027363F" w:rsidRDefault="00955622" w:rsidP="00136E77">
            <w:pPr>
              <w:jc w:val="center"/>
            </w:pPr>
            <w:r w:rsidRPr="0027363F">
              <w:t>England</w:t>
            </w:r>
          </w:p>
        </w:tc>
        <w:tc>
          <w:tcPr>
            <w:tcW w:w="1800" w:type="dxa"/>
            <w:shd w:val="clear" w:color="auto" w:fill="auto"/>
          </w:tcPr>
          <w:p w14:paraId="3844E2E3" w14:textId="77777777" w:rsidR="00955622" w:rsidRPr="0027363F" w:rsidRDefault="00955622" w:rsidP="00136E77">
            <w:pPr>
              <w:jc w:val="center"/>
            </w:pPr>
            <w:r w:rsidRPr="0027363F">
              <w:t>Limited Partnership</w:t>
            </w:r>
          </w:p>
        </w:tc>
        <w:tc>
          <w:tcPr>
            <w:tcW w:w="1518" w:type="dxa"/>
            <w:shd w:val="clear" w:color="auto" w:fill="auto"/>
          </w:tcPr>
          <w:p w14:paraId="45C0E546" w14:textId="77777777" w:rsidR="00955622" w:rsidRPr="0027363F" w:rsidRDefault="00955622" w:rsidP="00136E77">
            <w:pPr>
              <w:jc w:val="center"/>
            </w:pPr>
            <w:r w:rsidRPr="0027363F">
              <w:t>Investment</w:t>
            </w:r>
          </w:p>
        </w:tc>
        <w:tc>
          <w:tcPr>
            <w:tcW w:w="879" w:type="dxa"/>
            <w:shd w:val="clear" w:color="auto" w:fill="auto"/>
          </w:tcPr>
          <w:p w14:paraId="14287ADC" w14:textId="77777777" w:rsidR="00955622" w:rsidRPr="00A0565F" w:rsidRDefault="00955622" w:rsidP="00136E77">
            <w:pPr>
              <w:rPr>
                <w:sz w:val="20"/>
                <w:szCs w:val="22"/>
              </w:rPr>
            </w:pPr>
            <w:r w:rsidRPr="00A0565F">
              <w:rPr>
                <w:sz w:val="20"/>
                <w:szCs w:val="22"/>
              </w:rPr>
              <w:t>4.68%</w:t>
            </w:r>
          </w:p>
        </w:tc>
        <w:tc>
          <w:tcPr>
            <w:tcW w:w="956" w:type="dxa"/>
          </w:tcPr>
          <w:p w14:paraId="6FFE07E3" w14:textId="77777777" w:rsidR="00955622" w:rsidRPr="00A0565F" w:rsidRDefault="00955622" w:rsidP="00136E77">
            <w:pPr>
              <w:rPr>
                <w:sz w:val="20"/>
                <w:szCs w:val="22"/>
              </w:rPr>
            </w:pPr>
            <w:r w:rsidRPr="00A0565F">
              <w:rPr>
                <w:sz w:val="20"/>
                <w:szCs w:val="22"/>
              </w:rPr>
              <w:t>10%</w:t>
            </w:r>
          </w:p>
        </w:tc>
      </w:tr>
      <w:tr w:rsidR="00955622" w:rsidRPr="008D7CDA" w14:paraId="2E68A07C" w14:textId="77777777" w:rsidTr="00726B76">
        <w:trPr>
          <w:cantSplit/>
        </w:trPr>
        <w:tc>
          <w:tcPr>
            <w:tcW w:w="3027" w:type="dxa"/>
            <w:shd w:val="clear" w:color="auto" w:fill="auto"/>
          </w:tcPr>
          <w:p w14:paraId="23F0B8CE" w14:textId="77777777" w:rsidR="00955622" w:rsidRPr="00A0565F" w:rsidRDefault="00955622" w:rsidP="00955622">
            <w:pPr>
              <w:widowControl/>
              <w:numPr>
                <w:ilvl w:val="0"/>
                <w:numId w:val="41"/>
              </w:numPr>
              <w:ind w:left="432"/>
              <w:contextualSpacing/>
            </w:pPr>
            <w:r w:rsidRPr="00A0565F">
              <w:t>EQT Infrastructure (General Partner) LP</w:t>
            </w:r>
          </w:p>
        </w:tc>
        <w:tc>
          <w:tcPr>
            <w:tcW w:w="1468" w:type="dxa"/>
            <w:shd w:val="clear" w:color="auto" w:fill="auto"/>
          </w:tcPr>
          <w:p w14:paraId="64EE7ACB" w14:textId="77777777" w:rsidR="00955622" w:rsidRPr="0027363F" w:rsidRDefault="00955622" w:rsidP="00136E77">
            <w:pPr>
              <w:jc w:val="center"/>
            </w:pPr>
            <w:r w:rsidRPr="0027363F">
              <w:t>Guernsey</w:t>
            </w:r>
          </w:p>
        </w:tc>
        <w:tc>
          <w:tcPr>
            <w:tcW w:w="1800" w:type="dxa"/>
            <w:shd w:val="clear" w:color="auto" w:fill="auto"/>
          </w:tcPr>
          <w:p w14:paraId="2BE9B449" w14:textId="77777777" w:rsidR="00955622" w:rsidRPr="0027363F" w:rsidRDefault="00955622" w:rsidP="00136E77">
            <w:pPr>
              <w:jc w:val="center"/>
            </w:pPr>
            <w:r w:rsidRPr="0027363F">
              <w:t>Limited Partnership</w:t>
            </w:r>
          </w:p>
        </w:tc>
        <w:tc>
          <w:tcPr>
            <w:tcW w:w="1518" w:type="dxa"/>
            <w:shd w:val="clear" w:color="auto" w:fill="auto"/>
          </w:tcPr>
          <w:p w14:paraId="3FB615A2" w14:textId="77777777" w:rsidR="00955622" w:rsidRPr="0027363F" w:rsidRDefault="00955622" w:rsidP="00136E77">
            <w:pPr>
              <w:jc w:val="center"/>
            </w:pPr>
            <w:r w:rsidRPr="0027363F">
              <w:t>Investment</w:t>
            </w:r>
          </w:p>
        </w:tc>
        <w:tc>
          <w:tcPr>
            <w:tcW w:w="879" w:type="dxa"/>
            <w:shd w:val="clear" w:color="auto" w:fill="auto"/>
          </w:tcPr>
          <w:p w14:paraId="4768BBC5" w14:textId="77777777" w:rsidR="00955622" w:rsidRPr="00A0565F" w:rsidRDefault="00955622" w:rsidP="00136E77">
            <w:pPr>
              <w:rPr>
                <w:sz w:val="20"/>
                <w:szCs w:val="22"/>
              </w:rPr>
            </w:pPr>
            <w:r w:rsidRPr="00A0565F">
              <w:rPr>
                <w:sz w:val="20"/>
                <w:szCs w:val="22"/>
              </w:rPr>
              <w:t>0.47%</w:t>
            </w:r>
          </w:p>
        </w:tc>
        <w:tc>
          <w:tcPr>
            <w:tcW w:w="956" w:type="dxa"/>
          </w:tcPr>
          <w:p w14:paraId="17F85F31" w14:textId="77777777" w:rsidR="00955622" w:rsidRPr="00A0565F" w:rsidRDefault="00955622" w:rsidP="00136E77">
            <w:pPr>
              <w:rPr>
                <w:sz w:val="20"/>
                <w:szCs w:val="22"/>
              </w:rPr>
            </w:pPr>
            <w:r w:rsidRPr="00A0565F">
              <w:rPr>
                <w:sz w:val="20"/>
                <w:szCs w:val="22"/>
              </w:rPr>
              <w:t>100%</w:t>
            </w:r>
          </w:p>
        </w:tc>
      </w:tr>
      <w:tr w:rsidR="00955622" w:rsidRPr="008D7CDA" w14:paraId="2ECFC66B" w14:textId="77777777" w:rsidTr="00726B76">
        <w:trPr>
          <w:cantSplit/>
        </w:trPr>
        <w:tc>
          <w:tcPr>
            <w:tcW w:w="3027" w:type="dxa"/>
            <w:shd w:val="clear" w:color="auto" w:fill="auto"/>
          </w:tcPr>
          <w:p w14:paraId="7EE18C09" w14:textId="77777777" w:rsidR="00955622" w:rsidRPr="00A0565F" w:rsidRDefault="00955622" w:rsidP="00955622">
            <w:pPr>
              <w:widowControl/>
              <w:numPr>
                <w:ilvl w:val="0"/>
                <w:numId w:val="41"/>
              </w:numPr>
              <w:ind w:left="432"/>
              <w:contextualSpacing/>
            </w:pPr>
            <w:r w:rsidRPr="00A0565F">
              <w:t>EQT Infrastructure LLP</w:t>
            </w:r>
          </w:p>
        </w:tc>
        <w:tc>
          <w:tcPr>
            <w:tcW w:w="1468" w:type="dxa"/>
            <w:shd w:val="clear" w:color="auto" w:fill="auto"/>
          </w:tcPr>
          <w:p w14:paraId="2DC6310D" w14:textId="77777777" w:rsidR="00955622" w:rsidRPr="0027363F" w:rsidRDefault="00955622" w:rsidP="00136E77">
            <w:pPr>
              <w:jc w:val="center"/>
            </w:pPr>
            <w:r w:rsidRPr="0027363F">
              <w:t>Guernsey</w:t>
            </w:r>
          </w:p>
        </w:tc>
        <w:tc>
          <w:tcPr>
            <w:tcW w:w="1800" w:type="dxa"/>
            <w:shd w:val="clear" w:color="auto" w:fill="auto"/>
          </w:tcPr>
          <w:p w14:paraId="27549C43" w14:textId="77777777" w:rsidR="00955622" w:rsidRPr="0027363F" w:rsidRDefault="00955622" w:rsidP="00136E77">
            <w:pPr>
              <w:jc w:val="center"/>
            </w:pPr>
            <w:r w:rsidRPr="0027363F">
              <w:t>Limited Liability Partnership</w:t>
            </w:r>
          </w:p>
        </w:tc>
        <w:tc>
          <w:tcPr>
            <w:tcW w:w="1518" w:type="dxa"/>
            <w:shd w:val="clear" w:color="auto" w:fill="auto"/>
          </w:tcPr>
          <w:p w14:paraId="73FB7653" w14:textId="77777777" w:rsidR="00955622" w:rsidRPr="0027363F" w:rsidRDefault="00955622" w:rsidP="00136E77">
            <w:pPr>
              <w:jc w:val="center"/>
            </w:pPr>
            <w:r w:rsidRPr="0027363F">
              <w:t>Investment</w:t>
            </w:r>
          </w:p>
        </w:tc>
        <w:tc>
          <w:tcPr>
            <w:tcW w:w="879" w:type="dxa"/>
            <w:shd w:val="clear" w:color="auto" w:fill="auto"/>
          </w:tcPr>
          <w:p w14:paraId="10F75301" w14:textId="77777777" w:rsidR="00955622" w:rsidRPr="00A0565F" w:rsidRDefault="00955622" w:rsidP="00136E77">
            <w:pPr>
              <w:rPr>
                <w:sz w:val="20"/>
                <w:szCs w:val="22"/>
              </w:rPr>
            </w:pPr>
            <w:r w:rsidRPr="00A0565F">
              <w:rPr>
                <w:sz w:val="20"/>
                <w:szCs w:val="22"/>
              </w:rPr>
              <w:t>0%</w:t>
            </w:r>
          </w:p>
        </w:tc>
        <w:tc>
          <w:tcPr>
            <w:tcW w:w="956" w:type="dxa"/>
          </w:tcPr>
          <w:p w14:paraId="7B3802C9" w14:textId="77777777" w:rsidR="00955622" w:rsidRPr="00A0565F" w:rsidRDefault="00955622" w:rsidP="00136E77">
            <w:pPr>
              <w:rPr>
                <w:sz w:val="20"/>
                <w:szCs w:val="22"/>
              </w:rPr>
            </w:pPr>
            <w:r w:rsidRPr="00A0565F">
              <w:rPr>
                <w:sz w:val="20"/>
                <w:szCs w:val="22"/>
              </w:rPr>
              <w:t>100%</w:t>
            </w:r>
          </w:p>
        </w:tc>
      </w:tr>
      <w:tr w:rsidR="00955622" w:rsidRPr="008D7CDA" w14:paraId="0768B920" w14:textId="77777777" w:rsidTr="00726B76">
        <w:trPr>
          <w:cantSplit/>
        </w:trPr>
        <w:tc>
          <w:tcPr>
            <w:tcW w:w="3027" w:type="dxa"/>
            <w:shd w:val="clear" w:color="auto" w:fill="auto"/>
          </w:tcPr>
          <w:p w14:paraId="73FBB1D6" w14:textId="77777777" w:rsidR="00955622" w:rsidRPr="00A0565F" w:rsidRDefault="00955622" w:rsidP="00955622">
            <w:pPr>
              <w:widowControl/>
              <w:numPr>
                <w:ilvl w:val="0"/>
                <w:numId w:val="41"/>
              </w:numPr>
              <w:ind w:left="432"/>
              <w:contextualSpacing/>
            </w:pPr>
            <w:r w:rsidRPr="00A0565F">
              <w:t>EQT V GmbH &amp; Co. KG</w:t>
            </w:r>
          </w:p>
        </w:tc>
        <w:tc>
          <w:tcPr>
            <w:tcW w:w="1468" w:type="dxa"/>
            <w:shd w:val="clear" w:color="auto" w:fill="auto"/>
          </w:tcPr>
          <w:p w14:paraId="19E25D13" w14:textId="77777777" w:rsidR="00955622" w:rsidRPr="0027363F" w:rsidRDefault="00955622" w:rsidP="00136E77">
            <w:pPr>
              <w:jc w:val="center"/>
            </w:pPr>
            <w:r w:rsidRPr="0027363F">
              <w:t>Germany</w:t>
            </w:r>
          </w:p>
        </w:tc>
        <w:tc>
          <w:tcPr>
            <w:tcW w:w="1800" w:type="dxa"/>
            <w:shd w:val="clear" w:color="auto" w:fill="auto"/>
          </w:tcPr>
          <w:p w14:paraId="1C195EF9" w14:textId="77777777" w:rsidR="00955622" w:rsidRPr="0027363F" w:rsidRDefault="00955622" w:rsidP="00136E77">
            <w:pPr>
              <w:jc w:val="center"/>
            </w:pPr>
            <w:r w:rsidRPr="0027363F">
              <w:t>Limited Partnership</w:t>
            </w:r>
          </w:p>
        </w:tc>
        <w:tc>
          <w:tcPr>
            <w:tcW w:w="1518" w:type="dxa"/>
            <w:shd w:val="clear" w:color="auto" w:fill="auto"/>
          </w:tcPr>
          <w:p w14:paraId="145D2B5C" w14:textId="77777777" w:rsidR="00955622" w:rsidRPr="0027363F" w:rsidRDefault="00955622" w:rsidP="00136E77">
            <w:pPr>
              <w:jc w:val="center"/>
            </w:pPr>
            <w:r w:rsidRPr="0027363F">
              <w:t>Investment</w:t>
            </w:r>
          </w:p>
        </w:tc>
        <w:tc>
          <w:tcPr>
            <w:tcW w:w="879" w:type="dxa"/>
            <w:shd w:val="clear" w:color="auto" w:fill="auto"/>
          </w:tcPr>
          <w:p w14:paraId="5555250A" w14:textId="77777777" w:rsidR="00955622" w:rsidRPr="00A0565F" w:rsidRDefault="00955622" w:rsidP="00136E77">
            <w:pPr>
              <w:rPr>
                <w:sz w:val="20"/>
                <w:szCs w:val="22"/>
              </w:rPr>
            </w:pPr>
            <w:r w:rsidRPr="00A0565F">
              <w:rPr>
                <w:sz w:val="20"/>
                <w:szCs w:val="22"/>
              </w:rPr>
              <w:t>0%</w:t>
            </w:r>
          </w:p>
        </w:tc>
        <w:tc>
          <w:tcPr>
            <w:tcW w:w="956" w:type="dxa"/>
          </w:tcPr>
          <w:p w14:paraId="3E7AC873" w14:textId="77777777" w:rsidR="00955622" w:rsidRPr="00A0565F" w:rsidRDefault="00955622" w:rsidP="00136E77">
            <w:pPr>
              <w:rPr>
                <w:sz w:val="20"/>
                <w:szCs w:val="22"/>
              </w:rPr>
            </w:pPr>
            <w:r w:rsidRPr="00A0565F">
              <w:rPr>
                <w:sz w:val="20"/>
                <w:szCs w:val="22"/>
              </w:rPr>
              <w:t>100%</w:t>
            </w:r>
          </w:p>
        </w:tc>
      </w:tr>
      <w:tr w:rsidR="00955622" w:rsidRPr="008D7CDA" w14:paraId="4D5EF5FB" w14:textId="77777777" w:rsidTr="00726B76">
        <w:trPr>
          <w:cantSplit/>
        </w:trPr>
        <w:tc>
          <w:tcPr>
            <w:tcW w:w="3027" w:type="dxa"/>
            <w:shd w:val="clear" w:color="auto" w:fill="auto"/>
          </w:tcPr>
          <w:p w14:paraId="5792AFD4" w14:textId="77777777" w:rsidR="00955622" w:rsidRPr="00A0565F" w:rsidRDefault="00955622" w:rsidP="00955622">
            <w:pPr>
              <w:widowControl/>
              <w:numPr>
                <w:ilvl w:val="0"/>
                <w:numId w:val="41"/>
              </w:numPr>
              <w:ind w:left="432"/>
              <w:contextualSpacing/>
            </w:pPr>
            <w:r w:rsidRPr="00A0565F">
              <w:t>EQT V Verwaltung GmbH</w:t>
            </w:r>
          </w:p>
        </w:tc>
        <w:tc>
          <w:tcPr>
            <w:tcW w:w="1468" w:type="dxa"/>
            <w:shd w:val="clear" w:color="auto" w:fill="auto"/>
          </w:tcPr>
          <w:p w14:paraId="3170427D" w14:textId="77777777" w:rsidR="00955622" w:rsidRPr="0027363F" w:rsidRDefault="00955622" w:rsidP="00136E77">
            <w:pPr>
              <w:jc w:val="center"/>
            </w:pPr>
            <w:r w:rsidRPr="0027363F">
              <w:t>Germany</w:t>
            </w:r>
          </w:p>
        </w:tc>
        <w:tc>
          <w:tcPr>
            <w:tcW w:w="1800" w:type="dxa"/>
            <w:shd w:val="clear" w:color="auto" w:fill="auto"/>
          </w:tcPr>
          <w:p w14:paraId="3AB39385" w14:textId="77777777" w:rsidR="00955622" w:rsidRPr="0027363F" w:rsidRDefault="00955622" w:rsidP="00136E77">
            <w:pPr>
              <w:jc w:val="center"/>
            </w:pPr>
            <w:r w:rsidRPr="0027363F">
              <w:t>Limited Liability Corp.</w:t>
            </w:r>
          </w:p>
        </w:tc>
        <w:tc>
          <w:tcPr>
            <w:tcW w:w="1518" w:type="dxa"/>
            <w:shd w:val="clear" w:color="auto" w:fill="auto"/>
          </w:tcPr>
          <w:p w14:paraId="162F348E" w14:textId="77777777" w:rsidR="00955622" w:rsidRPr="0027363F" w:rsidRDefault="00955622" w:rsidP="00136E77">
            <w:pPr>
              <w:jc w:val="center"/>
            </w:pPr>
            <w:r w:rsidRPr="0027363F">
              <w:t>Investment</w:t>
            </w:r>
          </w:p>
        </w:tc>
        <w:tc>
          <w:tcPr>
            <w:tcW w:w="879" w:type="dxa"/>
            <w:shd w:val="clear" w:color="auto" w:fill="auto"/>
          </w:tcPr>
          <w:p w14:paraId="2BFFD9E5" w14:textId="77777777" w:rsidR="00955622" w:rsidRPr="00A0565F" w:rsidRDefault="00955622" w:rsidP="00136E77">
            <w:pPr>
              <w:rPr>
                <w:sz w:val="20"/>
                <w:szCs w:val="22"/>
              </w:rPr>
            </w:pPr>
            <w:r w:rsidRPr="00A0565F">
              <w:rPr>
                <w:sz w:val="20"/>
                <w:szCs w:val="22"/>
              </w:rPr>
              <w:t>0%</w:t>
            </w:r>
          </w:p>
        </w:tc>
        <w:tc>
          <w:tcPr>
            <w:tcW w:w="956" w:type="dxa"/>
          </w:tcPr>
          <w:p w14:paraId="1156E369" w14:textId="77777777" w:rsidR="00955622" w:rsidRPr="00A0565F" w:rsidRDefault="00955622" w:rsidP="00136E77">
            <w:pPr>
              <w:rPr>
                <w:sz w:val="20"/>
                <w:szCs w:val="22"/>
              </w:rPr>
            </w:pPr>
            <w:r w:rsidRPr="00A0565F">
              <w:rPr>
                <w:sz w:val="20"/>
                <w:szCs w:val="22"/>
              </w:rPr>
              <w:t>100%</w:t>
            </w:r>
          </w:p>
        </w:tc>
      </w:tr>
      <w:tr w:rsidR="00955622" w:rsidRPr="008D7CDA" w14:paraId="5DF1A2AF" w14:textId="77777777" w:rsidTr="00726B76">
        <w:trPr>
          <w:cantSplit/>
        </w:trPr>
        <w:tc>
          <w:tcPr>
            <w:tcW w:w="3027" w:type="dxa"/>
            <w:shd w:val="clear" w:color="auto" w:fill="auto"/>
          </w:tcPr>
          <w:p w14:paraId="4F0F78EC" w14:textId="77777777" w:rsidR="00955622" w:rsidRPr="00A0565F" w:rsidRDefault="00955622" w:rsidP="00955622">
            <w:pPr>
              <w:widowControl/>
              <w:numPr>
                <w:ilvl w:val="0"/>
                <w:numId w:val="41"/>
              </w:numPr>
              <w:ind w:left="432"/>
              <w:contextualSpacing/>
            </w:pPr>
            <w:r w:rsidRPr="00A0565F">
              <w:t>CBTJ Financial Services B.V.</w:t>
            </w:r>
          </w:p>
        </w:tc>
        <w:tc>
          <w:tcPr>
            <w:tcW w:w="1468" w:type="dxa"/>
            <w:shd w:val="clear" w:color="auto" w:fill="auto"/>
          </w:tcPr>
          <w:p w14:paraId="1F9ECE4D" w14:textId="77777777" w:rsidR="00955622" w:rsidRPr="0027363F" w:rsidRDefault="00955622" w:rsidP="00136E77">
            <w:pPr>
              <w:jc w:val="center"/>
            </w:pPr>
            <w:r w:rsidRPr="0027363F">
              <w:t>Netherlands</w:t>
            </w:r>
          </w:p>
        </w:tc>
        <w:tc>
          <w:tcPr>
            <w:tcW w:w="1800" w:type="dxa"/>
            <w:shd w:val="clear" w:color="auto" w:fill="auto"/>
          </w:tcPr>
          <w:p w14:paraId="2A5D2E46" w14:textId="77777777" w:rsidR="00955622" w:rsidRPr="0027363F" w:rsidRDefault="00955622" w:rsidP="00136E77">
            <w:pPr>
              <w:jc w:val="center"/>
            </w:pPr>
            <w:r w:rsidRPr="0027363F">
              <w:t>Limited Liability Corp.</w:t>
            </w:r>
          </w:p>
        </w:tc>
        <w:tc>
          <w:tcPr>
            <w:tcW w:w="1518" w:type="dxa"/>
            <w:shd w:val="clear" w:color="auto" w:fill="auto"/>
          </w:tcPr>
          <w:p w14:paraId="53C50626" w14:textId="77777777" w:rsidR="00955622" w:rsidRPr="0027363F" w:rsidRDefault="00955622" w:rsidP="00136E77">
            <w:pPr>
              <w:jc w:val="center"/>
            </w:pPr>
            <w:r w:rsidRPr="0027363F">
              <w:t>Investment</w:t>
            </w:r>
          </w:p>
        </w:tc>
        <w:tc>
          <w:tcPr>
            <w:tcW w:w="879" w:type="dxa"/>
            <w:shd w:val="clear" w:color="auto" w:fill="auto"/>
          </w:tcPr>
          <w:p w14:paraId="4889CE06" w14:textId="77777777" w:rsidR="00955622" w:rsidRPr="00A0565F" w:rsidRDefault="00955622" w:rsidP="00136E77">
            <w:pPr>
              <w:rPr>
                <w:sz w:val="20"/>
                <w:szCs w:val="22"/>
              </w:rPr>
            </w:pPr>
            <w:r w:rsidRPr="00A0565F">
              <w:rPr>
                <w:sz w:val="20"/>
                <w:szCs w:val="22"/>
              </w:rPr>
              <w:t>0%</w:t>
            </w:r>
          </w:p>
        </w:tc>
        <w:tc>
          <w:tcPr>
            <w:tcW w:w="956" w:type="dxa"/>
          </w:tcPr>
          <w:p w14:paraId="69B19D6F" w14:textId="77777777" w:rsidR="00955622" w:rsidRPr="00A0565F" w:rsidRDefault="00955622" w:rsidP="00136E77">
            <w:pPr>
              <w:rPr>
                <w:sz w:val="20"/>
                <w:szCs w:val="22"/>
              </w:rPr>
            </w:pPr>
            <w:r w:rsidRPr="00A0565F">
              <w:rPr>
                <w:sz w:val="20"/>
                <w:szCs w:val="22"/>
              </w:rPr>
              <w:t>100%</w:t>
            </w:r>
          </w:p>
        </w:tc>
      </w:tr>
      <w:tr w:rsidR="00955622" w:rsidRPr="008D7CDA" w14:paraId="6BF8338D" w14:textId="77777777" w:rsidTr="00726B76">
        <w:trPr>
          <w:cantSplit/>
        </w:trPr>
        <w:tc>
          <w:tcPr>
            <w:tcW w:w="3027" w:type="dxa"/>
            <w:shd w:val="clear" w:color="auto" w:fill="auto"/>
          </w:tcPr>
          <w:p w14:paraId="19FAFAFA" w14:textId="77777777" w:rsidR="00955622" w:rsidRPr="00A0565F" w:rsidRDefault="00955622" w:rsidP="00955622">
            <w:pPr>
              <w:widowControl/>
              <w:numPr>
                <w:ilvl w:val="0"/>
                <w:numId w:val="41"/>
              </w:numPr>
              <w:ind w:left="432"/>
              <w:contextualSpacing/>
            </w:pPr>
            <w:r w:rsidRPr="00A0565F">
              <w:t>EQT Infrastructure Limited</w:t>
            </w:r>
          </w:p>
        </w:tc>
        <w:tc>
          <w:tcPr>
            <w:tcW w:w="1468" w:type="dxa"/>
            <w:shd w:val="clear" w:color="auto" w:fill="auto"/>
          </w:tcPr>
          <w:p w14:paraId="4C7B15C5" w14:textId="77777777" w:rsidR="00955622" w:rsidRPr="0027363F" w:rsidRDefault="00955622" w:rsidP="00136E77">
            <w:pPr>
              <w:jc w:val="center"/>
            </w:pPr>
            <w:r w:rsidRPr="0027363F">
              <w:t>Guernsey</w:t>
            </w:r>
          </w:p>
        </w:tc>
        <w:tc>
          <w:tcPr>
            <w:tcW w:w="1800" w:type="dxa"/>
            <w:shd w:val="clear" w:color="auto" w:fill="auto"/>
          </w:tcPr>
          <w:p w14:paraId="28FF1550" w14:textId="77777777" w:rsidR="00955622" w:rsidRPr="0027363F" w:rsidRDefault="00955622" w:rsidP="00136E77">
            <w:pPr>
              <w:jc w:val="center"/>
            </w:pPr>
            <w:r w:rsidRPr="0027363F">
              <w:t>Private Corp.</w:t>
            </w:r>
          </w:p>
        </w:tc>
        <w:tc>
          <w:tcPr>
            <w:tcW w:w="1518" w:type="dxa"/>
            <w:shd w:val="clear" w:color="auto" w:fill="auto"/>
          </w:tcPr>
          <w:p w14:paraId="5CE1635F" w14:textId="77777777" w:rsidR="00955622" w:rsidRPr="0027363F" w:rsidRDefault="00955622" w:rsidP="00136E77">
            <w:pPr>
              <w:jc w:val="center"/>
            </w:pPr>
            <w:r w:rsidRPr="0027363F">
              <w:t>Investment</w:t>
            </w:r>
          </w:p>
        </w:tc>
        <w:tc>
          <w:tcPr>
            <w:tcW w:w="879" w:type="dxa"/>
            <w:shd w:val="clear" w:color="auto" w:fill="auto"/>
          </w:tcPr>
          <w:p w14:paraId="4DAE0E06" w14:textId="77777777" w:rsidR="00955622" w:rsidRPr="00A0565F" w:rsidRDefault="00955622" w:rsidP="00136E77">
            <w:pPr>
              <w:rPr>
                <w:sz w:val="20"/>
                <w:szCs w:val="22"/>
              </w:rPr>
            </w:pPr>
            <w:r w:rsidRPr="00A0565F">
              <w:rPr>
                <w:sz w:val="20"/>
                <w:szCs w:val="22"/>
              </w:rPr>
              <w:t>0.3%</w:t>
            </w:r>
          </w:p>
        </w:tc>
        <w:tc>
          <w:tcPr>
            <w:tcW w:w="956" w:type="dxa"/>
          </w:tcPr>
          <w:p w14:paraId="295CE634" w14:textId="77777777" w:rsidR="00955622" w:rsidRPr="00A0565F" w:rsidRDefault="00955622" w:rsidP="00136E77">
            <w:pPr>
              <w:rPr>
                <w:sz w:val="20"/>
                <w:szCs w:val="22"/>
                <w:highlight w:val="yellow"/>
              </w:rPr>
            </w:pPr>
            <w:r w:rsidRPr="00A0565F">
              <w:rPr>
                <w:sz w:val="20"/>
                <w:szCs w:val="22"/>
              </w:rPr>
              <w:t>100%</w:t>
            </w:r>
          </w:p>
        </w:tc>
      </w:tr>
      <w:tr w:rsidR="00955622" w:rsidRPr="008D7CDA" w14:paraId="1F86BCCF" w14:textId="77777777" w:rsidTr="00726B76">
        <w:trPr>
          <w:cantSplit/>
        </w:trPr>
        <w:tc>
          <w:tcPr>
            <w:tcW w:w="3027" w:type="dxa"/>
            <w:shd w:val="clear" w:color="auto" w:fill="auto"/>
          </w:tcPr>
          <w:p w14:paraId="2BDEA02F" w14:textId="77777777" w:rsidR="00955622" w:rsidRPr="00A0565F" w:rsidRDefault="00955622" w:rsidP="00955622">
            <w:pPr>
              <w:widowControl/>
              <w:numPr>
                <w:ilvl w:val="0"/>
                <w:numId w:val="41"/>
              </w:numPr>
              <w:ind w:left="432"/>
              <w:contextualSpacing/>
            </w:pPr>
            <w:r w:rsidRPr="00A0565F">
              <w:t>EQT Funds Management Limited</w:t>
            </w:r>
          </w:p>
        </w:tc>
        <w:tc>
          <w:tcPr>
            <w:tcW w:w="1468" w:type="dxa"/>
            <w:shd w:val="clear" w:color="auto" w:fill="auto"/>
          </w:tcPr>
          <w:p w14:paraId="16B3FD93" w14:textId="77777777" w:rsidR="00955622" w:rsidRPr="0027363F" w:rsidRDefault="00955622" w:rsidP="00136E77">
            <w:pPr>
              <w:jc w:val="center"/>
            </w:pPr>
            <w:r w:rsidRPr="0027363F">
              <w:t>Guernsey</w:t>
            </w:r>
          </w:p>
        </w:tc>
        <w:tc>
          <w:tcPr>
            <w:tcW w:w="1800" w:type="dxa"/>
            <w:shd w:val="clear" w:color="auto" w:fill="auto"/>
          </w:tcPr>
          <w:p w14:paraId="1213A35B" w14:textId="77777777" w:rsidR="00955622" w:rsidRPr="0027363F" w:rsidRDefault="00955622" w:rsidP="00136E77">
            <w:pPr>
              <w:jc w:val="center"/>
            </w:pPr>
            <w:r w:rsidRPr="0027363F">
              <w:t>Private Corp.</w:t>
            </w:r>
          </w:p>
        </w:tc>
        <w:tc>
          <w:tcPr>
            <w:tcW w:w="1518" w:type="dxa"/>
            <w:shd w:val="clear" w:color="auto" w:fill="auto"/>
          </w:tcPr>
          <w:p w14:paraId="166EA151" w14:textId="77777777" w:rsidR="00955622" w:rsidRPr="0027363F" w:rsidRDefault="00955622" w:rsidP="00136E77">
            <w:pPr>
              <w:jc w:val="center"/>
            </w:pPr>
            <w:r w:rsidRPr="0027363F">
              <w:t>Investment</w:t>
            </w:r>
          </w:p>
        </w:tc>
        <w:tc>
          <w:tcPr>
            <w:tcW w:w="879" w:type="dxa"/>
            <w:shd w:val="clear" w:color="auto" w:fill="auto"/>
          </w:tcPr>
          <w:p w14:paraId="2D2F704D" w14:textId="77777777" w:rsidR="00955622" w:rsidRPr="00A0565F" w:rsidRDefault="00955622" w:rsidP="00136E77">
            <w:pPr>
              <w:rPr>
                <w:sz w:val="20"/>
                <w:szCs w:val="22"/>
              </w:rPr>
            </w:pPr>
            <w:r w:rsidRPr="00A0565F">
              <w:rPr>
                <w:sz w:val="20"/>
                <w:szCs w:val="22"/>
              </w:rPr>
              <w:t>0%</w:t>
            </w:r>
          </w:p>
        </w:tc>
        <w:tc>
          <w:tcPr>
            <w:tcW w:w="956" w:type="dxa"/>
          </w:tcPr>
          <w:p w14:paraId="0FF40594" w14:textId="77777777" w:rsidR="00955622" w:rsidRPr="00A0565F" w:rsidRDefault="00955622" w:rsidP="00136E77">
            <w:pPr>
              <w:rPr>
                <w:sz w:val="20"/>
                <w:szCs w:val="22"/>
              </w:rPr>
            </w:pPr>
            <w:r w:rsidRPr="00A0565F">
              <w:rPr>
                <w:sz w:val="20"/>
                <w:szCs w:val="22"/>
              </w:rPr>
              <w:t>100%</w:t>
            </w:r>
          </w:p>
        </w:tc>
      </w:tr>
      <w:tr w:rsidR="00955622" w:rsidRPr="008D7CDA" w14:paraId="68EC7CDA" w14:textId="77777777" w:rsidTr="00726B76">
        <w:trPr>
          <w:cantSplit/>
        </w:trPr>
        <w:tc>
          <w:tcPr>
            <w:tcW w:w="3027" w:type="dxa"/>
            <w:shd w:val="clear" w:color="auto" w:fill="auto"/>
          </w:tcPr>
          <w:p w14:paraId="0F0613F7" w14:textId="77777777" w:rsidR="00955622" w:rsidRPr="00A0565F" w:rsidRDefault="00955622" w:rsidP="00955622">
            <w:pPr>
              <w:widowControl/>
              <w:numPr>
                <w:ilvl w:val="0"/>
                <w:numId w:val="41"/>
              </w:numPr>
              <w:ind w:left="432"/>
              <w:contextualSpacing/>
            </w:pPr>
            <w:r w:rsidRPr="00A0565F">
              <w:t>SEP Holdings B.V.</w:t>
            </w:r>
          </w:p>
        </w:tc>
        <w:tc>
          <w:tcPr>
            <w:tcW w:w="1468" w:type="dxa"/>
            <w:shd w:val="clear" w:color="auto" w:fill="auto"/>
          </w:tcPr>
          <w:p w14:paraId="77389822" w14:textId="77777777" w:rsidR="00955622" w:rsidRPr="0027363F" w:rsidRDefault="00955622" w:rsidP="00136E77">
            <w:pPr>
              <w:jc w:val="center"/>
            </w:pPr>
            <w:r w:rsidRPr="0027363F">
              <w:t>Netherlands</w:t>
            </w:r>
          </w:p>
        </w:tc>
        <w:tc>
          <w:tcPr>
            <w:tcW w:w="1800" w:type="dxa"/>
            <w:shd w:val="clear" w:color="auto" w:fill="auto"/>
          </w:tcPr>
          <w:p w14:paraId="51315367" w14:textId="77777777" w:rsidR="00955622" w:rsidRPr="0027363F" w:rsidRDefault="00955622" w:rsidP="00136E77">
            <w:pPr>
              <w:jc w:val="center"/>
            </w:pPr>
            <w:r w:rsidRPr="0027363F">
              <w:t>Limited Liability Corp.</w:t>
            </w:r>
          </w:p>
        </w:tc>
        <w:tc>
          <w:tcPr>
            <w:tcW w:w="1518" w:type="dxa"/>
            <w:shd w:val="clear" w:color="auto" w:fill="auto"/>
          </w:tcPr>
          <w:p w14:paraId="6C59646A" w14:textId="77777777" w:rsidR="00955622" w:rsidRPr="0027363F" w:rsidRDefault="00955622" w:rsidP="00136E77">
            <w:pPr>
              <w:jc w:val="center"/>
            </w:pPr>
            <w:r w:rsidRPr="0027363F">
              <w:t>Investment</w:t>
            </w:r>
          </w:p>
        </w:tc>
        <w:tc>
          <w:tcPr>
            <w:tcW w:w="879" w:type="dxa"/>
            <w:shd w:val="clear" w:color="auto" w:fill="auto"/>
          </w:tcPr>
          <w:p w14:paraId="3C6E3A15" w14:textId="77777777" w:rsidR="00955622" w:rsidRPr="00A0565F" w:rsidRDefault="00955622" w:rsidP="00136E77">
            <w:pPr>
              <w:rPr>
                <w:sz w:val="20"/>
                <w:szCs w:val="22"/>
              </w:rPr>
            </w:pPr>
            <w:r w:rsidRPr="00A0565F">
              <w:rPr>
                <w:sz w:val="20"/>
                <w:szCs w:val="22"/>
              </w:rPr>
              <w:t>0%</w:t>
            </w:r>
          </w:p>
        </w:tc>
        <w:tc>
          <w:tcPr>
            <w:tcW w:w="956" w:type="dxa"/>
          </w:tcPr>
          <w:p w14:paraId="6BB70FF8" w14:textId="77777777" w:rsidR="00955622" w:rsidRPr="00A0565F" w:rsidRDefault="00955622" w:rsidP="00136E77">
            <w:pPr>
              <w:rPr>
                <w:sz w:val="20"/>
                <w:szCs w:val="22"/>
              </w:rPr>
            </w:pPr>
            <w:r w:rsidRPr="00A0565F">
              <w:rPr>
                <w:sz w:val="20"/>
                <w:szCs w:val="22"/>
              </w:rPr>
              <w:t>100%</w:t>
            </w:r>
          </w:p>
        </w:tc>
      </w:tr>
      <w:tr w:rsidR="00955622" w:rsidRPr="008D7CDA" w14:paraId="4C898D3F" w14:textId="77777777" w:rsidTr="00726B76">
        <w:trPr>
          <w:cantSplit/>
        </w:trPr>
        <w:tc>
          <w:tcPr>
            <w:tcW w:w="3027" w:type="dxa"/>
            <w:shd w:val="clear" w:color="auto" w:fill="auto"/>
          </w:tcPr>
          <w:p w14:paraId="537E966E" w14:textId="77777777" w:rsidR="00955622" w:rsidRPr="00A0565F" w:rsidRDefault="00955622" w:rsidP="00955622">
            <w:pPr>
              <w:widowControl/>
              <w:numPr>
                <w:ilvl w:val="0"/>
                <w:numId w:val="41"/>
              </w:numPr>
              <w:ind w:left="432"/>
              <w:contextualSpacing/>
            </w:pPr>
            <w:r w:rsidRPr="00A0565F">
              <w:t>SEP Integrated I B.V.</w:t>
            </w:r>
          </w:p>
        </w:tc>
        <w:tc>
          <w:tcPr>
            <w:tcW w:w="1468" w:type="dxa"/>
            <w:shd w:val="clear" w:color="auto" w:fill="auto"/>
          </w:tcPr>
          <w:p w14:paraId="3A5DCEA1" w14:textId="77777777" w:rsidR="00955622" w:rsidRPr="0027363F" w:rsidRDefault="00955622" w:rsidP="00136E77">
            <w:pPr>
              <w:jc w:val="center"/>
            </w:pPr>
            <w:r w:rsidRPr="0027363F">
              <w:t>Netherlands</w:t>
            </w:r>
          </w:p>
        </w:tc>
        <w:tc>
          <w:tcPr>
            <w:tcW w:w="1800" w:type="dxa"/>
            <w:shd w:val="clear" w:color="auto" w:fill="auto"/>
          </w:tcPr>
          <w:p w14:paraId="3BCCDA12" w14:textId="77777777" w:rsidR="00955622" w:rsidRPr="0027363F" w:rsidRDefault="00955622" w:rsidP="00136E77">
            <w:pPr>
              <w:jc w:val="center"/>
            </w:pPr>
            <w:r w:rsidRPr="0027363F">
              <w:t>Limited Liability Corp.</w:t>
            </w:r>
          </w:p>
        </w:tc>
        <w:tc>
          <w:tcPr>
            <w:tcW w:w="1518" w:type="dxa"/>
            <w:shd w:val="clear" w:color="auto" w:fill="auto"/>
          </w:tcPr>
          <w:p w14:paraId="3CD6A760" w14:textId="77777777" w:rsidR="00955622" w:rsidRPr="0027363F" w:rsidRDefault="00955622" w:rsidP="00136E77">
            <w:pPr>
              <w:jc w:val="center"/>
            </w:pPr>
            <w:r w:rsidRPr="0027363F">
              <w:t>Investment</w:t>
            </w:r>
          </w:p>
        </w:tc>
        <w:tc>
          <w:tcPr>
            <w:tcW w:w="879" w:type="dxa"/>
            <w:shd w:val="clear" w:color="auto" w:fill="auto"/>
          </w:tcPr>
          <w:p w14:paraId="11DFE89E" w14:textId="77777777" w:rsidR="00955622" w:rsidRPr="00A0565F" w:rsidRDefault="00955622" w:rsidP="00136E77">
            <w:pPr>
              <w:rPr>
                <w:sz w:val="20"/>
                <w:szCs w:val="22"/>
              </w:rPr>
            </w:pPr>
            <w:r w:rsidRPr="00A0565F">
              <w:rPr>
                <w:sz w:val="20"/>
                <w:szCs w:val="22"/>
              </w:rPr>
              <w:t>0%</w:t>
            </w:r>
          </w:p>
        </w:tc>
        <w:tc>
          <w:tcPr>
            <w:tcW w:w="956" w:type="dxa"/>
          </w:tcPr>
          <w:p w14:paraId="55EBA799" w14:textId="77777777" w:rsidR="00955622" w:rsidRPr="00A0565F" w:rsidRDefault="00955622" w:rsidP="00136E77">
            <w:pPr>
              <w:rPr>
                <w:sz w:val="20"/>
                <w:szCs w:val="22"/>
              </w:rPr>
            </w:pPr>
            <w:r w:rsidRPr="00A0565F">
              <w:rPr>
                <w:sz w:val="20"/>
                <w:szCs w:val="22"/>
              </w:rPr>
              <w:t>46.47%</w:t>
            </w:r>
          </w:p>
        </w:tc>
      </w:tr>
      <w:tr w:rsidR="00955622" w:rsidRPr="008D7CDA" w14:paraId="0571B6BD" w14:textId="77777777" w:rsidTr="00726B76">
        <w:trPr>
          <w:cantSplit/>
        </w:trPr>
        <w:tc>
          <w:tcPr>
            <w:tcW w:w="3027" w:type="dxa"/>
            <w:shd w:val="clear" w:color="auto" w:fill="auto"/>
          </w:tcPr>
          <w:p w14:paraId="53FC7C9B" w14:textId="77777777" w:rsidR="00955622" w:rsidRPr="00A0565F" w:rsidRDefault="00955622" w:rsidP="00955622">
            <w:pPr>
              <w:widowControl/>
              <w:numPr>
                <w:ilvl w:val="0"/>
                <w:numId w:val="41"/>
              </w:numPr>
              <w:ind w:left="432"/>
              <w:contextualSpacing/>
            </w:pPr>
            <w:r w:rsidRPr="00A0565F">
              <w:t xml:space="preserve">SEP Integrated II B.V. </w:t>
            </w:r>
          </w:p>
        </w:tc>
        <w:tc>
          <w:tcPr>
            <w:tcW w:w="1468" w:type="dxa"/>
            <w:shd w:val="clear" w:color="auto" w:fill="auto"/>
          </w:tcPr>
          <w:p w14:paraId="18453488" w14:textId="77777777" w:rsidR="00955622" w:rsidRPr="0027363F" w:rsidRDefault="00955622" w:rsidP="00136E77">
            <w:pPr>
              <w:jc w:val="center"/>
            </w:pPr>
            <w:r w:rsidRPr="0027363F">
              <w:t>Netherlands</w:t>
            </w:r>
          </w:p>
        </w:tc>
        <w:tc>
          <w:tcPr>
            <w:tcW w:w="1800" w:type="dxa"/>
            <w:shd w:val="clear" w:color="auto" w:fill="auto"/>
          </w:tcPr>
          <w:p w14:paraId="31FD004D" w14:textId="77777777" w:rsidR="00955622" w:rsidRPr="0027363F" w:rsidRDefault="00955622" w:rsidP="00136E77">
            <w:pPr>
              <w:jc w:val="center"/>
            </w:pPr>
            <w:r w:rsidRPr="0027363F">
              <w:t>Limited Liability Corp.</w:t>
            </w:r>
          </w:p>
        </w:tc>
        <w:tc>
          <w:tcPr>
            <w:tcW w:w="1518" w:type="dxa"/>
            <w:shd w:val="clear" w:color="auto" w:fill="auto"/>
          </w:tcPr>
          <w:p w14:paraId="52015AF8" w14:textId="77777777" w:rsidR="00955622" w:rsidRPr="0027363F" w:rsidRDefault="00955622" w:rsidP="00136E77">
            <w:pPr>
              <w:jc w:val="center"/>
            </w:pPr>
            <w:r w:rsidRPr="0027363F">
              <w:t>Investment</w:t>
            </w:r>
          </w:p>
        </w:tc>
        <w:tc>
          <w:tcPr>
            <w:tcW w:w="879" w:type="dxa"/>
            <w:shd w:val="clear" w:color="auto" w:fill="auto"/>
          </w:tcPr>
          <w:p w14:paraId="190BC37F" w14:textId="77777777" w:rsidR="00955622" w:rsidRPr="00A0565F" w:rsidRDefault="00955622" w:rsidP="00136E77">
            <w:pPr>
              <w:rPr>
                <w:sz w:val="20"/>
                <w:szCs w:val="22"/>
              </w:rPr>
            </w:pPr>
            <w:r w:rsidRPr="00A0565F">
              <w:rPr>
                <w:sz w:val="20"/>
                <w:szCs w:val="22"/>
              </w:rPr>
              <w:t>0%</w:t>
            </w:r>
          </w:p>
        </w:tc>
        <w:tc>
          <w:tcPr>
            <w:tcW w:w="956" w:type="dxa"/>
          </w:tcPr>
          <w:p w14:paraId="7357AC16" w14:textId="77777777" w:rsidR="00955622" w:rsidRPr="00A0565F" w:rsidRDefault="00955622" w:rsidP="00136E77">
            <w:pPr>
              <w:rPr>
                <w:sz w:val="20"/>
                <w:szCs w:val="22"/>
              </w:rPr>
            </w:pPr>
            <w:r>
              <w:rPr>
                <w:sz w:val="20"/>
                <w:szCs w:val="22"/>
              </w:rPr>
              <w:t>100</w:t>
            </w:r>
            <w:r w:rsidRPr="00A0565F">
              <w:rPr>
                <w:sz w:val="20"/>
                <w:szCs w:val="22"/>
              </w:rPr>
              <w:t>%</w:t>
            </w:r>
          </w:p>
        </w:tc>
      </w:tr>
      <w:tr w:rsidR="00955622" w:rsidRPr="008D7CDA" w14:paraId="3633D379" w14:textId="77777777" w:rsidTr="00726B76">
        <w:trPr>
          <w:cantSplit/>
        </w:trPr>
        <w:tc>
          <w:tcPr>
            <w:tcW w:w="3027" w:type="dxa"/>
            <w:shd w:val="clear" w:color="auto" w:fill="auto"/>
          </w:tcPr>
          <w:p w14:paraId="767C361E" w14:textId="77777777" w:rsidR="00955622" w:rsidRPr="00A0565F" w:rsidRDefault="00955622" w:rsidP="00955622">
            <w:pPr>
              <w:widowControl/>
              <w:numPr>
                <w:ilvl w:val="0"/>
                <w:numId w:val="41"/>
              </w:numPr>
              <w:ind w:left="432"/>
              <w:contextualSpacing/>
            </w:pPr>
            <w:r w:rsidRPr="00A0565F">
              <w:t>SEPCO B.V.</w:t>
            </w:r>
          </w:p>
        </w:tc>
        <w:tc>
          <w:tcPr>
            <w:tcW w:w="1468" w:type="dxa"/>
            <w:shd w:val="clear" w:color="auto" w:fill="auto"/>
          </w:tcPr>
          <w:p w14:paraId="1635055A" w14:textId="77777777" w:rsidR="00955622" w:rsidRPr="0027363F" w:rsidRDefault="00955622" w:rsidP="00136E77">
            <w:pPr>
              <w:jc w:val="center"/>
            </w:pPr>
            <w:r w:rsidRPr="0027363F">
              <w:t>Netherlands</w:t>
            </w:r>
          </w:p>
        </w:tc>
        <w:tc>
          <w:tcPr>
            <w:tcW w:w="1800" w:type="dxa"/>
            <w:shd w:val="clear" w:color="auto" w:fill="auto"/>
          </w:tcPr>
          <w:p w14:paraId="0B1B0944" w14:textId="77777777" w:rsidR="00955622" w:rsidRPr="0027363F" w:rsidRDefault="00955622" w:rsidP="00136E77">
            <w:pPr>
              <w:jc w:val="center"/>
            </w:pPr>
            <w:r w:rsidRPr="0027363F">
              <w:t>Limited Liability Corp.</w:t>
            </w:r>
          </w:p>
        </w:tc>
        <w:tc>
          <w:tcPr>
            <w:tcW w:w="1518" w:type="dxa"/>
            <w:shd w:val="clear" w:color="auto" w:fill="auto"/>
          </w:tcPr>
          <w:p w14:paraId="273F38B1" w14:textId="77777777" w:rsidR="00955622" w:rsidRPr="0027363F" w:rsidRDefault="00955622" w:rsidP="00136E77">
            <w:pPr>
              <w:jc w:val="center"/>
            </w:pPr>
            <w:r w:rsidRPr="0027363F">
              <w:t>Investment</w:t>
            </w:r>
          </w:p>
        </w:tc>
        <w:tc>
          <w:tcPr>
            <w:tcW w:w="879" w:type="dxa"/>
            <w:shd w:val="clear" w:color="auto" w:fill="auto"/>
          </w:tcPr>
          <w:p w14:paraId="3F6EA09D" w14:textId="77777777" w:rsidR="00955622" w:rsidRPr="00A0565F" w:rsidRDefault="00955622" w:rsidP="00136E77">
            <w:pPr>
              <w:rPr>
                <w:sz w:val="20"/>
                <w:szCs w:val="22"/>
              </w:rPr>
            </w:pPr>
            <w:r w:rsidRPr="00A0565F">
              <w:rPr>
                <w:sz w:val="20"/>
                <w:szCs w:val="22"/>
              </w:rPr>
              <w:t>0%</w:t>
            </w:r>
          </w:p>
        </w:tc>
        <w:tc>
          <w:tcPr>
            <w:tcW w:w="956" w:type="dxa"/>
          </w:tcPr>
          <w:p w14:paraId="1214775D" w14:textId="77777777" w:rsidR="00955622" w:rsidRPr="00A0565F" w:rsidRDefault="00955622" w:rsidP="00136E77">
            <w:pPr>
              <w:rPr>
                <w:sz w:val="20"/>
                <w:szCs w:val="22"/>
              </w:rPr>
            </w:pPr>
            <w:r w:rsidRPr="00A0565F">
              <w:rPr>
                <w:sz w:val="20"/>
                <w:szCs w:val="22"/>
              </w:rPr>
              <w:t>17.58%</w:t>
            </w:r>
          </w:p>
        </w:tc>
      </w:tr>
      <w:tr w:rsidR="00955622" w:rsidRPr="008D7CDA" w14:paraId="7817A87E" w14:textId="77777777" w:rsidTr="00726B76">
        <w:trPr>
          <w:cantSplit/>
        </w:trPr>
        <w:tc>
          <w:tcPr>
            <w:tcW w:w="3027" w:type="dxa"/>
            <w:shd w:val="clear" w:color="auto" w:fill="auto"/>
          </w:tcPr>
          <w:p w14:paraId="7D4494A2" w14:textId="77777777" w:rsidR="00955622" w:rsidRPr="00A0565F" w:rsidRDefault="00955622" w:rsidP="00955622">
            <w:pPr>
              <w:widowControl/>
              <w:numPr>
                <w:ilvl w:val="0"/>
                <w:numId w:val="41"/>
              </w:numPr>
              <w:ind w:left="432"/>
              <w:contextualSpacing/>
            </w:pPr>
            <w:r w:rsidRPr="00A0565F">
              <w:t>Glen Matsumoto</w:t>
            </w:r>
          </w:p>
        </w:tc>
        <w:tc>
          <w:tcPr>
            <w:tcW w:w="1468" w:type="dxa"/>
            <w:shd w:val="clear" w:color="auto" w:fill="auto"/>
          </w:tcPr>
          <w:p w14:paraId="4B06F639" w14:textId="77777777" w:rsidR="00955622" w:rsidRPr="0027363F" w:rsidDel="009F72C3" w:rsidRDefault="00955622" w:rsidP="00136E77">
            <w:pPr>
              <w:jc w:val="center"/>
            </w:pPr>
            <w:r w:rsidRPr="0027363F">
              <w:t>U.S.</w:t>
            </w:r>
          </w:p>
        </w:tc>
        <w:tc>
          <w:tcPr>
            <w:tcW w:w="1800" w:type="dxa"/>
            <w:shd w:val="clear" w:color="auto" w:fill="auto"/>
          </w:tcPr>
          <w:p w14:paraId="6520CDC9" w14:textId="77777777" w:rsidR="00955622" w:rsidRPr="0027363F" w:rsidRDefault="00955622" w:rsidP="00136E77">
            <w:pPr>
              <w:jc w:val="center"/>
            </w:pPr>
            <w:r w:rsidRPr="0027363F">
              <w:t>Individual</w:t>
            </w:r>
          </w:p>
        </w:tc>
        <w:tc>
          <w:tcPr>
            <w:tcW w:w="1518" w:type="dxa"/>
            <w:shd w:val="clear" w:color="auto" w:fill="auto"/>
          </w:tcPr>
          <w:p w14:paraId="36837322" w14:textId="77777777" w:rsidR="00955622" w:rsidRPr="0027363F" w:rsidDel="009F72C3" w:rsidRDefault="00955622" w:rsidP="00136E77">
            <w:pPr>
              <w:jc w:val="center"/>
            </w:pPr>
            <w:r w:rsidRPr="0027363F">
              <w:t>N/A</w:t>
            </w:r>
          </w:p>
        </w:tc>
        <w:tc>
          <w:tcPr>
            <w:tcW w:w="879" w:type="dxa"/>
            <w:shd w:val="clear" w:color="auto" w:fill="auto"/>
          </w:tcPr>
          <w:p w14:paraId="6BE4B465" w14:textId="77777777" w:rsidR="00955622" w:rsidRPr="00A0565F" w:rsidRDefault="00955622" w:rsidP="00136E77">
            <w:pPr>
              <w:rPr>
                <w:sz w:val="20"/>
                <w:szCs w:val="22"/>
              </w:rPr>
            </w:pPr>
            <w:r w:rsidRPr="00A0565F">
              <w:rPr>
                <w:sz w:val="20"/>
                <w:szCs w:val="22"/>
              </w:rPr>
              <w:t>0%</w:t>
            </w:r>
          </w:p>
        </w:tc>
        <w:tc>
          <w:tcPr>
            <w:tcW w:w="956" w:type="dxa"/>
          </w:tcPr>
          <w:p w14:paraId="3FE966C0" w14:textId="77777777" w:rsidR="00955622" w:rsidRPr="00A0565F" w:rsidRDefault="00955622" w:rsidP="00136E77">
            <w:pPr>
              <w:rPr>
                <w:sz w:val="20"/>
                <w:szCs w:val="22"/>
              </w:rPr>
            </w:pPr>
            <w:r w:rsidRPr="00A0565F">
              <w:rPr>
                <w:sz w:val="20"/>
                <w:szCs w:val="22"/>
              </w:rPr>
              <w:t>16.59%</w:t>
            </w:r>
          </w:p>
        </w:tc>
      </w:tr>
      <w:tr w:rsidR="00955622" w:rsidRPr="008D7CDA" w14:paraId="0BDEE499" w14:textId="77777777" w:rsidTr="00726B76">
        <w:trPr>
          <w:cantSplit/>
        </w:trPr>
        <w:tc>
          <w:tcPr>
            <w:tcW w:w="3027" w:type="dxa"/>
            <w:shd w:val="clear" w:color="auto" w:fill="auto"/>
          </w:tcPr>
          <w:p w14:paraId="3EA7D452" w14:textId="77777777" w:rsidR="00955622" w:rsidRPr="00A0565F" w:rsidRDefault="00955622" w:rsidP="00955622">
            <w:pPr>
              <w:widowControl/>
              <w:numPr>
                <w:ilvl w:val="0"/>
                <w:numId w:val="41"/>
              </w:numPr>
              <w:ind w:left="432"/>
              <w:contextualSpacing/>
            </w:pPr>
            <w:r w:rsidRPr="00A0565F">
              <w:t>Steep Bay B.V.</w:t>
            </w:r>
          </w:p>
        </w:tc>
        <w:tc>
          <w:tcPr>
            <w:tcW w:w="1468" w:type="dxa"/>
            <w:shd w:val="clear" w:color="auto" w:fill="auto"/>
          </w:tcPr>
          <w:p w14:paraId="47893304" w14:textId="77777777" w:rsidR="00955622" w:rsidRPr="0027363F" w:rsidDel="009F72C3" w:rsidRDefault="00955622" w:rsidP="00136E77">
            <w:pPr>
              <w:jc w:val="center"/>
            </w:pPr>
            <w:r w:rsidRPr="0027363F">
              <w:t>Netherlands</w:t>
            </w:r>
          </w:p>
        </w:tc>
        <w:tc>
          <w:tcPr>
            <w:tcW w:w="1800" w:type="dxa"/>
            <w:shd w:val="clear" w:color="auto" w:fill="auto"/>
          </w:tcPr>
          <w:p w14:paraId="75770980" w14:textId="77777777" w:rsidR="00955622" w:rsidRPr="0027363F" w:rsidRDefault="00955622" w:rsidP="00136E77">
            <w:pPr>
              <w:jc w:val="center"/>
            </w:pPr>
            <w:r w:rsidRPr="0027363F">
              <w:t>Limited Liability Corp.</w:t>
            </w:r>
          </w:p>
        </w:tc>
        <w:tc>
          <w:tcPr>
            <w:tcW w:w="1518" w:type="dxa"/>
            <w:shd w:val="clear" w:color="auto" w:fill="auto"/>
          </w:tcPr>
          <w:p w14:paraId="72B466A9" w14:textId="77777777" w:rsidR="00955622" w:rsidRPr="0027363F" w:rsidDel="009F72C3" w:rsidRDefault="00955622" w:rsidP="00136E77">
            <w:pPr>
              <w:jc w:val="center"/>
            </w:pPr>
            <w:r w:rsidRPr="0027363F">
              <w:t>Investment</w:t>
            </w:r>
          </w:p>
        </w:tc>
        <w:tc>
          <w:tcPr>
            <w:tcW w:w="879" w:type="dxa"/>
            <w:shd w:val="clear" w:color="auto" w:fill="auto"/>
          </w:tcPr>
          <w:p w14:paraId="0DD368A5" w14:textId="77777777" w:rsidR="00955622" w:rsidRPr="00A0565F" w:rsidRDefault="00955622" w:rsidP="00136E77">
            <w:pPr>
              <w:rPr>
                <w:sz w:val="20"/>
                <w:szCs w:val="22"/>
              </w:rPr>
            </w:pPr>
            <w:r w:rsidRPr="00A0565F">
              <w:rPr>
                <w:sz w:val="20"/>
                <w:szCs w:val="22"/>
              </w:rPr>
              <w:t>0%</w:t>
            </w:r>
          </w:p>
        </w:tc>
        <w:tc>
          <w:tcPr>
            <w:tcW w:w="956" w:type="dxa"/>
          </w:tcPr>
          <w:p w14:paraId="0262302D" w14:textId="77777777" w:rsidR="00955622" w:rsidRPr="00A0565F" w:rsidRDefault="00955622" w:rsidP="00136E77">
            <w:pPr>
              <w:rPr>
                <w:sz w:val="20"/>
                <w:szCs w:val="22"/>
              </w:rPr>
            </w:pPr>
            <w:r w:rsidRPr="00A0565F">
              <w:rPr>
                <w:sz w:val="20"/>
                <w:szCs w:val="22"/>
              </w:rPr>
              <w:t>18.18%</w:t>
            </w:r>
          </w:p>
        </w:tc>
      </w:tr>
      <w:tr w:rsidR="00955622" w:rsidRPr="008D7CDA" w14:paraId="1B47BBD6" w14:textId="77777777" w:rsidTr="00726B76">
        <w:trPr>
          <w:cantSplit/>
        </w:trPr>
        <w:tc>
          <w:tcPr>
            <w:tcW w:w="3027" w:type="dxa"/>
            <w:shd w:val="clear" w:color="auto" w:fill="auto"/>
          </w:tcPr>
          <w:p w14:paraId="00F4888C" w14:textId="77777777" w:rsidR="00955622" w:rsidRPr="00A0565F" w:rsidRDefault="00955622" w:rsidP="00955622">
            <w:pPr>
              <w:widowControl/>
              <w:numPr>
                <w:ilvl w:val="0"/>
                <w:numId w:val="41"/>
              </w:numPr>
              <w:ind w:left="432"/>
              <w:contextualSpacing/>
            </w:pPr>
            <w:r w:rsidRPr="00A0565F">
              <w:t>Geltis Holding B.V.</w:t>
            </w:r>
          </w:p>
        </w:tc>
        <w:tc>
          <w:tcPr>
            <w:tcW w:w="1468" w:type="dxa"/>
            <w:shd w:val="clear" w:color="auto" w:fill="auto"/>
          </w:tcPr>
          <w:p w14:paraId="4027077E" w14:textId="77777777" w:rsidR="00955622" w:rsidRPr="0027363F" w:rsidDel="009F72C3" w:rsidRDefault="00955622" w:rsidP="00136E77">
            <w:pPr>
              <w:jc w:val="center"/>
            </w:pPr>
            <w:r w:rsidRPr="0027363F">
              <w:t>Netherlands</w:t>
            </w:r>
          </w:p>
        </w:tc>
        <w:tc>
          <w:tcPr>
            <w:tcW w:w="1800" w:type="dxa"/>
            <w:shd w:val="clear" w:color="auto" w:fill="auto"/>
          </w:tcPr>
          <w:p w14:paraId="3457308A" w14:textId="77777777" w:rsidR="00955622" w:rsidRPr="0027363F" w:rsidRDefault="00955622" w:rsidP="00136E77">
            <w:pPr>
              <w:jc w:val="center"/>
            </w:pPr>
            <w:r w:rsidRPr="0027363F">
              <w:t>Limited Liability Corp.</w:t>
            </w:r>
          </w:p>
        </w:tc>
        <w:tc>
          <w:tcPr>
            <w:tcW w:w="1518" w:type="dxa"/>
            <w:shd w:val="clear" w:color="auto" w:fill="auto"/>
          </w:tcPr>
          <w:p w14:paraId="0FEDEC49" w14:textId="77777777" w:rsidR="00955622" w:rsidRPr="0027363F" w:rsidDel="009F72C3" w:rsidRDefault="00955622" w:rsidP="00136E77">
            <w:pPr>
              <w:jc w:val="center"/>
            </w:pPr>
            <w:r w:rsidRPr="0027363F">
              <w:t>Investment</w:t>
            </w:r>
          </w:p>
        </w:tc>
        <w:tc>
          <w:tcPr>
            <w:tcW w:w="879" w:type="dxa"/>
            <w:shd w:val="clear" w:color="auto" w:fill="auto"/>
          </w:tcPr>
          <w:p w14:paraId="358E714E" w14:textId="77777777" w:rsidR="00955622" w:rsidRPr="00A0565F" w:rsidRDefault="00955622" w:rsidP="00136E77">
            <w:pPr>
              <w:rPr>
                <w:sz w:val="20"/>
                <w:szCs w:val="22"/>
              </w:rPr>
            </w:pPr>
            <w:r w:rsidRPr="00A0565F">
              <w:rPr>
                <w:sz w:val="20"/>
                <w:szCs w:val="22"/>
              </w:rPr>
              <w:t>0%</w:t>
            </w:r>
          </w:p>
        </w:tc>
        <w:tc>
          <w:tcPr>
            <w:tcW w:w="956" w:type="dxa"/>
          </w:tcPr>
          <w:p w14:paraId="349D8D6F" w14:textId="77777777" w:rsidR="00955622" w:rsidRPr="00A0565F" w:rsidRDefault="00955622" w:rsidP="00136E77">
            <w:pPr>
              <w:rPr>
                <w:sz w:val="20"/>
                <w:szCs w:val="22"/>
              </w:rPr>
            </w:pPr>
            <w:r w:rsidRPr="00A0565F">
              <w:rPr>
                <w:sz w:val="20"/>
                <w:szCs w:val="22"/>
              </w:rPr>
              <w:t>11.18%</w:t>
            </w:r>
          </w:p>
        </w:tc>
      </w:tr>
      <w:tr w:rsidR="00955622" w:rsidRPr="008D7CDA" w14:paraId="1F2D1E02" w14:textId="77777777" w:rsidTr="00726B76">
        <w:trPr>
          <w:cantSplit/>
        </w:trPr>
        <w:tc>
          <w:tcPr>
            <w:tcW w:w="3027" w:type="dxa"/>
            <w:shd w:val="clear" w:color="auto" w:fill="auto"/>
          </w:tcPr>
          <w:p w14:paraId="29FDB26C" w14:textId="77777777" w:rsidR="00955622" w:rsidRPr="00A0565F" w:rsidRDefault="00955622" w:rsidP="00955622">
            <w:pPr>
              <w:widowControl/>
              <w:numPr>
                <w:ilvl w:val="0"/>
                <w:numId w:val="41"/>
              </w:numPr>
              <w:ind w:left="432"/>
              <w:contextualSpacing/>
            </w:pPr>
            <w:r w:rsidRPr="00A0565F">
              <w:t>Stefan Glevén</w:t>
            </w:r>
          </w:p>
        </w:tc>
        <w:tc>
          <w:tcPr>
            <w:tcW w:w="1468" w:type="dxa"/>
            <w:shd w:val="clear" w:color="auto" w:fill="auto"/>
          </w:tcPr>
          <w:p w14:paraId="04B29D20" w14:textId="77777777" w:rsidR="00955622" w:rsidRPr="0027363F" w:rsidDel="009F72C3" w:rsidRDefault="00955622" w:rsidP="00136E77">
            <w:pPr>
              <w:jc w:val="center"/>
            </w:pPr>
            <w:r w:rsidRPr="0027363F">
              <w:t xml:space="preserve">Sweden </w:t>
            </w:r>
          </w:p>
        </w:tc>
        <w:tc>
          <w:tcPr>
            <w:tcW w:w="1800" w:type="dxa"/>
            <w:shd w:val="clear" w:color="auto" w:fill="auto"/>
          </w:tcPr>
          <w:p w14:paraId="53427777" w14:textId="77777777" w:rsidR="00955622" w:rsidRPr="0027363F" w:rsidRDefault="00955622" w:rsidP="00136E77">
            <w:pPr>
              <w:jc w:val="center"/>
            </w:pPr>
            <w:r w:rsidRPr="0027363F">
              <w:t>Individual</w:t>
            </w:r>
          </w:p>
        </w:tc>
        <w:tc>
          <w:tcPr>
            <w:tcW w:w="1518" w:type="dxa"/>
            <w:shd w:val="clear" w:color="auto" w:fill="auto"/>
          </w:tcPr>
          <w:p w14:paraId="37EDFBD4" w14:textId="77777777" w:rsidR="00955622" w:rsidRPr="0027363F" w:rsidDel="009F72C3" w:rsidRDefault="00955622" w:rsidP="00136E77">
            <w:pPr>
              <w:jc w:val="center"/>
            </w:pPr>
            <w:r w:rsidRPr="0027363F">
              <w:t>N/A</w:t>
            </w:r>
          </w:p>
        </w:tc>
        <w:tc>
          <w:tcPr>
            <w:tcW w:w="879" w:type="dxa"/>
            <w:shd w:val="clear" w:color="auto" w:fill="auto"/>
          </w:tcPr>
          <w:p w14:paraId="3FE2C790" w14:textId="77777777" w:rsidR="00955622" w:rsidRPr="00A0565F" w:rsidRDefault="00955622" w:rsidP="00136E77">
            <w:pPr>
              <w:rPr>
                <w:sz w:val="20"/>
                <w:szCs w:val="22"/>
              </w:rPr>
            </w:pPr>
            <w:r w:rsidRPr="00A0565F">
              <w:rPr>
                <w:sz w:val="20"/>
                <w:szCs w:val="22"/>
              </w:rPr>
              <w:t>0%</w:t>
            </w:r>
          </w:p>
        </w:tc>
        <w:tc>
          <w:tcPr>
            <w:tcW w:w="956" w:type="dxa"/>
          </w:tcPr>
          <w:p w14:paraId="7A0EA717" w14:textId="77777777" w:rsidR="00955622" w:rsidRPr="00A0565F" w:rsidRDefault="00955622" w:rsidP="00136E77">
            <w:pPr>
              <w:rPr>
                <w:sz w:val="20"/>
                <w:szCs w:val="22"/>
              </w:rPr>
            </w:pPr>
            <w:r w:rsidRPr="00A0565F">
              <w:rPr>
                <w:sz w:val="20"/>
                <w:szCs w:val="22"/>
              </w:rPr>
              <w:t>16.26%</w:t>
            </w:r>
          </w:p>
        </w:tc>
      </w:tr>
      <w:tr w:rsidR="00955622" w:rsidRPr="008D7CDA" w14:paraId="40B588D4" w14:textId="77777777" w:rsidTr="00726B76">
        <w:trPr>
          <w:cantSplit/>
        </w:trPr>
        <w:tc>
          <w:tcPr>
            <w:tcW w:w="3027" w:type="dxa"/>
            <w:shd w:val="clear" w:color="auto" w:fill="auto"/>
          </w:tcPr>
          <w:p w14:paraId="20E507EC" w14:textId="77777777" w:rsidR="00955622" w:rsidRPr="00A0565F" w:rsidRDefault="00955622" w:rsidP="00955622">
            <w:pPr>
              <w:widowControl/>
              <w:numPr>
                <w:ilvl w:val="0"/>
                <w:numId w:val="41"/>
              </w:numPr>
              <w:ind w:left="432"/>
              <w:contextualSpacing/>
            </w:pPr>
            <w:r w:rsidRPr="00A0565F">
              <w:t>Conni Jonsson</w:t>
            </w:r>
          </w:p>
        </w:tc>
        <w:tc>
          <w:tcPr>
            <w:tcW w:w="1468" w:type="dxa"/>
            <w:shd w:val="clear" w:color="auto" w:fill="auto"/>
          </w:tcPr>
          <w:p w14:paraId="0D6DB05F" w14:textId="77777777" w:rsidR="00955622" w:rsidRPr="0027363F" w:rsidDel="009F72C3" w:rsidRDefault="00955622" w:rsidP="00136E77">
            <w:pPr>
              <w:jc w:val="center"/>
            </w:pPr>
            <w:r w:rsidRPr="0027363F">
              <w:t>Sweden</w:t>
            </w:r>
          </w:p>
        </w:tc>
        <w:tc>
          <w:tcPr>
            <w:tcW w:w="1800" w:type="dxa"/>
            <w:shd w:val="clear" w:color="auto" w:fill="auto"/>
          </w:tcPr>
          <w:p w14:paraId="4413D280" w14:textId="77777777" w:rsidR="00955622" w:rsidRPr="0027363F" w:rsidRDefault="00955622" w:rsidP="00136E77">
            <w:pPr>
              <w:jc w:val="center"/>
            </w:pPr>
            <w:r w:rsidRPr="0027363F">
              <w:t>Individual</w:t>
            </w:r>
          </w:p>
        </w:tc>
        <w:tc>
          <w:tcPr>
            <w:tcW w:w="1518" w:type="dxa"/>
            <w:shd w:val="clear" w:color="auto" w:fill="auto"/>
          </w:tcPr>
          <w:p w14:paraId="477F55DC" w14:textId="77777777" w:rsidR="00955622" w:rsidRPr="0027363F" w:rsidDel="009F72C3" w:rsidRDefault="00955622" w:rsidP="00136E77">
            <w:pPr>
              <w:jc w:val="center"/>
            </w:pPr>
            <w:r w:rsidRPr="0027363F">
              <w:t>N/A</w:t>
            </w:r>
          </w:p>
        </w:tc>
        <w:tc>
          <w:tcPr>
            <w:tcW w:w="879" w:type="dxa"/>
            <w:shd w:val="clear" w:color="auto" w:fill="auto"/>
          </w:tcPr>
          <w:p w14:paraId="7B0DBF32" w14:textId="77777777" w:rsidR="00955622" w:rsidRPr="00A0565F" w:rsidRDefault="00955622" w:rsidP="00136E77">
            <w:pPr>
              <w:rPr>
                <w:sz w:val="20"/>
                <w:szCs w:val="22"/>
              </w:rPr>
            </w:pPr>
            <w:r w:rsidRPr="00A0565F">
              <w:rPr>
                <w:sz w:val="20"/>
                <w:szCs w:val="22"/>
              </w:rPr>
              <w:t>0%</w:t>
            </w:r>
          </w:p>
        </w:tc>
        <w:tc>
          <w:tcPr>
            <w:tcW w:w="956" w:type="dxa"/>
          </w:tcPr>
          <w:p w14:paraId="596CDF0B" w14:textId="77777777" w:rsidR="00955622" w:rsidRPr="00A0565F" w:rsidRDefault="00955622" w:rsidP="00136E77">
            <w:pPr>
              <w:rPr>
                <w:sz w:val="20"/>
                <w:szCs w:val="22"/>
              </w:rPr>
            </w:pPr>
            <w:r w:rsidRPr="00A0565F">
              <w:rPr>
                <w:sz w:val="20"/>
                <w:szCs w:val="22"/>
              </w:rPr>
              <w:t>27.55%</w:t>
            </w:r>
          </w:p>
        </w:tc>
      </w:tr>
      <w:tr w:rsidR="00955622" w:rsidRPr="008D7CDA" w14:paraId="5219FCE2" w14:textId="77777777" w:rsidTr="00726B76">
        <w:trPr>
          <w:cantSplit/>
        </w:trPr>
        <w:tc>
          <w:tcPr>
            <w:tcW w:w="3027" w:type="dxa"/>
            <w:shd w:val="clear" w:color="auto" w:fill="auto"/>
          </w:tcPr>
          <w:p w14:paraId="0F4F1312" w14:textId="77777777" w:rsidR="00955622" w:rsidRPr="00A0565F" w:rsidRDefault="00955622" w:rsidP="00955622">
            <w:pPr>
              <w:widowControl/>
              <w:numPr>
                <w:ilvl w:val="0"/>
                <w:numId w:val="41"/>
              </w:numPr>
              <w:ind w:left="432"/>
              <w:contextualSpacing/>
            </w:pPr>
            <w:r w:rsidRPr="00A0565F">
              <w:t>Qarlbo Associates</w:t>
            </w:r>
          </w:p>
        </w:tc>
        <w:tc>
          <w:tcPr>
            <w:tcW w:w="1468" w:type="dxa"/>
            <w:shd w:val="clear" w:color="auto" w:fill="auto"/>
          </w:tcPr>
          <w:p w14:paraId="679B5C26" w14:textId="77777777" w:rsidR="00955622" w:rsidRPr="0027363F" w:rsidDel="009F72C3" w:rsidRDefault="00955622" w:rsidP="00136E77">
            <w:pPr>
              <w:jc w:val="center"/>
            </w:pPr>
            <w:r w:rsidRPr="0027363F">
              <w:t>Luxembourg</w:t>
            </w:r>
          </w:p>
        </w:tc>
        <w:tc>
          <w:tcPr>
            <w:tcW w:w="1800" w:type="dxa"/>
            <w:shd w:val="clear" w:color="auto" w:fill="auto"/>
          </w:tcPr>
          <w:p w14:paraId="4E2B0A00" w14:textId="77777777" w:rsidR="00955622" w:rsidRPr="0027363F" w:rsidRDefault="00955622" w:rsidP="00136E77">
            <w:pPr>
              <w:jc w:val="center"/>
            </w:pPr>
            <w:r w:rsidRPr="0027363F">
              <w:t>Limited Liability Corp.</w:t>
            </w:r>
          </w:p>
        </w:tc>
        <w:tc>
          <w:tcPr>
            <w:tcW w:w="1518" w:type="dxa"/>
            <w:shd w:val="clear" w:color="auto" w:fill="auto"/>
          </w:tcPr>
          <w:p w14:paraId="642B86ED" w14:textId="77777777" w:rsidR="00955622" w:rsidRPr="0027363F" w:rsidDel="009F72C3" w:rsidRDefault="00955622" w:rsidP="00136E77">
            <w:pPr>
              <w:jc w:val="center"/>
            </w:pPr>
            <w:r w:rsidRPr="0027363F">
              <w:t>Investment</w:t>
            </w:r>
          </w:p>
        </w:tc>
        <w:tc>
          <w:tcPr>
            <w:tcW w:w="879" w:type="dxa"/>
            <w:shd w:val="clear" w:color="auto" w:fill="auto"/>
          </w:tcPr>
          <w:p w14:paraId="74E425A2" w14:textId="77777777" w:rsidR="00955622" w:rsidRPr="00A0565F" w:rsidRDefault="00955622" w:rsidP="00136E77">
            <w:pPr>
              <w:rPr>
                <w:sz w:val="20"/>
                <w:szCs w:val="22"/>
              </w:rPr>
            </w:pPr>
            <w:r w:rsidRPr="00A0565F">
              <w:rPr>
                <w:sz w:val="20"/>
                <w:szCs w:val="22"/>
              </w:rPr>
              <w:t>0%</w:t>
            </w:r>
          </w:p>
        </w:tc>
        <w:tc>
          <w:tcPr>
            <w:tcW w:w="956" w:type="dxa"/>
          </w:tcPr>
          <w:p w14:paraId="6F84BB7F" w14:textId="77777777" w:rsidR="00955622" w:rsidRPr="00A0565F" w:rsidRDefault="00955622" w:rsidP="00136E77">
            <w:pPr>
              <w:rPr>
                <w:sz w:val="20"/>
                <w:szCs w:val="22"/>
              </w:rPr>
            </w:pPr>
            <w:r w:rsidRPr="00A0565F">
              <w:rPr>
                <w:sz w:val="20"/>
                <w:szCs w:val="22"/>
              </w:rPr>
              <w:t>22.55%</w:t>
            </w:r>
          </w:p>
        </w:tc>
      </w:tr>
      <w:tr w:rsidR="00955622" w:rsidRPr="008D7CDA" w14:paraId="61820D01" w14:textId="77777777" w:rsidTr="00726B76">
        <w:trPr>
          <w:cantSplit/>
        </w:trPr>
        <w:tc>
          <w:tcPr>
            <w:tcW w:w="3027" w:type="dxa"/>
            <w:shd w:val="clear" w:color="auto" w:fill="auto"/>
          </w:tcPr>
          <w:p w14:paraId="4A074CC8" w14:textId="77777777" w:rsidR="00955622" w:rsidRPr="00A0565F" w:rsidRDefault="00955622" w:rsidP="00955622">
            <w:pPr>
              <w:widowControl/>
              <w:numPr>
                <w:ilvl w:val="0"/>
                <w:numId w:val="41"/>
              </w:numPr>
              <w:ind w:left="432"/>
              <w:contextualSpacing/>
            </w:pPr>
            <w:r w:rsidRPr="00A0565F">
              <w:t>Victor de Roo</w:t>
            </w:r>
          </w:p>
        </w:tc>
        <w:tc>
          <w:tcPr>
            <w:tcW w:w="1468" w:type="dxa"/>
            <w:shd w:val="clear" w:color="auto" w:fill="auto"/>
          </w:tcPr>
          <w:p w14:paraId="151976F7" w14:textId="77777777" w:rsidR="00955622" w:rsidRPr="0027363F" w:rsidRDefault="00955622" w:rsidP="00136E77">
            <w:pPr>
              <w:jc w:val="center"/>
            </w:pPr>
            <w:r w:rsidRPr="0027363F">
              <w:t>Netherlands</w:t>
            </w:r>
          </w:p>
        </w:tc>
        <w:tc>
          <w:tcPr>
            <w:tcW w:w="1800" w:type="dxa"/>
            <w:shd w:val="clear" w:color="auto" w:fill="auto"/>
          </w:tcPr>
          <w:p w14:paraId="0CF5A133" w14:textId="77777777" w:rsidR="00955622" w:rsidRPr="0027363F" w:rsidRDefault="00955622" w:rsidP="00136E77">
            <w:pPr>
              <w:jc w:val="center"/>
            </w:pPr>
            <w:r w:rsidRPr="0027363F">
              <w:t>Individual</w:t>
            </w:r>
          </w:p>
        </w:tc>
        <w:tc>
          <w:tcPr>
            <w:tcW w:w="1518" w:type="dxa"/>
            <w:shd w:val="clear" w:color="auto" w:fill="auto"/>
          </w:tcPr>
          <w:p w14:paraId="4635CF3C" w14:textId="77777777" w:rsidR="00955622" w:rsidRPr="0027363F" w:rsidRDefault="00955622" w:rsidP="00136E77">
            <w:pPr>
              <w:jc w:val="center"/>
            </w:pPr>
            <w:r w:rsidRPr="0027363F">
              <w:t>N/A</w:t>
            </w:r>
          </w:p>
        </w:tc>
        <w:tc>
          <w:tcPr>
            <w:tcW w:w="879" w:type="dxa"/>
            <w:shd w:val="clear" w:color="auto" w:fill="auto"/>
          </w:tcPr>
          <w:p w14:paraId="195C02FF" w14:textId="77777777" w:rsidR="00955622" w:rsidRPr="00A0565F" w:rsidRDefault="00955622" w:rsidP="00136E77">
            <w:pPr>
              <w:rPr>
                <w:sz w:val="20"/>
                <w:szCs w:val="22"/>
              </w:rPr>
            </w:pPr>
            <w:r w:rsidRPr="00A0565F">
              <w:rPr>
                <w:sz w:val="20"/>
                <w:szCs w:val="22"/>
              </w:rPr>
              <w:t>0%</w:t>
            </w:r>
          </w:p>
        </w:tc>
        <w:tc>
          <w:tcPr>
            <w:tcW w:w="956" w:type="dxa"/>
          </w:tcPr>
          <w:p w14:paraId="79EBAE13" w14:textId="77777777" w:rsidR="00955622" w:rsidRPr="00A0565F" w:rsidRDefault="00955622" w:rsidP="00136E77">
            <w:pPr>
              <w:rPr>
                <w:sz w:val="20"/>
                <w:szCs w:val="22"/>
              </w:rPr>
            </w:pPr>
            <w:r>
              <w:rPr>
                <w:sz w:val="20"/>
                <w:szCs w:val="22"/>
              </w:rPr>
              <w:t>100%</w:t>
            </w:r>
          </w:p>
        </w:tc>
      </w:tr>
      <w:tr w:rsidR="00955622" w:rsidRPr="008D7CDA" w14:paraId="222295EE" w14:textId="77777777" w:rsidTr="00726B76">
        <w:trPr>
          <w:cantSplit/>
        </w:trPr>
        <w:tc>
          <w:tcPr>
            <w:tcW w:w="3027" w:type="dxa"/>
            <w:shd w:val="clear" w:color="auto" w:fill="auto"/>
          </w:tcPr>
          <w:p w14:paraId="5539D42D" w14:textId="77777777" w:rsidR="00955622" w:rsidRPr="00A0565F" w:rsidRDefault="00955622" w:rsidP="00955622">
            <w:pPr>
              <w:widowControl/>
              <w:numPr>
                <w:ilvl w:val="0"/>
                <w:numId w:val="41"/>
              </w:numPr>
              <w:ind w:left="432"/>
              <w:contextualSpacing/>
            </w:pPr>
            <w:r w:rsidRPr="00A0565F">
              <w:t>Nathalie Ouwerkerk</w:t>
            </w:r>
          </w:p>
        </w:tc>
        <w:tc>
          <w:tcPr>
            <w:tcW w:w="1468" w:type="dxa"/>
            <w:shd w:val="clear" w:color="auto" w:fill="auto"/>
          </w:tcPr>
          <w:p w14:paraId="268DA302" w14:textId="77777777" w:rsidR="00955622" w:rsidRPr="0027363F" w:rsidRDefault="00955622" w:rsidP="00136E77">
            <w:pPr>
              <w:jc w:val="center"/>
            </w:pPr>
            <w:r w:rsidRPr="0027363F">
              <w:t>Netherlands</w:t>
            </w:r>
          </w:p>
        </w:tc>
        <w:tc>
          <w:tcPr>
            <w:tcW w:w="1800" w:type="dxa"/>
            <w:shd w:val="clear" w:color="auto" w:fill="auto"/>
          </w:tcPr>
          <w:p w14:paraId="22B34358" w14:textId="77777777" w:rsidR="00955622" w:rsidRPr="0027363F" w:rsidRDefault="00955622" w:rsidP="00136E77">
            <w:pPr>
              <w:jc w:val="center"/>
            </w:pPr>
            <w:r w:rsidRPr="0027363F">
              <w:t>Individual</w:t>
            </w:r>
          </w:p>
        </w:tc>
        <w:tc>
          <w:tcPr>
            <w:tcW w:w="1518" w:type="dxa"/>
            <w:shd w:val="clear" w:color="auto" w:fill="auto"/>
          </w:tcPr>
          <w:p w14:paraId="522B429C" w14:textId="77777777" w:rsidR="00955622" w:rsidRPr="0027363F" w:rsidRDefault="00955622" w:rsidP="00136E77">
            <w:pPr>
              <w:jc w:val="center"/>
            </w:pPr>
            <w:r w:rsidRPr="0027363F">
              <w:t>N/A</w:t>
            </w:r>
          </w:p>
        </w:tc>
        <w:tc>
          <w:tcPr>
            <w:tcW w:w="879" w:type="dxa"/>
            <w:shd w:val="clear" w:color="auto" w:fill="auto"/>
          </w:tcPr>
          <w:p w14:paraId="60A74AFD" w14:textId="77777777" w:rsidR="00955622" w:rsidRPr="00A0565F" w:rsidRDefault="00955622" w:rsidP="00136E77">
            <w:pPr>
              <w:rPr>
                <w:sz w:val="20"/>
                <w:szCs w:val="22"/>
              </w:rPr>
            </w:pPr>
            <w:r w:rsidRPr="00A0565F">
              <w:rPr>
                <w:sz w:val="20"/>
                <w:szCs w:val="22"/>
              </w:rPr>
              <w:t>0%</w:t>
            </w:r>
          </w:p>
        </w:tc>
        <w:tc>
          <w:tcPr>
            <w:tcW w:w="956" w:type="dxa"/>
          </w:tcPr>
          <w:p w14:paraId="0CF4B078" w14:textId="77777777" w:rsidR="00955622" w:rsidRPr="00A0565F" w:rsidRDefault="00955622" w:rsidP="00136E77">
            <w:pPr>
              <w:rPr>
                <w:sz w:val="20"/>
                <w:szCs w:val="22"/>
              </w:rPr>
            </w:pPr>
            <w:r>
              <w:rPr>
                <w:sz w:val="20"/>
                <w:szCs w:val="22"/>
              </w:rPr>
              <w:t>100%</w:t>
            </w:r>
          </w:p>
        </w:tc>
      </w:tr>
      <w:tr w:rsidR="00955622" w:rsidRPr="008D7CDA" w14:paraId="69ABC927" w14:textId="77777777" w:rsidTr="00726B76">
        <w:trPr>
          <w:cantSplit/>
        </w:trPr>
        <w:tc>
          <w:tcPr>
            <w:tcW w:w="3027" w:type="dxa"/>
            <w:shd w:val="clear" w:color="auto" w:fill="auto"/>
          </w:tcPr>
          <w:p w14:paraId="23DE96FE" w14:textId="77777777" w:rsidR="00955622" w:rsidRPr="00A0565F" w:rsidRDefault="00955622" w:rsidP="00955622">
            <w:pPr>
              <w:widowControl/>
              <w:numPr>
                <w:ilvl w:val="0"/>
                <w:numId w:val="41"/>
              </w:numPr>
              <w:ind w:left="432"/>
              <w:contextualSpacing/>
            </w:pPr>
            <w:r w:rsidRPr="00A0565F">
              <w:t>Martjin Sibren</w:t>
            </w:r>
            <w:r>
              <w:t xml:space="preserve"> </w:t>
            </w:r>
            <w:r w:rsidRPr="00A0565F">
              <w:t>van der Schaaf</w:t>
            </w:r>
          </w:p>
        </w:tc>
        <w:tc>
          <w:tcPr>
            <w:tcW w:w="1468" w:type="dxa"/>
            <w:shd w:val="clear" w:color="auto" w:fill="auto"/>
          </w:tcPr>
          <w:p w14:paraId="2D534559" w14:textId="77777777" w:rsidR="00955622" w:rsidRPr="0027363F" w:rsidRDefault="00955622" w:rsidP="00136E77">
            <w:pPr>
              <w:jc w:val="center"/>
            </w:pPr>
            <w:r w:rsidRPr="0027363F">
              <w:t>Netherlands</w:t>
            </w:r>
          </w:p>
        </w:tc>
        <w:tc>
          <w:tcPr>
            <w:tcW w:w="1800" w:type="dxa"/>
            <w:shd w:val="clear" w:color="auto" w:fill="auto"/>
          </w:tcPr>
          <w:p w14:paraId="6E982E36" w14:textId="77777777" w:rsidR="00955622" w:rsidRPr="0027363F" w:rsidRDefault="00955622" w:rsidP="00136E77">
            <w:pPr>
              <w:jc w:val="center"/>
            </w:pPr>
            <w:r w:rsidRPr="0027363F">
              <w:t>Individual</w:t>
            </w:r>
          </w:p>
        </w:tc>
        <w:tc>
          <w:tcPr>
            <w:tcW w:w="1518" w:type="dxa"/>
            <w:shd w:val="clear" w:color="auto" w:fill="auto"/>
          </w:tcPr>
          <w:p w14:paraId="5F31C760" w14:textId="77777777" w:rsidR="00955622" w:rsidRPr="0027363F" w:rsidRDefault="00955622" w:rsidP="00136E77">
            <w:pPr>
              <w:jc w:val="center"/>
            </w:pPr>
            <w:r w:rsidRPr="0027363F">
              <w:t>N/A</w:t>
            </w:r>
          </w:p>
        </w:tc>
        <w:tc>
          <w:tcPr>
            <w:tcW w:w="879" w:type="dxa"/>
            <w:shd w:val="clear" w:color="auto" w:fill="auto"/>
          </w:tcPr>
          <w:p w14:paraId="13BA8E29" w14:textId="77777777" w:rsidR="00955622" w:rsidRPr="00A0565F" w:rsidRDefault="00955622" w:rsidP="00136E77">
            <w:pPr>
              <w:rPr>
                <w:sz w:val="20"/>
                <w:szCs w:val="22"/>
              </w:rPr>
            </w:pPr>
            <w:r w:rsidRPr="00A0565F">
              <w:rPr>
                <w:sz w:val="20"/>
                <w:szCs w:val="22"/>
              </w:rPr>
              <w:t>0%</w:t>
            </w:r>
          </w:p>
        </w:tc>
        <w:tc>
          <w:tcPr>
            <w:tcW w:w="956" w:type="dxa"/>
          </w:tcPr>
          <w:p w14:paraId="76EC7E07" w14:textId="77777777" w:rsidR="00955622" w:rsidRPr="00A0565F" w:rsidRDefault="00955622" w:rsidP="00136E77">
            <w:pPr>
              <w:rPr>
                <w:sz w:val="20"/>
                <w:szCs w:val="22"/>
              </w:rPr>
            </w:pPr>
            <w:r>
              <w:rPr>
                <w:sz w:val="20"/>
                <w:szCs w:val="22"/>
              </w:rPr>
              <w:t>100%</w:t>
            </w:r>
          </w:p>
        </w:tc>
      </w:tr>
      <w:tr w:rsidR="00955622" w:rsidRPr="008D7CDA" w14:paraId="055DB104" w14:textId="77777777" w:rsidTr="00726B76">
        <w:trPr>
          <w:cantSplit/>
        </w:trPr>
        <w:tc>
          <w:tcPr>
            <w:tcW w:w="3027" w:type="dxa"/>
            <w:shd w:val="clear" w:color="auto" w:fill="auto"/>
          </w:tcPr>
          <w:p w14:paraId="7E50CBAF" w14:textId="77777777" w:rsidR="00955622" w:rsidRPr="00A0565F" w:rsidRDefault="00955622" w:rsidP="00955622">
            <w:pPr>
              <w:widowControl/>
              <w:numPr>
                <w:ilvl w:val="0"/>
                <w:numId w:val="41"/>
              </w:numPr>
              <w:ind w:left="432"/>
              <w:contextualSpacing/>
            </w:pPr>
            <w:r w:rsidRPr="00A0565F">
              <w:t>Rakso Holding B.V.</w:t>
            </w:r>
          </w:p>
        </w:tc>
        <w:tc>
          <w:tcPr>
            <w:tcW w:w="1468" w:type="dxa"/>
            <w:shd w:val="clear" w:color="auto" w:fill="auto"/>
          </w:tcPr>
          <w:p w14:paraId="7CA2F5B3" w14:textId="77777777" w:rsidR="00955622" w:rsidRPr="0027363F" w:rsidRDefault="00955622" w:rsidP="00136E77">
            <w:pPr>
              <w:jc w:val="center"/>
            </w:pPr>
            <w:r w:rsidRPr="0027363F">
              <w:t>Netherlands</w:t>
            </w:r>
          </w:p>
        </w:tc>
        <w:tc>
          <w:tcPr>
            <w:tcW w:w="1800" w:type="dxa"/>
            <w:shd w:val="clear" w:color="auto" w:fill="auto"/>
          </w:tcPr>
          <w:p w14:paraId="12B8E16C" w14:textId="77777777" w:rsidR="00955622" w:rsidRPr="0027363F" w:rsidRDefault="00955622" w:rsidP="00136E77">
            <w:pPr>
              <w:jc w:val="center"/>
            </w:pPr>
            <w:r w:rsidRPr="0027363F">
              <w:t>Limited Liability Corp.</w:t>
            </w:r>
          </w:p>
        </w:tc>
        <w:tc>
          <w:tcPr>
            <w:tcW w:w="1518" w:type="dxa"/>
            <w:shd w:val="clear" w:color="auto" w:fill="auto"/>
          </w:tcPr>
          <w:p w14:paraId="59AC966B" w14:textId="77777777" w:rsidR="00955622" w:rsidRPr="0027363F" w:rsidRDefault="00955622" w:rsidP="00136E77">
            <w:pPr>
              <w:jc w:val="center"/>
            </w:pPr>
            <w:r w:rsidRPr="0027363F">
              <w:t>Investment</w:t>
            </w:r>
          </w:p>
        </w:tc>
        <w:tc>
          <w:tcPr>
            <w:tcW w:w="879" w:type="dxa"/>
            <w:shd w:val="clear" w:color="auto" w:fill="auto"/>
          </w:tcPr>
          <w:p w14:paraId="4D136AD3" w14:textId="77777777" w:rsidR="00955622" w:rsidRPr="00A0565F" w:rsidRDefault="00955622" w:rsidP="00136E77">
            <w:pPr>
              <w:rPr>
                <w:sz w:val="20"/>
                <w:szCs w:val="22"/>
              </w:rPr>
            </w:pPr>
            <w:r w:rsidRPr="00A0565F">
              <w:rPr>
                <w:sz w:val="20"/>
                <w:szCs w:val="22"/>
              </w:rPr>
              <w:t>0%</w:t>
            </w:r>
          </w:p>
        </w:tc>
        <w:tc>
          <w:tcPr>
            <w:tcW w:w="956" w:type="dxa"/>
          </w:tcPr>
          <w:p w14:paraId="7CF60654" w14:textId="77777777" w:rsidR="00955622" w:rsidRPr="00A0565F" w:rsidRDefault="00955622" w:rsidP="00136E77">
            <w:pPr>
              <w:rPr>
                <w:sz w:val="20"/>
                <w:szCs w:val="22"/>
              </w:rPr>
            </w:pPr>
            <w:r w:rsidRPr="00A0565F">
              <w:rPr>
                <w:sz w:val="20"/>
                <w:szCs w:val="22"/>
              </w:rPr>
              <w:t>22.22%</w:t>
            </w:r>
          </w:p>
        </w:tc>
      </w:tr>
      <w:tr w:rsidR="00955622" w:rsidRPr="008D7CDA" w14:paraId="7E7D2075" w14:textId="77777777" w:rsidTr="00726B76">
        <w:trPr>
          <w:cantSplit/>
        </w:trPr>
        <w:tc>
          <w:tcPr>
            <w:tcW w:w="3027" w:type="dxa"/>
            <w:shd w:val="clear" w:color="auto" w:fill="auto"/>
          </w:tcPr>
          <w:p w14:paraId="765C9A86" w14:textId="77777777" w:rsidR="00955622" w:rsidRPr="00A0565F" w:rsidRDefault="00955622" w:rsidP="00955622">
            <w:pPr>
              <w:widowControl/>
              <w:numPr>
                <w:ilvl w:val="0"/>
                <w:numId w:val="41"/>
              </w:numPr>
              <w:ind w:left="432"/>
              <w:contextualSpacing/>
            </w:pPr>
            <w:r w:rsidRPr="00A0565F">
              <w:t>Christian Sinding</w:t>
            </w:r>
          </w:p>
        </w:tc>
        <w:tc>
          <w:tcPr>
            <w:tcW w:w="1468" w:type="dxa"/>
            <w:shd w:val="clear" w:color="auto" w:fill="auto"/>
          </w:tcPr>
          <w:p w14:paraId="59A11019" w14:textId="77777777" w:rsidR="00955622" w:rsidRPr="0027363F" w:rsidRDefault="00955622" w:rsidP="00136E77">
            <w:pPr>
              <w:jc w:val="center"/>
            </w:pPr>
            <w:r w:rsidRPr="0027363F">
              <w:t>Norwegian</w:t>
            </w:r>
          </w:p>
        </w:tc>
        <w:tc>
          <w:tcPr>
            <w:tcW w:w="1800" w:type="dxa"/>
            <w:shd w:val="clear" w:color="auto" w:fill="auto"/>
          </w:tcPr>
          <w:p w14:paraId="12F36E05" w14:textId="77777777" w:rsidR="00955622" w:rsidRPr="0027363F" w:rsidRDefault="00955622" w:rsidP="00136E77">
            <w:pPr>
              <w:jc w:val="center"/>
            </w:pPr>
            <w:r w:rsidRPr="0027363F">
              <w:t>Individual</w:t>
            </w:r>
          </w:p>
        </w:tc>
        <w:tc>
          <w:tcPr>
            <w:tcW w:w="1518" w:type="dxa"/>
            <w:shd w:val="clear" w:color="auto" w:fill="auto"/>
          </w:tcPr>
          <w:p w14:paraId="1FD06E9D" w14:textId="77777777" w:rsidR="00955622" w:rsidRPr="0027363F" w:rsidRDefault="00955622" w:rsidP="00136E77">
            <w:pPr>
              <w:jc w:val="center"/>
            </w:pPr>
            <w:r w:rsidRPr="0027363F">
              <w:t>N/A</w:t>
            </w:r>
          </w:p>
        </w:tc>
        <w:tc>
          <w:tcPr>
            <w:tcW w:w="879" w:type="dxa"/>
            <w:shd w:val="clear" w:color="auto" w:fill="auto"/>
          </w:tcPr>
          <w:p w14:paraId="1A304ABD" w14:textId="77777777" w:rsidR="00955622" w:rsidRPr="00A0565F" w:rsidRDefault="00955622" w:rsidP="00136E77">
            <w:pPr>
              <w:rPr>
                <w:sz w:val="20"/>
                <w:szCs w:val="22"/>
              </w:rPr>
            </w:pPr>
            <w:r w:rsidRPr="00A0565F">
              <w:rPr>
                <w:sz w:val="20"/>
                <w:szCs w:val="22"/>
              </w:rPr>
              <w:t>0%</w:t>
            </w:r>
          </w:p>
        </w:tc>
        <w:tc>
          <w:tcPr>
            <w:tcW w:w="956" w:type="dxa"/>
          </w:tcPr>
          <w:p w14:paraId="49AFF5FF" w14:textId="77777777" w:rsidR="00955622" w:rsidRPr="00A0565F" w:rsidRDefault="00955622" w:rsidP="00136E77">
            <w:pPr>
              <w:rPr>
                <w:sz w:val="20"/>
                <w:szCs w:val="22"/>
              </w:rPr>
            </w:pPr>
            <w:r w:rsidRPr="00A0565F">
              <w:rPr>
                <w:sz w:val="20"/>
                <w:szCs w:val="22"/>
              </w:rPr>
              <w:t>19.73%</w:t>
            </w:r>
          </w:p>
        </w:tc>
      </w:tr>
      <w:tr w:rsidR="00955622" w:rsidRPr="008D7CDA" w14:paraId="4EA2E0D9" w14:textId="77777777" w:rsidTr="00726B76">
        <w:trPr>
          <w:cantSplit/>
        </w:trPr>
        <w:tc>
          <w:tcPr>
            <w:tcW w:w="3027" w:type="dxa"/>
            <w:shd w:val="clear" w:color="auto" w:fill="auto"/>
          </w:tcPr>
          <w:p w14:paraId="21532D21" w14:textId="77777777" w:rsidR="00955622" w:rsidRPr="00A0565F" w:rsidRDefault="00955622" w:rsidP="00955622">
            <w:pPr>
              <w:widowControl/>
              <w:numPr>
                <w:ilvl w:val="0"/>
                <w:numId w:val="41"/>
              </w:numPr>
              <w:ind w:left="432"/>
              <w:contextualSpacing/>
            </w:pPr>
            <w:r w:rsidRPr="00A0565F">
              <w:t>Caspar Callerstrom</w:t>
            </w:r>
          </w:p>
        </w:tc>
        <w:tc>
          <w:tcPr>
            <w:tcW w:w="1468" w:type="dxa"/>
            <w:shd w:val="clear" w:color="auto" w:fill="auto"/>
          </w:tcPr>
          <w:p w14:paraId="0EF711F3" w14:textId="77777777" w:rsidR="00955622" w:rsidRPr="0027363F" w:rsidRDefault="00955622" w:rsidP="00136E77">
            <w:pPr>
              <w:jc w:val="center"/>
            </w:pPr>
            <w:r w:rsidRPr="0027363F">
              <w:t>Swedish</w:t>
            </w:r>
          </w:p>
        </w:tc>
        <w:tc>
          <w:tcPr>
            <w:tcW w:w="1800" w:type="dxa"/>
            <w:shd w:val="clear" w:color="auto" w:fill="auto"/>
          </w:tcPr>
          <w:p w14:paraId="37784B47" w14:textId="77777777" w:rsidR="00955622" w:rsidRPr="0027363F" w:rsidRDefault="00955622" w:rsidP="00136E77">
            <w:pPr>
              <w:jc w:val="center"/>
            </w:pPr>
            <w:r w:rsidRPr="0027363F">
              <w:t>Individual</w:t>
            </w:r>
          </w:p>
        </w:tc>
        <w:tc>
          <w:tcPr>
            <w:tcW w:w="1518" w:type="dxa"/>
            <w:shd w:val="clear" w:color="auto" w:fill="auto"/>
          </w:tcPr>
          <w:p w14:paraId="1CECBEE2" w14:textId="77777777" w:rsidR="00955622" w:rsidRPr="0027363F" w:rsidRDefault="00955622" w:rsidP="00136E77">
            <w:pPr>
              <w:jc w:val="center"/>
            </w:pPr>
            <w:r w:rsidRPr="0027363F">
              <w:t>N/A</w:t>
            </w:r>
          </w:p>
        </w:tc>
        <w:tc>
          <w:tcPr>
            <w:tcW w:w="879" w:type="dxa"/>
            <w:shd w:val="clear" w:color="auto" w:fill="auto"/>
          </w:tcPr>
          <w:p w14:paraId="4163A0A5" w14:textId="77777777" w:rsidR="00955622" w:rsidRPr="00A0565F" w:rsidRDefault="00955622" w:rsidP="00136E77">
            <w:pPr>
              <w:rPr>
                <w:sz w:val="20"/>
                <w:szCs w:val="22"/>
              </w:rPr>
            </w:pPr>
            <w:r w:rsidRPr="00A0565F">
              <w:rPr>
                <w:sz w:val="20"/>
                <w:szCs w:val="22"/>
              </w:rPr>
              <w:t>0%</w:t>
            </w:r>
          </w:p>
        </w:tc>
        <w:tc>
          <w:tcPr>
            <w:tcW w:w="956" w:type="dxa"/>
          </w:tcPr>
          <w:p w14:paraId="2616AACA" w14:textId="77777777" w:rsidR="00955622" w:rsidRPr="00A0565F" w:rsidRDefault="00955622" w:rsidP="00136E77">
            <w:pPr>
              <w:rPr>
                <w:sz w:val="20"/>
                <w:szCs w:val="22"/>
              </w:rPr>
            </w:pPr>
            <w:r w:rsidRPr="00A0565F">
              <w:rPr>
                <w:sz w:val="20"/>
                <w:szCs w:val="22"/>
              </w:rPr>
              <w:t>16.73%</w:t>
            </w:r>
          </w:p>
        </w:tc>
      </w:tr>
      <w:tr w:rsidR="00955622" w:rsidRPr="008D7CDA" w14:paraId="56FEDD77" w14:textId="77777777" w:rsidTr="00726B76">
        <w:trPr>
          <w:cantSplit/>
        </w:trPr>
        <w:tc>
          <w:tcPr>
            <w:tcW w:w="3027" w:type="dxa"/>
            <w:shd w:val="clear" w:color="auto" w:fill="auto"/>
          </w:tcPr>
          <w:p w14:paraId="5998BA06" w14:textId="77777777" w:rsidR="00955622" w:rsidRPr="00A0565F" w:rsidRDefault="00955622" w:rsidP="00955622">
            <w:pPr>
              <w:widowControl/>
              <w:numPr>
                <w:ilvl w:val="0"/>
                <w:numId w:val="41"/>
              </w:numPr>
              <w:ind w:left="432"/>
              <w:contextualSpacing/>
            </w:pPr>
            <w:r w:rsidRPr="00A0565F">
              <w:t>Brent Infrastructure II SA</w:t>
            </w:r>
          </w:p>
        </w:tc>
        <w:tc>
          <w:tcPr>
            <w:tcW w:w="1468" w:type="dxa"/>
            <w:shd w:val="clear" w:color="auto" w:fill="auto"/>
          </w:tcPr>
          <w:p w14:paraId="5325662C" w14:textId="77777777" w:rsidR="00955622" w:rsidRPr="0027363F" w:rsidRDefault="00955622" w:rsidP="00136E77">
            <w:pPr>
              <w:jc w:val="center"/>
            </w:pPr>
            <w:r w:rsidRPr="0027363F">
              <w:t>Luxembourg</w:t>
            </w:r>
          </w:p>
        </w:tc>
        <w:tc>
          <w:tcPr>
            <w:tcW w:w="1800" w:type="dxa"/>
            <w:shd w:val="clear" w:color="auto" w:fill="auto"/>
          </w:tcPr>
          <w:p w14:paraId="5CCD98B3" w14:textId="77777777" w:rsidR="00955622" w:rsidRPr="0027363F" w:rsidRDefault="00955622" w:rsidP="00136E77">
            <w:pPr>
              <w:jc w:val="center"/>
            </w:pPr>
            <w:r w:rsidRPr="0027363F">
              <w:t>Corporation</w:t>
            </w:r>
          </w:p>
        </w:tc>
        <w:tc>
          <w:tcPr>
            <w:tcW w:w="1518" w:type="dxa"/>
            <w:shd w:val="clear" w:color="auto" w:fill="auto"/>
          </w:tcPr>
          <w:p w14:paraId="5667E863" w14:textId="77777777" w:rsidR="00955622" w:rsidRPr="0027363F" w:rsidRDefault="00955622" w:rsidP="00136E77">
            <w:pPr>
              <w:jc w:val="center"/>
            </w:pPr>
            <w:r w:rsidRPr="0027363F">
              <w:t>Investment</w:t>
            </w:r>
          </w:p>
        </w:tc>
        <w:tc>
          <w:tcPr>
            <w:tcW w:w="879" w:type="dxa"/>
            <w:shd w:val="clear" w:color="auto" w:fill="auto"/>
          </w:tcPr>
          <w:p w14:paraId="6B4B043D" w14:textId="77777777" w:rsidR="00955622" w:rsidRPr="00A0565F" w:rsidRDefault="00955622" w:rsidP="00136E77">
            <w:pPr>
              <w:rPr>
                <w:sz w:val="20"/>
                <w:szCs w:val="22"/>
              </w:rPr>
            </w:pPr>
            <w:r w:rsidRPr="00A0565F">
              <w:rPr>
                <w:sz w:val="20"/>
                <w:szCs w:val="22"/>
              </w:rPr>
              <w:t>47.46%</w:t>
            </w:r>
          </w:p>
        </w:tc>
        <w:tc>
          <w:tcPr>
            <w:tcW w:w="956" w:type="dxa"/>
          </w:tcPr>
          <w:p w14:paraId="37EE960A" w14:textId="77777777" w:rsidR="00955622" w:rsidRPr="00A0565F" w:rsidRDefault="00955622" w:rsidP="00136E77">
            <w:pPr>
              <w:rPr>
                <w:sz w:val="20"/>
                <w:szCs w:val="22"/>
              </w:rPr>
            </w:pPr>
            <w:r w:rsidRPr="00A0565F">
              <w:rPr>
                <w:sz w:val="20"/>
                <w:szCs w:val="22"/>
              </w:rPr>
              <w:t>100%</w:t>
            </w:r>
          </w:p>
        </w:tc>
      </w:tr>
      <w:tr w:rsidR="00955622" w:rsidRPr="008D7CDA" w14:paraId="2202A513" w14:textId="77777777" w:rsidTr="00726B76">
        <w:trPr>
          <w:cantSplit/>
        </w:trPr>
        <w:tc>
          <w:tcPr>
            <w:tcW w:w="3027" w:type="dxa"/>
            <w:shd w:val="clear" w:color="auto" w:fill="auto"/>
          </w:tcPr>
          <w:p w14:paraId="0A830449" w14:textId="77777777" w:rsidR="00955622" w:rsidRPr="00A0565F" w:rsidRDefault="00955622" w:rsidP="00955622">
            <w:pPr>
              <w:widowControl/>
              <w:numPr>
                <w:ilvl w:val="0"/>
                <w:numId w:val="41"/>
              </w:numPr>
              <w:ind w:left="432"/>
              <w:contextualSpacing/>
            </w:pPr>
            <w:r w:rsidRPr="00A0565F">
              <w:t>Brent Infrastructure Holding B.V.</w:t>
            </w:r>
          </w:p>
        </w:tc>
        <w:tc>
          <w:tcPr>
            <w:tcW w:w="1468" w:type="dxa"/>
            <w:shd w:val="clear" w:color="auto" w:fill="auto"/>
          </w:tcPr>
          <w:p w14:paraId="5F482721" w14:textId="77777777" w:rsidR="00955622" w:rsidRPr="0027363F" w:rsidRDefault="00955622" w:rsidP="00136E77">
            <w:pPr>
              <w:jc w:val="center"/>
            </w:pPr>
            <w:r w:rsidRPr="0027363F">
              <w:t>Netherlands</w:t>
            </w:r>
          </w:p>
        </w:tc>
        <w:tc>
          <w:tcPr>
            <w:tcW w:w="1800" w:type="dxa"/>
            <w:shd w:val="clear" w:color="auto" w:fill="auto"/>
          </w:tcPr>
          <w:p w14:paraId="6E12092F" w14:textId="77777777" w:rsidR="00955622" w:rsidRPr="0027363F" w:rsidRDefault="00955622" w:rsidP="00136E77">
            <w:pPr>
              <w:jc w:val="center"/>
            </w:pPr>
            <w:r w:rsidRPr="0027363F">
              <w:t>Limited Liability Corp.</w:t>
            </w:r>
          </w:p>
        </w:tc>
        <w:tc>
          <w:tcPr>
            <w:tcW w:w="1518" w:type="dxa"/>
            <w:shd w:val="clear" w:color="auto" w:fill="auto"/>
          </w:tcPr>
          <w:p w14:paraId="44F73501" w14:textId="77777777" w:rsidR="00955622" w:rsidRPr="0027363F" w:rsidRDefault="00955622" w:rsidP="00136E77">
            <w:pPr>
              <w:jc w:val="center"/>
            </w:pPr>
            <w:r w:rsidRPr="0027363F">
              <w:t>Investment</w:t>
            </w:r>
          </w:p>
        </w:tc>
        <w:tc>
          <w:tcPr>
            <w:tcW w:w="879" w:type="dxa"/>
            <w:shd w:val="clear" w:color="auto" w:fill="auto"/>
          </w:tcPr>
          <w:p w14:paraId="5AB9349D" w14:textId="77777777" w:rsidR="00955622" w:rsidRPr="00A0565F" w:rsidRDefault="00955622" w:rsidP="00136E77">
            <w:pPr>
              <w:rPr>
                <w:sz w:val="20"/>
                <w:szCs w:val="22"/>
              </w:rPr>
            </w:pPr>
            <w:r w:rsidRPr="00A0565F">
              <w:rPr>
                <w:sz w:val="20"/>
                <w:szCs w:val="22"/>
              </w:rPr>
              <w:t>47.46%</w:t>
            </w:r>
          </w:p>
        </w:tc>
        <w:tc>
          <w:tcPr>
            <w:tcW w:w="956" w:type="dxa"/>
          </w:tcPr>
          <w:p w14:paraId="0E244F4B" w14:textId="77777777" w:rsidR="00955622" w:rsidRPr="00A0565F" w:rsidRDefault="00955622" w:rsidP="00136E77">
            <w:pPr>
              <w:rPr>
                <w:sz w:val="20"/>
                <w:szCs w:val="22"/>
              </w:rPr>
            </w:pPr>
            <w:r w:rsidRPr="00A0565F">
              <w:rPr>
                <w:sz w:val="20"/>
                <w:szCs w:val="22"/>
              </w:rPr>
              <w:t>100%</w:t>
            </w:r>
          </w:p>
        </w:tc>
      </w:tr>
      <w:tr w:rsidR="00955622" w:rsidRPr="008D7CDA" w14:paraId="77B8D7A1" w14:textId="77777777" w:rsidTr="00726B76">
        <w:trPr>
          <w:cantSplit/>
        </w:trPr>
        <w:tc>
          <w:tcPr>
            <w:tcW w:w="3027" w:type="dxa"/>
            <w:shd w:val="clear" w:color="auto" w:fill="auto"/>
          </w:tcPr>
          <w:p w14:paraId="5A837F8D" w14:textId="77777777" w:rsidR="00955622" w:rsidRPr="00A0565F" w:rsidRDefault="00955622" w:rsidP="00955622">
            <w:pPr>
              <w:widowControl/>
              <w:numPr>
                <w:ilvl w:val="0"/>
                <w:numId w:val="41"/>
              </w:numPr>
              <w:ind w:left="432"/>
              <w:contextualSpacing/>
            </w:pPr>
            <w:r w:rsidRPr="00A0565F">
              <w:t>Peter Veldman</w:t>
            </w:r>
          </w:p>
        </w:tc>
        <w:tc>
          <w:tcPr>
            <w:tcW w:w="1468" w:type="dxa"/>
            <w:shd w:val="clear" w:color="auto" w:fill="auto"/>
          </w:tcPr>
          <w:p w14:paraId="01C1202A" w14:textId="77777777" w:rsidR="00955622" w:rsidRPr="0027363F" w:rsidRDefault="00955622" w:rsidP="00136E77">
            <w:pPr>
              <w:jc w:val="center"/>
            </w:pPr>
            <w:r w:rsidRPr="0027363F">
              <w:t>Netherlands</w:t>
            </w:r>
          </w:p>
        </w:tc>
        <w:tc>
          <w:tcPr>
            <w:tcW w:w="1800" w:type="dxa"/>
            <w:shd w:val="clear" w:color="auto" w:fill="auto"/>
          </w:tcPr>
          <w:p w14:paraId="68FB99DC" w14:textId="77777777" w:rsidR="00955622" w:rsidRPr="0027363F" w:rsidRDefault="00955622" w:rsidP="00136E77">
            <w:pPr>
              <w:jc w:val="center"/>
            </w:pPr>
            <w:r w:rsidRPr="0027363F">
              <w:t>Individual</w:t>
            </w:r>
          </w:p>
        </w:tc>
        <w:tc>
          <w:tcPr>
            <w:tcW w:w="1518" w:type="dxa"/>
            <w:shd w:val="clear" w:color="auto" w:fill="auto"/>
          </w:tcPr>
          <w:p w14:paraId="174A8C61" w14:textId="77777777" w:rsidR="00955622" w:rsidRPr="0027363F" w:rsidRDefault="00955622" w:rsidP="00136E77">
            <w:pPr>
              <w:jc w:val="center"/>
            </w:pPr>
            <w:r w:rsidRPr="0027363F">
              <w:t>N/A</w:t>
            </w:r>
          </w:p>
        </w:tc>
        <w:tc>
          <w:tcPr>
            <w:tcW w:w="879" w:type="dxa"/>
            <w:shd w:val="clear" w:color="auto" w:fill="auto"/>
          </w:tcPr>
          <w:p w14:paraId="21F82E98" w14:textId="77777777" w:rsidR="00955622" w:rsidRPr="00A0565F" w:rsidRDefault="00955622" w:rsidP="00136E77">
            <w:pPr>
              <w:rPr>
                <w:sz w:val="20"/>
                <w:szCs w:val="22"/>
              </w:rPr>
            </w:pPr>
            <w:r w:rsidRPr="00A0565F">
              <w:rPr>
                <w:sz w:val="20"/>
                <w:szCs w:val="22"/>
              </w:rPr>
              <w:t>0%</w:t>
            </w:r>
          </w:p>
        </w:tc>
        <w:tc>
          <w:tcPr>
            <w:tcW w:w="956" w:type="dxa"/>
          </w:tcPr>
          <w:p w14:paraId="49205064" w14:textId="77777777" w:rsidR="00955622" w:rsidRPr="00A0565F" w:rsidRDefault="00955622" w:rsidP="00136E77">
            <w:pPr>
              <w:rPr>
                <w:sz w:val="20"/>
                <w:szCs w:val="22"/>
              </w:rPr>
            </w:pPr>
            <w:r>
              <w:rPr>
                <w:sz w:val="20"/>
                <w:szCs w:val="22"/>
              </w:rPr>
              <w:t>100%</w:t>
            </w:r>
          </w:p>
        </w:tc>
      </w:tr>
      <w:tr w:rsidR="00955622" w:rsidRPr="00331FA4" w14:paraId="51C148ED" w14:textId="77777777" w:rsidTr="00726B76">
        <w:trPr>
          <w:cantSplit/>
        </w:trPr>
        <w:tc>
          <w:tcPr>
            <w:tcW w:w="3027" w:type="dxa"/>
            <w:shd w:val="clear" w:color="auto" w:fill="auto"/>
          </w:tcPr>
          <w:p w14:paraId="09352A63" w14:textId="77777777" w:rsidR="00955622" w:rsidRPr="00A0565F" w:rsidRDefault="00955622" w:rsidP="00955622">
            <w:pPr>
              <w:widowControl/>
              <w:numPr>
                <w:ilvl w:val="0"/>
                <w:numId w:val="41"/>
              </w:numPr>
              <w:ind w:left="432"/>
              <w:contextualSpacing/>
            </w:pPr>
            <w:r w:rsidRPr="00A0565F">
              <w:t>Brent Infrastructure II Holding S.à.r.l.</w:t>
            </w:r>
          </w:p>
        </w:tc>
        <w:tc>
          <w:tcPr>
            <w:tcW w:w="1468" w:type="dxa"/>
            <w:shd w:val="clear" w:color="auto" w:fill="auto"/>
          </w:tcPr>
          <w:p w14:paraId="57A7C4D9" w14:textId="77777777" w:rsidR="00955622" w:rsidRPr="0027363F" w:rsidRDefault="00955622" w:rsidP="00136E77">
            <w:pPr>
              <w:jc w:val="center"/>
            </w:pPr>
            <w:r w:rsidRPr="0027363F">
              <w:t>Luxembourg</w:t>
            </w:r>
          </w:p>
        </w:tc>
        <w:tc>
          <w:tcPr>
            <w:tcW w:w="1800" w:type="dxa"/>
            <w:shd w:val="clear" w:color="auto" w:fill="auto"/>
          </w:tcPr>
          <w:p w14:paraId="5A378B1A" w14:textId="77777777" w:rsidR="00955622" w:rsidRPr="0027363F" w:rsidRDefault="00955622" w:rsidP="00136E77">
            <w:pPr>
              <w:jc w:val="center"/>
            </w:pPr>
            <w:r w:rsidRPr="0027363F">
              <w:t>Limited Liability Corp.</w:t>
            </w:r>
          </w:p>
        </w:tc>
        <w:tc>
          <w:tcPr>
            <w:tcW w:w="1518" w:type="dxa"/>
            <w:shd w:val="clear" w:color="auto" w:fill="auto"/>
          </w:tcPr>
          <w:p w14:paraId="1FE04F38" w14:textId="77777777" w:rsidR="00955622" w:rsidRPr="0027363F" w:rsidRDefault="00955622" w:rsidP="00136E77">
            <w:pPr>
              <w:jc w:val="center"/>
            </w:pPr>
            <w:r w:rsidRPr="0027363F">
              <w:t>Investment</w:t>
            </w:r>
          </w:p>
        </w:tc>
        <w:tc>
          <w:tcPr>
            <w:tcW w:w="879" w:type="dxa"/>
            <w:shd w:val="clear" w:color="auto" w:fill="auto"/>
          </w:tcPr>
          <w:p w14:paraId="7B4BEAF6" w14:textId="77777777" w:rsidR="00955622" w:rsidRPr="00A0565F" w:rsidRDefault="00955622" w:rsidP="00136E77">
            <w:pPr>
              <w:rPr>
                <w:sz w:val="20"/>
                <w:szCs w:val="22"/>
              </w:rPr>
            </w:pPr>
            <w:r w:rsidRPr="00A0565F">
              <w:rPr>
                <w:sz w:val="20"/>
                <w:szCs w:val="22"/>
              </w:rPr>
              <w:t>47.46%</w:t>
            </w:r>
          </w:p>
        </w:tc>
        <w:tc>
          <w:tcPr>
            <w:tcW w:w="956" w:type="dxa"/>
          </w:tcPr>
          <w:p w14:paraId="2A81D47B" w14:textId="77777777" w:rsidR="00955622" w:rsidRPr="00A0565F" w:rsidRDefault="00955622" w:rsidP="00136E77">
            <w:pPr>
              <w:rPr>
                <w:sz w:val="20"/>
                <w:szCs w:val="22"/>
              </w:rPr>
            </w:pPr>
            <w:r w:rsidRPr="00A0565F">
              <w:rPr>
                <w:sz w:val="20"/>
                <w:szCs w:val="22"/>
              </w:rPr>
              <w:t>100%</w:t>
            </w:r>
          </w:p>
        </w:tc>
      </w:tr>
      <w:tr w:rsidR="00955622" w:rsidRPr="008D7CDA" w14:paraId="62193975" w14:textId="77777777" w:rsidTr="00726B76">
        <w:trPr>
          <w:cantSplit/>
        </w:trPr>
        <w:tc>
          <w:tcPr>
            <w:tcW w:w="3027" w:type="dxa"/>
            <w:shd w:val="clear" w:color="auto" w:fill="auto"/>
          </w:tcPr>
          <w:p w14:paraId="7F17888E" w14:textId="77777777" w:rsidR="00955622" w:rsidRPr="00A0565F" w:rsidRDefault="00955622" w:rsidP="00955622">
            <w:pPr>
              <w:widowControl/>
              <w:numPr>
                <w:ilvl w:val="0"/>
                <w:numId w:val="41"/>
              </w:numPr>
              <w:ind w:left="432"/>
              <w:contextualSpacing/>
            </w:pPr>
            <w:r w:rsidRPr="00A0565F">
              <w:t>Michael Anatoli</w:t>
            </w:r>
            <w:r>
              <w:t>ti</w:t>
            </w:r>
            <w:r w:rsidRPr="00A0565F">
              <w:t>s</w:t>
            </w:r>
          </w:p>
        </w:tc>
        <w:tc>
          <w:tcPr>
            <w:tcW w:w="1468" w:type="dxa"/>
            <w:shd w:val="clear" w:color="auto" w:fill="auto"/>
          </w:tcPr>
          <w:p w14:paraId="44DEB555" w14:textId="77777777" w:rsidR="00955622" w:rsidRPr="0027363F" w:rsidRDefault="00955622" w:rsidP="00136E77">
            <w:pPr>
              <w:jc w:val="center"/>
            </w:pPr>
            <w:r w:rsidRPr="0027363F">
              <w:t>Cyprus</w:t>
            </w:r>
          </w:p>
        </w:tc>
        <w:tc>
          <w:tcPr>
            <w:tcW w:w="1800" w:type="dxa"/>
            <w:shd w:val="clear" w:color="auto" w:fill="auto"/>
          </w:tcPr>
          <w:p w14:paraId="2EDF6090" w14:textId="77777777" w:rsidR="00955622" w:rsidRPr="0027363F" w:rsidRDefault="00955622" w:rsidP="00136E77">
            <w:pPr>
              <w:jc w:val="center"/>
            </w:pPr>
            <w:r w:rsidRPr="0027363F">
              <w:t>Individual</w:t>
            </w:r>
          </w:p>
        </w:tc>
        <w:tc>
          <w:tcPr>
            <w:tcW w:w="1518" w:type="dxa"/>
            <w:shd w:val="clear" w:color="auto" w:fill="auto"/>
          </w:tcPr>
          <w:p w14:paraId="4A883041" w14:textId="77777777" w:rsidR="00955622" w:rsidRPr="0027363F" w:rsidRDefault="00955622" w:rsidP="00136E77">
            <w:pPr>
              <w:jc w:val="center"/>
            </w:pPr>
            <w:r w:rsidRPr="0027363F">
              <w:t>N/A</w:t>
            </w:r>
          </w:p>
        </w:tc>
        <w:tc>
          <w:tcPr>
            <w:tcW w:w="879" w:type="dxa"/>
            <w:shd w:val="clear" w:color="auto" w:fill="auto"/>
          </w:tcPr>
          <w:p w14:paraId="65B01370" w14:textId="77777777" w:rsidR="00955622" w:rsidRPr="00A0565F" w:rsidRDefault="00955622" w:rsidP="00136E77">
            <w:pPr>
              <w:rPr>
                <w:sz w:val="20"/>
                <w:szCs w:val="22"/>
              </w:rPr>
            </w:pPr>
            <w:r w:rsidRPr="00A0565F">
              <w:rPr>
                <w:sz w:val="20"/>
                <w:szCs w:val="22"/>
              </w:rPr>
              <w:t>0%</w:t>
            </w:r>
          </w:p>
        </w:tc>
        <w:tc>
          <w:tcPr>
            <w:tcW w:w="956" w:type="dxa"/>
          </w:tcPr>
          <w:p w14:paraId="2EE6AA1F" w14:textId="77777777" w:rsidR="00955622" w:rsidRPr="00A0565F" w:rsidRDefault="00955622" w:rsidP="00136E77">
            <w:pPr>
              <w:rPr>
                <w:sz w:val="20"/>
                <w:szCs w:val="22"/>
              </w:rPr>
            </w:pPr>
            <w:r>
              <w:rPr>
                <w:sz w:val="20"/>
                <w:szCs w:val="22"/>
              </w:rPr>
              <w:t>100%</w:t>
            </w:r>
          </w:p>
        </w:tc>
      </w:tr>
      <w:tr w:rsidR="00955622" w:rsidRPr="008D7CDA" w14:paraId="067B7BC1" w14:textId="77777777" w:rsidTr="00726B76">
        <w:trPr>
          <w:cantSplit/>
        </w:trPr>
        <w:tc>
          <w:tcPr>
            <w:tcW w:w="3027" w:type="dxa"/>
            <w:shd w:val="clear" w:color="auto" w:fill="auto"/>
          </w:tcPr>
          <w:p w14:paraId="7CBE214E" w14:textId="77777777" w:rsidR="00955622" w:rsidRPr="00A0565F" w:rsidRDefault="00955622" w:rsidP="00955622">
            <w:pPr>
              <w:widowControl/>
              <w:numPr>
                <w:ilvl w:val="0"/>
                <w:numId w:val="41"/>
              </w:numPr>
              <w:ind w:left="432"/>
              <w:contextualSpacing/>
            </w:pPr>
            <w:r w:rsidRPr="00A0565F">
              <w:t>Karl Heinz Horrer</w:t>
            </w:r>
          </w:p>
        </w:tc>
        <w:tc>
          <w:tcPr>
            <w:tcW w:w="1468" w:type="dxa"/>
            <w:shd w:val="clear" w:color="auto" w:fill="auto"/>
          </w:tcPr>
          <w:p w14:paraId="2510AB71" w14:textId="77777777" w:rsidR="00955622" w:rsidRPr="0027363F" w:rsidRDefault="00955622" w:rsidP="00136E77">
            <w:pPr>
              <w:jc w:val="center"/>
            </w:pPr>
            <w:r w:rsidRPr="0027363F">
              <w:t>Germany</w:t>
            </w:r>
          </w:p>
        </w:tc>
        <w:tc>
          <w:tcPr>
            <w:tcW w:w="1800" w:type="dxa"/>
            <w:shd w:val="clear" w:color="auto" w:fill="auto"/>
          </w:tcPr>
          <w:p w14:paraId="0B8DDC81" w14:textId="77777777" w:rsidR="00955622" w:rsidRPr="0027363F" w:rsidRDefault="00955622" w:rsidP="00136E77">
            <w:pPr>
              <w:jc w:val="center"/>
            </w:pPr>
            <w:r w:rsidRPr="0027363F">
              <w:t>Individual</w:t>
            </w:r>
          </w:p>
        </w:tc>
        <w:tc>
          <w:tcPr>
            <w:tcW w:w="1518" w:type="dxa"/>
            <w:shd w:val="clear" w:color="auto" w:fill="auto"/>
          </w:tcPr>
          <w:p w14:paraId="5C50FB28" w14:textId="77777777" w:rsidR="00955622" w:rsidRPr="0027363F" w:rsidRDefault="00955622" w:rsidP="00136E77">
            <w:pPr>
              <w:jc w:val="center"/>
            </w:pPr>
            <w:r w:rsidRPr="0027363F">
              <w:t>N/A</w:t>
            </w:r>
          </w:p>
        </w:tc>
        <w:tc>
          <w:tcPr>
            <w:tcW w:w="879" w:type="dxa"/>
            <w:shd w:val="clear" w:color="auto" w:fill="auto"/>
          </w:tcPr>
          <w:p w14:paraId="29C01383" w14:textId="77777777" w:rsidR="00955622" w:rsidRPr="00A0565F" w:rsidRDefault="00955622" w:rsidP="00136E77">
            <w:pPr>
              <w:rPr>
                <w:sz w:val="20"/>
                <w:szCs w:val="22"/>
              </w:rPr>
            </w:pPr>
            <w:r w:rsidRPr="00A0565F">
              <w:rPr>
                <w:sz w:val="20"/>
                <w:szCs w:val="22"/>
              </w:rPr>
              <w:t>0%</w:t>
            </w:r>
          </w:p>
        </w:tc>
        <w:tc>
          <w:tcPr>
            <w:tcW w:w="956" w:type="dxa"/>
          </w:tcPr>
          <w:p w14:paraId="48B9443C" w14:textId="77777777" w:rsidR="00955622" w:rsidRPr="00A0565F" w:rsidRDefault="00955622" w:rsidP="00136E77">
            <w:pPr>
              <w:rPr>
                <w:sz w:val="20"/>
                <w:szCs w:val="22"/>
              </w:rPr>
            </w:pPr>
            <w:r w:rsidRPr="00A0565F">
              <w:rPr>
                <w:sz w:val="20"/>
                <w:szCs w:val="22"/>
              </w:rPr>
              <w:t>100%</w:t>
            </w:r>
          </w:p>
        </w:tc>
      </w:tr>
      <w:tr w:rsidR="00955622" w:rsidRPr="008D7CDA" w14:paraId="33F5251F" w14:textId="77777777" w:rsidTr="00726B76">
        <w:trPr>
          <w:cantSplit/>
        </w:trPr>
        <w:tc>
          <w:tcPr>
            <w:tcW w:w="3027" w:type="dxa"/>
            <w:shd w:val="clear" w:color="auto" w:fill="auto"/>
          </w:tcPr>
          <w:p w14:paraId="4A47594E" w14:textId="77777777" w:rsidR="00955622" w:rsidRPr="00A0565F" w:rsidRDefault="00955622" w:rsidP="00955622">
            <w:pPr>
              <w:widowControl/>
              <w:numPr>
                <w:ilvl w:val="0"/>
                <w:numId w:val="41"/>
              </w:numPr>
              <w:ind w:left="432"/>
              <w:contextualSpacing/>
            </w:pPr>
            <w:r w:rsidRPr="00A0565F">
              <w:t>Jens Hollermann</w:t>
            </w:r>
          </w:p>
        </w:tc>
        <w:tc>
          <w:tcPr>
            <w:tcW w:w="1468" w:type="dxa"/>
            <w:shd w:val="clear" w:color="auto" w:fill="auto"/>
          </w:tcPr>
          <w:p w14:paraId="2E39D609" w14:textId="77777777" w:rsidR="00955622" w:rsidRPr="0027363F" w:rsidRDefault="00955622" w:rsidP="00136E77">
            <w:pPr>
              <w:jc w:val="center"/>
            </w:pPr>
            <w:r w:rsidRPr="0027363F">
              <w:t>Germany</w:t>
            </w:r>
          </w:p>
        </w:tc>
        <w:tc>
          <w:tcPr>
            <w:tcW w:w="1800" w:type="dxa"/>
            <w:shd w:val="clear" w:color="auto" w:fill="auto"/>
          </w:tcPr>
          <w:p w14:paraId="7BD4E2CB" w14:textId="77777777" w:rsidR="00955622" w:rsidRPr="0027363F" w:rsidRDefault="00955622" w:rsidP="00136E77">
            <w:pPr>
              <w:jc w:val="center"/>
            </w:pPr>
            <w:r w:rsidRPr="0027363F">
              <w:t>Individual</w:t>
            </w:r>
          </w:p>
        </w:tc>
        <w:tc>
          <w:tcPr>
            <w:tcW w:w="1518" w:type="dxa"/>
            <w:shd w:val="clear" w:color="auto" w:fill="auto"/>
          </w:tcPr>
          <w:p w14:paraId="310D898C" w14:textId="77777777" w:rsidR="00955622" w:rsidRPr="0027363F" w:rsidRDefault="00955622" w:rsidP="00136E77">
            <w:pPr>
              <w:jc w:val="center"/>
            </w:pPr>
            <w:r w:rsidRPr="0027363F">
              <w:t>N/A</w:t>
            </w:r>
          </w:p>
        </w:tc>
        <w:tc>
          <w:tcPr>
            <w:tcW w:w="879" w:type="dxa"/>
            <w:shd w:val="clear" w:color="auto" w:fill="auto"/>
          </w:tcPr>
          <w:p w14:paraId="6F6286D0" w14:textId="77777777" w:rsidR="00955622" w:rsidRPr="00A0565F" w:rsidRDefault="00955622" w:rsidP="00136E77">
            <w:pPr>
              <w:rPr>
                <w:sz w:val="20"/>
                <w:szCs w:val="22"/>
              </w:rPr>
            </w:pPr>
            <w:r w:rsidRPr="00A0565F">
              <w:rPr>
                <w:sz w:val="20"/>
                <w:szCs w:val="22"/>
              </w:rPr>
              <w:t>0%</w:t>
            </w:r>
          </w:p>
        </w:tc>
        <w:tc>
          <w:tcPr>
            <w:tcW w:w="956" w:type="dxa"/>
          </w:tcPr>
          <w:p w14:paraId="31DADA4A" w14:textId="77777777" w:rsidR="00955622" w:rsidRPr="00A0565F" w:rsidRDefault="00955622" w:rsidP="00136E77">
            <w:pPr>
              <w:rPr>
                <w:sz w:val="20"/>
                <w:szCs w:val="22"/>
              </w:rPr>
            </w:pPr>
            <w:r>
              <w:rPr>
                <w:sz w:val="20"/>
                <w:szCs w:val="22"/>
              </w:rPr>
              <w:t>100%</w:t>
            </w:r>
          </w:p>
        </w:tc>
      </w:tr>
      <w:tr w:rsidR="00955622" w:rsidRPr="008D7CDA" w14:paraId="2238BB20" w14:textId="77777777" w:rsidTr="00726B76">
        <w:trPr>
          <w:cantSplit/>
        </w:trPr>
        <w:tc>
          <w:tcPr>
            <w:tcW w:w="3027" w:type="dxa"/>
            <w:shd w:val="clear" w:color="auto" w:fill="auto"/>
          </w:tcPr>
          <w:p w14:paraId="5E9DE0BD" w14:textId="77777777" w:rsidR="00955622" w:rsidRPr="00A0565F" w:rsidRDefault="00955622" w:rsidP="00955622">
            <w:pPr>
              <w:widowControl/>
              <w:numPr>
                <w:ilvl w:val="0"/>
                <w:numId w:val="41"/>
              </w:numPr>
              <w:ind w:left="432"/>
              <w:contextualSpacing/>
            </w:pPr>
            <w:r w:rsidRPr="00A0565F">
              <w:t>Andrea Neubock-Escher</w:t>
            </w:r>
          </w:p>
        </w:tc>
        <w:tc>
          <w:tcPr>
            <w:tcW w:w="1468" w:type="dxa"/>
            <w:shd w:val="clear" w:color="auto" w:fill="auto"/>
          </w:tcPr>
          <w:p w14:paraId="69C3A1A0" w14:textId="77777777" w:rsidR="00955622" w:rsidRPr="0027363F" w:rsidRDefault="00955622" w:rsidP="00136E77">
            <w:pPr>
              <w:jc w:val="center"/>
            </w:pPr>
            <w:r w:rsidRPr="0027363F">
              <w:t>Austria</w:t>
            </w:r>
          </w:p>
        </w:tc>
        <w:tc>
          <w:tcPr>
            <w:tcW w:w="1800" w:type="dxa"/>
            <w:shd w:val="clear" w:color="auto" w:fill="auto"/>
          </w:tcPr>
          <w:p w14:paraId="111C77B5" w14:textId="77777777" w:rsidR="00955622" w:rsidRPr="0027363F" w:rsidRDefault="00955622" w:rsidP="00136E77">
            <w:pPr>
              <w:jc w:val="center"/>
            </w:pPr>
            <w:r w:rsidRPr="0027363F">
              <w:t>Individual</w:t>
            </w:r>
          </w:p>
        </w:tc>
        <w:tc>
          <w:tcPr>
            <w:tcW w:w="1518" w:type="dxa"/>
            <w:shd w:val="clear" w:color="auto" w:fill="auto"/>
          </w:tcPr>
          <w:p w14:paraId="0C29028B" w14:textId="77777777" w:rsidR="00955622" w:rsidRPr="0027363F" w:rsidRDefault="00955622" w:rsidP="00136E77">
            <w:pPr>
              <w:jc w:val="center"/>
            </w:pPr>
            <w:r w:rsidRPr="0027363F">
              <w:t>N/A</w:t>
            </w:r>
          </w:p>
        </w:tc>
        <w:tc>
          <w:tcPr>
            <w:tcW w:w="879" w:type="dxa"/>
            <w:shd w:val="clear" w:color="auto" w:fill="auto"/>
          </w:tcPr>
          <w:p w14:paraId="1C535348" w14:textId="77777777" w:rsidR="00955622" w:rsidRPr="00A0565F" w:rsidRDefault="00955622" w:rsidP="00136E77">
            <w:pPr>
              <w:rPr>
                <w:sz w:val="20"/>
                <w:szCs w:val="22"/>
              </w:rPr>
            </w:pPr>
            <w:r w:rsidRPr="00A0565F">
              <w:rPr>
                <w:sz w:val="20"/>
                <w:szCs w:val="22"/>
              </w:rPr>
              <w:t>0%</w:t>
            </w:r>
          </w:p>
        </w:tc>
        <w:tc>
          <w:tcPr>
            <w:tcW w:w="956" w:type="dxa"/>
          </w:tcPr>
          <w:p w14:paraId="43AEC141" w14:textId="77777777" w:rsidR="00955622" w:rsidRPr="00A0565F" w:rsidRDefault="00955622" w:rsidP="00136E77">
            <w:pPr>
              <w:rPr>
                <w:sz w:val="20"/>
                <w:szCs w:val="22"/>
              </w:rPr>
            </w:pPr>
            <w:r>
              <w:rPr>
                <w:sz w:val="20"/>
                <w:szCs w:val="22"/>
              </w:rPr>
              <w:t>100%</w:t>
            </w:r>
          </w:p>
        </w:tc>
      </w:tr>
      <w:tr w:rsidR="00955622" w:rsidRPr="008D7CDA" w14:paraId="1BFB93D1" w14:textId="77777777" w:rsidTr="00726B76">
        <w:trPr>
          <w:cantSplit/>
        </w:trPr>
        <w:tc>
          <w:tcPr>
            <w:tcW w:w="3027" w:type="dxa"/>
            <w:shd w:val="clear" w:color="auto" w:fill="auto"/>
          </w:tcPr>
          <w:p w14:paraId="756F6C4D" w14:textId="77777777" w:rsidR="00955622" w:rsidRPr="00A0565F" w:rsidRDefault="00955622" w:rsidP="00955622">
            <w:pPr>
              <w:widowControl/>
              <w:numPr>
                <w:ilvl w:val="0"/>
                <w:numId w:val="41"/>
              </w:numPr>
              <w:ind w:left="432"/>
              <w:contextualSpacing/>
            </w:pPr>
            <w:r w:rsidRPr="00A0565F">
              <w:t>EQT Infrastructure II Limited Partnership</w:t>
            </w:r>
          </w:p>
        </w:tc>
        <w:tc>
          <w:tcPr>
            <w:tcW w:w="1468" w:type="dxa"/>
            <w:shd w:val="clear" w:color="auto" w:fill="auto"/>
          </w:tcPr>
          <w:p w14:paraId="4E9AB038" w14:textId="77777777" w:rsidR="00955622" w:rsidRPr="0027363F" w:rsidRDefault="00955622" w:rsidP="00136E77">
            <w:pPr>
              <w:jc w:val="center"/>
            </w:pPr>
            <w:r w:rsidRPr="0027363F">
              <w:t>Netherlands</w:t>
            </w:r>
          </w:p>
        </w:tc>
        <w:tc>
          <w:tcPr>
            <w:tcW w:w="1800" w:type="dxa"/>
            <w:shd w:val="clear" w:color="auto" w:fill="auto"/>
          </w:tcPr>
          <w:p w14:paraId="1F674410" w14:textId="77777777" w:rsidR="00955622" w:rsidRPr="0027363F" w:rsidRDefault="00955622" w:rsidP="00136E77">
            <w:pPr>
              <w:jc w:val="center"/>
            </w:pPr>
            <w:r w:rsidRPr="0027363F">
              <w:t>Limited Partnership</w:t>
            </w:r>
          </w:p>
        </w:tc>
        <w:tc>
          <w:tcPr>
            <w:tcW w:w="1518" w:type="dxa"/>
            <w:shd w:val="clear" w:color="auto" w:fill="auto"/>
          </w:tcPr>
          <w:p w14:paraId="57AAECFB" w14:textId="77777777" w:rsidR="00955622" w:rsidRPr="0027363F" w:rsidRDefault="00955622" w:rsidP="00136E77">
            <w:pPr>
              <w:jc w:val="center"/>
            </w:pPr>
            <w:r w:rsidRPr="0027363F">
              <w:t>Investment</w:t>
            </w:r>
          </w:p>
        </w:tc>
        <w:tc>
          <w:tcPr>
            <w:tcW w:w="879" w:type="dxa"/>
            <w:shd w:val="clear" w:color="auto" w:fill="auto"/>
          </w:tcPr>
          <w:p w14:paraId="53524AD9" w14:textId="77777777" w:rsidR="00955622" w:rsidRPr="00A0565F" w:rsidRDefault="00955622" w:rsidP="00136E77">
            <w:pPr>
              <w:rPr>
                <w:sz w:val="20"/>
                <w:szCs w:val="22"/>
              </w:rPr>
            </w:pPr>
            <w:r w:rsidRPr="00A0565F">
              <w:rPr>
                <w:sz w:val="20"/>
                <w:szCs w:val="22"/>
              </w:rPr>
              <w:t>46.92%</w:t>
            </w:r>
          </w:p>
        </w:tc>
        <w:tc>
          <w:tcPr>
            <w:tcW w:w="956" w:type="dxa"/>
          </w:tcPr>
          <w:p w14:paraId="170E55BB" w14:textId="77777777" w:rsidR="00955622" w:rsidRPr="00A0565F" w:rsidRDefault="00955622" w:rsidP="00136E77">
            <w:pPr>
              <w:rPr>
                <w:sz w:val="20"/>
                <w:szCs w:val="22"/>
              </w:rPr>
            </w:pPr>
            <w:r w:rsidRPr="00A0565F">
              <w:rPr>
                <w:sz w:val="20"/>
                <w:szCs w:val="22"/>
              </w:rPr>
              <w:t>100%</w:t>
            </w:r>
          </w:p>
        </w:tc>
      </w:tr>
      <w:tr w:rsidR="00955622" w:rsidRPr="008D7CDA" w14:paraId="040E9A01" w14:textId="77777777" w:rsidTr="00726B76">
        <w:trPr>
          <w:cantSplit/>
        </w:trPr>
        <w:tc>
          <w:tcPr>
            <w:tcW w:w="3027" w:type="dxa"/>
            <w:shd w:val="clear" w:color="auto" w:fill="auto"/>
          </w:tcPr>
          <w:p w14:paraId="1D628B33" w14:textId="77777777" w:rsidR="00955622" w:rsidRPr="00A0565F" w:rsidRDefault="00955622" w:rsidP="00955622">
            <w:pPr>
              <w:widowControl/>
              <w:numPr>
                <w:ilvl w:val="0"/>
                <w:numId w:val="41"/>
              </w:numPr>
              <w:ind w:left="432"/>
              <w:contextualSpacing/>
            </w:pPr>
            <w:r w:rsidRPr="00A0565F">
              <w:t>EQT Infrastructure II GP B.V.</w:t>
            </w:r>
          </w:p>
        </w:tc>
        <w:tc>
          <w:tcPr>
            <w:tcW w:w="1468" w:type="dxa"/>
            <w:shd w:val="clear" w:color="auto" w:fill="auto"/>
          </w:tcPr>
          <w:p w14:paraId="6882E7EF" w14:textId="77777777" w:rsidR="00955622" w:rsidRPr="0027363F" w:rsidRDefault="00955622" w:rsidP="00136E77">
            <w:pPr>
              <w:jc w:val="center"/>
            </w:pPr>
            <w:r w:rsidRPr="0027363F">
              <w:t>Netherlands</w:t>
            </w:r>
          </w:p>
        </w:tc>
        <w:tc>
          <w:tcPr>
            <w:tcW w:w="1800" w:type="dxa"/>
            <w:shd w:val="clear" w:color="auto" w:fill="auto"/>
          </w:tcPr>
          <w:p w14:paraId="0108B5D0" w14:textId="77777777" w:rsidR="00955622" w:rsidRPr="0027363F" w:rsidRDefault="00955622" w:rsidP="00136E77">
            <w:pPr>
              <w:jc w:val="center"/>
            </w:pPr>
            <w:r w:rsidRPr="0027363F">
              <w:t>Limited Liability Corp.</w:t>
            </w:r>
          </w:p>
        </w:tc>
        <w:tc>
          <w:tcPr>
            <w:tcW w:w="1518" w:type="dxa"/>
            <w:shd w:val="clear" w:color="auto" w:fill="auto"/>
          </w:tcPr>
          <w:p w14:paraId="463394F3" w14:textId="77777777" w:rsidR="00955622" w:rsidRPr="0027363F" w:rsidRDefault="00955622" w:rsidP="00136E77">
            <w:pPr>
              <w:jc w:val="center"/>
            </w:pPr>
            <w:r w:rsidRPr="0027363F">
              <w:t>Investment</w:t>
            </w:r>
          </w:p>
        </w:tc>
        <w:tc>
          <w:tcPr>
            <w:tcW w:w="879" w:type="dxa"/>
            <w:shd w:val="clear" w:color="auto" w:fill="auto"/>
          </w:tcPr>
          <w:p w14:paraId="43E60472" w14:textId="77777777" w:rsidR="00955622" w:rsidRPr="00A0565F" w:rsidRDefault="00955622" w:rsidP="00136E77">
            <w:pPr>
              <w:rPr>
                <w:sz w:val="20"/>
                <w:szCs w:val="22"/>
              </w:rPr>
            </w:pPr>
            <w:r w:rsidRPr="00A0565F">
              <w:rPr>
                <w:sz w:val="20"/>
                <w:szCs w:val="22"/>
              </w:rPr>
              <w:t>0%</w:t>
            </w:r>
          </w:p>
        </w:tc>
        <w:tc>
          <w:tcPr>
            <w:tcW w:w="956" w:type="dxa"/>
          </w:tcPr>
          <w:p w14:paraId="6A456A5E" w14:textId="77777777" w:rsidR="00955622" w:rsidRPr="00A0565F" w:rsidRDefault="00955622" w:rsidP="00136E77">
            <w:pPr>
              <w:rPr>
                <w:sz w:val="20"/>
                <w:szCs w:val="22"/>
              </w:rPr>
            </w:pPr>
            <w:r w:rsidRPr="00A0565F">
              <w:rPr>
                <w:sz w:val="20"/>
                <w:szCs w:val="22"/>
              </w:rPr>
              <w:t>100%</w:t>
            </w:r>
          </w:p>
        </w:tc>
      </w:tr>
      <w:tr w:rsidR="00955622" w:rsidRPr="008D7CDA" w14:paraId="3A7F4F2C" w14:textId="77777777" w:rsidTr="00726B76">
        <w:trPr>
          <w:cantSplit/>
        </w:trPr>
        <w:tc>
          <w:tcPr>
            <w:tcW w:w="3027" w:type="dxa"/>
            <w:shd w:val="clear" w:color="auto" w:fill="auto"/>
          </w:tcPr>
          <w:p w14:paraId="3F36C386" w14:textId="77777777" w:rsidR="00955622" w:rsidRPr="00A0565F" w:rsidRDefault="00955622" w:rsidP="00955622">
            <w:pPr>
              <w:widowControl/>
              <w:numPr>
                <w:ilvl w:val="0"/>
                <w:numId w:val="41"/>
              </w:numPr>
              <w:ind w:left="432"/>
              <w:contextualSpacing/>
            </w:pPr>
            <w:r w:rsidRPr="00A0565F">
              <w:t>EQT Infrastructure II (No. 1) Feeder LP</w:t>
            </w:r>
          </w:p>
        </w:tc>
        <w:tc>
          <w:tcPr>
            <w:tcW w:w="1468" w:type="dxa"/>
            <w:shd w:val="clear" w:color="auto" w:fill="auto"/>
          </w:tcPr>
          <w:p w14:paraId="32F7B722" w14:textId="77777777" w:rsidR="00955622" w:rsidRPr="0027363F" w:rsidRDefault="00955622" w:rsidP="00136E77">
            <w:pPr>
              <w:jc w:val="center"/>
            </w:pPr>
            <w:r w:rsidRPr="0027363F">
              <w:t>U.K.</w:t>
            </w:r>
          </w:p>
        </w:tc>
        <w:tc>
          <w:tcPr>
            <w:tcW w:w="1800" w:type="dxa"/>
            <w:shd w:val="clear" w:color="auto" w:fill="auto"/>
          </w:tcPr>
          <w:p w14:paraId="643969D1" w14:textId="77777777" w:rsidR="00955622" w:rsidRPr="0027363F" w:rsidRDefault="00955622" w:rsidP="00136E77">
            <w:pPr>
              <w:jc w:val="center"/>
            </w:pPr>
            <w:r w:rsidRPr="0027363F">
              <w:t>Limited Partnership</w:t>
            </w:r>
          </w:p>
        </w:tc>
        <w:tc>
          <w:tcPr>
            <w:tcW w:w="1518" w:type="dxa"/>
            <w:shd w:val="clear" w:color="auto" w:fill="auto"/>
          </w:tcPr>
          <w:p w14:paraId="099D684C" w14:textId="77777777" w:rsidR="00955622" w:rsidRPr="0027363F" w:rsidRDefault="00955622" w:rsidP="00136E77">
            <w:pPr>
              <w:jc w:val="center"/>
            </w:pPr>
            <w:r w:rsidRPr="0027363F">
              <w:t>Investment</w:t>
            </w:r>
          </w:p>
        </w:tc>
        <w:tc>
          <w:tcPr>
            <w:tcW w:w="879" w:type="dxa"/>
            <w:shd w:val="clear" w:color="auto" w:fill="auto"/>
          </w:tcPr>
          <w:p w14:paraId="76B6D843" w14:textId="77777777" w:rsidR="00955622" w:rsidRPr="00A0565F" w:rsidRDefault="00955622" w:rsidP="00136E77">
            <w:pPr>
              <w:rPr>
                <w:sz w:val="20"/>
                <w:szCs w:val="22"/>
              </w:rPr>
            </w:pPr>
            <w:r w:rsidRPr="00A0565F">
              <w:rPr>
                <w:sz w:val="20"/>
                <w:szCs w:val="22"/>
              </w:rPr>
              <w:t>32.93%</w:t>
            </w:r>
          </w:p>
        </w:tc>
        <w:tc>
          <w:tcPr>
            <w:tcW w:w="956" w:type="dxa"/>
          </w:tcPr>
          <w:p w14:paraId="5F938C6E" w14:textId="77777777" w:rsidR="00955622" w:rsidRPr="00A0565F" w:rsidRDefault="00955622" w:rsidP="00136E77">
            <w:pPr>
              <w:rPr>
                <w:sz w:val="20"/>
                <w:szCs w:val="22"/>
              </w:rPr>
            </w:pPr>
            <w:r>
              <w:rPr>
                <w:sz w:val="20"/>
                <w:szCs w:val="22"/>
              </w:rPr>
              <w:t>7</w:t>
            </w:r>
            <w:r w:rsidRPr="00A0565F">
              <w:rPr>
                <w:sz w:val="20"/>
                <w:szCs w:val="22"/>
              </w:rPr>
              <w:t>0</w:t>
            </w:r>
            <w:r>
              <w:rPr>
                <w:sz w:val="20"/>
                <w:szCs w:val="22"/>
              </w:rPr>
              <w:t>.18</w:t>
            </w:r>
            <w:r w:rsidRPr="00A0565F">
              <w:rPr>
                <w:sz w:val="20"/>
                <w:szCs w:val="22"/>
              </w:rPr>
              <w:t>%</w:t>
            </w:r>
          </w:p>
        </w:tc>
      </w:tr>
      <w:tr w:rsidR="00955622" w:rsidRPr="008D7CDA" w14:paraId="123E5015" w14:textId="77777777" w:rsidTr="00726B76">
        <w:trPr>
          <w:cantSplit/>
        </w:trPr>
        <w:tc>
          <w:tcPr>
            <w:tcW w:w="3027" w:type="dxa"/>
            <w:shd w:val="clear" w:color="auto" w:fill="auto"/>
          </w:tcPr>
          <w:p w14:paraId="410D2473" w14:textId="77777777" w:rsidR="00955622" w:rsidRPr="00A0565F" w:rsidRDefault="00955622" w:rsidP="00955622">
            <w:pPr>
              <w:widowControl/>
              <w:numPr>
                <w:ilvl w:val="0"/>
                <w:numId w:val="41"/>
              </w:numPr>
              <w:ind w:left="432"/>
              <w:contextualSpacing/>
            </w:pPr>
            <w:r w:rsidRPr="00A0565F">
              <w:t>EQT Infrastructure II (No. 2) Feeder LP</w:t>
            </w:r>
          </w:p>
        </w:tc>
        <w:tc>
          <w:tcPr>
            <w:tcW w:w="1468" w:type="dxa"/>
            <w:shd w:val="clear" w:color="auto" w:fill="auto"/>
          </w:tcPr>
          <w:p w14:paraId="303C24F9" w14:textId="77777777" w:rsidR="00955622" w:rsidRPr="0027363F" w:rsidRDefault="00955622" w:rsidP="00136E77">
            <w:pPr>
              <w:jc w:val="center"/>
            </w:pPr>
            <w:r w:rsidRPr="0027363F">
              <w:t>U.K.</w:t>
            </w:r>
          </w:p>
        </w:tc>
        <w:tc>
          <w:tcPr>
            <w:tcW w:w="1800" w:type="dxa"/>
            <w:shd w:val="clear" w:color="auto" w:fill="auto"/>
          </w:tcPr>
          <w:p w14:paraId="0E632C18" w14:textId="77777777" w:rsidR="00955622" w:rsidRPr="0027363F" w:rsidRDefault="00955622" w:rsidP="00136E77">
            <w:pPr>
              <w:jc w:val="center"/>
            </w:pPr>
            <w:r w:rsidRPr="0027363F">
              <w:t>Limited Partnership</w:t>
            </w:r>
          </w:p>
        </w:tc>
        <w:tc>
          <w:tcPr>
            <w:tcW w:w="1518" w:type="dxa"/>
            <w:shd w:val="clear" w:color="auto" w:fill="auto"/>
          </w:tcPr>
          <w:p w14:paraId="0D9F3AB6" w14:textId="77777777" w:rsidR="00955622" w:rsidRPr="0027363F" w:rsidRDefault="00955622" w:rsidP="00136E77">
            <w:pPr>
              <w:jc w:val="center"/>
            </w:pPr>
            <w:r w:rsidRPr="0027363F">
              <w:t>Investment</w:t>
            </w:r>
          </w:p>
        </w:tc>
        <w:tc>
          <w:tcPr>
            <w:tcW w:w="879" w:type="dxa"/>
            <w:shd w:val="clear" w:color="auto" w:fill="auto"/>
          </w:tcPr>
          <w:p w14:paraId="309C0F1E" w14:textId="77777777" w:rsidR="00955622" w:rsidRPr="00A0565F" w:rsidRDefault="00955622" w:rsidP="00136E77">
            <w:pPr>
              <w:rPr>
                <w:sz w:val="20"/>
                <w:szCs w:val="22"/>
              </w:rPr>
            </w:pPr>
            <w:r w:rsidRPr="00A0565F">
              <w:rPr>
                <w:sz w:val="20"/>
                <w:szCs w:val="22"/>
              </w:rPr>
              <w:t>10.02%</w:t>
            </w:r>
          </w:p>
        </w:tc>
        <w:tc>
          <w:tcPr>
            <w:tcW w:w="956" w:type="dxa"/>
          </w:tcPr>
          <w:p w14:paraId="6DFCB1CF" w14:textId="77777777" w:rsidR="00955622" w:rsidRPr="00A0565F" w:rsidRDefault="00955622" w:rsidP="00136E77">
            <w:pPr>
              <w:rPr>
                <w:sz w:val="20"/>
                <w:szCs w:val="22"/>
              </w:rPr>
            </w:pPr>
            <w:r>
              <w:rPr>
                <w:sz w:val="20"/>
                <w:szCs w:val="22"/>
              </w:rPr>
              <w:t>21.36</w:t>
            </w:r>
            <w:r w:rsidRPr="00A0565F">
              <w:rPr>
                <w:sz w:val="20"/>
                <w:szCs w:val="22"/>
              </w:rPr>
              <w:t>%</w:t>
            </w:r>
          </w:p>
        </w:tc>
      </w:tr>
      <w:tr w:rsidR="00955622" w:rsidRPr="008D7CDA" w14:paraId="3D5956D9" w14:textId="77777777" w:rsidTr="00726B76">
        <w:trPr>
          <w:cantSplit/>
        </w:trPr>
        <w:tc>
          <w:tcPr>
            <w:tcW w:w="3027" w:type="dxa"/>
            <w:shd w:val="clear" w:color="auto" w:fill="auto"/>
          </w:tcPr>
          <w:p w14:paraId="7B92EF18" w14:textId="77777777" w:rsidR="00955622" w:rsidRPr="00A0565F" w:rsidRDefault="00955622" w:rsidP="00955622">
            <w:pPr>
              <w:widowControl/>
              <w:numPr>
                <w:ilvl w:val="0"/>
                <w:numId w:val="41"/>
              </w:numPr>
              <w:ind w:left="432"/>
              <w:contextualSpacing/>
            </w:pPr>
            <w:r w:rsidRPr="00A0565F">
              <w:t>EQT Holdings II B.V.</w:t>
            </w:r>
          </w:p>
        </w:tc>
        <w:tc>
          <w:tcPr>
            <w:tcW w:w="1468" w:type="dxa"/>
            <w:shd w:val="clear" w:color="auto" w:fill="auto"/>
          </w:tcPr>
          <w:p w14:paraId="4EEB7822" w14:textId="77777777" w:rsidR="00955622" w:rsidRPr="0027363F" w:rsidRDefault="00955622" w:rsidP="00136E77">
            <w:pPr>
              <w:jc w:val="center"/>
            </w:pPr>
            <w:r w:rsidRPr="0027363F">
              <w:t>Netherlands</w:t>
            </w:r>
          </w:p>
        </w:tc>
        <w:tc>
          <w:tcPr>
            <w:tcW w:w="1800" w:type="dxa"/>
            <w:shd w:val="clear" w:color="auto" w:fill="auto"/>
          </w:tcPr>
          <w:p w14:paraId="3A6C997A" w14:textId="77777777" w:rsidR="00955622" w:rsidRPr="0027363F" w:rsidRDefault="00955622" w:rsidP="00136E77">
            <w:pPr>
              <w:jc w:val="center"/>
            </w:pPr>
            <w:r w:rsidRPr="0027363F">
              <w:t>Limited Liability Corp.</w:t>
            </w:r>
          </w:p>
        </w:tc>
        <w:tc>
          <w:tcPr>
            <w:tcW w:w="1518" w:type="dxa"/>
            <w:shd w:val="clear" w:color="auto" w:fill="auto"/>
          </w:tcPr>
          <w:p w14:paraId="7348B116" w14:textId="77777777" w:rsidR="00955622" w:rsidRPr="0027363F" w:rsidRDefault="00955622" w:rsidP="00136E77">
            <w:pPr>
              <w:jc w:val="center"/>
            </w:pPr>
            <w:r w:rsidRPr="0027363F">
              <w:t>Investment</w:t>
            </w:r>
          </w:p>
        </w:tc>
        <w:tc>
          <w:tcPr>
            <w:tcW w:w="879" w:type="dxa"/>
            <w:shd w:val="clear" w:color="auto" w:fill="auto"/>
          </w:tcPr>
          <w:p w14:paraId="46BE9C0B" w14:textId="77777777" w:rsidR="00955622" w:rsidRPr="00A0565F" w:rsidRDefault="00955622" w:rsidP="00136E77">
            <w:pPr>
              <w:rPr>
                <w:sz w:val="20"/>
                <w:szCs w:val="22"/>
              </w:rPr>
            </w:pPr>
            <w:r w:rsidRPr="00A0565F">
              <w:rPr>
                <w:sz w:val="20"/>
                <w:szCs w:val="22"/>
              </w:rPr>
              <w:t>0%</w:t>
            </w:r>
          </w:p>
        </w:tc>
        <w:tc>
          <w:tcPr>
            <w:tcW w:w="956" w:type="dxa"/>
          </w:tcPr>
          <w:p w14:paraId="19752000" w14:textId="77777777" w:rsidR="00955622" w:rsidRPr="00A0565F" w:rsidRDefault="00955622" w:rsidP="00136E77">
            <w:pPr>
              <w:rPr>
                <w:sz w:val="20"/>
                <w:szCs w:val="22"/>
              </w:rPr>
            </w:pPr>
            <w:r w:rsidRPr="00A0565F">
              <w:rPr>
                <w:sz w:val="20"/>
                <w:szCs w:val="22"/>
              </w:rPr>
              <w:t>100%</w:t>
            </w:r>
          </w:p>
        </w:tc>
      </w:tr>
      <w:tr w:rsidR="00955622" w:rsidRPr="008D7CDA" w14:paraId="5D5DABEA" w14:textId="77777777" w:rsidTr="00726B76">
        <w:trPr>
          <w:cantSplit/>
        </w:trPr>
        <w:tc>
          <w:tcPr>
            <w:tcW w:w="3027" w:type="dxa"/>
            <w:shd w:val="clear" w:color="auto" w:fill="auto"/>
          </w:tcPr>
          <w:p w14:paraId="27659B2D" w14:textId="77777777" w:rsidR="00955622" w:rsidRPr="00A0565F" w:rsidRDefault="00955622" w:rsidP="00955622">
            <w:pPr>
              <w:widowControl/>
              <w:numPr>
                <w:ilvl w:val="0"/>
                <w:numId w:val="41"/>
              </w:numPr>
              <w:ind w:left="432"/>
              <w:contextualSpacing/>
            </w:pPr>
            <w:r w:rsidRPr="00A0565F">
              <w:t>EQT Infrastructure II (GP) Ltd.</w:t>
            </w:r>
          </w:p>
        </w:tc>
        <w:tc>
          <w:tcPr>
            <w:tcW w:w="1468" w:type="dxa"/>
            <w:shd w:val="clear" w:color="auto" w:fill="auto"/>
          </w:tcPr>
          <w:p w14:paraId="7FFEC6BD" w14:textId="77777777" w:rsidR="00955622" w:rsidRPr="0027363F" w:rsidRDefault="00955622" w:rsidP="00136E77">
            <w:pPr>
              <w:jc w:val="center"/>
            </w:pPr>
            <w:r w:rsidRPr="0027363F">
              <w:t>U.K.</w:t>
            </w:r>
          </w:p>
        </w:tc>
        <w:tc>
          <w:tcPr>
            <w:tcW w:w="1800" w:type="dxa"/>
            <w:shd w:val="clear" w:color="auto" w:fill="auto"/>
          </w:tcPr>
          <w:p w14:paraId="6C1B461B" w14:textId="77777777" w:rsidR="00955622" w:rsidRPr="0027363F" w:rsidRDefault="00955622" w:rsidP="00136E77">
            <w:pPr>
              <w:jc w:val="center"/>
            </w:pPr>
            <w:r w:rsidRPr="0027363F">
              <w:t>Private Corp.</w:t>
            </w:r>
          </w:p>
        </w:tc>
        <w:tc>
          <w:tcPr>
            <w:tcW w:w="1518" w:type="dxa"/>
            <w:shd w:val="clear" w:color="auto" w:fill="auto"/>
          </w:tcPr>
          <w:p w14:paraId="6D5D66FA" w14:textId="77777777" w:rsidR="00955622" w:rsidRPr="0027363F" w:rsidRDefault="00955622" w:rsidP="00136E77">
            <w:pPr>
              <w:jc w:val="center"/>
            </w:pPr>
            <w:r w:rsidRPr="0027363F">
              <w:t>Investment</w:t>
            </w:r>
          </w:p>
        </w:tc>
        <w:tc>
          <w:tcPr>
            <w:tcW w:w="879" w:type="dxa"/>
            <w:shd w:val="clear" w:color="auto" w:fill="auto"/>
          </w:tcPr>
          <w:p w14:paraId="334477B0" w14:textId="77777777" w:rsidR="00955622" w:rsidRPr="00A0565F" w:rsidRDefault="00955622" w:rsidP="00136E77">
            <w:pPr>
              <w:rPr>
                <w:sz w:val="20"/>
                <w:szCs w:val="22"/>
              </w:rPr>
            </w:pPr>
            <w:r w:rsidRPr="00A0565F">
              <w:rPr>
                <w:sz w:val="20"/>
                <w:szCs w:val="22"/>
              </w:rPr>
              <w:t>0%</w:t>
            </w:r>
          </w:p>
        </w:tc>
        <w:tc>
          <w:tcPr>
            <w:tcW w:w="956" w:type="dxa"/>
          </w:tcPr>
          <w:p w14:paraId="64B05FF2" w14:textId="77777777" w:rsidR="00955622" w:rsidRPr="00A0565F" w:rsidRDefault="00955622" w:rsidP="00136E77">
            <w:pPr>
              <w:rPr>
                <w:sz w:val="20"/>
                <w:szCs w:val="22"/>
              </w:rPr>
            </w:pPr>
            <w:r w:rsidRPr="00A0565F">
              <w:rPr>
                <w:sz w:val="20"/>
                <w:szCs w:val="22"/>
              </w:rPr>
              <w:t>100%</w:t>
            </w:r>
          </w:p>
        </w:tc>
      </w:tr>
      <w:tr w:rsidR="00955622" w:rsidRPr="008D7CDA" w14:paraId="6E1E2063" w14:textId="77777777" w:rsidTr="00726B76">
        <w:trPr>
          <w:cantSplit/>
        </w:trPr>
        <w:tc>
          <w:tcPr>
            <w:tcW w:w="3027" w:type="dxa"/>
            <w:shd w:val="clear" w:color="auto" w:fill="auto"/>
          </w:tcPr>
          <w:p w14:paraId="6D992A83" w14:textId="77777777" w:rsidR="00955622" w:rsidRPr="00A0565F" w:rsidRDefault="00955622" w:rsidP="00955622">
            <w:pPr>
              <w:widowControl/>
              <w:numPr>
                <w:ilvl w:val="0"/>
                <w:numId w:val="41"/>
              </w:numPr>
              <w:ind w:left="432"/>
              <w:contextualSpacing/>
            </w:pPr>
            <w:r w:rsidRPr="00A0565F">
              <w:t>EQT Netherlands Management B.V.</w:t>
            </w:r>
          </w:p>
        </w:tc>
        <w:tc>
          <w:tcPr>
            <w:tcW w:w="1468" w:type="dxa"/>
            <w:shd w:val="clear" w:color="auto" w:fill="auto"/>
          </w:tcPr>
          <w:p w14:paraId="2800E31F" w14:textId="77777777" w:rsidR="00955622" w:rsidRPr="0027363F" w:rsidRDefault="00955622" w:rsidP="00136E77">
            <w:pPr>
              <w:jc w:val="center"/>
            </w:pPr>
            <w:r w:rsidRPr="0027363F">
              <w:t>Netherlands</w:t>
            </w:r>
          </w:p>
        </w:tc>
        <w:tc>
          <w:tcPr>
            <w:tcW w:w="1800" w:type="dxa"/>
            <w:shd w:val="clear" w:color="auto" w:fill="auto"/>
          </w:tcPr>
          <w:p w14:paraId="4515D5BB" w14:textId="77777777" w:rsidR="00955622" w:rsidRPr="0027363F" w:rsidRDefault="00955622" w:rsidP="00136E77">
            <w:pPr>
              <w:jc w:val="center"/>
            </w:pPr>
            <w:r w:rsidRPr="0027363F">
              <w:t>Limited Liability Corp.</w:t>
            </w:r>
          </w:p>
        </w:tc>
        <w:tc>
          <w:tcPr>
            <w:tcW w:w="1518" w:type="dxa"/>
            <w:shd w:val="clear" w:color="auto" w:fill="auto"/>
          </w:tcPr>
          <w:p w14:paraId="71B54CFC" w14:textId="77777777" w:rsidR="00955622" w:rsidRPr="0027363F" w:rsidRDefault="00955622" w:rsidP="00136E77">
            <w:pPr>
              <w:jc w:val="center"/>
            </w:pPr>
            <w:r w:rsidRPr="0027363F">
              <w:t>Investment</w:t>
            </w:r>
          </w:p>
        </w:tc>
        <w:tc>
          <w:tcPr>
            <w:tcW w:w="879" w:type="dxa"/>
            <w:shd w:val="clear" w:color="auto" w:fill="auto"/>
          </w:tcPr>
          <w:p w14:paraId="53574885" w14:textId="77777777" w:rsidR="00955622" w:rsidRPr="00A0565F" w:rsidRDefault="00955622" w:rsidP="00136E77">
            <w:pPr>
              <w:rPr>
                <w:sz w:val="20"/>
                <w:szCs w:val="22"/>
              </w:rPr>
            </w:pPr>
            <w:r w:rsidRPr="00A0565F">
              <w:rPr>
                <w:sz w:val="20"/>
                <w:szCs w:val="22"/>
              </w:rPr>
              <w:t>0%</w:t>
            </w:r>
          </w:p>
        </w:tc>
        <w:tc>
          <w:tcPr>
            <w:tcW w:w="956" w:type="dxa"/>
          </w:tcPr>
          <w:p w14:paraId="56860296" w14:textId="77777777" w:rsidR="00955622" w:rsidRPr="00A0565F" w:rsidRDefault="00955622" w:rsidP="00136E77">
            <w:pPr>
              <w:rPr>
                <w:sz w:val="20"/>
                <w:szCs w:val="22"/>
              </w:rPr>
            </w:pPr>
            <w:r w:rsidRPr="00A0565F">
              <w:rPr>
                <w:sz w:val="20"/>
                <w:szCs w:val="22"/>
              </w:rPr>
              <w:t>100%</w:t>
            </w:r>
          </w:p>
        </w:tc>
      </w:tr>
      <w:tr w:rsidR="00955622" w:rsidRPr="008D7CDA" w14:paraId="627BA2C0" w14:textId="77777777" w:rsidTr="00726B76">
        <w:trPr>
          <w:cantSplit/>
        </w:trPr>
        <w:tc>
          <w:tcPr>
            <w:tcW w:w="3027" w:type="dxa"/>
            <w:shd w:val="clear" w:color="auto" w:fill="auto"/>
          </w:tcPr>
          <w:p w14:paraId="14CD6563" w14:textId="77777777" w:rsidR="00955622" w:rsidRPr="00A0565F" w:rsidRDefault="00955622" w:rsidP="00955622">
            <w:pPr>
              <w:widowControl/>
              <w:numPr>
                <w:ilvl w:val="0"/>
                <w:numId w:val="41"/>
              </w:numPr>
              <w:ind w:left="432"/>
              <w:contextualSpacing/>
            </w:pPr>
            <w:r w:rsidRPr="00A0565F">
              <w:t>EQT AB</w:t>
            </w:r>
          </w:p>
        </w:tc>
        <w:tc>
          <w:tcPr>
            <w:tcW w:w="1468" w:type="dxa"/>
            <w:shd w:val="clear" w:color="auto" w:fill="auto"/>
          </w:tcPr>
          <w:p w14:paraId="26B73E57" w14:textId="77777777" w:rsidR="00955622" w:rsidRPr="0027363F" w:rsidRDefault="00955622" w:rsidP="00136E77">
            <w:pPr>
              <w:jc w:val="center"/>
            </w:pPr>
            <w:r w:rsidRPr="0027363F">
              <w:t>Sweden</w:t>
            </w:r>
          </w:p>
        </w:tc>
        <w:tc>
          <w:tcPr>
            <w:tcW w:w="1800" w:type="dxa"/>
            <w:shd w:val="clear" w:color="auto" w:fill="auto"/>
          </w:tcPr>
          <w:p w14:paraId="5EDF4BFF" w14:textId="77777777" w:rsidR="00955622" w:rsidRPr="0027363F" w:rsidRDefault="00955622" w:rsidP="00136E77">
            <w:pPr>
              <w:jc w:val="center"/>
            </w:pPr>
            <w:r w:rsidRPr="0027363F">
              <w:t>Corporation</w:t>
            </w:r>
          </w:p>
        </w:tc>
        <w:tc>
          <w:tcPr>
            <w:tcW w:w="1518" w:type="dxa"/>
            <w:shd w:val="clear" w:color="auto" w:fill="auto"/>
          </w:tcPr>
          <w:p w14:paraId="37735EE9" w14:textId="77777777" w:rsidR="00955622" w:rsidRPr="0027363F" w:rsidRDefault="00955622" w:rsidP="00136E77">
            <w:pPr>
              <w:jc w:val="center"/>
            </w:pPr>
            <w:r w:rsidRPr="0027363F">
              <w:t>Investment</w:t>
            </w:r>
          </w:p>
        </w:tc>
        <w:tc>
          <w:tcPr>
            <w:tcW w:w="879" w:type="dxa"/>
            <w:shd w:val="clear" w:color="auto" w:fill="auto"/>
          </w:tcPr>
          <w:p w14:paraId="600CF259" w14:textId="77777777" w:rsidR="00955622" w:rsidRPr="00A0565F" w:rsidRDefault="00955622" w:rsidP="00136E77">
            <w:pPr>
              <w:rPr>
                <w:sz w:val="20"/>
                <w:szCs w:val="22"/>
              </w:rPr>
            </w:pPr>
            <w:r w:rsidRPr="00A0565F">
              <w:rPr>
                <w:sz w:val="20"/>
                <w:szCs w:val="22"/>
              </w:rPr>
              <w:t>0%</w:t>
            </w:r>
          </w:p>
        </w:tc>
        <w:tc>
          <w:tcPr>
            <w:tcW w:w="956" w:type="dxa"/>
          </w:tcPr>
          <w:p w14:paraId="6BBA3B23" w14:textId="77777777" w:rsidR="00955622" w:rsidRPr="00A0565F" w:rsidRDefault="00955622" w:rsidP="00136E77">
            <w:pPr>
              <w:rPr>
                <w:sz w:val="20"/>
                <w:szCs w:val="22"/>
              </w:rPr>
            </w:pPr>
            <w:r w:rsidRPr="00A0565F">
              <w:rPr>
                <w:sz w:val="20"/>
                <w:szCs w:val="22"/>
              </w:rPr>
              <w:t>100%</w:t>
            </w:r>
          </w:p>
        </w:tc>
      </w:tr>
      <w:tr w:rsidR="00955622" w:rsidRPr="008D7CDA" w14:paraId="774AD172" w14:textId="77777777" w:rsidTr="00726B76">
        <w:trPr>
          <w:cantSplit/>
        </w:trPr>
        <w:tc>
          <w:tcPr>
            <w:tcW w:w="3027" w:type="dxa"/>
            <w:shd w:val="clear" w:color="auto" w:fill="auto"/>
          </w:tcPr>
          <w:p w14:paraId="3C1F9577" w14:textId="77777777" w:rsidR="00955622" w:rsidRPr="00A0565F" w:rsidRDefault="00955622" w:rsidP="00955622">
            <w:pPr>
              <w:widowControl/>
              <w:numPr>
                <w:ilvl w:val="0"/>
                <w:numId w:val="41"/>
              </w:numPr>
              <w:ind w:left="432"/>
              <w:contextualSpacing/>
            </w:pPr>
            <w:r w:rsidRPr="00A0565F">
              <w:t>James Campbell Arrol</w:t>
            </w:r>
          </w:p>
        </w:tc>
        <w:tc>
          <w:tcPr>
            <w:tcW w:w="1468" w:type="dxa"/>
            <w:shd w:val="clear" w:color="auto" w:fill="auto"/>
          </w:tcPr>
          <w:p w14:paraId="22B5B76C" w14:textId="77777777" w:rsidR="00955622" w:rsidRPr="0027363F" w:rsidRDefault="00955622" w:rsidP="00136E77">
            <w:pPr>
              <w:jc w:val="center"/>
            </w:pPr>
            <w:r w:rsidRPr="0027363F">
              <w:t>U.K.</w:t>
            </w:r>
          </w:p>
        </w:tc>
        <w:tc>
          <w:tcPr>
            <w:tcW w:w="1800" w:type="dxa"/>
            <w:shd w:val="clear" w:color="auto" w:fill="auto"/>
          </w:tcPr>
          <w:p w14:paraId="304A5EC3" w14:textId="77777777" w:rsidR="00955622" w:rsidRPr="0027363F" w:rsidRDefault="00955622" w:rsidP="00136E77">
            <w:pPr>
              <w:jc w:val="center"/>
            </w:pPr>
            <w:r w:rsidRPr="0027363F">
              <w:t>Individual</w:t>
            </w:r>
          </w:p>
        </w:tc>
        <w:tc>
          <w:tcPr>
            <w:tcW w:w="1518" w:type="dxa"/>
            <w:shd w:val="clear" w:color="auto" w:fill="auto"/>
          </w:tcPr>
          <w:p w14:paraId="30221EFB" w14:textId="77777777" w:rsidR="00955622" w:rsidRPr="0027363F" w:rsidRDefault="00955622" w:rsidP="00136E77">
            <w:pPr>
              <w:jc w:val="center"/>
            </w:pPr>
            <w:r w:rsidRPr="0027363F">
              <w:t>N/A</w:t>
            </w:r>
          </w:p>
        </w:tc>
        <w:tc>
          <w:tcPr>
            <w:tcW w:w="879" w:type="dxa"/>
            <w:shd w:val="clear" w:color="auto" w:fill="auto"/>
          </w:tcPr>
          <w:p w14:paraId="280B493E" w14:textId="77777777" w:rsidR="00955622" w:rsidRPr="00A0565F" w:rsidRDefault="00955622" w:rsidP="00136E77">
            <w:pPr>
              <w:rPr>
                <w:sz w:val="20"/>
                <w:szCs w:val="22"/>
              </w:rPr>
            </w:pPr>
            <w:r w:rsidRPr="00A0565F">
              <w:rPr>
                <w:sz w:val="20"/>
                <w:szCs w:val="22"/>
              </w:rPr>
              <w:t>0%</w:t>
            </w:r>
          </w:p>
        </w:tc>
        <w:tc>
          <w:tcPr>
            <w:tcW w:w="956" w:type="dxa"/>
          </w:tcPr>
          <w:p w14:paraId="5405A2FE" w14:textId="77777777" w:rsidR="00955622" w:rsidRPr="00A0565F" w:rsidRDefault="00955622" w:rsidP="00136E77">
            <w:pPr>
              <w:rPr>
                <w:sz w:val="20"/>
                <w:szCs w:val="22"/>
              </w:rPr>
            </w:pPr>
            <w:r>
              <w:rPr>
                <w:sz w:val="20"/>
                <w:szCs w:val="22"/>
              </w:rPr>
              <w:t>100%</w:t>
            </w:r>
          </w:p>
        </w:tc>
      </w:tr>
      <w:tr w:rsidR="00955622" w:rsidRPr="008D7CDA" w14:paraId="19FD731A" w14:textId="77777777" w:rsidTr="00726B76">
        <w:trPr>
          <w:cantSplit/>
        </w:trPr>
        <w:tc>
          <w:tcPr>
            <w:tcW w:w="3027" w:type="dxa"/>
            <w:shd w:val="clear" w:color="auto" w:fill="auto"/>
          </w:tcPr>
          <w:p w14:paraId="0C520731" w14:textId="77777777" w:rsidR="00955622" w:rsidRPr="00A0565F" w:rsidRDefault="00955622" w:rsidP="00955622">
            <w:pPr>
              <w:widowControl/>
              <w:numPr>
                <w:ilvl w:val="0"/>
                <w:numId w:val="41"/>
              </w:numPr>
              <w:ind w:left="432"/>
              <w:contextualSpacing/>
            </w:pPr>
            <w:r w:rsidRPr="00A0565F">
              <w:t>Lars Adam Ludvig Larsson</w:t>
            </w:r>
          </w:p>
        </w:tc>
        <w:tc>
          <w:tcPr>
            <w:tcW w:w="1468" w:type="dxa"/>
            <w:shd w:val="clear" w:color="auto" w:fill="auto"/>
          </w:tcPr>
          <w:p w14:paraId="41EA912E" w14:textId="77777777" w:rsidR="00955622" w:rsidRPr="0027363F" w:rsidRDefault="00955622" w:rsidP="00136E77">
            <w:pPr>
              <w:jc w:val="center"/>
            </w:pPr>
            <w:r w:rsidRPr="0027363F">
              <w:t>Sweden</w:t>
            </w:r>
          </w:p>
        </w:tc>
        <w:tc>
          <w:tcPr>
            <w:tcW w:w="1800" w:type="dxa"/>
            <w:shd w:val="clear" w:color="auto" w:fill="auto"/>
          </w:tcPr>
          <w:p w14:paraId="5ED07C42" w14:textId="77777777" w:rsidR="00955622" w:rsidRPr="0027363F" w:rsidRDefault="00955622" w:rsidP="00136E77">
            <w:pPr>
              <w:jc w:val="center"/>
            </w:pPr>
            <w:r w:rsidRPr="0027363F">
              <w:t>Individual</w:t>
            </w:r>
          </w:p>
        </w:tc>
        <w:tc>
          <w:tcPr>
            <w:tcW w:w="1518" w:type="dxa"/>
            <w:shd w:val="clear" w:color="auto" w:fill="auto"/>
          </w:tcPr>
          <w:p w14:paraId="7F3BD50D" w14:textId="77777777" w:rsidR="00955622" w:rsidRPr="0027363F" w:rsidRDefault="00955622" w:rsidP="00136E77">
            <w:pPr>
              <w:jc w:val="center"/>
            </w:pPr>
            <w:r w:rsidRPr="0027363F">
              <w:t>N/A</w:t>
            </w:r>
          </w:p>
        </w:tc>
        <w:tc>
          <w:tcPr>
            <w:tcW w:w="879" w:type="dxa"/>
            <w:shd w:val="clear" w:color="auto" w:fill="auto"/>
          </w:tcPr>
          <w:p w14:paraId="35695533" w14:textId="77777777" w:rsidR="00955622" w:rsidRPr="00A0565F" w:rsidRDefault="00955622" w:rsidP="00136E77">
            <w:pPr>
              <w:rPr>
                <w:sz w:val="20"/>
                <w:szCs w:val="22"/>
              </w:rPr>
            </w:pPr>
            <w:r w:rsidRPr="00A0565F">
              <w:rPr>
                <w:sz w:val="20"/>
                <w:szCs w:val="22"/>
              </w:rPr>
              <w:t>0%</w:t>
            </w:r>
          </w:p>
        </w:tc>
        <w:tc>
          <w:tcPr>
            <w:tcW w:w="956" w:type="dxa"/>
          </w:tcPr>
          <w:p w14:paraId="24F65A93" w14:textId="77777777" w:rsidR="00955622" w:rsidRPr="00A0565F" w:rsidRDefault="00955622" w:rsidP="00136E77">
            <w:pPr>
              <w:rPr>
                <w:sz w:val="20"/>
                <w:szCs w:val="22"/>
              </w:rPr>
            </w:pPr>
            <w:r>
              <w:rPr>
                <w:sz w:val="20"/>
                <w:szCs w:val="22"/>
              </w:rPr>
              <w:t>100%</w:t>
            </w:r>
          </w:p>
        </w:tc>
      </w:tr>
      <w:tr w:rsidR="00955622" w:rsidRPr="008D7CDA" w14:paraId="7FE89B7A" w14:textId="77777777" w:rsidTr="00726B76">
        <w:trPr>
          <w:cantSplit/>
        </w:trPr>
        <w:tc>
          <w:tcPr>
            <w:tcW w:w="3027" w:type="dxa"/>
          </w:tcPr>
          <w:p w14:paraId="2B355AAD" w14:textId="77777777" w:rsidR="00955622" w:rsidRPr="00A0565F" w:rsidRDefault="00955622" w:rsidP="00955622">
            <w:pPr>
              <w:widowControl/>
              <w:numPr>
                <w:ilvl w:val="0"/>
                <w:numId w:val="41"/>
              </w:numPr>
              <w:ind w:left="432"/>
              <w:contextualSpacing/>
            </w:pPr>
            <w:r w:rsidRPr="00A0565F">
              <w:t>Investor Investments Holding AB</w:t>
            </w:r>
          </w:p>
        </w:tc>
        <w:tc>
          <w:tcPr>
            <w:tcW w:w="1468" w:type="dxa"/>
          </w:tcPr>
          <w:p w14:paraId="38E47B76" w14:textId="77777777" w:rsidR="00955622" w:rsidRPr="008D7CDA" w:rsidRDefault="00955622" w:rsidP="00136E77">
            <w:pPr>
              <w:jc w:val="center"/>
            </w:pPr>
            <w:r w:rsidRPr="008D7CDA">
              <w:t>Sweden</w:t>
            </w:r>
          </w:p>
        </w:tc>
        <w:tc>
          <w:tcPr>
            <w:tcW w:w="1800" w:type="dxa"/>
          </w:tcPr>
          <w:p w14:paraId="306124D3" w14:textId="77777777" w:rsidR="00955622" w:rsidRPr="008D7CDA" w:rsidRDefault="00955622" w:rsidP="00136E77">
            <w:pPr>
              <w:jc w:val="center"/>
            </w:pPr>
            <w:r w:rsidRPr="008D7CDA">
              <w:t>Corporation</w:t>
            </w:r>
          </w:p>
        </w:tc>
        <w:tc>
          <w:tcPr>
            <w:tcW w:w="1518" w:type="dxa"/>
          </w:tcPr>
          <w:p w14:paraId="19CE8D05" w14:textId="77777777" w:rsidR="00955622" w:rsidRPr="008D7CDA" w:rsidRDefault="00955622" w:rsidP="00136E77">
            <w:pPr>
              <w:jc w:val="center"/>
            </w:pPr>
            <w:r w:rsidRPr="008D7CDA">
              <w:t>Investment</w:t>
            </w:r>
          </w:p>
        </w:tc>
        <w:tc>
          <w:tcPr>
            <w:tcW w:w="879" w:type="dxa"/>
          </w:tcPr>
          <w:p w14:paraId="2404AE8B" w14:textId="77777777" w:rsidR="00955622" w:rsidRPr="00A0565F" w:rsidRDefault="00955622" w:rsidP="00136E77">
            <w:pPr>
              <w:rPr>
                <w:sz w:val="20"/>
                <w:szCs w:val="22"/>
              </w:rPr>
            </w:pPr>
            <w:r w:rsidRPr="00A0565F">
              <w:rPr>
                <w:sz w:val="20"/>
                <w:szCs w:val="22"/>
              </w:rPr>
              <w:t>0%</w:t>
            </w:r>
          </w:p>
        </w:tc>
        <w:tc>
          <w:tcPr>
            <w:tcW w:w="956" w:type="dxa"/>
          </w:tcPr>
          <w:p w14:paraId="62A8C709" w14:textId="77777777" w:rsidR="00955622" w:rsidRPr="00A0565F" w:rsidRDefault="00955622" w:rsidP="00136E77">
            <w:pPr>
              <w:rPr>
                <w:sz w:val="20"/>
                <w:szCs w:val="22"/>
              </w:rPr>
            </w:pPr>
            <w:r w:rsidRPr="00A0565F">
              <w:rPr>
                <w:sz w:val="20"/>
                <w:szCs w:val="22"/>
              </w:rPr>
              <w:t>1</w:t>
            </w:r>
            <w:r>
              <w:rPr>
                <w:sz w:val="20"/>
                <w:szCs w:val="22"/>
              </w:rPr>
              <w:t>00</w:t>
            </w:r>
            <w:r w:rsidRPr="00A0565F">
              <w:rPr>
                <w:sz w:val="20"/>
                <w:szCs w:val="22"/>
              </w:rPr>
              <w:t>%</w:t>
            </w:r>
          </w:p>
        </w:tc>
      </w:tr>
      <w:tr w:rsidR="00955622" w:rsidRPr="008D7CDA" w14:paraId="21BA7960" w14:textId="77777777" w:rsidTr="00726B76">
        <w:trPr>
          <w:cantSplit/>
        </w:trPr>
        <w:tc>
          <w:tcPr>
            <w:tcW w:w="3027" w:type="dxa"/>
          </w:tcPr>
          <w:p w14:paraId="19A19727" w14:textId="77777777" w:rsidR="00955622" w:rsidRPr="00A0565F" w:rsidRDefault="00955622" w:rsidP="00955622">
            <w:pPr>
              <w:widowControl/>
              <w:numPr>
                <w:ilvl w:val="0"/>
                <w:numId w:val="41"/>
              </w:numPr>
              <w:ind w:left="432"/>
              <w:contextualSpacing/>
            </w:pPr>
            <w:r w:rsidRPr="00A0565F">
              <w:t>EQT International Holdings B.V.</w:t>
            </w:r>
          </w:p>
        </w:tc>
        <w:tc>
          <w:tcPr>
            <w:tcW w:w="1468" w:type="dxa"/>
          </w:tcPr>
          <w:p w14:paraId="67306225" w14:textId="77777777" w:rsidR="00955622" w:rsidRPr="008D7CDA" w:rsidRDefault="00955622" w:rsidP="00136E77">
            <w:pPr>
              <w:jc w:val="center"/>
            </w:pPr>
            <w:r w:rsidRPr="008D7CDA">
              <w:t>Netherlands</w:t>
            </w:r>
          </w:p>
        </w:tc>
        <w:tc>
          <w:tcPr>
            <w:tcW w:w="1800" w:type="dxa"/>
          </w:tcPr>
          <w:p w14:paraId="4632215F" w14:textId="77777777" w:rsidR="00955622" w:rsidRPr="008D7CDA" w:rsidRDefault="00955622" w:rsidP="00136E77">
            <w:pPr>
              <w:jc w:val="center"/>
            </w:pPr>
            <w:r w:rsidRPr="008D7CDA">
              <w:t>Limited Liability Corp.</w:t>
            </w:r>
          </w:p>
        </w:tc>
        <w:tc>
          <w:tcPr>
            <w:tcW w:w="1518" w:type="dxa"/>
          </w:tcPr>
          <w:p w14:paraId="0C3723FD" w14:textId="77777777" w:rsidR="00955622" w:rsidRPr="008D7CDA" w:rsidRDefault="00955622" w:rsidP="00136E77">
            <w:pPr>
              <w:jc w:val="center"/>
            </w:pPr>
            <w:r w:rsidRPr="008D7CDA">
              <w:t>Investment</w:t>
            </w:r>
          </w:p>
        </w:tc>
        <w:tc>
          <w:tcPr>
            <w:tcW w:w="879" w:type="dxa"/>
          </w:tcPr>
          <w:p w14:paraId="3A6C58A8" w14:textId="77777777" w:rsidR="00955622" w:rsidRPr="00A0565F" w:rsidRDefault="00955622" w:rsidP="00136E77">
            <w:pPr>
              <w:rPr>
                <w:sz w:val="20"/>
                <w:szCs w:val="22"/>
              </w:rPr>
            </w:pPr>
            <w:r w:rsidRPr="00A0565F">
              <w:rPr>
                <w:sz w:val="20"/>
                <w:szCs w:val="22"/>
              </w:rPr>
              <w:t>0%</w:t>
            </w:r>
          </w:p>
        </w:tc>
        <w:tc>
          <w:tcPr>
            <w:tcW w:w="956" w:type="dxa"/>
          </w:tcPr>
          <w:p w14:paraId="69920443" w14:textId="77777777" w:rsidR="00955622" w:rsidRPr="00A0565F" w:rsidRDefault="00955622" w:rsidP="00136E77">
            <w:pPr>
              <w:rPr>
                <w:sz w:val="20"/>
                <w:szCs w:val="22"/>
              </w:rPr>
            </w:pPr>
            <w:r w:rsidRPr="00A0565F">
              <w:rPr>
                <w:sz w:val="20"/>
                <w:szCs w:val="22"/>
              </w:rPr>
              <w:t>100%</w:t>
            </w:r>
          </w:p>
        </w:tc>
      </w:tr>
      <w:tr w:rsidR="00955622" w:rsidRPr="008D7CDA" w14:paraId="788FD81C" w14:textId="77777777" w:rsidTr="00726B76">
        <w:trPr>
          <w:cantSplit/>
        </w:trPr>
        <w:tc>
          <w:tcPr>
            <w:tcW w:w="3027" w:type="dxa"/>
          </w:tcPr>
          <w:p w14:paraId="09CF1518" w14:textId="77777777" w:rsidR="00955622" w:rsidRPr="00A0565F" w:rsidRDefault="00955622" w:rsidP="00955622">
            <w:pPr>
              <w:widowControl/>
              <w:numPr>
                <w:ilvl w:val="0"/>
                <w:numId w:val="41"/>
              </w:numPr>
              <w:ind w:left="432"/>
              <w:contextualSpacing/>
            </w:pPr>
            <w:r w:rsidRPr="00A0565F">
              <w:t>EQT Holdings Cooperatief W.A.</w:t>
            </w:r>
          </w:p>
        </w:tc>
        <w:tc>
          <w:tcPr>
            <w:tcW w:w="1468" w:type="dxa"/>
          </w:tcPr>
          <w:p w14:paraId="6868FC8D" w14:textId="77777777" w:rsidR="00955622" w:rsidRPr="008D7CDA" w:rsidRDefault="00955622" w:rsidP="00136E77">
            <w:pPr>
              <w:jc w:val="center"/>
            </w:pPr>
            <w:r w:rsidRPr="008D7CDA">
              <w:t>Netherlands</w:t>
            </w:r>
          </w:p>
        </w:tc>
        <w:tc>
          <w:tcPr>
            <w:tcW w:w="1800" w:type="dxa"/>
          </w:tcPr>
          <w:p w14:paraId="1EADAE54" w14:textId="77777777" w:rsidR="00955622" w:rsidRPr="008D7CDA" w:rsidRDefault="00955622" w:rsidP="00136E77">
            <w:pPr>
              <w:jc w:val="center"/>
            </w:pPr>
            <w:r w:rsidRPr="008D7CDA">
              <w:t xml:space="preserve">Cooperative </w:t>
            </w:r>
          </w:p>
        </w:tc>
        <w:tc>
          <w:tcPr>
            <w:tcW w:w="1518" w:type="dxa"/>
          </w:tcPr>
          <w:p w14:paraId="08057EB9" w14:textId="77777777" w:rsidR="00955622" w:rsidRPr="008D7CDA" w:rsidRDefault="00955622" w:rsidP="00136E77">
            <w:pPr>
              <w:jc w:val="center"/>
            </w:pPr>
            <w:r w:rsidRPr="008D7CDA">
              <w:t>Investment</w:t>
            </w:r>
          </w:p>
        </w:tc>
        <w:tc>
          <w:tcPr>
            <w:tcW w:w="879" w:type="dxa"/>
          </w:tcPr>
          <w:p w14:paraId="55DB2725" w14:textId="77777777" w:rsidR="00955622" w:rsidRPr="00A0565F" w:rsidRDefault="00955622" w:rsidP="00136E77">
            <w:pPr>
              <w:rPr>
                <w:sz w:val="20"/>
                <w:szCs w:val="22"/>
              </w:rPr>
            </w:pPr>
            <w:r w:rsidRPr="00A0565F">
              <w:rPr>
                <w:sz w:val="20"/>
                <w:szCs w:val="22"/>
              </w:rPr>
              <w:t>0%</w:t>
            </w:r>
          </w:p>
        </w:tc>
        <w:tc>
          <w:tcPr>
            <w:tcW w:w="956" w:type="dxa"/>
          </w:tcPr>
          <w:p w14:paraId="53798929" w14:textId="77777777" w:rsidR="00955622" w:rsidRPr="00A0565F" w:rsidRDefault="00955622" w:rsidP="00136E77">
            <w:pPr>
              <w:rPr>
                <w:sz w:val="20"/>
                <w:szCs w:val="22"/>
              </w:rPr>
            </w:pPr>
            <w:r w:rsidRPr="00A0565F">
              <w:rPr>
                <w:sz w:val="20"/>
                <w:szCs w:val="22"/>
              </w:rPr>
              <w:t>100%</w:t>
            </w:r>
          </w:p>
        </w:tc>
      </w:tr>
      <w:tr w:rsidR="00955622" w:rsidRPr="008D7CDA" w14:paraId="25077D29" w14:textId="77777777" w:rsidTr="00726B76">
        <w:trPr>
          <w:cantSplit/>
        </w:trPr>
        <w:tc>
          <w:tcPr>
            <w:tcW w:w="3027" w:type="dxa"/>
          </w:tcPr>
          <w:p w14:paraId="4162B1CB" w14:textId="77777777" w:rsidR="00955622" w:rsidRPr="00A0565F" w:rsidRDefault="00955622" w:rsidP="00955622">
            <w:pPr>
              <w:widowControl/>
              <w:numPr>
                <w:ilvl w:val="0"/>
                <w:numId w:val="41"/>
              </w:numPr>
              <w:contextualSpacing/>
            </w:pPr>
            <w:r w:rsidRPr="00A0565F">
              <w:t>Investor Growth Capital Holding B.V.</w:t>
            </w:r>
          </w:p>
        </w:tc>
        <w:tc>
          <w:tcPr>
            <w:tcW w:w="1468" w:type="dxa"/>
          </w:tcPr>
          <w:p w14:paraId="024B89E6" w14:textId="77777777" w:rsidR="00955622" w:rsidRPr="008D7CDA" w:rsidRDefault="00955622" w:rsidP="00136E77">
            <w:pPr>
              <w:jc w:val="center"/>
            </w:pPr>
            <w:r w:rsidRPr="008D7CDA">
              <w:t>Netherlands</w:t>
            </w:r>
          </w:p>
        </w:tc>
        <w:tc>
          <w:tcPr>
            <w:tcW w:w="1800" w:type="dxa"/>
          </w:tcPr>
          <w:p w14:paraId="26F5E52B" w14:textId="77777777" w:rsidR="00955622" w:rsidRPr="008D7CDA" w:rsidRDefault="00955622" w:rsidP="00136E77">
            <w:pPr>
              <w:jc w:val="center"/>
            </w:pPr>
            <w:r w:rsidRPr="008D7CDA">
              <w:t>Limited Liability Corp.</w:t>
            </w:r>
          </w:p>
        </w:tc>
        <w:tc>
          <w:tcPr>
            <w:tcW w:w="1518" w:type="dxa"/>
          </w:tcPr>
          <w:p w14:paraId="42656755" w14:textId="77777777" w:rsidR="00955622" w:rsidRPr="008D7CDA" w:rsidRDefault="00955622" w:rsidP="00136E77">
            <w:pPr>
              <w:jc w:val="center"/>
            </w:pPr>
            <w:r w:rsidRPr="008D7CDA">
              <w:t>Investment</w:t>
            </w:r>
          </w:p>
        </w:tc>
        <w:tc>
          <w:tcPr>
            <w:tcW w:w="879" w:type="dxa"/>
          </w:tcPr>
          <w:p w14:paraId="473A0803" w14:textId="77777777" w:rsidR="00955622" w:rsidRPr="00A0565F" w:rsidRDefault="00955622" w:rsidP="00136E77">
            <w:pPr>
              <w:rPr>
                <w:sz w:val="20"/>
                <w:szCs w:val="22"/>
              </w:rPr>
            </w:pPr>
            <w:r w:rsidRPr="00A0565F">
              <w:rPr>
                <w:sz w:val="20"/>
                <w:szCs w:val="22"/>
              </w:rPr>
              <w:t>0%</w:t>
            </w:r>
          </w:p>
        </w:tc>
        <w:tc>
          <w:tcPr>
            <w:tcW w:w="956" w:type="dxa"/>
          </w:tcPr>
          <w:p w14:paraId="185236A8" w14:textId="77777777" w:rsidR="00955622" w:rsidRPr="00A0565F" w:rsidRDefault="00955622" w:rsidP="00136E77">
            <w:pPr>
              <w:rPr>
                <w:sz w:val="20"/>
                <w:szCs w:val="22"/>
              </w:rPr>
            </w:pPr>
            <w:r>
              <w:rPr>
                <w:sz w:val="20"/>
                <w:szCs w:val="22"/>
              </w:rPr>
              <w:t>100</w:t>
            </w:r>
            <w:r w:rsidRPr="00A0565F">
              <w:rPr>
                <w:sz w:val="20"/>
                <w:szCs w:val="22"/>
              </w:rPr>
              <w:t>%</w:t>
            </w:r>
          </w:p>
        </w:tc>
      </w:tr>
      <w:tr w:rsidR="00955622" w:rsidRPr="008D7CDA" w14:paraId="7F7D8373" w14:textId="77777777" w:rsidTr="00726B76">
        <w:trPr>
          <w:cantSplit/>
        </w:trPr>
        <w:tc>
          <w:tcPr>
            <w:tcW w:w="3027" w:type="dxa"/>
          </w:tcPr>
          <w:p w14:paraId="2B59553A" w14:textId="77777777" w:rsidR="00955622" w:rsidRPr="00A0565F" w:rsidRDefault="00955622" w:rsidP="00955622">
            <w:pPr>
              <w:widowControl/>
              <w:numPr>
                <w:ilvl w:val="0"/>
                <w:numId w:val="41"/>
              </w:numPr>
              <w:ind w:left="432"/>
              <w:contextualSpacing/>
            </w:pPr>
            <w:r w:rsidRPr="00A0565F">
              <w:t>Investor AB</w:t>
            </w:r>
          </w:p>
        </w:tc>
        <w:tc>
          <w:tcPr>
            <w:tcW w:w="1468" w:type="dxa"/>
          </w:tcPr>
          <w:p w14:paraId="1D2768EA" w14:textId="77777777" w:rsidR="00955622" w:rsidRPr="008D7CDA" w:rsidRDefault="00955622" w:rsidP="00136E77">
            <w:pPr>
              <w:jc w:val="center"/>
            </w:pPr>
            <w:r w:rsidRPr="008D7CDA">
              <w:t>Sweden</w:t>
            </w:r>
          </w:p>
        </w:tc>
        <w:tc>
          <w:tcPr>
            <w:tcW w:w="1800" w:type="dxa"/>
          </w:tcPr>
          <w:p w14:paraId="0BF0A07E" w14:textId="77777777" w:rsidR="00955622" w:rsidRPr="008D7CDA" w:rsidRDefault="00955622" w:rsidP="00136E77">
            <w:pPr>
              <w:jc w:val="center"/>
            </w:pPr>
            <w:r w:rsidRPr="008D7CDA">
              <w:t>Corporation</w:t>
            </w:r>
          </w:p>
        </w:tc>
        <w:tc>
          <w:tcPr>
            <w:tcW w:w="1518" w:type="dxa"/>
          </w:tcPr>
          <w:p w14:paraId="2949C031" w14:textId="77777777" w:rsidR="00955622" w:rsidRPr="008D7CDA" w:rsidRDefault="00955622" w:rsidP="00136E77">
            <w:pPr>
              <w:jc w:val="center"/>
            </w:pPr>
            <w:r w:rsidRPr="008D7CDA">
              <w:t>Investment</w:t>
            </w:r>
          </w:p>
        </w:tc>
        <w:tc>
          <w:tcPr>
            <w:tcW w:w="879" w:type="dxa"/>
          </w:tcPr>
          <w:p w14:paraId="0D5ED70B" w14:textId="77777777" w:rsidR="00955622" w:rsidRPr="00A0565F" w:rsidRDefault="00955622" w:rsidP="00136E77">
            <w:pPr>
              <w:rPr>
                <w:sz w:val="20"/>
                <w:szCs w:val="22"/>
              </w:rPr>
            </w:pPr>
            <w:r w:rsidRPr="00A0565F">
              <w:rPr>
                <w:sz w:val="20"/>
                <w:szCs w:val="22"/>
              </w:rPr>
              <w:t>0%</w:t>
            </w:r>
          </w:p>
        </w:tc>
        <w:tc>
          <w:tcPr>
            <w:tcW w:w="956" w:type="dxa"/>
          </w:tcPr>
          <w:p w14:paraId="0A6C802A" w14:textId="77777777" w:rsidR="00955622" w:rsidRPr="00A0565F" w:rsidRDefault="00955622" w:rsidP="00136E77">
            <w:pPr>
              <w:rPr>
                <w:sz w:val="20"/>
                <w:szCs w:val="22"/>
              </w:rPr>
            </w:pPr>
            <w:r>
              <w:rPr>
                <w:sz w:val="20"/>
                <w:szCs w:val="22"/>
              </w:rPr>
              <w:t>100</w:t>
            </w:r>
            <w:r w:rsidRPr="00A0565F">
              <w:rPr>
                <w:sz w:val="20"/>
                <w:szCs w:val="22"/>
              </w:rPr>
              <w:t>%</w:t>
            </w:r>
          </w:p>
        </w:tc>
      </w:tr>
      <w:tr w:rsidR="00955622" w:rsidRPr="008D7CDA" w14:paraId="32DFD1C8" w14:textId="77777777" w:rsidTr="00726B76">
        <w:trPr>
          <w:cantSplit/>
        </w:trPr>
        <w:tc>
          <w:tcPr>
            <w:tcW w:w="3027" w:type="dxa"/>
          </w:tcPr>
          <w:p w14:paraId="0D28DBD3" w14:textId="77777777" w:rsidR="00955622" w:rsidRPr="00A0565F" w:rsidRDefault="00955622" w:rsidP="00955622">
            <w:pPr>
              <w:widowControl/>
              <w:numPr>
                <w:ilvl w:val="0"/>
                <w:numId w:val="41"/>
              </w:numPr>
              <w:ind w:left="432"/>
              <w:contextualSpacing/>
            </w:pPr>
            <w:r w:rsidRPr="00A0565F">
              <w:t xml:space="preserve">Investor </w:t>
            </w:r>
            <w:r w:rsidRPr="00AB783B">
              <w:t>Netherlands</w:t>
            </w:r>
            <w:r w:rsidRPr="00A0565F">
              <w:t xml:space="preserve"> B.V.</w:t>
            </w:r>
          </w:p>
        </w:tc>
        <w:tc>
          <w:tcPr>
            <w:tcW w:w="1468" w:type="dxa"/>
          </w:tcPr>
          <w:p w14:paraId="7385E9AB" w14:textId="77777777" w:rsidR="00955622" w:rsidRPr="008D7CDA" w:rsidRDefault="00955622" w:rsidP="00136E77">
            <w:pPr>
              <w:jc w:val="center"/>
            </w:pPr>
            <w:r w:rsidRPr="008D7CDA">
              <w:t>Netherlands</w:t>
            </w:r>
          </w:p>
        </w:tc>
        <w:tc>
          <w:tcPr>
            <w:tcW w:w="1800" w:type="dxa"/>
          </w:tcPr>
          <w:p w14:paraId="736231EA" w14:textId="77777777" w:rsidR="00955622" w:rsidRPr="008D7CDA" w:rsidRDefault="00955622" w:rsidP="00136E77">
            <w:pPr>
              <w:jc w:val="center"/>
            </w:pPr>
            <w:r w:rsidRPr="008D7CDA">
              <w:t>Limited Liability Corp.</w:t>
            </w:r>
          </w:p>
        </w:tc>
        <w:tc>
          <w:tcPr>
            <w:tcW w:w="1518" w:type="dxa"/>
          </w:tcPr>
          <w:p w14:paraId="1921D453" w14:textId="77777777" w:rsidR="00955622" w:rsidRPr="008D7CDA" w:rsidRDefault="00955622" w:rsidP="00136E77">
            <w:pPr>
              <w:jc w:val="center"/>
            </w:pPr>
            <w:r w:rsidRPr="008D7CDA">
              <w:t>Investment</w:t>
            </w:r>
          </w:p>
        </w:tc>
        <w:tc>
          <w:tcPr>
            <w:tcW w:w="879" w:type="dxa"/>
          </w:tcPr>
          <w:p w14:paraId="41DB206F" w14:textId="77777777" w:rsidR="00955622" w:rsidRPr="00A0565F" w:rsidRDefault="00955622" w:rsidP="00136E77">
            <w:pPr>
              <w:rPr>
                <w:sz w:val="20"/>
                <w:szCs w:val="22"/>
              </w:rPr>
            </w:pPr>
            <w:r w:rsidRPr="00A0565F">
              <w:rPr>
                <w:sz w:val="20"/>
                <w:szCs w:val="22"/>
              </w:rPr>
              <w:t>0%</w:t>
            </w:r>
          </w:p>
        </w:tc>
        <w:tc>
          <w:tcPr>
            <w:tcW w:w="956" w:type="dxa"/>
          </w:tcPr>
          <w:p w14:paraId="0E782994" w14:textId="77777777" w:rsidR="00955622" w:rsidRPr="00A0565F" w:rsidRDefault="00955622" w:rsidP="00136E77">
            <w:pPr>
              <w:rPr>
                <w:sz w:val="20"/>
                <w:szCs w:val="22"/>
              </w:rPr>
            </w:pPr>
            <w:r>
              <w:rPr>
                <w:sz w:val="20"/>
                <w:szCs w:val="22"/>
              </w:rPr>
              <w:t>100</w:t>
            </w:r>
            <w:r w:rsidRPr="00A0565F">
              <w:rPr>
                <w:sz w:val="20"/>
                <w:szCs w:val="22"/>
              </w:rPr>
              <w:t>%</w:t>
            </w:r>
          </w:p>
        </w:tc>
      </w:tr>
      <w:tr w:rsidR="00955622" w:rsidRPr="008D7CDA" w14:paraId="3DC5A2F2" w14:textId="77777777" w:rsidTr="00726B76">
        <w:trPr>
          <w:cantSplit/>
        </w:trPr>
        <w:tc>
          <w:tcPr>
            <w:tcW w:w="3027" w:type="dxa"/>
          </w:tcPr>
          <w:p w14:paraId="4F7FB647" w14:textId="77777777" w:rsidR="00955622" w:rsidRPr="00A0565F" w:rsidRDefault="00955622" w:rsidP="00955622">
            <w:pPr>
              <w:widowControl/>
              <w:numPr>
                <w:ilvl w:val="0"/>
                <w:numId w:val="41"/>
              </w:numPr>
              <w:ind w:left="432"/>
              <w:contextualSpacing/>
            </w:pPr>
            <w:r w:rsidRPr="00A0565F">
              <w:t>Knut and Alice Wallenberg Foundation</w:t>
            </w:r>
          </w:p>
        </w:tc>
        <w:tc>
          <w:tcPr>
            <w:tcW w:w="1468" w:type="dxa"/>
          </w:tcPr>
          <w:p w14:paraId="7180ACB7" w14:textId="77777777" w:rsidR="00955622" w:rsidRPr="008D7CDA" w:rsidRDefault="00955622" w:rsidP="00136E77">
            <w:pPr>
              <w:jc w:val="center"/>
            </w:pPr>
            <w:r w:rsidRPr="008D7CDA">
              <w:t>Sweden</w:t>
            </w:r>
          </w:p>
        </w:tc>
        <w:tc>
          <w:tcPr>
            <w:tcW w:w="1800" w:type="dxa"/>
          </w:tcPr>
          <w:p w14:paraId="706ECA09" w14:textId="77777777" w:rsidR="00955622" w:rsidRPr="008D7CDA" w:rsidRDefault="00955622" w:rsidP="00136E77">
            <w:pPr>
              <w:jc w:val="center"/>
            </w:pPr>
            <w:r w:rsidRPr="008D7CDA">
              <w:t>Foundation</w:t>
            </w:r>
          </w:p>
        </w:tc>
        <w:tc>
          <w:tcPr>
            <w:tcW w:w="1518" w:type="dxa"/>
          </w:tcPr>
          <w:p w14:paraId="6549A84A" w14:textId="77777777" w:rsidR="00955622" w:rsidRPr="008D7CDA" w:rsidRDefault="00955622" w:rsidP="00136E77">
            <w:pPr>
              <w:jc w:val="center"/>
            </w:pPr>
            <w:r w:rsidRPr="008D7CDA">
              <w:t>Research</w:t>
            </w:r>
          </w:p>
        </w:tc>
        <w:tc>
          <w:tcPr>
            <w:tcW w:w="879" w:type="dxa"/>
          </w:tcPr>
          <w:p w14:paraId="55CA03CF" w14:textId="77777777" w:rsidR="00955622" w:rsidRPr="00A0565F" w:rsidRDefault="00955622" w:rsidP="00136E77">
            <w:pPr>
              <w:rPr>
                <w:sz w:val="20"/>
                <w:szCs w:val="22"/>
              </w:rPr>
            </w:pPr>
            <w:r w:rsidRPr="00A0565F">
              <w:rPr>
                <w:sz w:val="20"/>
                <w:szCs w:val="22"/>
              </w:rPr>
              <w:t>0%</w:t>
            </w:r>
          </w:p>
        </w:tc>
        <w:tc>
          <w:tcPr>
            <w:tcW w:w="956" w:type="dxa"/>
          </w:tcPr>
          <w:p w14:paraId="42010FBD" w14:textId="77777777" w:rsidR="00955622" w:rsidRPr="00A0565F" w:rsidRDefault="00955622" w:rsidP="00136E77">
            <w:pPr>
              <w:rPr>
                <w:sz w:val="20"/>
                <w:szCs w:val="22"/>
              </w:rPr>
            </w:pPr>
            <w:r>
              <w:rPr>
                <w:sz w:val="20"/>
                <w:szCs w:val="22"/>
              </w:rPr>
              <w:t>42.2</w:t>
            </w:r>
            <w:r w:rsidRPr="00A0565F">
              <w:rPr>
                <w:sz w:val="20"/>
                <w:szCs w:val="22"/>
              </w:rPr>
              <w:t>%</w:t>
            </w:r>
          </w:p>
        </w:tc>
      </w:tr>
      <w:tr w:rsidR="00955622" w:rsidRPr="008D7CDA" w14:paraId="12791F22" w14:textId="77777777" w:rsidTr="00726B76">
        <w:trPr>
          <w:cantSplit/>
        </w:trPr>
        <w:tc>
          <w:tcPr>
            <w:tcW w:w="3027" w:type="dxa"/>
          </w:tcPr>
          <w:p w14:paraId="6208FD39" w14:textId="77777777" w:rsidR="00955622" w:rsidRPr="00A0565F" w:rsidRDefault="00955622" w:rsidP="00955622">
            <w:pPr>
              <w:widowControl/>
              <w:numPr>
                <w:ilvl w:val="0"/>
                <w:numId w:val="41"/>
              </w:numPr>
              <w:ind w:left="432"/>
              <w:contextualSpacing/>
            </w:pPr>
            <w:r w:rsidRPr="00A0565F">
              <w:t>Marcus Jacobus Maria Hollander</w:t>
            </w:r>
          </w:p>
        </w:tc>
        <w:tc>
          <w:tcPr>
            <w:tcW w:w="1468" w:type="dxa"/>
          </w:tcPr>
          <w:p w14:paraId="0DE74F59" w14:textId="77777777" w:rsidR="00955622" w:rsidRPr="008D7CDA" w:rsidRDefault="00955622" w:rsidP="00136E77">
            <w:pPr>
              <w:jc w:val="center"/>
            </w:pPr>
            <w:r w:rsidRPr="008D7CDA">
              <w:t>Netherlands</w:t>
            </w:r>
          </w:p>
        </w:tc>
        <w:tc>
          <w:tcPr>
            <w:tcW w:w="1800" w:type="dxa"/>
          </w:tcPr>
          <w:p w14:paraId="7DDBC26D" w14:textId="77777777" w:rsidR="00955622" w:rsidRPr="008D7CDA" w:rsidRDefault="00955622" w:rsidP="00136E77">
            <w:pPr>
              <w:jc w:val="center"/>
            </w:pPr>
            <w:r w:rsidRPr="008D7CDA">
              <w:t>Individual</w:t>
            </w:r>
          </w:p>
        </w:tc>
        <w:tc>
          <w:tcPr>
            <w:tcW w:w="1518" w:type="dxa"/>
          </w:tcPr>
          <w:p w14:paraId="72BEB92B" w14:textId="77777777" w:rsidR="00955622" w:rsidRPr="008D7CDA" w:rsidRDefault="00955622" w:rsidP="00136E77">
            <w:pPr>
              <w:jc w:val="center"/>
            </w:pPr>
            <w:r w:rsidRPr="008D7CDA">
              <w:t>N/A</w:t>
            </w:r>
          </w:p>
        </w:tc>
        <w:tc>
          <w:tcPr>
            <w:tcW w:w="879" w:type="dxa"/>
          </w:tcPr>
          <w:p w14:paraId="19D2A447" w14:textId="77777777" w:rsidR="00955622" w:rsidRPr="00A0565F" w:rsidRDefault="00955622" w:rsidP="00136E77">
            <w:pPr>
              <w:rPr>
                <w:sz w:val="20"/>
                <w:szCs w:val="22"/>
              </w:rPr>
            </w:pPr>
            <w:r w:rsidRPr="00A0565F">
              <w:rPr>
                <w:sz w:val="20"/>
                <w:szCs w:val="22"/>
              </w:rPr>
              <w:t>0%</w:t>
            </w:r>
          </w:p>
        </w:tc>
        <w:tc>
          <w:tcPr>
            <w:tcW w:w="956" w:type="dxa"/>
          </w:tcPr>
          <w:p w14:paraId="40F502CC" w14:textId="77777777" w:rsidR="00955622" w:rsidRPr="00A0565F" w:rsidRDefault="00955622" w:rsidP="00136E77">
            <w:pPr>
              <w:rPr>
                <w:sz w:val="20"/>
                <w:szCs w:val="22"/>
              </w:rPr>
            </w:pPr>
            <w:r>
              <w:rPr>
                <w:sz w:val="20"/>
                <w:szCs w:val="22"/>
              </w:rPr>
              <w:t>100%</w:t>
            </w:r>
          </w:p>
        </w:tc>
      </w:tr>
      <w:tr w:rsidR="00955622" w:rsidRPr="008D7CDA" w14:paraId="7683CF56" w14:textId="77777777" w:rsidTr="00726B76">
        <w:trPr>
          <w:cantSplit/>
        </w:trPr>
        <w:tc>
          <w:tcPr>
            <w:tcW w:w="3027" w:type="dxa"/>
          </w:tcPr>
          <w:p w14:paraId="4BAC18B8" w14:textId="77777777" w:rsidR="00955622" w:rsidRPr="00A0565F" w:rsidRDefault="00955622" w:rsidP="00955622">
            <w:pPr>
              <w:widowControl/>
              <w:numPr>
                <w:ilvl w:val="0"/>
                <w:numId w:val="41"/>
              </w:numPr>
              <w:ind w:left="432"/>
              <w:contextualSpacing/>
            </w:pPr>
            <w:r w:rsidRPr="00A0565F">
              <w:t>Andreas Georg Christiaan Demmel</w:t>
            </w:r>
          </w:p>
        </w:tc>
        <w:tc>
          <w:tcPr>
            <w:tcW w:w="1468" w:type="dxa"/>
          </w:tcPr>
          <w:p w14:paraId="243D1B9E" w14:textId="77777777" w:rsidR="00955622" w:rsidRPr="008D7CDA" w:rsidRDefault="00955622" w:rsidP="00136E77">
            <w:pPr>
              <w:jc w:val="center"/>
            </w:pPr>
            <w:r w:rsidRPr="008D7CDA">
              <w:t>German</w:t>
            </w:r>
          </w:p>
        </w:tc>
        <w:tc>
          <w:tcPr>
            <w:tcW w:w="1800" w:type="dxa"/>
          </w:tcPr>
          <w:p w14:paraId="57594EE5" w14:textId="77777777" w:rsidR="00955622" w:rsidRPr="008D7CDA" w:rsidRDefault="00955622" w:rsidP="00136E77">
            <w:pPr>
              <w:jc w:val="center"/>
            </w:pPr>
            <w:r w:rsidRPr="008D7CDA">
              <w:t>Individual</w:t>
            </w:r>
          </w:p>
        </w:tc>
        <w:tc>
          <w:tcPr>
            <w:tcW w:w="1518" w:type="dxa"/>
          </w:tcPr>
          <w:p w14:paraId="18348082" w14:textId="77777777" w:rsidR="00955622" w:rsidRPr="008D7CDA" w:rsidRDefault="00955622" w:rsidP="00136E77">
            <w:pPr>
              <w:jc w:val="center"/>
            </w:pPr>
            <w:r w:rsidRPr="008D7CDA">
              <w:t>N/A</w:t>
            </w:r>
          </w:p>
        </w:tc>
        <w:tc>
          <w:tcPr>
            <w:tcW w:w="879" w:type="dxa"/>
          </w:tcPr>
          <w:p w14:paraId="3132C27C" w14:textId="77777777" w:rsidR="00955622" w:rsidRPr="00A0565F" w:rsidRDefault="00955622" w:rsidP="00136E77">
            <w:pPr>
              <w:rPr>
                <w:sz w:val="20"/>
                <w:szCs w:val="22"/>
              </w:rPr>
            </w:pPr>
            <w:r w:rsidRPr="00A0565F">
              <w:rPr>
                <w:sz w:val="20"/>
                <w:szCs w:val="22"/>
              </w:rPr>
              <w:t>0%</w:t>
            </w:r>
          </w:p>
        </w:tc>
        <w:tc>
          <w:tcPr>
            <w:tcW w:w="956" w:type="dxa"/>
          </w:tcPr>
          <w:p w14:paraId="035BDEED" w14:textId="77777777" w:rsidR="00955622" w:rsidRPr="00A0565F" w:rsidRDefault="00955622" w:rsidP="00136E77">
            <w:pPr>
              <w:rPr>
                <w:sz w:val="20"/>
                <w:szCs w:val="22"/>
              </w:rPr>
            </w:pPr>
            <w:r>
              <w:rPr>
                <w:sz w:val="20"/>
                <w:szCs w:val="22"/>
              </w:rPr>
              <w:t>100%</w:t>
            </w:r>
          </w:p>
        </w:tc>
      </w:tr>
      <w:tr w:rsidR="00955622" w:rsidRPr="008D7CDA" w14:paraId="62FF6013" w14:textId="77777777" w:rsidTr="00726B76">
        <w:trPr>
          <w:cantSplit/>
        </w:trPr>
        <w:tc>
          <w:tcPr>
            <w:tcW w:w="3027" w:type="dxa"/>
          </w:tcPr>
          <w:p w14:paraId="39B5FAA6" w14:textId="77777777" w:rsidR="00955622" w:rsidRPr="00A0565F" w:rsidRDefault="00955622" w:rsidP="00955622">
            <w:pPr>
              <w:widowControl/>
              <w:numPr>
                <w:ilvl w:val="0"/>
                <w:numId w:val="41"/>
              </w:numPr>
              <w:ind w:left="432"/>
              <w:contextualSpacing/>
            </w:pPr>
            <w:r w:rsidRPr="00A0565F">
              <w:t>Robert de Heus</w:t>
            </w:r>
          </w:p>
        </w:tc>
        <w:tc>
          <w:tcPr>
            <w:tcW w:w="1468" w:type="dxa"/>
          </w:tcPr>
          <w:p w14:paraId="155D7512" w14:textId="77777777" w:rsidR="00955622" w:rsidRPr="008D7CDA" w:rsidRDefault="00955622" w:rsidP="00136E77">
            <w:pPr>
              <w:jc w:val="center"/>
            </w:pPr>
            <w:r w:rsidRPr="008D7CDA">
              <w:t>Netherlands</w:t>
            </w:r>
          </w:p>
        </w:tc>
        <w:tc>
          <w:tcPr>
            <w:tcW w:w="1800" w:type="dxa"/>
          </w:tcPr>
          <w:p w14:paraId="3D60E0F2" w14:textId="77777777" w:rsidR="00955622" w:rsidRPr="008D7CDA" w:rsidRDefault="00955622" w:rsidP="00136E77">
            <w:pPr>
              <w:jc w:val="center"/>
            </w:pPr>
            <w:r w:rsidRPr="008D7CDA">
              <w:t>Individual</w:t>
            </w:r>
          </w:p>
        </w:tc>
        <w:tc>
          <w:tcPr>
            <w:tcW w:w="1518" w:type="dxa"/>
          </w:tcPr>
          <w:p w14:paraId="48A2809A" w14:textId="77777777" w:rsidR="00955622" w:rsidRPr="008D7CDA" w:rsidRDefault="00955622" w:rsidP="00136E77">
            <w:pPr>
              <w:jc w:val="center"/>
            </w:pPr>
            <w:r w:rsidRPr="008D7CDA">
              <w:t>N/A</w:t>
            </w:r>
          </w:p>
        </w:tc>
        <w:tc>
          <w:tcPr>
            <w:tcW w:w="879" w:type="dxa"/>
          </w:tcPr>
          <w:p w14:paraId="1D2C61E0" w14:textId="77777777" w:rsidR="00955622" w:rsidRPr="00A0565F" w:rsidRDefault="00955622" w:rsidP="00136E77">
            <w:pPr>
              <w:rPr>
                <w:sz w:val="20"/>
                <w:szCs w:val="22"/>
              </w:rPr>
            </w:pPr>
            <w:r w:rsidRPr="00A0565F">
              <w:rPr>
                <w:sz w:val="20"/>
                <w:szCs w:val="22"/>
              </w:rPr>
              <w:t>0%</w:t>
            </w:r>
          </w:p>
        </w:tc>
        <w:tc>
          <w:tcPr>
            <w:tcW w:w="956" w:type="dxa"/>
          </w:tcPr>
          <w:p w14:paraId="4AB37E41" w14:textId="77777777" w:rsidR="00955622" w:rsidRPr="00A0565F" w:rsidRDefault="00955622" w:rsidP="00136E77">
            <w:pPr>
              <w:rPr>
                <w:sz w:val="20"/>
                <w:szCs w:val="22"/>
              </w:rPr>
            </w:pPr>
            <w:r>
              <w:rPr>
                <w:sz w:val="20"/>
                <w:szCs w:val="22"/>
              </w:rPr>
              <w:t>100%</w:t>
            </w:r>
          </w:p>
        </w:tc>
      </w:tr>
      <w:tr w:rsidR="00955622" w:rsidRPr="008D7CDA" w14:paraId="57DE483B" w14:textId="77777777" w:rsidTr="00726B76">
        <w:trPr>
          <w:cantSplit/>
        </w:trPr>
        <w:tc>
          <w:tcPr>
            <w:tcW w:w="3027" w:type="dxa"/>
          </w:tcPr>
          <w:p w14:paraId="7A159848" w14:textId="77777777" w:rsidR="00955622" w:rsidRPr="00A0565F" w:rsidRDefault="00955622" w:rsidP="00955622">
            <w:pPr>
              <w:widowControl/>
              <w:numPr>
                <w:ilvl w:val="0"/>
                <w:numId w:val="41"/>
              </w:numPr>
              <w:ind w:left="432"/>
              <w:contextualSpacing/>
            </w:pPr>
            <w:r w:rsidRPr="00A0565F">
              <w:t>Petra Hedengran</w:t>
            </w:r>
          </w:p>
        </w:tc>
        <w:tc>
          <w:tcPr>
            <w:tcW w:w="1468" w:type="dxa"/>
          </w:tcPr>
          <w:p w14:paraId="29800B20" w14:textId="77777777" w:rsidR="00955622" w:rsidRPr="008D7CDA" w:rsidRDefault="00955622" w:rsidP="00136E77">
            <w:pPr>
              <w:jc w:val="center"/>
            </w:pPr>
            <w:r w:rsidRPr="008D7CDA">
              <w:t>Sweden</w:t>
            </w:r>
          </w:p>
        </w:tc>
        <w:tc>
          <w:tcPr>
            <w:tcW w:w="1800" w:type="dxa"/>
          </w:tcPr>
          <w:p w14:paraId="3037A5F7" w14:textId="77777777" w:rsidR="00955622" w:rsidRPr="008D7CDA" w:rsidRDefault="00955622" w:rsidP="00136E77">
            <w:pPr>
              <w:jc w:val="center"/>
            </w:pPr>
            <w:r w:rsidRPr="008D7CDA">
              <w:t>Individual</w:t>
            </w:r>
          </w:p>
        </w:tc>
        <w:tc>
          <w:tcPr>
            <w:tcW w:w="1518" w:type="dxa"/>
          </w:tcPr>
          <w:p w14:paraId="61E6B850" w14:textId="77777777" w:rsidR="00955622" w:rsidRPr="008D7CDA" w:rsidRDefault="00955622" w:rsidP="00136E77">
            <w:pPr>
              <w:jc w:val="center"/>
            </w:pPr>
            <w:r w:rsidRPr="008D7CDA">
              <w:t>N/A</w:t>
            </w:r>
          </w:p>
        </w:tc>
        <w:tc>
          <w:tcPr>
            <w:tcW w:w="879" w:type="dxa"/>
          </w:tcPr>
          <w:p w14:paraId="6B39CF1E" w14:textId="77777777" w:rsidR="00955622" w:rsidRPr="00A0565F" w:rsidRDefault="00955622" w:rsidP="00136E77">
            <w:pPr>
              <w:rPr>
                <w:sz w:val="20"/>
                <w:szCs w:val="22"/>
              </w:rPr>
            </w:pPr>
            <w:r w:rsidRPr="00A0565F">
              <w:rPr>
                <w:sz w:val="20"/>
                <w:szCs w:val="22"/>
              </w:rPr>
              <w:t>0%</w:t>
            </w:r>
          </w:p>
        </w:tc>
        <w:tc>
          <w:tcPr>
            <w:tcW w:w="956" w:type="dxa"/>
          </w:tcPr>
          <w:p w14:paraId="23CBADFB" w14:textId="77777777" w:rsidR="00955622" w:rsidRPr="00A0565F" w:rsidRDefault="00955622" w:rsidP="00136E77">
            <w:pPr>
              <w:rPr>
                <w:sz w:val="20"/>
                <w:szCs w:val="22"/>
              </w:rPr>
            </w:pPr>
            <w:r>
              <w:rPr>
                <w:sz w:val="20"/>
                <w:szCs w:val="22"/>
              </w:rPr>
              <w:t>100%</w:t>
            </w:r>
          </w:p>
        </w:tc>
      </w:tr>
      <w:tr w:rsidR="00955622" w:rsidRPr="008D7CDA" w14:paraId="248057F9" w14:textId="77777777" w:rsidTr="00726B76">
        <w:trPr>
          <w:cantSplit/>
        </w:trPr>
        <w:tc>
          <w:tcPr>
            <w:tcW w:w="3027" w:type="dxa"/>
          </w:tcPr>
          <w:p w14:paraId="0585D54E" w14:textId="77777777" w:rsidR="00955622" w:rsidRPr="00A0565F" w:rsidRDefault="00955622" w:rsidP="00955622">
            <w:pPr>
              <w:widowControl/>
              <w:numPr>
                <w:ilvl w:val="0"/>
                <w:numId w:val="41"/>
              </w:numPr>
              <w:ind w:left="432"/>
              <w:contextualSpacing/>
            </w:pPr>
            <w:r w:rsidRPr="00A0565F">
              <w:t>Anders Eckerwall</w:t>
            </w:r>
          </w:p>
        </w:tc>
        <w:tc>
          <w:tcPr>
            <w:tcW w:w="1468" w:type="dxa"/>
          </w:tcPr>
          <w:p w14:paraId="7A54CAF4" w14:textId="77777777" w:rsidR="00955622" w:rsidRPr="0027363F" w:rsidRDefault="00955622" w:rsidP="00136E77">
            <w:pPr>
              <w:jc w:val="center"/>
            </w:pPr>
            <w:r w:rsidRPr="0027363F">
              <w:t>Sweden</w:t>
            </w:r>
          </w:p>
        </w:tc>
        <w:tc>
          <w:tcPr>
            <w:tcW w:w="1800" w:type="dxa"/>
          </w:tcPr>
          <w:p w14:paraId="21FAE6A2" w14:textId="77777777" w:rsidR="00955622" w:rsidRPr="0027363F" w:rsidRDefault="00955622" w:rsidP="00136E77">
            <w:pPr>
              <w:jc w:val="center"/>
            </w:pPr>
            <w:r w:rsidRPr="0027363F">
              <w:t>Individual</w:t>
            </w:r>
          </w:p>
        </w:tc>
        <w:tc>
          <w:tcPr>
            <w:tcW w:w="1518" w:type="dxa"/>
          </w:tcPr>
          <w:p w14:paraId="316E8F39" w14:textId="77777777" w:rsidR="00955622" w:rsidRPr="0027363F" w:rsidRDefault="00955622" w:rsidP="00136E77">
            <w:pPr>
              <w:jc w:val="center"/>
            </w:pPr>
            <w:r w:rsidRPr="0027363F">
              <w:t>N/A</w:t>
            </w:r>
          </w:p>
        </w:tc>
        <w:tc>
          <w:tcPr>
            <w:tcW w:w="879" w:type="dxa"/>
          </w:tcPr>
          <w:p w14:paraId="79794449" w14:textId="77777777" w:rsidR="00955622" w:rsidRPr="00A0565F" w:rsidRDefault="00955622" w:rsidP="00136E77">
            <w:pPr>
              <w:rPr>
                <w:sz w:val="20"/>
                <w:szCs w:val="22"/>
              </w:rPr>
            </w:pPr>
            <w:r w:rsidRPr="00A0565F">
              <w:rPr>
                <w:sz w:val="20"/>
                <w:szCs w:val="22"/>
              </w:rPr>
              <w:t>0%</w:t>
            </w:r>
          </w:p>
        </w:tc>
        <w:tc>
          <w:tcPr>
            <w:tcW w:w="956" w:type="dxa"/>
          </w:tcPr>
          <w:p w14:paraId="3C3DA8C5" w14:textId="77777777" w:rsidR="00955622" w:rsidRPr="00A0565F" w:rsidRDefault="00955622" w:rsidP="00136E77">
            <w:pPr>
              <w:rPr>
                <w:sz w:val="20"/>
                <w:szCs w:val="22"/>
              </w:rPr>
            </w:pPr>
            <w:r>
              <w:rPr>
                <w:sz w:val="20"/>
                <w:szCs w:val="22"/>
              </w:rPr>
              <w:t>100%</w:t>
            </w:r>
          </w:p>
        </w:tc>
      </w:tr>
      <w:tr w:rsidR="00955622" w:rsidRPr="008D7CDA" w14:paraId="6DC49AC6" w14:textId="77777777" w:rsidTr="00726B76">
        <w:trPr>
          <w:cantSplit/>
        </w:trPr>
        <w:tc>
          <w:tcPr>
            <w:tcW w:w="3027" w:type="dxa"/>
          </w:tcPr>
          <w:p w14:paraId="6ABBAD18" w14:textId="77777777" w:rsidR="00955622" w:rsidRPr="00A0565F" w:rsidRDefault="00955622" w:rsidP="00955622">
            <w:pPr>
              <w:pStyle w:val="ListParagraph"/>
              <w:widowControl/>
              <w:numPr>
                <w:ilvl w:val="0"/>
                <w:numId w:val="41"/>
              </w:numPr>
            </w:pPr>
            <w:r w:rsidRPr="00A0565F">
              <w:t>Fredrik Åtting</w:t>
            </w:r>
          </w:p>
        </w:tc>
        <w:tc>
          <w:tcPr>
            <w:tcW w:w="1468" w:type="dxa"/>
          </w:tcPr>
          <w:p w14:paraId="3CEC500E" w14:textId="77777777" w:rsidR="00955622" w:rsidRPr="0027363F" w:rsidRDefault="00955622" w:rsidP="00136E77">
            <w:pPr>
              <w:jc w:val="center"/>
            </w:pPr>
            <w:r w:rsidRPr="0027363F">
              <w:t>Sweden</w:t>
            </w:r>
          </w:p>
        </w:tc>
        <w:tc>
          <w:tcPr>
            <w:tcW w:w="1800" w:type="dxa"/>
          </w:tcPr>
          <w:p w14:paraId="50C7F6DC" w14:textId="77777777" w:rsidR="00955622" w:rsidRPr="0027363F" w:rsidRDefault="00955622" w:rsidP="00136E77">
            <w:pPr>
              <w:jc w:val="center"/>
            </w:pPr>
            <w:r w:rsidRPr="0027363F">
              <w:t>Individual</w:t>
            </w:r>
          </w:p>
        </w:tc>
        <w:tc>
          <w:tcPr>
            <w:tcW w:w="1518" w:type="dxa"/>
          </w:tcPr>
          <w:p w14:paraId="22564498" w14:textId="77777777" w:rsidR="00955622" w:rsidRPr="0027363F" w:rsidRDefault="00955622" w:rsidP="00136E77">
            <w:pPr>
              <w:jc w:val="center"/>
            </w:pPr>
            <w:r w:rsidRPr="0027363F">
              <w:t>N/A</w:t>
            </w:r>
          </w:p>
        </w:tc>
        <w:tc>
          <w:tcPr>
            <w:tcW w:w="879" w:type="dxa"/>
          </w:tcPr>
          <w:p w14:paraId="6292398F" w14:textId="77777777" w:rsidR="00955622" w:rsidRPr="00A0565F" w:rsidRDefault="00955622" w:rsidP="00136E77">
            <w:pPr>
              <w:rPr>
                <w:sz w:val="20"/>
                <w:szCs w:val="22"/>
              </w:rPr>
            </w:pPr>
            <w:r w:rsidRPr="00A0565F">
              <w:rPr>
                <w:sz w:val="20"/>
                <w:szCs w:val="22"/>
              </w:rPr>
              <w:t>0%</w:t>
            </w:r>
          </w:p>
        </w:tc>
        <w:tc>
          <w:tcPr>
            <w:tcW w:w="956" w:type="dxa"/>
          </w:tcPr>
          <w:p w14:paraId="1EB70196" w14:textId="77777777" w:rsidR="00955622" w:rsidRPr="00A0565F" w:rsidRDefault="00955622" w:rsidP="00136E77">
            <w:pPr>
              <w:rPr>
                <w:sz w:val="20"/>
                <w:szCs w:val="22"/>
              </w:rPr>
            </w:pPr>
            <w:r w:rsidRPr="00A0565F">
              <w:rPr>
                <w:sz w:val="20"/>
                <w:szCs w:val="22"/>
              </w:rPr>
              <w:t>10.29%</w:t>
            </w:r>
          </w:p>
        </w:tc>
      </w:tr>
      <w:tr w:rsidR="00955622" w:rsidRPr="008D7CDA" w14:paraId="5C43E581" w14:textId="77777777" w:rsidTr="00726B76">
        <w:trPr>
          <w:cantSplit/>
        </w:trPr>
        <w:tc>
          <w:tcPr>
            <w:tcW w:w="3027" w:type="dxa"/>
          </w:tcPr>
          <w:p w14:paraId="2A72A27B" w14:textId="77777777" w:rsidR="00955622" w:rsidRPr="00A0565F" w:rsidRDefault="00955622" w:rsidP="00955622">
            <w:pPr>
              <w:pStyle w:val="ListParagraph"/>
              <w:widowControl/>
              <w:numPr>
                <w:ilvl w:val="0"/>
                <w:numId w:val="41"/>
              </w:numPr>
            </w:pPr>
            <w:r w:rsidRPr="00A0565F">
              <w:t>Harry Klagsbrun</w:t>
            </w:r>
          </w:p>
        </w:tc>
        <w:tc>
          <w:tcPr>
            <w:tcW w:w="1468" w:type="dxa"/>
          </w:tcPr>
          <w:p w14:paraId="0AD0089A" w14:textId="77777777" w:rsidR="00955622" w:rsidRPr="0027363F" w:rsidRDefault="00955622" w:rsidP="00136E77">
            <w:pPr>
              <w:jc w:val="center"/>
            </w:pPr>
            <w:r w:rsidRPr="0027363F">
              <w:t>Sweden</w:t>
            </w:r>
          </w:p>
        </w:tc>
        <w:tc>
          <w:tcPr>
            <w:tcW w:w="1800" w:type="dxa"/>
          </w:tcPr>
          <w:p w14:paraId="69E6AD19" w14:textId="77777777" w:rsidR="00955622" w:rsidRPr="0027363F" w:rsidRDefault="00955622" w:rsidP="00136E77">
            <w:pPr>
              <w:jc w:val="center"/>
            </w:pPr>
            <w:r w:rsidRPr="0027363F">
              <w:t>Individual</w:t>
            </w:r>
          </w:p>
        </w:tc>
        <w:tc>
          <w:tcPr>
            <w:tcW w:w="1518" w:type="dxa"/>
          </w:tcPr>
          <w:p w14:paraId="518B77EA" w14:textId="77777777" w:rsidR="00955622" w:rsidRPr="0027363F" w:rsidRDefault="00955622" w:rsidP="00136E77">
            <w:pPr>
              <w:jc w:val="center"/>
            </w:pPr>
            <w:r w:rsidRPr="0027363F">
              <w:t>N/A</w:t>
            </w:r>
          </w:p>
        </w:tc>
        <w:tc>
          <w:tcPr>
            <w:tcW w:w="879" w:type="dxa"/>
          </w:tcPr>
          <w:p w14:paraId="6E84320F" w14:textId="77777777" w:rsidR="00955622" w:rsidRPr="00A0565F" w:rsidRDefault="00955622" w:rsidP="00136E77">
            <w:pPr>
              <w:rPr>
                <w:sz w:val="20"/>
                <w:szCs w:val="22"/>
              </w:rPr>
            </w:pPr>
            <w:r w:rsidRPr="00A0565F">
              <w:rPr>
                <w:sz w:val="20"/>
                <w:szCs w:val="22"/>
              </w:rPr>
              <w:t>0%</w:t>
            </w:r>
          </w:p>
        </w:tc>
        <w:tc>
          <w:tcPr>
            <w:tcW w:w="956" w:type="dxa"/>
          </w:tcPr>
          <w:p w14:paraId="6081526C" w14:textId="77777777" w:rsidR="00955622" w:rsidRPr="00A0565F" w:rsidRDefault="00955622" w:rsidP="00136E77">
            <w:pPr>
              <w:rPr>
                <w:sz w:val="20"/>
                <w:szCs w:val="22"/>
              </w:rPr>
            </w:pPr>
            <w:r w:rsidRPr="00A0565F">
              <w:rPr>
                <w:sz w:val="20"/>
                <w:szCs w:val="22"/>
              </w:rPr>
              <w:t>12.39%</w:t>
            </w:r>
          </w:p>
        </w:tc>
      </w:tr>
      <w:tr w:rsidR="00955622" w:rsidRPr="008D7CDA" w14:paraId="0F338620" w14:textId="77777777" w:rsidTr="00726B76">
        <w:trPr>
          <w:cantSplit/>
        </w:trPr>
        <w:tc>
          <w:tcPr>
            <w:tcW w:w="3027" w:type="dxa"/>
          </w:tcPr>
          <w:p w14:paraId="33C871C3" w14:textId="77777777" w:rsidR="00955622" w:rsidRPr="00A0565F" w:rsidRDefault="00955622" w:rsidP="00955622">
            <w:pPr>
              <w:pStyle w:val="ListParagraph"/>
              <w:widowControl/>
              <w:numPr>
                <w:ilvl w:val="0"/>
                <w:numId w:val="41"/>
              </w:numPr>
            </w:pPr>
            <w:r w:rsidRPr="00A0565F">
              <w:t>Michael Föcking</w:t>
            </w:r>
          </w:p>
        </w:tc>
        <w:tc>
          <w:tcPr>
            <w:tcW w:w="1468" w:type="dxa"/>
          </w:tcPr>
          <w:p w14:paraId="2BC10EE6" w14:textId="77777777" w:rsidR="00955622" w:rsidRPr="0027363F" w:rsidRDefault="00955622" w:rsidP="00136E77">
            <w:pPr>
              <w:jc w:val="center"/>
            </w:pPr>
            <w:r w:rsidRPr="0027363F">
              <w:t>Germany</w:t>
            </w:r>
          </w:p>
        </w:tc>
        <w:tc>
          <w:tcPr>
            <w:tcW w:w="1800" w:type="dxa"/>
          </w:tcPr>
          <w:p w14:paraId="286544DB" w14:textId="77777777" w:rsidR="00955622" w:rsidRPr="0027363F" w:rsidRDefault="00955622" w:rsidP="00136E77">
            <w:pPr>
              <w:jc w:val="center"/>
            </w:pPr>
            <w:r w:rsidRPr="0027363F">
              <w:t>Individual</w:t>
            </w:r>
          </w:p>
        </w:tc>
        <w:tc>
          <w:tcPr>
            <w:tcW w:w="1518" w:type="dxa"/>
          </w:tcPr>
          <w:p w14:paraId="500F3AFB" w14:textId="77777777" w:rsidR="00955622" w:rsidRPr="0027363F" w:rsidRDefault="00955622" w:rsidP="00136E77">
            <w:pPr>
              <w:jc w:val="center"/>
            </w:pPr>
            <w:r w:rsidRPr="0027363F">
              <w:t>N/A</w:t>
            </w:r>
          </w:p>
        </w:tc>
        <w:tc>
          <w:tcPr>
            <w:tcW w:w="879" w:type="dxa"/>
          </w:tcPr>
          <w:p w14:paraId="73569C93" w14:textId="77777777" w:rsidR="00955622" w:rsidRPr="00A0565F" w:rsidRDefault="00955622" w:rsidP="00136E77">
            <w:pPr>
              <w:rPr>
                <w:sz w:val="20"/>
                <w:szCs w:val="22"/>
              </w:rPr>
            </w:pPr>
            <w:r w:rsidRPr="00A0565F">
              <w:rPr>
                <w:sz w:val="20"/>
                <w:szCs w:val="22"/>
              </w:rPr>
              <w:t>0%</w:t>
            </w:r>
          </w:p>
        </w:tc>
        <w:tc>
          <w:tcPr>
            <w:tcW w:w="956" w:type="dxa"/>
          </w:tcPr>
          <w:p w14:paraId="5CC1BB19" w14:textId="77777777" w:rsidR="00955622" w:rsidRPr="00A0565F" w:rsidRDefault="00955622" w:rsidP="00136E77">
            <w:pPr>
              <w:rPr>
                <w:sz w:val="20"/>
                <w:szCs w:val="22"/>
              </w:rPr>
            </w:pPr>
            <w:r w:rsidRPr="00A0565F">
              <w:rPr>
                <w:sz w:val="20"/>
                <w:szCs w:val="22"/>
              </w:rPr>
              <w:t>11.49%</w:t>
            </w:r>
          </w:p>
        </w:tc>
      </w:tr>
      <w:tr w:rsidR="00955622" w:rsidRPr="008D7CDA" w14:paraId="38A3F19D" w14:textId="77777777" w:rsidTr="00726B76">
        <w:trPr>
          <w:cantSplit/>
        </w:trPr>
        <w:tc>
          <w:tcPr>
            <w:tcW w:w="3027" w:type="dxa"/>
          </w:tcPr>
          <w:p w14:paraId="46AD3D83" w14:textId="77777777" w:rsidR="00955622" w:rsidRPr="00A0565F" w:rsidRDefault="00955622" w:rsidP="00955622">
            <w:pPr>
              <w:pStyle w:val="ListParagraph"/>
              <w:widowControl/>
              <w:numPr>
                <w:ilvl w:val="0"/>
                <w:numId w:val="41"/>
              </w:numPr>
            </w:pPr>
            <w:r w:rsidRPr="00A0565F">
              <w:t>Paul de Rome</w:t>
            </w:r>
          </w:p>
        </w:tc>
        <w:tc>
          <w:tcPr>
            <w:tcW w:w="1468" w:type="dxa"/>
          </w:tcPr>
          <w:p w14:paraId="7F1D93CB" w14:textId="77777777" w:rsidR="00955622" w:rsidRPr="0027363F" w:rsidRDefault="00955622" w:rsidP="00136E77">
            <w:pPr>
              <w:jc w:val="center"/>
            </w:pPr>
            <w:r w:rsidRPr="0027363F">
              <w:t>U.K.</w:t>
            </w:r>
          </w:p>
        </w:tc>
        <w:tc>
          <w:tcPr>
            <w:tcW w:w="1800" w:type="dxa"/>
          </w:tcPr>
          <w:p w14:paraId="2CBBBE58" w14:textId="77777777" w:rsidR="00955622" w:rsidRPr="0027363F" w:rsidRDefault="00955622" w:rsidP="00136E77">
            <w:pPr>
              <w:jc w:val="center"/>
            </w:pPr>
            <w:r w:rsidRPr="0027363F">
              <w:t>Individual</w:t>
            </w:r>
          </w:p>
        </w:tc>
        <w:tc>
          <w:tcPr>
            <w:tcW w:w="1518" w:type="dxa"/>
          </w:tcPr>
          <w:p w14:paraId="39820984" w14:textId="77777777" w:rsidR="00955622" w:rsidRPr="0027363F" w:rsidRDefault="00955622" w:rsidP="00136E77">
            <w:pPr>
              <w:jc w:val="center"/>
            </w:pPr>
            <w:r w:rsidRPr="0027363F">
              <w:t>N/A</w:t>
            </w:r>
          </w:p>
        </w:tc>
        <w:tc>
          <w:tcPr>
            <w:tcW w:w="879" w:type="dxa"/>
          </w:tcPr>
          <w:p w14:paraId="4CB3D4BC" w14:textId="77777777" w:rsidR="00955622" w:rsidRPr="00A0565F" w:rsidRDefault="00955622" w:rsidP="00136E77">
            <w:pPr>
              <w:rPr>
                <w:sz w:val="20"/>
                <w:szCs w:val="22"/>
              </w:rPr>
            </w:pPr>
            <w:r w:rsidRPr="00A0565F">
              <w:rPr>
                <w:sz w:val="20"/>
                <w:szCs w:val="22"/>
              </w:rPr>
              <w:t>0%</w:t>
            </w:r>
          </w:p>
        </w:tc>
        <w:tc>
          <w:tcPr>
            <w:tcW w:w="956" w:type="dxa"/>
          </w:tcPr>
          <w:p w14:paraId="29F50A96" w14:textId="77777777" w:rsidR="00955622" w:rsidRPr="00A0565F" w:rsidRDefault="00955622" w:rsidP="00136E77">
            <w:pPr>
              <w:rPr>
                <w:sz w:val="20"/>
                <w:szCs w:val="22"/>
              </w:rPr>
            </w:pPr>
            <w:r w:rsidRPr="00A0565F">
              <w:rPr>
                <w:sz w:val="20"/>
                <w:szCs w:val="22"/>
              </w:rPr>
              <w:t>10.09%</w:t>
            </w:r>
          </w:p>
        </w:tc>
      </w:tr>
      <w:tr w:rsidR="00955622" w:rsidRPr="008D7CDA" w14:paraId="670C0F39" w14:textId="77777777" w:rsidTr="00726B76">
        <w:trPr>
          <w:cantSplit/>
        </w:trPr>
        <w:tc>
          <w:tcPr>
            <w:tcW w:w="3027" w:type="dxa"/>
          </w:tcPr>
          <w:p w14:paraId="0478D4B4" w14:textId="77777777" w:rsidR="00955622" w:rsidRPr="00A0565F" w:rsidRDefault="00955622" w:rsidP="00955622">
            <w:pPr>
              <w:pStyle w:val="ListParagraph"/>
              <w:widowControl/>
              <w:numPr>
                <w:ilvl w:val="0"/>
                <w:numId w:val="41"/>
              </w:numPr>
            </w:pPr>
            <w:r w:rsidRPr="00A0565F">
              <w:t>Patrick de Muynck</w:t>
            </w:r>
          </w:p>
        </w:tc>
        <w:tc>
          <w:tcPr>
            <w:tcW w:w="1468" w:type="dxa"/>
          </w:tcPr>
          <w:p w14:paraId="2A84A781" w14:textId="77777777" w:rsidR="00955622" w:rsidRPr="0027363F" w:rsidRDefault="00955622" w:rsidP="00136E77">
            <w:pPr>
              <w:jc w:val="center"/>
            </w:pPr>
            <w:r w:rsidRPr="0027363F">
              <w:t>Belgium</w:t>
            </w:r>
          </w:p>
        </w:tc>
        <w:tc>
          <w:tcPr>
            <w:tcW w:w="1800" w:type="dxa"/>
          </w:tcPr>
          <w:p w14:paraId="3E1AB67D" w14:textId="77777777" w:rsidR="00955622" w:rsidRPr="0027363F" w:rsidRDefault="00955622" w:rsidP="00136E77">
            <w:pPr>
              <w:jc w:val="center"/>
            </w:pPr>
            <w:r w:rsidRPr="0027363F">
              <w:t>Individual</w:t>
            </w:r>
          </w:p>
        </w:tc>
        <w:tc>
          <w:tcPr>
            <w:tcW w:w="1518" w:type="dxa"/>
          </w:tcPr>
          <w:p w14:paraId="21D79CD9" w14:textId="77777777" w:rsidR="00955622" w:rsidRPr="0027363F" w:rsidRDefault="00955622" w:rsidP="00136E77">
            <w:pPr>
              <w:jc w:val="center"/>
            </w:pPr>
            <w:r w:rsidRPr="0027363F">
              <w:t>N/A</w:t>
            </w:r>
          </w:p>
        </w:tc>
        <w:tc>
          <w:tcPr>
            <w:tcW w:w="879" w:type="dxa"/>
          </w:tcPr>
          <w:p w14:paraId="67A8F697" w14:textId="77777777" w:rsidR="00955622" w:rsidRPr="00A0565F" w:rsidRDefault="00955622" w:rsidP="00136E77">
            <w:pPr>
              <w:rPr>
                <w:sz w:val="20"/>
                <w:szCs w:val="22"/>
              </w:rPr>
            </w:pPr>
            <w:r w:rsidRPr="00A0565F">
              <w:rPr>
                <w:sz w:val="20"/>
                <w:szCs w:val="22"/>
              </w:rPr>
              <w:t>0%</w:t>
            </w:r>
          </w:p>
        </w:tc>
        <w:tc>
          <w:tcPr>
            <w:tcW w:w="956" w:type="dxa"/>
          </w:tcPr>
          <w:p w14:paraId="5808DCD0" w14:textId="77777777" w:rsidR="00955622" w:rsidRPr="00A0565F" w:rsidRDefault="00955622" w:rsidP="00136E77">
            <w:pPr>
              <w:rPr>
                <w:sz w:val="20"/>
                <w:szCs w:val="22"/>
              </w:rPr>
            </w:pPr>
            <w:r w:rsidRPr="00A0565F">
              <w:rPr>
                <w:sz w:val="20"/>
                <w:szCs w:val="22"/>
              </w:rPr>
              <w:t>14.15%</w:t>
            </w:r>
          </w:p>
        </w:tc>
      </w:tr>
      <w:tr w:rsidR="00955622" w:rsidRPr="008D7CDA" w14:paraId="62489B40" w14:textId="77777777" w:rsidTr="00726B76">
        <w:trPr>
          <w:cantSplit/>
        </w:trPr>
        <w:tc>
          <w:tcPr>
            <w:tcW w:w="3027" w:type="dxa"/>
          </w:tcPr>
          <w:p w14:paraId="54B0DA9E" w14:textId="77777777" w:rsidR="00955622" w:rsidRPr="00A0565F" w:rsidRDefault="00955622" w:rsidP="00955622">
            <w:pPr>
              <w:pStyle w:val="ListParagraph"/>
              <w:widowControl/>
              <w:numPr>
                <w:ilvl w:val="0"/>
                <w:numId w:val="41"/>
              </w:numPr>
              <w:rPr>
                <w:szCs w:val="22"/>
              </w:rPr>
            </w:pPr>
            <w:r w:rsidRPr="00A0565F">
              <w:rPr>
                <w:szCs w:val="22"/>
              </w:rPr>
              <w:t>Jan Ståhlberg</w:t>
            </w:r>
          </w:p>
        </w:tc>
        <w:tc>
          <w:tcPr>
            <w:tcW w:w="1468" w:type="dxa"/>
          </w:tcPr>
          <w:p w14:paraId="1FBFC23B" w14:textId="77777777" w:rsidR="00955622" w:rsidRPr="0027363F" w:rsidRDefault="00955622" w:rsidP="00136E77">
            <w:pPr>
              <w:jc w:val="center"/>
              <w:rPr>
                <w:szCs w:val="22"/>
              </w:rPr>
            </w:pPr>
            <w:r w:rsidRPr="0027363F">
              <w:rPr>
                <w:szCs w:val="22"/>
              </w:rPr>
              <w:t>Sweden</w:t>
            </w:r>
          </w:p>
        </w:tc>
        <w:tc>
          <w:tcPr>
            <w:tcW w:w="1800" w:type="dxa"/>
          </w:tcPr>
          <w:p w14:paraId="1A8B1B51" w14:textId="77777777" w:rsidR="00955622" w:rsidRPr="0027363F" w:rsidRDefault="00955622" w:rsidP="00136E77">
            <w:pPr>
              <w:jc w:val="center"/>
              <w:rPr>
                <w:szCs w:val="22"/>
              </w:rPr>
            </w:pPr>
            <w:r w:rsidRPr="0027363F">
              <w:rPr>
                <w:szCs w:val="22"/>
              </w:rPr>
              <w:t>Individual</w:t>
            </w:r>
          </w:p>
        </w:tc>
        <w:tc>
          <w:tcPr>
            <w:tcW w:w="1518" w:type="dxa"/>
          </w:tcPr>
          <w:p w14:paraId="65A3A9A5" w14:textId="77777777" w:rsidR="00955622" w:rsidRPr="0027363F" w:rsidRDefault="00955622" w:rsidP="00136E77">
            <w:pPr>
              <w:jc w:val="center"/>
              <w:rPr>
                <w:szCs w:val="22"/>
              </w:rPr>
            </w:pPr>
            <w:r w:rsidRPr="0027363F">
              <w:rPr>
                <w:szCs w:val="22"/>
              </w:rPr>
              <w:t>N/A</w:t>
            </w:r>
          </w:p>
        </w:tc>
        <w:tc>
          <w:tcPr>
            <w:tcW w:w="879" w:type="dxa"/>
          </w:tcPr>
          <w:p w14:paraId="52B01A1F" w14:textId="77777777" w:rsidR="00955622" w:rsidRPr="00A0565F" w:rsidRDefault="00955622" w:rsidP="00136E77">
            <w:pPr>
              <w:rPr>
                <w:sz w:val="20"/>
                <w:szCs w:val="22"/>
              </w:rPr>
            </w:pPr>
            <w:r w:rsidRPr="00A0565F">
              <w:rPr>
                <w:sz w:val="20"/>
                <w:szCs w:val="22"/>
              </w:rPr>
              <w:t>0%</w:t>
            </w:r>
          </w:p>
        </w:tc>
        <w:tc>
          <w:tcPr>
            <w:tcW w:w="956" w:type="dxa"/>
          </w:tcPr>
          <w:p w14:paraId="48E708C7" w14:textId="77777777" w:rsidR="00955622" w:rsidRPr="00A0565F" w:rsidRDefault="00955622" w:rsidP="00136E77">
            <w:pPr>
              <w:rPr>
                <w:sz w:val="20"/>
                <w:szCs w:val="22"/>
              </w:rPr>
            </w:pPr>
            <w:r w:rsidRPr="00A0565F">
              <w:rPr>
                <w:sz w:val="20"/>
                <w:szCs w:val="22"/>
              </w:rPr>
              <w:t>16.19%</w:t>
            </w:r>
          </w:p>
        </w:tc>
      </w:tr>
      <w:tr w:rsidR="00955622" w:rsidRPr="008D7CDA" w14:paraId="2D6BFDE4" w14:textId="77777777" w:rsidTr="00726B76">
        <w:trPr>
          <w:cantSplit/>
        </w:trPr>
        <w:tc>
          <w:tcPr>
            <w:tcW w:w="3027" w:type="dxa"/>
          </w:tcPr>
          <w:p w14:paraId="1678C1BE" w14:textId="77777777" w:rsidR="00955622" w:rsidRPr="00A0565F" w:rsidRDefault="00955622" w:rsidP="00955622">
            <w:pPr>
              <w:pStyle w:val="ListParagraph"/>
              <w:widowControl/>
              <w:numPr>
                <w:ilvl w:val="0"/>
                <w:numId w:val="41"/>
              </w:numPr>
            </w:pPr>
            <w:r w:rsidRPr="00A0565F">
              <w:t>Thomas von Koch</w:t>
            </w:r>
          </w:p>
        </w:tc>
        <w:tc>
          <w:tcPr>
            <w:tcW w:w="1468" w:type="dxa"/>
          </w:tcPr>
          <w:p w14:paraId="31AD412F" w14:textId="77777777" w:rsidR="00955622" w:rsidRPr="0027363F" w:rsidRDefault="00955622" w:rsidP="00136E77">
            <w:pPr>
              <w:jc w:val="center"/>
            </w:pPr>
            <w:r w:rsidRPr="0027363F">
              <w:t>Sweden</w:t>
            </w:r>
          </w:p>
        </w:tc>
        <w:tc>
          <w:tcPr>
            <w:tcW w:w="1800" w:type="dxa"/>
          </w:tcPr>
          <w:p w14:paraId="5EAA7387" w14:textId="77777777" w:rsidR="00955622" w:rsidRPr="0027363F" w:rsidRDefault="00955622" w:rsidP="00136E77">
            <w:pPr>
              <w:jc w:val="center"/>
            </w:pPr>
            <w:r w:rsidRPr="0027363F">
              <w:t>Individual</w:t>
            </w:r>
          </w:p>
        </w:tc>
        <w:tc>
          <w:tcPr>
            <w:tcW w:w="1518" w:type="dxa"/>
          </w:tcPr>
          <w:p w14:paraId="4C1ED883" w14:textId="77777777" w:rsidR="00955622" w:rsidRPr="0027363F" w:rsidRDefault="00955622" w:rsidP="00136E77">
            <w:pPr>
              <w:jc w:val="center"/>
            </w:pPr>
            <w:r w:rsidRPr="0027363F">
              <w:t>N/A</w:t>
            </w:r>
          </w:p>
        </w:tc>
        <w:tc>
          <w:tcPr>
            <w:tcW w:w="879" w:type="dxa"/>
          </w:tcPr>
          <w:p w14:paraId="5664E498" w14:textId="77777777" w:rsidR="00955622" w:rsidRPr="00A0565F" w:rsidRDefault="00955622" w:rsidP="00136E77">
            <w:pPr>
              <w:rPr>
                <w:sz w:val="20"/>
                <w:szCs w:val="22"/>
              </w:rPr>
            </w:pPr>
            <w:r w:rsidRPr="00A0565F">
              <w:rPr>
                <w:sz w:val="20"/>
                <w:szCs w:val="22"/>
              </w:rPr>
              <w:t>0%</w:t>
            </w:r>
          </w:p>
        </w:tc>
        <w:tc>
          <w:tcPr>
            <w:tcW w:w="956" w:type="dxa"/>
          </w:tcPr>
          <w:p w14:paraId="77A26E3C" w14:textId="77777777" w:rsidR="00955622" w:rsidRPr="00A0565F" w:rsidRDefault="00955622" w:rsidP="00136E77">
            <w:pPr>
              <w:rPr>
                <w:sz w:val="20"/>
                <w:szCs w:val="22"/>
              </w:rPr>
            </w:pPr>
            <w:r w:rsidRPr="00A0565F">
              <w:rPr>
                <w:sz w:val="20"/>
                <w:szCs w:val="22"/>
              </w:rPr>
              <w:t>16.1%</w:t>
            </w:r>
          </w:p>
        </w:tc>
      </w:tr>
      <w:tr w:rsidR="00955622" w:rsidRPr="008D7CDA" w14:paraId="13411B6A" w14:textId="77777777" w:rsidTr="00726B76">
        <w:trPr>
          <w:cantSplit/>
        </w:trPr>
        <w:tc>
          <w:tcPr>
            <w:tcW w:w="3027" w:type="dxa"/>
          </w:tcPr>
          <w:p w14:paraId="22F7E4AE" w14:textId="77777777" w:rsidR="00955622" w:rsidRPr="00A0565F" w:rsidRDefault="00955622" w:rsidP="00955622">
            <w:pPr>
              <w:pStyle w:val="ListParagraph"/>
              <w:widowControl/>
              <w:numPr>
                <w:ilvl w:val="0"/>
                <w:numId w:val="41"/>
              </w:numPr>
            </w:pPr>
            <w:r w:rsidRPr="00A0565F">
              <w:t>Marcus Brennecke</w:t>
            </w:r>
          </w:p>
        </w:tc>
        <w:tc>
          <w:tcPr>
            <w:tcW w:w="1468" w:type="dxa"/>
          </w:tcPr>
          <w:p w14:paraId="1B0C9A51" w14:textId="77777777" w:rsidR="00955622" w:rsidRPr="0027363F" w:rsidRDefault="00955622" w:rsidP="00136E77">
            <w:pPr>
              <w:jc w:val="center"/>
            </w:pPr>
            <w:r w:rsidRPr="0027363F">
              <w:t>Germany</w:t>
            </w:r>
          </w:p>
        </w:tc>
        <w:tc>
          <w:tcPr>
            <w:tcW w:w="1800" w:type="dxa"/>
          </w:tcPr>
          <w:p w14:paraId="4D88C441" w14:textId="77777777" w:rsidR="00955622" w:rsidRPr="0027363F" w:rsidRDefault="00955622" w:rsidP="00136E77">
            <w:pPr>
              <w:jc w:val="center"/>
            </w:pPr>
            <w:r w:rsidRPr="0027363F">
              <w:t>Individual</w:t>
            </w:r>
          </w:p>
        </w:tc>
        <w:tc>
          <w:tcPr>
            <w:tcW w:w="1518" w:type="dxa"/>
          </w:tcPr>
          <w:p w14:paraId="12DDDF9C" w14:textId="77777777" w:rsidR="00955622" w:rsidRPr="0027363F" w:rsidRDefault="00955622" w:rsidP="00136E77">
            <w:pPr>
              <w:jc w:val="center"/>
            </w:pPr>
            <w:r w:rsidRPr="0027363F">
              <w:t>N/A</w:t>
            </w:r>
          </w:p>
        </w:tc>
        <w:tc>
          <w:tcPr>
            <w:tcW w:w="879" w:type="dxa"/>
          </w:tcPr>
          <w:p w14:paraId="64D83006" w14:textId="77777777" w:rsidR="00955622" w:rsidRPr="00A0565F" w:rsidRDefault="00955622" w:rsidP="00136E77">
            <w:pPr>
              <w:rPr>
                <w:sz w:val="20"/>
                <w:szCs w:val="22"/>
              </w:rPr>
            </w:pPr>
            <w:r w:rsidRPr="00A0565F">
              <w:rPr>
                <w:sz w:val="20"/>
                <w:szCs w:val="22"/>
              </w:rPr>
              <w:t>0%</w:t>
            </w:r>
          </w:p>
        </w:tc>
        <w:tc>
          <w:tcPr>
            <w:tcW w:w="956" w:type="dxa"/>
          </w:tcPr>
          <w:p w14:paraId="54B7338A" w14:textId="77777777" w:rsidR="00955622" w:rsidRPr="00A0565F" w:rsidRDefault="00955622" w:rsidP="00136E77">
            <w:pPr>
              <w:rPr>
                <w:sz w:val="20"/>
                <w:szCs w:val="22"/>
              </w:rPr>
            </w:pPr>
            <w:r w:rsidRPr="00A0565F">
              <w:rPr>
                <w:sz w:val="20"/>
                <w:szCs w:val="22"/>
              </w:rPr>
              <w:t>17.74%</w:t>
            </w:r>
          </w:p>
        </w:tc>
      </w:tr>
      <w:tr w:rsidR="00955622" w:rsidRPr="008D7CDA" w14:paraId="0B8F6012" w14:textId="77777777" w:rsidTr="00726B76">
        <w:trPr>
          <w:cantSplit/>
        </w:trPr>
        <w:tc>
          <w:tcPr>
            <w:tcW w:w="3027" w:type="dxa"/>
          </w:tcPr>
          <w:p w14:paraId="43C562A9" w14:textId="77777777" w:rsidR="00955622" w:rsidRPr="00A0565F" w:rsidRDefault="00955622" w:rsidP="00955622">
            <w:pPr>
              <w:pStyle w:val="ListParagraph"/>
              <w:widowControl/>
              <w:numPr>
                <w:ilvl w:val="0"/>
                <w:numId w:val="41"/>
              </w:numPr>
            </w:pPr>
            <w:r w:rsidRPr="00A0565F">
              <w:t>TomCo 2 B.V.</w:t>
            </w:r>
          </w:p>
        </w:tc>
        <w:tc>
          <w:tcPr>
            <w:tcW w:w="1468" w:type="dxa"/>
            <w:shd w:val="clear" w:color="auto" w:fill="auto"/>
          </w:tcPr>
          <w:p w14:paraId="0666CD3B" w14:textId="77777777" w:rsidR="00955622" w:rsidRPr="008D7CDA" w:rsidRDefault="00955622" w:rsidP="00136E77">
            <w:pPr>
              <w:jc w:val="center"/>
            </w:pPr>
            <w:r w:rsidRPr="008D7CDA">
              <w:t>Netherlands</w:t>
            </w:r>
          </w:p>
        </w:tc>
        <w:tc>
          <w:tcPr>
            <w:tcW w:w="1800" w:type="dxa"/>
          </w:tcPr>
          <w:p w14:paraId="30DC1020" w14:textId="77777777" w:rsidR="00955622" w:rsidRPr="008D7CDA" w:rsidRDefault="00955622" w:rsidP="00136E77">
            <w:pPr>
              <w:jc w:val="center"/>
            </w:pPr>
            <w:r w:rsidRPr="008D7CDA">
              <w:t>Limited Liability Corp.</w:t>
            </w:r>
          </w:p>
        </w:tc>
        <w:tc>
          <w:tcPr>
            <w:tcW w:w="1518" w:type="dxa"/>
          </w:tcPr>
          <w:p w14:paraId="05635E3D" w14:textId="77777777" w:rsidR="00955622" w:rsidRPr="008D7CDA" w:rsidRDefault="00955622" w:rsidP="00136E77">
            <w:pPr>
              <w:jc w:val="center"/>
            </w:pPr>
            <w:r w:rsidRPr="008D7CDA">
              <w:t>Investment</w:t>
            </w:r>
          </w:p>
        </w:tc>
        <w:tc>
          <w:tcPr>
            <w:tcW w:w="879" w:type="dxa"/>
          </w:tcPr>
          <w:p w14:paraId="50230FFE" w14:textId="77777777" w:rsidR="00955622" w:rsidRPr="00A0565F" w:rsidRDefault="00955622" w:rsidP="00136E77">
            <w:pPr>
              <w:rPr>
                <w:sz w:val="20"/>
                <w:szCs w:val="22"/>
              </w:rPr>
            </w:pPr>
            <w:r w:rsidRPr="00A0565F">
              <w:rPr>
                <w:sz w:val="20"/>
                <w:szCs w:val="22"/>
              </w:rPr>
              <w:t>0%</w:t>
            </w:r>
          </w:p>
        </w:tc>
        <w:tc>
          <w:tcPr>
            <w:tcW w:w="956" w:type="dxa"/>
          </w:tcPr>
          <w:p w14:paraId="6C296833" w14:textId="77777777" w:rsidR="00955622" w:rsidRPr="00A0565F" w:rsidRDefault="00955622" w:rsidP="00136E77">
            <w:pPr>
              <w:rPr>
                <w:sz w:val="20"/>
                <w:szCs w:val="22"/>
              </w:rPr>
            </w:pPr>
            <w:r w:rsidRPr="00A0565F">
              <w:rPr>
                <w:sz w:val="20"/>
                <w:szCs w:val="22"/>
              </w:rPr>
              <w:t>11.1%</w:t>
            </w:r>
          </w:p>
        </w:tc>
      </w:tr>
      <w:tr w:rsidR="00955622" w:rsidRPr="008D7CDA" w14:paraId="4892260D" w14:textId="77777777" w:rsidTr="00726B76">
        <w:trPr>
          <w:cantSplit/>
        </w:trPr>
        <w:tc>
          <w:tcPr>
            <w:tcW w:w="3027" w:type="dxa"/>
          </w:tcPr>
          <w:p w14:paraId="1665499D" w14:textId="77777777" w:rsidR="00955622" w:rsidRPr="00A0565F" w:rsidRDefault="00955622" w:rsidP="00955622">
            <w:pPr>
              <w:pStyle w:val="ListParagraph"/>
              <w:widowControl/>
              <w:numPr>
                <w:ilvl w:val="0"/>
                <w:numId w:val="41"/>
              </w:numPr>
            </w:pPr>
            <w:r w:rsidRPr="00A0565F">
              <w:t>Martin Mok</w:t>
            </w:r>
          </w:p>
        </w:tc>
        <w:tc>
          <w:tcPr>
            <w:tcW w:w="1468" w:type="dxa"/>
          </w:tcPr>
          <w:p w14:paraId="46C5D2EB" w14:textId="77777777" w:rsidR="00955622" w:rsidRPr="00D3018D" w:rsidRDefault="00955622" w:rsidP="00136E77">
            <w:pPr>
              <w:jc w:val="center"/>
              <w:rPr>
                <w:lang w:val="sv-SE"/>
              </w:rPr>
            </w:pPr>
            <w:r w:rsidRPr="00D3018D">
              <w:rPr>
                <w:lang w:val="sv-SE"/>
              </w:rPr>
              <w:t>Hong Kong S.A.R.</w:t>
            </w:r>
          </w:p>
        </w:tc>
        <w:tc>
          <w:tcPr>
            <w:tcW w:w="1800" w:type="dxa"/>
          </w:tcPr>
          <w:p w14:paraId="2E3954C5" w14:textId="77777777" w:rsidR="00955622" w:rsidRPr="008D7CDA" w:rsidRDefault="00955622" w:rsidP="00136E77">
            <w:pPr>
              <w:jc w:val="center"/>
            </w:pPr>
            <w:r w:rsidRPr="00CA0A3A">
              <w:t>Individual</w:t>
            </w:r>
          </w:p>
        </w:tc>
        <w:tc>
          <w:tcPr>
            <w:tcW w:w="1518" w:type="dxa"/>
          </w:tcPr>
          <w:p w14:paraId="6875C369" w14:textId="77777777" w:rsidR="00955622" w:rsidRPr="008D7CDA" w:rsidRDefault="00955622" w:rsidP="00136E77">
            <w:pPr>
              <w:jc w:val="center"/>
            </w:pPr>
            <w:r w:rsidRPr="00CA0A3A">
              <w:t>N/A</w:t>
            </w:r>
          </w:p>
        </w:tc>
        <w:tc>
          <w:tcPr>
            <w:tcW w:w="879" w:type="dxa"/>
          </w:tcPr>
          <w:p w14:paraId="08D675AE" w14:textId="77777777" w:rsidR="00955622" w:rsidRPr="00A0565F" w:rsidRDefault="00955622" w:rsidP="00136E77">
            <w:pPr>
              <w:rPr>
                <w:sz w:val="20"/>
                <w:szCs w:val="22"/>
              </w:rPr>
            </w:pPr>
            <w:r w:rsidRPr="00A0565F">
              <w:rPr>
                <w:sz w:val="20"/>
                <w:szCs w:val="22"/>
              </w:rPr>
              <w:t>0%</w:t>
            </w:r>
          </w:p>
        </w:tc>
        <w:tc>
          <w:tcPr>
            <w:tcW w:w="956" w:type="dxa"/>
          </w:tcPr>
          <w:p w14:paraId="266D4238" w14:textId="77777777" w:rsidR="00955622" w:rsidRPr="00A0565F" w:rsidRDefault="00955622" w:rsidP="00136E77">
            <w:pPr>
              <w:rPr>
                <w:sz w:val="20"/>
                <w:szCs w:val="22"/>
              </w:rPr>
            </w:pPr>
            <w:r w:rsidRPr="00A0565F">
              <w:rPr>
                <w:sz w:val="20"/>
                <w:szCs w:val="22"/>
              </w:rPr>
              <w:t>16.37%</w:t>
            </w:r>
          </w:p>
        </w:tc>
      </w:tr>
      <w:tr w:rsidR="00955622" w:rsidRPr="008D7CDA" w14:paraId="16F3D2E0" w14:textId="77777777" w:rsidTr="00726B76">
        <w:trPr>
          <w:cantSplit/>
        </w:trPr>
        <w:tc>
          <w:tcPr>
            <w:tcW w:w="3027" w:type="dxa"/>
          </w:tcPr>
          <w:p w14:paraId="29CA940B" w14:textId="77777777" w:rsidR="00955622" w:rsidRPr="00A0565F" w:rsidRDefault="00955622" w:rsidP="00955622">
            <w:pPr>
              <w:pStyle w:val="ListParagraph"/>
              <w:widowControl/>
              <w:numPr>
                <w:ilvl w:val="0"/>
                <w:numId w:val="41"/>
              </w:numPr>
            </w:pPr>
            <w:r w:rsidRPr="00A0565F">
              <w:t xml:space="preserve">EHKM Holdings Coöperatief </w:t>
            </w:r>
            <w:r>
              <w:t>W</w:t>
            </w:r>
            <w:r w:rsidRPr="00A0565F">
              <w:t>.A.</w:t>
            </w:r>
          </w:p>
        </w:tc>
        <w:tc>
          <w:tcPr>
            <w:tcW w:w="1468" w:type="dxa"/>
            <w:shd w:val="clear" w:color="auto" w:fill="auto"/>
          </w:tcPr>
          <w:p w14:paraId="5B9E433C" w14:textId="77777777" w:rsidR="00955622" w:rsidRPr="0027363F" w:rsidRDefault="00955622" w:rsidP="00136E77">
            <w:pPr>
              <w:jc w:val="center"/>
            </w:pPr>
            <w:r w:rsidRPr="0027363F">
              <w:t>Netherlands</w:t>
            </w:r>
          </w:p>
        </w:tc>
        <w:tc>
          <w:tcPr>
            <w:tcW w:w="1800" w:type="dxa"/>
            <w:shd w:val="clear" w:color="auto" w:fill="auto"/>
          </w:tcPr>
          <w:p w14:paraId="61863B72" w14:textId="77777777" w:rsidR="00955622" w:rsidRPr="0027363F" w:rsidRDefault="00955622" w:rsidP="00136E77">
            <w:pPr>
              <w:jc w:val="center"/>
            </w:pPr>
            <w:r w:rsidRPr="0027363F">
              <w:t>Cooperative</w:t>
            </w:r>
          </w:p>
        </w:tc>
        <w:tc>
          <w:tcPr>
            <w:tcW w:w="1518" w:type="dxa"/>
          </w:tcPr>
          <w:p w14:paraId="75A37EC5" w14:textId="77777777" w:rsidR="00955622" w:rsidRPr="0027363F" w:rsidRDefault="00955622" w:rsidP="00136E77">
            <w:pPr>
              <w:jc w:val="center"/>
            </w:pPr>
            <w:r w:rsidRPr="0027363F">
              <w:t>Investment</w:t>
            </w:r>
          </w:p>
        </w:tc>
        <w:tc>
          <w:tcPr>
            <w:tcW w:w="879" w:type="dxa"/>
          </w:tcPr>
          <w:p w14:paraId="1C433D29" w14:textId="77777777" w:rsidR="00955622" w:rsidRPr="00A0565F" w:rsidRDefault="00955622" w:rsidP="00136E77">
            <w:pPr>
              <w:rPr>
                <w:sz w:val="20"/>
                <w:szCs w:val="22"/>
              </w:rPr>
            </w:pPr>
            <w:r w:rsidRPr="00A0565F">
              <w:rPr>
                <w:sz w:val="20"/>
                <w:szCs w:val="22"/>
              </w:rPr>
              <w:t>0%</w:t>
            </w:r>
          </w:p>
        </w:tc>
        <w:tc>
          <w:tcPr>
            <w:tcW w:w="956" w:type="dxa"/>
          </w:tcPr>
          <w:p w14:paraId="5A8E0F75" w14:textId="77777777" w:rsidR="00955622" w:rsidRPr="00A0565F" w:rsidRDefault="00955622" w:rsidP="00136E77">
            <w:pPr>
              <w:rPr>
                <w:sz w:val="20"/>
                <w:szCs w:val="22"/>
              </w:rPr>
            </w:pPr>
            <w:r w:rsidRPr="00A0565F">
              <w:rPr>
                <w:sz w:val="20"/>
                <w:szCs w:val="22"/>
              </w:rPr>
              <w:t>10%</w:t>
            </w:r>
          </w:p>
        </w:tc>
      </w:tr>
      <w:tr w:rsidR="00955622" w:rsidRPr="008D7CDA" w14:paraId="11C18B2A" w14:textId="77777777" w:rsidTr="00726B76">
        <w:trPr>
          <w:cantSplit/>
        </w:trPr>
        <w:tc>
          <w:tcPr>
            <w:tcW w:w="3027" w:type="dxa"/>
          </w:tcPr>
          <w:p w14:paraId="22ED86E9" w14:textId="77777777" w:rsidR="00955622" w:rsidRPr="00A0565F" w:rsidRDefault="00955622" w:rsidP="00955622">
            <w:pPr>
              <w:pStyle w:val="ListParagraph"/>
              <w:widowControl/>
              <w:numPr>
                <w:ilvl w:val="0"/>
                <w:numId w:val="41"/>
              </w:numPr>
            </w:pPr>
            <w:r w:rsidRPr="00A0565F">
              <w:t>Lennart Blecher</w:t>
            </w:r>
          </w:p>
        </w:tc>
        <w:tc>
          <w:tcPr>
            <w:tcW w:w="1468" w:type="dxa"/>
          </w:tcPr>
          <w:p w14:paraId="0D5D6094" w14:textId="77777777" w:rsidR="00955622" w:rsidRPr="0027363F" w:rsidRDefault="00955622" w:rsidP="00136E77">
            <w:pPr>
              <w:jc w:val="center"/>
            </w:pPr>
            <w:r w:rsidRPr="0027363F">
              <w:t>Sweden</w:t>
            </w:r>
          </w:p>
        </w:tc>
        <w:tc>
          <w:tcPr>
            <w:tcW w:w="1800" w:type="dxa"/>
          </w:tcPr>
          <w:p w14:paraId="524ECFA0" w14:textId="77777777" w:rsidR="00955622" w:rsidRPr="0027363F" w:rsidRDefault="00955622" w:rsidP="00136E77">
            <w:pPr>
              <w:jc w:val="center"/>
            </w:pPr>
            <w:r w:rsidRPr="0027363F">
              <w:t>Individual</w:t>
            </w:r>
          </w:p>
        </w:tc>
        <w:tc>
          <w:tcPr>
            <w:tcW w:w="1518" w:type="dxa"/>
          </w:tcPr>
          <w:p w14:paraId="3480205E" w14:textId="77777777" w:rsidR="00955622" w:rsidRPr="0027363F" w:rsidRDefault="00955622" w:rsidP="00136E77">
            <w:pPr>
              <w:jc w:val="center"/>
            </w:pPr>
            <w:r w:rsidRPr="0027363F">
              <w:t>N/A</w:t>
            </w:r>
          </w:p>
        </w:tc>
        <w:tc>
          <w:tcPr>
            <w:tcW w:w="879" w:type="dxa"/>
          </w:tcPr>
          <w:p w14:paraId="32667790" w14:textId="77777777" w:rsidR="00955622" w:rsidRPr="00A0565F" w:rsidRDefault="00955622" w:rsidP="00136E77">
            <w:pPr>
              <w:rPr>
                <w:sz w:val="20"/>
                <w:szCs w:val="22"/>
              </w:rPr>
            </w:pPr>
            <w:r w:rsidRPr="00A0565F">
              <w:rPr>
                <w:sz w:val="20"/>
                <w:szCs w:val="22"/>
              </w:rPr>
              <w:t>0%</w:t>
            </w:r>
          </w:p>
        </w:tc>
        <w:tc>
          <w:tcPr>
            <w:tcW w:w="956" w:type="dxa"/>
          </w:tcPr>
          <w:p w14:paraId="200598BF" w14:textId="77777777" w:rsidR="00955622" w:rsidRPr="00A0565F" w:rsidRDefault="00955622" w:rsidP="00136E77">
            <w:pPr>
              <w:rPr>
                <w:sz w:val="20"/>
                <w:szCs w:val="22"/>
              </w:rPr>
            </w:pPr>
            <w:r w:rsidRPr="00A0565F">
              <w:rPr>
                <w:sz w:val="20"/>
                <w:szCs w:val="22"/>
              </w:rPr>
              <w:t>18.32%</w:t>
            </w:r>
          </w:p>
        </w:tc>
      </w:tr>
      <w:tr w:rsidR="00955622" w:rsidRPr="008D7CDA" w14:paraId="0869783B" w14:textId="77777777" w:rsidTr="00726B76">
        <w:trPr>
          <w:cantSplit/>
        </w:trPr>
        <w:tc>
          <w:tcPr>
            <w:tcW w:w="3027" w:type="dxa"/>
          </w:tcPr>
          <w:p w14:paraId="49049171" w14:textId="77777777" w:rsidR="00955622" w:rsidRPr="00A0565F" w:rsidRDefault="00955622" w:rsidP="00955622">
            <w:pPr>
              <w:pStyle w:val="ListParagraph"/>
              <w:widowControl/>
              <w:numPr>
                <w:ilvl w:val="0"/>
                <w:numId w:val="41"/>
              </w:numPr>
            </w:pPr>
            <w:r w:rsidRPr="00A0565F">
              <w:t>Fengyu B.V.</w:t>
            </w:r>
          </w:p>
        </w:tc>
        <w:tc>
          <w:tcPr>
            <w:tcW w:w="1468" w:type="dxa"/>
            <w:shd w:val="clear" w:color="auto" w:fill="auto"/>
          </w:tcPr>
          <w:p w14:paraId="4F4C64F5" w14:textId="77777777" w:rsidR="00955622" w:rsidRPr="0027363F" w:rsidRDefault="00955622" w:rsidP="00136E77">
            <w:pPr>
              <w:jc w:val="center"/>
            </w:pPr>
            <w:r w:rsidRPr="0027363F">
              <w:t>Netherlands</w:t>
            </w:r>
          </w:p>
        </w:tc>
        <w:tc>
          <w:tcPr>
            <w:tcW w:w="1800" w:type="dxa"/>
          </w:tcPr>
          <w:p w14:paraId="40C9DABA" w14:textId="77777777" w:rsidR="00955622" w:rsidRPr="0027363F" w:rsidRDefault="00955622" w:rsidP="00136E77">
            <w:pPr>
              <w:jc w:val="center"/>
            </w:pPr>
            <w:r w:rsidRPr="0027363F">
              <w:t>Limited Liability Corp.</w:t>
            </w:r>
          </w:p>
        </w:tc>
        <w:tc>
          <w:tcPr>
            <w:tcW w:w="1518" w:type="dxa"/>
          </w:tcPr>
          <w:p w14:paraId="1AD8F59A" w14:textId="77777777" w:rsidR="00955622" w:rsidRPr="0027363F" w:rsidRDefault="00955622" w:rsidP="00136E77">
            <w:pPr>
              <w:jc w:val="center"/>
            </w:pPr>
            <w:r w:rsidRPr="0027363F">
              <w:t>Investment</w:t>
            </w:r>
          </w:p>
        </w:tc>
        <w:tc>
          <w:tcPr>
            <w:tcW w:w="879" w:type="dxa"/>
          </w:tcPr>
          <w:p w14:paraId="1052DB3B" w14:textId="77777777" w:rsidR="00955622" w:rsidRPr="00A0565F" w:rsidRDefault="00955622" w:rsidP="00136E77">
            <w:pPr>
              <w:rPr>
                <w:sz w:val="20"/>
                <w:szCs w:val="22"/>
              </w:rPr>
            </w:pPr>
            <w:r w:rsidRPr="00A0565F">
              <w:rPr>
                <w:sz w:val="20"/>
                <w:szCs w:val="22"/>
              </w:rPr>
              <w:t>0%</w:t>
            </w:r>
          </w:p>
        </w:tc>
        <w:tc>
          <w:tcPr>
            <w:tcW w:w="956" w:type="dxa"/>
          </w:tcPr>
          <w:p w14:paraId="55B12872" w14:textId="77777777" w:rsidR="00955622" w:rsidRPr="00A0565F" w:rsidRDefault="00955622" w:rsidP="00136E77">
            <w:pPr>
              <w:rPr>
                <w:sz w:val="20"/>
                <w:szCs w:val="22"/>
              </w:rPr>
            </w:pPr>
            <w:r w:rsidRPr="00A0565F">
              <w:rPr>
                <w:sz w:val="20"/>
                <w:szCs w:val="22"/>
              </w:rPr>
              <w:t>10.19%</w:t>
            </w:r>
          </w:p>
        </w:tc>
      </w:tr>
      <w:tr w:rsidR="00955622" w:rsidRPr="008D7CDA" w14:paraId="6FAFCCBC" w14:textId="77777777" w:rsidTr="00726B76">
        <w:trPr>
          <w:cantSplit/>
        </w:trPr>
        <w:tc>
          <w:tcPr>
            <w:tcW w:w="3027" w:type="dxa"/>
          </w:tcPr>
          <w:p w14:paraId="5136289A" w14:textId="77777777" w:rsidR="00955622" w:rsidRPr="00A0565F" w:rsidDel="00697983" w:rsidRDefault="00955622" w:rsidP="00955622">
            <w:pPr>
              <w:pStyle w:val="ListParagraph"/>
              <w:widowControl/>
              <w:numPr>
                <w:ilvl w:val="0"/>
                <w:numId w:val="41"/>
              </w:numPr>
            </w:pPr>
            <w:r w:rsidRPr="00A0565F">
              <w:t>Tak Wai Chung</w:t>
            </w:r>
          </w:p>
        </w:tc>
        <w:tc>
          <w:tcPr>
            <w:tcW w:w="1468" w:type="dxa"/>
            <w:shd w:val="clear" w:color="auto" w:fill="auto"/>
          </w:tcPr>
          <w:p w14:paraId="25C08C7D" w14:textId="77777777" w:rsidR="00955622" w:rsidRPr="0027363F" w:rsidRDefault="00955622" w:rsidP="00136E77">
            <w:pPr>
              <w:jc w:val="center"/>
            </w:pPr>
            <w:r w:rsidRPr="0027363F">
              <w:t>British National (Overseas)</w:t>
            </w:r>
          </w:p>
        </w:tc>
        <w:tc>
          <w:tcPr>
            <w:tcW w:w="1800" w:type="dxa"/>
          </w:tcPr>
          <w:p w14:paraId="66DA6A81" w14:textId="77777777" w:rsidR="00955622" w:rsidRPr="0027363F" w:rsidRDefault="00955622" w:rsidP="00136E77">
            <w:pPr>
              <w:jc w:val="center"/>
            </w:pPr>
            <w:r w:rsidRPr="0027363F">
              <w:t>Individual</w:t>
            </w:r>
          </w:p>
        </w:tc>
        <w:tc>
          <w:tcPr>
            <w:tcW w:w="1518" w:type="dxa"/>
          </w:tcPr>
          <w:p w14:paraId="6434C18F" w14:textId="77777777" w:rsidR="00955622" w:rsidRPr="0027363F" w:rsidRDefault="00955622" w:rsidP="00136E77">
            <w:pPr>
              <w:jc w:val="center"/>
            </w:pPr>
            <w:r w:rsidRPr="0027363F">
              <w:t>N/A</w:t>
            </w:r>
          </w:p>
        </w:tc>
        <w:tc>
          <w:tcPr>
            <w:tcW w:w="879" w:type="dxa"/>
          </w:tcPr>
          <w:p w14:paraId="56F27DF7" w14:textId="77777777" w:rsidR="00955622" w:rsidRPr="00A0565F" w:rsidRDefault="00955622" w:rsidP="00136E77">
            <w:pPr>
              <w:rPr>
                <w:sz w:val="20"/>
                <w:szCs w:val="22"/>
              </w:rPr>
            </w:pPr>
            <w:r w:rsidRPr="00A0565F">
              <w:rPr>
                <w:sz w:val="20"/>
                <w:szCs w:val="22"/>
              </w:rPr>
              <w:t>0%</w:t>
            </w:r>
          </w:p>
        </w:tc>
        <w:tc>
          <w:tcPr>
            <w:tcW w:w="956" w:type="dxa"/>
          </w:tcPr>
          <w:p w14:paraId="2FD73F9A" w14:textId="77777777" w:rsidR="00955622" w:rsidRPr="00A0565F" w:rsidRDefault="00955622" w:rsidP="00136E77">
            <w:pPr>
              <w:rPr>
                <w:sz w:val="20"/>
                <w:szCs w:val="22"/>
              </w:rPr>
            </w:pPr>
            <w:r w:rsidRPr="00A0565F">
              <w:rPr>
                <w:sz w:val="20"/>
                <w:szCs w:val="22"/>
              </w:rPr>
              <w:t>10.66%</w:t>
            </w:r>
          </w:p>
        </w:tc>
      </w:tr>
      <w:tr w:rsidR="00955622" w:rsidRPr="008D7CDA" w14:paraId="04FBDB0D" w14:textId="77777777" w:rsidTr="00726B76">
        <w:trPr>
          <w:cantSplit/>
        </w:trPr>
        <w:tc>
          <w:tcPr>
            <w:tcW w:w="3027" w:type="dxa"/>
          </w:tcPr>
          <w:p w14:paraId="464E47AD" w14:textId="77777777" w:rsidR="00955622" w:rsidRPr="00A0565F" w:rsidRDefault="00955622" w:rsidP="00955622">
            <w:pPr>
              <w:pStyle w:val="ListParagraph"/>
              <w:widowControl/>
              <w:numPr>
                <w:ilvl w:val="0"/>
                <w:numId w:val="41"/>
              </w:numPr>
            </w:pPr>
            <w:r w:rsidRPr="00A0565F">
              <w:t>Anders Misund</w:t>
            </w:r>
          </w:p>
        </w:tc>
        <w:tc>
          <w:tcPr>
            <w:tcW w:w="1468" w:type="dxa"/>
            <w:shd w:val="clear" w:color="auto" w:fill="auto"/>
          </w:tcPr>
          <w:p w14:paraId="44208998" w14:textId="77777777" w:rsidR="00955622" w:rsidRPr="0027363F" w:rsidRDefault="00955622" w:rsidP="00136E77">
            <w:pPr>
              <w:jc w:val="center"/>
            </w:pPr>
            <w:r w:rsidRPr="0027363F">
              <w:t>Norway</w:t>
            </w:r>
          </w:p>
        </w:tc>
        <w:tc>
          <w:tcPr>
            <w:tcW w:w="1800" w:type="dxa"/>
          </w:tcPr>
          <w:p w14:paraId="2F4B6C94" w14:textId="77777777" w:rsidR="00955622" w:rsidRPr="0027363F" w:rsidRDefault="00955622" w:rsidP="00136E77">
            <w:pPr>
              <w:jc w:val="center"/>
            </w:pPr>
            <w:r w:rsidRPr="0027363F">
              <w:t>Individual</w:t>
            </w:r>
          </w:p>
        </w:tc>
        <w:tc>
          <w:tcPr>
            <w:tcW w:w="1518" w:type="dxa"/>
          </w:tcPr>
          <w:p w14:paraId="7B9133DE" w14:textId="77777777" w:rsidR="00955622" w:rsidRPr="0027363F" w:rsidRDefault="00955622" w:rsidP="00136E77">
            <w:pPr>
              <w:jc w:val="center"/>
            </w:pPr>
            <w:r w:rsidRPr="0027363F">
              <w:t>N/A</w:t>
            </w:r>
          </w:p>
        </w:tc>
        <w:tc>
          <w:tcPr>
            <w:tcW w:w="879" w:type="dxa"/>
          </w:tcPr>
          <w:p w14:paraId="0C7FBE24" w14:textId="77777777" w:rsidR="00955622" w:rsidRPr="00A0565F" w:rsidRDefault="00955622" w:rsidP="00136E77">
            <w:pPr>
              <w:rPr>
                <w:sz w:val="20"/>
                <w:szCs w:val="22"/>
              </w:rPr>
            </w:pPr>
            <w:r w:rsidRPr="00A0565F">
              <w:rPr>
                <w:sz w:val="20"/>
                <w:szCs w:val="22"/>
              </w:rPr>
              <w:t>0%</w:t>
            </w:r>
          </w:p>
        </w:tc>
        <w:tc>
          <w:tcPr>
            <w:tcW w:w="956" w:type="dxa"/>
          </w:tcPr>
          <w:p w14:paraId="1BAE3389" w14:textId="77777777" w:rsidR="00955622" w:rsidRPr="00A0565F" w:rsidRDefault="00955622" w:rsidP="00136E77">
            <w:pPr>
              <w:rPr>
                <w:sz w:val="20"/>
                <w:szCs w:val="22"/>
              </w:rPr>
            </w:pPr>
            <w:r w:rsidRPr="00A0565F">
              <w:rPr>
                <w:sz w:val="20"/>
                <w:szCs w:val="22"/>
              </w:rPr>
              <w:t>10%</w:t>
            </w:r>
          </w:p>
        </w:tc>
      </w:tr>
      <w:tr w:rsidR="00955622" w:rsidRPr="008D7CDA" w14:paraId="13D9F70E" w14:textId="77777777" w:rsidTr="00726B76">
        <w:trPr>
          <w:cantSplit/>
        </w:trPr>
        <w:tc>
          <w:tcPr>
            <w:tcW w:w="3027" w:type="dxa"/>
          </w:tcPr>
          <w:p w14:paraId="4D0F31C0" w14:textId="77777777" w:rsidR="00955622" w:rsidRPr="00A0565F" w:rsidRDefault="00955622" w:rsidP="00955622">
            <w:pPr>
              <w:pStyle w:val="ListParagraph"/>
              <w:widowControl/>
              <w:numPr>
                <w:ilvl w:val="0"/>
                <w:numId w:val="41"/>
              </w:numPr>
            </w:pPr>
            <w:r w:rsidRPr="00A0565F">
              <w:t>Per Franzén</w:t>
            </w:r>
          </w:p>
        </w:tc>
        <w:tc>
          <w:tcPr>
            <w:tcW w:w="1468" w:type="dxa"/>
            <w:shd w:val="clear" w:color="auto" w:fill="auto"/>
          </w:tcPr>
          <w:p w14:paraId="5AF47D26" w14:textId="77777777" w:rsidR="00955622" w:rsidRPr="0027363F" w:rsidRDefault="00955622" w:rsidP="00136E77">
            <w:pPr>
              <w:jc w:val="center"/>
            </w:pPr>
            <w:r w:rsidRPr="0027363F">
              <w:t>Sweden</w:t>
            </w:r>
          </w:p>
        </w:tc>
        <w:tc>
          <w:tcPr>
            <w:tcW w:w="1800" w:type="dxa"/>
          </w:tcPr>
          <w:p w14:paraId="7071F1F2" w14:textId="77777777" w:rsidR="00955622" w:rsidRPr="0027363F" w:rsidRDefault="00955622" w:rsidP="00136E77">
            <w:pPr>
              <w:jc w:val="center"/>
            </w:pPr>
            <w:r w:rsidRPr="0027363F">
              <w:t>Individual</w:t>
            </w:r>
          </w:p>
        </w:tc>
        <w:tc>
          <w:tcPr>
            <w:tcW w:w="1518" w:type="dxa"/>
          </w:tcPr>
          <w:p w14:paraId="5E5BB444" w14:textId="77777777" w:rsidR="00955622" w:rsidRPr="0027363F" w:rsidRDefault="00955622" w:rsidP="00136E77">
            <w:pPr>
              <w:jc w:val="center"/>
            </w:pPr>
            <w:r w:rsidRPr="0027363F">
              <w:t>N/A</w:t>
            </w:r>
          </w:p>
        </w:tc>
        <w:tc>
          <w:tcPr>
            <w:tcW w:w="879" w:type="dxa"/>
          </w:tcPr>
          <w:p w14:paraId="7F1F8F82" w14:textId="77777777" w:rsidR="00955622" w:rsidRPr="00A0565F" w:rsidRDefault="00955622" w:rsidP="00136E77">
            <w:pPr>
              <w:rPr>
                <w:sz w:val="20"/>
                <w:szCs w:val="22"/>
              </w:rPr>
            </w:pPr>
            <w:r w:rsidRPr="00A0565F">
              <w:rPr>
                <w:sz w:val="20"/>
                <w:szCs w:val="22"/>
              </w:rPr>
              <w:t>0%</w:t>
            </w:r>
          </w:p>
        </w:tc>
        <w:tc>
          <w:tcPr>
            <w:tcW w:w="956" w:type="dxa"/>
          </w:tcPr>
          <w:p w14:paraId="78D16343" w14:textId="77777777" w:rsidR="00955622" w:rsidRPr="00A0565F" w:rsidRDefault="00955622" w:rsidP="00136E77">
            <w:pPr>
              <w:rPr>
                <w:sz w:val="20"/>
                <w:szCs w:val="22"/>
              </w:rPr>
            </w:pPr>
            <w:r w:rsidRPr="00A0565F">
              <w:rPr>
                <w:sz w:val="20"/>
                <w:szCs w:val="22"/>
              </w:rPr>
              <w:t>10.24%</w:t>
            </w:r>
          </w:p>
        </w:tc>
      </w:tr>
      <w:tr w:rsidR="00955622" w:rsidRPr="008D7CDA" w14:paraId="29E3FBB2" w14:textId="77777777" w:rsidTr="00726B76">
        <w:trPr>
          <w:cantSplit/>
        </w:trPr>
        <w:tc>
          <w:tcPr>
            <w:tcW w:w="3027" w:type="dxa"/>
          </w:tcPr>
          <w:p w14:paraId="2BE7955A" w14:textId="77777777" w:rsidR="00955622" w:rsidRPr="00A0565F" w:rsidRDefault="00955622" w:rsidP="00955622">
            <w:pPr>
              <w:pStyle w:val="ListParagraph"/>
              <w:widowControl/>
              <w:numPr>
                <w:ilvl w:val="0"/>
                <w:numId w:val="41"/>
              </w:numPr>
            </w:pPr>
            <w:r w:rsidRPr="00A0565F">
              <w:t>CM Capital B.V.</w:t>
            </w:r>
          </w:p>
        </w:tc>
        <w:tc>
          <w:tcPr>
            <w:tcW w:w="1468" w:type="dxa"/>
            <w:shd w:val="clear" w:color="auto" w:fill="auto"/>
          </w:tcPr>
          <w:p w14:paraId="6E595930" w14:textId="77777777" w:rsidR="00955622" w:rsidRPr="0027363F" w:rsidRDefault="00955622" w:rsidP="00136E77">
            <w:pPr>
              <w:jc w:val="center"/>
            </w:pPr>
            <w:r w:rsidRPr="0027363F">
              <w:t>Netherlands</w:t>
            </w:r>
          </w:p>
        </w:tc>
        <w:tc>
          <w:tcPr>
            <w:tcW w:w="1800" w:type="dxa"/>
          </w:tcPr>
          <w:p w14:paraId="74BF68D1" w14:textId="77777777" w:rsidR="00955622" w:rsidRPr="0027363F" w:rsidRDefault="00955622" w:rsidP="00136E77">
            <w:pPr>
              <w:jc w:val="center"/>
            </w:pPr>
            <w:r w:rsidRPr="0027363F">
              <w:t>Limited Liability Corp.</w:t>
            </w:r>
          </w:p>
        </w:tc>
        <w:tc>
          <w:tcPr>
            <w:tcW w:w="1518" w:type="dxa"/>
          </w:tcPr>
          <w:p w14:paraId="6E2506CB" w14:textId="77777777" w:rsidR="00955622" w:rsidRPr="0027363F" w:rsidRDefault="00955622" w:rsidP="00136E77">
            <w:pPr>
              <w:jc w:val="center"/>
            </w:pPr>
            <w:r w:rsidRPr="0027363F">
              <w:t>Investment</w:t>
            </w:r>
          </w:p>
        </w:tc>
        <w:tc>
          <w:tcPr>
            <w:tcW w:w="879" w:type="dxa"/>
          </w:tcPr>
          <w:p w14:paraId="1D82971B" w14:textId="77777777" w:rsidR="00955622" w:rsidRPr="00A0565F" w:rsidRDefault="00955622" w:rsidP="00136E77">
            <w:pPr>
              <w:rPr>
                <w:sz w:val="20"/>
                <w:szCs w:val="22"/>
              </w:rPr>
            </w:pPr>
            <w:r w:rsidRPr="00A0565F">
              <w:rPr>
                <w:sz w:val="20"/>
                <w:szCs w:val="22"/>
              </w:rPr>
              <w:t>0%</w:t>
            </w:r>
          </w:p>
        </w:tc>
        <w:tc>
          <w:tcPr>
            <w:tcW w:w="956" w:type="dxa"/>
          </w:tcPr>
          <w:p w14:paraId="35EB95F0" w14:textId="77777777" w:rsidR="00955622" w:rsidRPr="00A0565F" w:rsidRDefault="00955622" w:rsidP="00136E77">
            <w:pPr>
              <w:rPr>
                <w:sz w:val="20"/>
                <w:szCs w:val="22"/>
              </w:rPr>
            </w:pPr>
            <w:r w:rsidRPr="00A0565F">
              <w:rPr>
                <w:sz w:val="20"/>
                <w:szCs w:val="22"/>
              </w:rPr>
              <w:t>100%</w:t>
            </w:r>
          </w:p>
        </w:tc>
      </w:tr>
      <w:tr w:rsidR="00955622" w:rsidRPr="008D7CDA" w14:paraId="16B95410" w14:textId="77777777" w:rsidTr="00726B76">
        <w:trPr>
          <w:cantSplit/>
        </w:trPr>
        <w:tc>
          <w:tcPr>
            <w:tcW w:w="3027" w:type="dxa"/>
          </w:tcPr>
          <w:p w14:paraId="2A3B9789" w14:textId="77777777" w:rsidR="00955622" w:rsidRPr="00A0565F" w:rsidRDefault="00955622" w:rsidP="00955622">
            <w:pPr>
              <w:pStyle w:val="ListParagraph"/>
              <w:widowControl/>
              <w:numPr>
                <w:ilvl w:val="0"/>
                <w:numId w:val="41"/>
              </w:numPr>
            </w:pPr>
            <w:r w:rsidRPr="00A0565F">
              <w:t>Harkla B.V.</w:t>
            </w:r>
          </w:p>
        </w:tc>
        <w:tc>
          <w:tcPr>
            <w:tcW w:w="1468" w:type="dxa"/>
            <w:shd w:val="clear" w:color="auto" w:fill="auto"/>
          </w:tcPr>
          <w:p w14:paraId="4B311B44" w14:textId="77777777" w:rsidR="00955622" w:rsidRPr="00A0565F" w:rsidRDefault="00955622" w:rsidP="00136E77">
            <w:pPr>
              <w:jc w:val="center"/>
            </w:pPr>
            <w:r w:rsidRPr="00A0565F">
              <w:t>Netherlands</w:t>
            </w:r>
          </w:p>
        </w:tc>
        <w:tc>
          <w:tcPr>
            <w:tcW w:w="1800" w:type="dxa"/>
          </w:tcPr>
          <w:p w14:paraId="35EFD7E5" w14:textId="77777777" w:rsidR="00955622" w:rsidRDefault="00955622" w:rsidP="00136E77">
            <w:pPr>
              <w:jc w:val="center"/>
            </w:pPr>
            <w:r>
              <w:t>Limited Liability Corp.</w:t>
            </w:r>
          </w:p>
        </w:tc>
        <w:tc>
          <w:tcPr>
            <w:tcW w:w="1518" w:type="dxa"/>
          </w:tcPr>
          <w:p w14:paraId="4D3A3E03" w14:textId="77777777" w:rsidR="00955622" w:rsidRDefault="00955622" w:rsidP="00136E77">
            <w:pPr>
              <w:jc w:val="center"/>
            </w:pPr>
            <w:r>
              <w:t>Investment</w:t>
            </w:r>
          </w:p>
        </w:tc>
        <w:tc>
          <w:tcPr>
            <w:tcW w:w="879" w:type="dxa"/>
          </w:tcPr>
          <w:p w14:paraId="4E69E06A" w14:textId="77777777" w:rsidR="00955622" w:rsidRPr="00A0565F" w:rsidRDefault="00955622" w:rsidP="00136E77">
            <w:pPr>
              <w:rPr>
                <w:sz w:val="20"/>
                <w:szCs w:val="22"/>
              </w:rPr>
            </w:pPr>
            <w:r w:rsidRPr="00A0565F">
              <w:rPr>
                <w:sz w:val="20"/>
                <w:szCs w:val="22"/>
              </w:rPr>
              <w:t>0%</w:t>
            </w:r>
          </w:p>
        </w:tc>
        <w:tc>
          <w:tcPr>
            <w:tcW w:w="956" w:type="dxa"/>
          </w:tcPr>
          <w:p w14:paraId="4ED32EDB" w14:textId="77777777" w:rsidR="00955622" w:rsidRPr="00A0565F" w:rsidRDefault="00955622" w:rsidP="00136E77">
            <w:pPr>
              <w:rPr>
                <w:sz w:val="20"/>
                <w:szCs w:val="22"/>
              </w:rPr>
            </w:pPr>
            <w:r w:rsidRPr="00A0565F">
              <w:rPr>
                <w:sz w:val="20"/>
                <w:szCs w:val="22"/>
              </w:rPr>
              <w:t>7.39%</w:t>
            </w:r>
          </w:p>
        </w:tc>
      </w:tr>
      <w:tr w:rsidR="00955622" w:rsidRPr="008D7CDA" w14:paraId="444D6876" w14:textId="77777777" w:rsidTr="00726B76">
        <w:trPr>
          <w:cantSplit/>
        </w:trPr>
        <w:tc>
          <w:tcPr>
            <w:tcW w:w="3027" w:type="dxa"/>
          </w:tcPr>
          <w:p w14:paraId="5EDAAEBF" w14:textId="77777777" w:rsidR="00955622" w:rsidRPr="00A0565F" w:rsidRDefault="00955622" w:rsidP="00955622">
            <w:pPr>
              <w:pStyle w:val="ListParagraph"/>
              <w:widowControl/>
              <w:numPr>
                <w:ilvl w:val="0"/>
                <w:numId w:val="41"/>
              </w:numPr>
            </w:pPr>
            <w:r w:rsidRPr="00A0565F">
              <w:t>Trill B.V.</w:t>
            </w:r>
          </w:p>
        </w:tc>
        <w:tc>
          <w:tcPr>
            <w:tcW w:w="1468" w:type="dxa"/>
            <w:shd w:val="clear" w:color="auto" w:fill="auto"/>
          </w:tcPr>
          <w:p w14:paraId="066EB36D" w14:textId="77777777" w:rsidR="00955622" w:rsidRPr="00A0565F" w:rsidRDefault="00955622" w:rsidP="00136E77">
            <w:pPr>
              <w:jc w:val="center"/>
            </w:pPr>
            <w:r w:rsidRPr="00A0565F">
              <w:t>Netherlands</w:t>
            </w:r>
          </w:p>
        </w:tc>
        <w:tc>
          <w:tcPr>
            <w:tcW w:w="1800" w:type="dxa"/>
          </w:tcPr>
          <w:p w14:paraId="5FE60E80" w14:textId="77777777" w:rsidR="00955622" w:rsidRDefault="00955622" w:rsidP="00136E77">
            <w:pPr>
              <w:jc w:val="center"/>
            </w:pPr>
            <w:r w:rsidRPr="00BD378D">
              <w:t>Limited Liability Corp.</w:t>
            </w:r>
          </w:p>
        </w:tc>
        <w:tc>
          <w:tcPr>
            <w:tcW w:w="1518" w:type="dxa"/>
          </w:tcPr>
          <w:p w14:paraId="17C71D4B" w14:textId="77777777" w:rsidR="00955622" w:rsidRDefault="00955622" w:rsidP="00136E77">
            <w:pPr>
              <w:jc w:val="center"/>
            </w:pPr>
            <w:r w:rsidRPr="00604EF7">
              <w:t>Investment</w:t>
            </w:r>
          </w:p>
        </w:tc>
        <w:tc>
          <w:tcPr>
            <w:tcW w:w="879" w:type="dxa"/>
          </w:tcPr>
          <w:p w14:paraId="4CBB8316" w14:textId="77777777" w:rsidR="00955622" w:rsidRPr="00A0565F" w:rsidRDefault="00955622" w:rsidP="00136E77">
            <w:pPr>
              <w:rPr>
                <w:sz w:val="20"/>
                <w:szCs w:val="22"/>
              </w:rPr>
            </w:pPr>
            <w:r w:rsidRPr="00A0565F">
              <w:rPr>
                <w:sz w:val="20"/>
                <w:szCs w:val="22"/>
              </w:rPr>
              <w:t>0%</w:t>
            </w:r>
          </w:p>
        </w:tc>
        <w:tc>
          <w:tcPr>
            <w:tcW w:w="956" w:type="dxa"/>
          </w:tcPr>
          <w:p w14:paraId="50A0CFB6" w14:textId="77777777" w:rsidR="00955622" w:rsidRPr="00A0565F" w:rsidRDefault="00955622" w:rsidP="00136E77">
            <w:pPr>
              <w:rPr>
                <w:sz w:val="20"/>
                <w:szCs w:val="22"/>
              </w:rPr>
            </w:pPr>
            <w:r w:rsidRPr="00A0565F">
              <w:rPr>
                <w:sz w:val="20"/>
                <w:szCs w:val="22"/>
              </w:rPr>
              <w:t>9.67%</w:t>
            </w:r>
          </w:p>
        </w:tc>
      </w:tr>
      <w:tr w:rsidR="00955622" w:rsidRPr="008D7CDA" w14:paraId="2EF4736F" w14:textId="77777777" w:rsidTr="00726B76">
        <w:trPr>
          <w:cantSplit/>
        </w:trPr>
        <w:tc>
          <w:tcPr>
            <w:tcW w:w="3027" w:type="dxa"/>
          </w:tcPr>
          <w:p w14:paraId="68AD4D8F" w14:textId="77777777" w:rsidR="00955622" w:rsidRPr="00A0565F" w:rsidRDefault="00955622" w:rsidP="00955622">
            <w:pPr>
              <w:pStyle w:val="ListParagraph"/>
              <w:widowControl/>
              <w:numPr>
                <w:ilvl w:val="0"/>
                <w:numId w:val="41"/>
              </w:numPr>
            </w:pPr>
            <w:r w:rsidRPr="00A0565F">
              <w:t>Skogco B.V.</w:t>
            </w:r>
          </w:p>
        </w:tc>
        <w:tc>
          <w:tcPr>
            <w:tcW w:w="1468" w:type="dxa"/>
            <w:shd w:val="clear" w:color="auto" w:fill="auto"/>
          </w:tcPr>
          <w:p w14:paraId="5B8546DB" w14:textId="77777777" w:rsidR="00955622" w:rsidRPr="00A0565F" w:rsidRDefault="00955622" w:rsidP="00136E77">
            <w:pPr>
              <w:jc w:val="center"/>
            </w:pPr>
            <w:r w:rsidRPr="00A0565F">
              <w:t>Netherlands</w:t>
            </w:r>
          </w:p>
        </w:tc>
        <w:tc>
          <w:tcPr>
            <w:tcW w:w="1800" w:type="dxa"/>
          </w:tcPr>
          <w:p w14:paraId="22FC2C95" w14:textId="77777777" w:rsidR="00955622" w:rsidRDefault="00955622" w:rsidP="00136E77">
            <w:pPr>
              <w:jc w:val="center"/>
            </w:pPr>
            <w:r w:rsidRPr="00BD378D">
              <w:t>Limited Liability Corp.</w:t>
            </w:r>
          </w:p>
        </w:tc>
        <w:tc>
          <w:tcPr>
            <w:tcW w:w="1518" w:type="dxa"/>
          </w:tcPr>
          <w:p w14:paraId="3F470E9F" w14:textId="77777777" w:rsidR="00955622" w:rsidRDefault="00955622" w:rsidP="00136E77">
            <w:pPr>
              <w:jc w:val="center"/>
            </w:pPr>
            <w:r w:rsidRPr="00604EF7">
              <w:t>Investment</w:t>
            </w:r>
          </w:p>
        </w:tc>
        <w:tc>
          <w:tcPr>
            <w:tcW w:w="879" w:type="dxa"/>
          </w:tcPr>
          <w:p w14:paraId="2408AFF9" w14:textId="77777777" w:rsidR="00955622" w:rsidRPr="00A0565F" w:rsidRDefault="00955622" w:rsidP="00136E77">
            <w:pPr>
              <w:rPr>
                <w:sz w:val="20"/>
                <w:szCs w:val="22"/>
              </w:rPr>
            </w:pPr>
            <w:r w:rsidRPr="00A0565F">
              <w:rPr>
                <w:sz w:val="20"/>
                <w:szCs w:val="22"/>
              </w:rPr>
              <w:t>0%</w:t>
            </w:r>
          </w:p>
        </w:tc>
        <w:tc>
          <w:tcPr>
            <w:tcW w:w="956" w:type="dxa"/>
          </w:tcPr>
          <w:p w14:paraId="7C539E7F" w14:textId="77777777" w:rsidR="00955622" w:rsidRPr="00A0565F" w:rsidRDefault="00955622" w:rsidP="00136E77">
            <w:pPr>
              <w:rPr>
                <w:sz w:val="20"/>
                <w:szCs w:val="22"/>
              </w:rPr>
            </w:pPr>
            <w:r w:rsidRPr="00A0565F">
              <w:rPr>
                <w:sz w:val="20"/>
                <w:szCs w:val="22"/>
              </w:rPr>
              <w:t>8.72%</w:t>
            </w:r>
          </w:p>
        </w:tc>
      </w:tr>
      <w:tr w:rsidR="00955622" w:rsidRPr="008D7CDA" w14:paraId="3856C169" w14:textId="77777777" w:rsidTr="00726B76">
        <w:trPr>
          <w:cantSplit/>
        </w:trPr>
        <w:tc>
          <w:tcPr>
            <w:tcW w:w="3027" w:type="dxa"/>
          </w:tcPr>
          <w:p w14:paraId="72FD488E" w14:textId="77777777" w:rsidR="00955622" w:rsidRPr="00A0565F" w:rsidRDefault="00955622" w:rsidP="00955622">
            <w:pPr>
              <w:pStyle w:val="ListParagraph"/>
              <w:widowControl/>
              <w:numPr>
                <w:ilvl w:val="0"/>
                <w:numId w:val="41"/>
              </w:numPr>
            </w:pPr>
            <w:r w:rsidRPr="00A0565F">
              <w:t>LEFA Holding B.V.</w:t>
            </w:r>
          </w:p>
        </w:tc>
        <w:tc>
          <w:tcPr>
            <w:tcW w:w="1468" w:type="dxa"/>
            <w:shd w:val="clear" w:color="auto" w:fill="auto"/>
          </w:tcPr>
          <w:p w14:paraId="79D56A9D" w14:textId="77777777" w:rsidR="00955622" w:rsidRPr="00A0565F" w:rsidRDefault="00955622" w:rsidP="00136E77">
            <w:pPr>
              <w:jc w:val="center"/>
            </w:pPr>
            <w:r w:rsidRPr="00A0565F">
              <w:t>Netherlands</w:t>
            </w:r>
          </w:p>
        </w:tc>
        <w:tc>
          <w:tcPr>
            <w:tcW w:w="1800" w:type="dxa"/>
          </w:tcPr>
          <w:p w14:paraId="0B681322" w14:textId="77777777" w:rsidR="00955622" w:rsidRDefault="00955622" w:rsidP="00136E77">
            <w:pPr>
              <w:jc w:val="center"/>
            </w:pPr>
            <w:r w:rsidRPr="00BD378D">
              <w:t>Limited Liability Corp.</w:t>
            </w:r>
          </w:p>
        </w:tc>
        <w:tc>
          <w:tcPr>
            <w:tcW w:w="1518" w:type="dxa"/>
          </w:tcPr>
          <w:p w14:paraId="32B2A9D6" w14:textId="77777777" w:rsidR="00955622" w:rsidRDefault="00955622" w:rsidP="00136E77">
            <w:pPr>
              <w:jc w:val="center"/>
            </w:pPr>
            <w:r w:rsidRPr="00604EF7">
              <w:t>Investment</w:t>
            </w:r>
          </w:p>
        </w:tc>
        <w:tc>
          <w:tcPr>
            <w:tcW w:w="879" w:type="dxa"/>
          </w:tcPr>
          <w:p w14:paraId="0B2A5036" w14:textId="77777777" w:rsidR="00955622" w:rsidRPr="00A0565F" w:rsidRDefault="00955622" w:rsidP="00136E77">
            <w:pPr>
              <w:rPr>
                <w:sz w:val="20"/>
                <w:szCs w:val="22"/>
              </w:rPr>
            </w:pPr>
            <w:r w:rsidRPr="00A0565F">
              <w:rPr>
                <w:sz w:val="20"/>
                <w:szCs w:val="22"/>
              </w:rPr>
              <w:t>0%</w:t>
            </w:r>
          </w:p>
        </w:tc>
        <w:tc>
          <w:tcPr>
            <w:tcW w:w="956" w:type="dxa"/>
          </w:tcPr>
          <w:p w14:paraId="7153D672" w14:textId="77777777" w:rsidR="00955622" w:rsidRPr="00A0565F" w:rsidRDefault="00955622" w:rsidP="00136E77">
            <w:pPr>
              <w:rPr>
                <w:sz w:val="20"/>
                <w:szCs w:val="22"/>
              </w:rPr>
            </w:pPr>
            <w:r w:rsidRPr="00A0565F">
              <w:rPr>
                <w:sz w:val="20"/>
                <w:szCs w:val="22"/>
              </w:rPr>
              <w:t>8.61%</w:t>
            </w:r>
          </w:p>
        </w:tc>
      </w:tr>
      <w:tr w:rsidR="00955622" w:rsidRPr="008D7CDA" w14:paraId="20508FE3" w14:textId="77777777" w:rsidTr="00726B76">
        <w:trPr>
          <w:cantSplit/>
        </w:trPr>
        <w:tc>
          <w:tcPr>
            <w:tcW w:w="3027" w:type="dxa"/>
            <w:tcBorders>
              <w:bottom w:val="single" w:sz="4" w:space="0" w:color="auto"/>
            </w:tcBorders>
          </w:tcPr>
          <w:p w14:paraId="7346A57E" w14:textId="77777777" w:rsidR="00955622" w:rsidRPr="00A0565F" w:rsidRDefault="00955622" w:rsidP="00955622">
            <w:pPr>
              <w:pStyle w:val="ListParagraph"/>
              <w:widowControl/>
              <w:numPr>
                <w:ilvl w:val="0"/>
                <w:numId w:val="41"/>
              </w:numPr>
            </w:pPr>
            <w:r w:rsidRPr="00A0565F">
              <w:t>Stichting Bawau</w:t>
            </w:r>
          </w:p>
        </w:tc>
        <w:tc>
          <w:tcPr>
            <w:tcW w:w="1468" w:type="dxa"/>
            <w:tcBorders>
              <w:bottom w:val="single" w:sz="4" w:space="0" w:color="auto"/>
            </w:tcBorders>
            <w:shd w:val="clear" w:color="auto" w:fill="auto"/>
          </w:tcPr>
          <w:p w14:paraId="7847D67F" w14:textId="77777777" w:rsidR="00955622" w:rsidRDefault="00955622" w:rsidP="00136E77">
            <w:pPr>
              <w:jc w:val="center"/>
            </w:pPr>
            <w:r>
              <w:t>Netherlands</w:t>
            </w:r>
          </w:p>
        </w:tc>
        <w:tc>
          <w:tcPr>
            <w:tcW w:w="1800" w:type="dxa"/>
            <w:tcBorders>
              <w:bottom w:val="single" w:sz="4" w:space="0" w:color="auto"/>
            </w:tcBorders>
          </w:tcPr>
          <w:p w14:paraId="76FCAC90" w14:textId="77777777" w:rsidR="00955622" w:rsidRPr="00BD378D" w:rsidRDefault="00955622" w:rsidP="00136E77">
            <w:pPr>
              <w:jc w:val="center"/>
            </w:pPr>
            <w:r>
              <w:t>Foundation</w:t>
            </w:r>
          </w:p>
        </w:tc>
        <w:tc>
          <w:tcPr>
            <w:tcW w:w="1518" w:type="dxa"/>
            <w:tcBorders>
              <w:bottom w:val="single" w:sz="4" w:space="0" w:color="auto"/>
            </w:tcBorders>
          </w:tcPr>
          <w:p w14:paraId="5674F5D7" w14:textId="77777777" w:rsidR="00955622" w:rsidRPr="00604EF7" w:rsidRDefault="00955622" w:rsidP="00136E77">
            <w:pPr>
              <w:jc w:val="center"/>
            </w:pPr>
            <w:r>
              <w:t>Trust</w:t>
            </w:r>
          </w:p>
        </w:tc>
        <w:tc>
          <w:tcPr>
            <w:tcW w:w="879" w:type="dxa"/>
            <w:tcBorders>
              <w:bottom w:val="single" w:sz="4" w:space="0" w:color="auto"/>
            </w:tcBorders>
          </w:tcPr>
          <w:p w14:paraId="600817BD" w14:textId="77777777" w:rsidR="00955622" w:rsidRPr="00A0565F" w:rsidRDefault="00955622" w:rsidP="00136E77">
            <w:pPr>
              <w:rPr>
                <w:sz w:val="20"/>
                <w:szCs w:val="22"/>
              </w:rPr>
            </w:pPr>
            <w:r w:rsidRPr="00A0565F">
              <w:rPr>
                <w:sz w:val="20"/>
                <w:szCs w:val="22"/>
              </w:rPr>
              <w:t>0%</w:t>
            </w:r>
          </w:p>
        </w:tc>
        <w:tc>
          <w:tcPr>
            <w:tcW w:w="956" w:type="dxa"/>
            <w:tcBorders>
              <w:bottom w:val="single" w:sz="4" w:space="0" w:color="auto"/>
            </w:tcBorders>
          </w:tcPr>
          <w:p w14:paraId="3183974F" w14:textId="77777777" w:rsidR="00955622" w:rsidRPr="00A0565F" w:rsidRDefault="00955622" w:rsidP="00136E77">
            <w:pPr>
              <w:rPr>
                <w:sz w:val="20"/>
                <w:szCs w:val="22"/>
              </w:rPr>
            </w:pPr>
            <w:r w:rsidRPr="00A0565F">
              <w:rPr>
                <w:sz w:val="20"/>
                <w:szCs w:val="22"/>
              </w:rPr>
              <w:t>100%</w:t>
            </w:r>
          </w:p>
        </w:tc>
      </w:tr>
      <w:tr w:rsidR="00955622" w:rsidRPr="002B56A6" w14:paraId="42C103AC" w14:textId="77777777" w:rsidTr="00726B76">
        <w:trPr>
          <w:cantSplit/>
        </w:trPr>
        <w:tc>
          <w:tcPr>
            <w:tcW w:w="3027" w:type="dxa"/>
          </w:tcPr>
          <w:p w14:paraId="4DACB74E" w14:textId="77777777" w:rsidR="00955622" w:rsidRPr="00A0565F" w:rsidRDefault="00955622" w:rsidP="00955622">
            <w:pPr>
              <w:pStyle w:val="ListParagraph"/>
              <w:widowControl/>
              <w:numPr>
                <w:ilvl w:val="0"/>
                <w:numId w:val="41"/>
              </w:numPr>
            </w:pPr>
            <w:r w:rsidRPr="00A0565F">
              <w:t xml:space="preserve"> IGPE LP</w:t>
            </w:r>
          </w:p>
        </w:tc>
        <w:tc>
          <w:tcPr>
            <w:tcW w:w="1468" w:type="dxa"/>
          </w:tcPr>
          <w:p w14:paraId="7600FBE2" w14:textId="77777777" w:rsidR="00955622" w:rsidRPr="00A0565F" w:rsidRDefault="00955622" w:rsidP="00136E77">
            <w:pPr>
              <w:jc w:val="center"/>
            </w:pPr>
            <w:r w:rsidRPr="00DC075C">
              <w:t>Guernsey</w:t>
            </w:r>
          </w:p>
        </w:tc>
        <w:tc>
          <w:tcPr>
            <w:tcW w:w="1800" w:type="dxa"/>
          </w:tcPr>
          <w:p w14:paraId="1ECBF10F" w14:textId="77777777" w:rsidR="00955622" w:rsidRPr="00A0565F" w:rsidRDefault="00955622" w:rsidP="00136E77">
            <w:pPr>
              <w:jc w:val="center"/>
            </w:pPr>
            <w:r w:rsidRPr="00A0565F">
              <w:t>Limited Partnership</w:t>
            </w:r>
          </w:p>
        </w:tc>
        <w:tc>
          <w:tcPr>
            <w:tcW w:w="1518" w:type="dxa"/>
          </w:tcPr>
          <w:p w14:paraId="10EB8BEB" w14:textId="77777777" w:rsidR="00955622" w:rsidRPr="00A0565F" w:rsidRDefault="00955622" w:rsidP="00136E77">
            <w:pPr>
              <w:jc w:val="center"/>
            </w:pPr>
            <w:r w:rsidRPr="00A0565F">
              <w:t>Investment</w:t>
            </w:r>
          </w:p>
        </w:tc>
        <w:tc>
          <w:tcPr>
            <w:tcW w:w="879" w:type="dxa"/>
          </w:tcPr>
          <w:p w14:paraId="37636414" w14:textId="77777777" w:rsidR="00955622" w:rsidRPr="00A0565F" w:rsidRDefault="00955622" w:rsidP="00136E77">
            <w:pPr>
              <w:rPr>
                <w:sz w:val="20"/>
                <w:szCs w:val="22"/>
              </w:rPr>
            </w:pPr>
            <w:r w:rsidRPr="00A0565F">
              <w:rPr>
                <w:sz w:val="20"/>
                <w:szCs w:val="22"/>
              </w:rPr>
              <w:t>0.33%</w:t>
            </w:r>
          </w:p>
        </w:tc>
        <w:tc>
          <w:tcPr>
            <w:tcW w:w="956" w:type="dxa"/>
          </w:tcPr>
          <w:p w14:paraId="7B032575" w14:textId="77777777" w:rsidR="00955622" w:rsidRPr="00A0565F" w:rsidRDefault="00955622" w:rsidP="00136E77">
            <w:pPr>
              <w:rPr>
                <w:sz w:val="20"/>
                <w:szCs w:val="22"/>
              </w:rPr>
            </w:pPr>
            <w:r>
              <w:rPr>
                <w:sz w:val="20"/>
                <w:szCs w:val="22"/>
              </w:rPr>
              <w:t>70</w:t>
            </w:r>
            <w:r w:rsidRPr="00A0565F">
              <w:rPr>
                <w:sz w:val="20"/>
                <w:szCs w:val="22"/>
              </w:rPr>
              <w:t>%</w:t>
            </w:r>
          </w:p>
        </w:tc>
      </w:tr>
      <w:tr w:rsidR="00955622" w:rsidRPr="002B56A6" w14:paraId="2BFC8947" w14:textId="77777777" w:rsidTr="00726B76">
        <w:trPr>
          <w:cantSplit/>
        </w:trPr>
        <w:tc>
          <w:tcPr>
            <w:tcW w:w="3027" w:type="dxa"/>
          </w:tcPr>
          <w:p w14:paraId="01B6B53B" w14:textId="77777777" w:rsidR="00955622" w:rsidRPr="00A0565F" w:rsidRDefault="00955622" w:rsidP="00955622">
            <w:pPr>
              <w:pStyle w:val="ListParagraph"/>
              <w:widowControl/>
              <w:numPr>
                <w:ilvl w:val="0"/>
                <w:numId w:val="41"/>
              </w:numPr>
            </w:pPr>
            <w:r>
              <w:t xml:space="preserve"> EQT Holdings B.V. </w:t>
            </w:r>
          </w:p>
        </w:tc>
        <w:tc>
          <w:tcPr>
            <w:tcW w:w="1468" w:type="dxa"/>
          </w:tcPr>
          <w:p w14:paraId="59534072" w14:textId="77777777" w:rsidR="00955622" w:rsidRPr="00A0565F" w:rsidRDefault="00955622" w:rsidP="00136E77">
            <w:pPr>
              <w:jc w:val="center"/>
            </w:pPr>
            <w:r w:rsidRPr="00A0565F">
              <w:t>Netherlands</w:t>
            </w:r>
          </w:p>
        </w:tc>
        <w:tc>
          <w:tcPr>
            <w:tcW w:w="1800" w:type="dxa"/>
          </w:tcPr>
          <w:p w14:paraId="69DC2F1A" w14:textId="77777777" w:rsidR="00955622" w:rsidRPr="00A0565F" w:rsidRDefault="00955622" w:rsidP="00136E77">
            <w:pPr>
              <w:jc w:val="center"/>
            </w:pPr>
            <w:r w:rsidRPr="00A0565F">
              <w:t>Limited Liability Corp.</w:t>
            </w:r>
          </w:p>
        </w:tc>
        <w:tc>
          <w:tcPr>
            <w:tcW w:w="1518" w:type="dxa"/>
          </w:tcPr>
          <w:p w14:paraId="3F07F98C" w14:textId="77777777" w:rsidR="00955622" w:rsidRPr="00A0565F" w:rsidRDefault="00955622" w:rsidP="00136E77">
            <w:pPr>
              <w:jc w:val="center"/>
            </w:pPr>
            <w:r w:rsidRPr="00A0565F">
              <w:t>Investment</w:t>
            </w:r>
          </w:p>
        </w:tc>
        <w:tc>
          <w:tcPr>
            <w:tcW w:w="879" w:type="dxa"/>
          </w:tcPr>
          <w:p w14:paraId="2FFD486D" w14:textId="77777777" w:rsidR="00955622" w:rsidRPr="00A0565F" w:rsidRDefault="00955622" w:rsidP="00136E77">
            <w:pPr>
              <w:rPr>
                <w:sz w:val="20"/>
                <w:szCs w:val="22"/>
              </w:rPr>
            </w:pPr>
            <w:r w:rsidRPr="00A0565F">
              <w:rPr>
                <w:sz w:val="20"/>
                <w:szCs w:val="22"/>
              </w:rPr>
              <w:t>0%</w:t>
            </w:r>
          </w:p>
        </w:tc>
        <w:tc>
          <w:tcPr>
            <w:tcW w:w="956" w:type="dxa"/>
          </w:tcPr>
          <w:p w14:paraId="22D04BE6" w14:textId="77777777" w:rsidR="00955622" w:rsidRPr="00A0565F" w:rsidRDefault="00955622" w:rsidP="00136E77">
            <w:pPr>
              <w:rPr>
                <w:sz w:val="20"/>
                <w:szCs w:val="22"/>
              </w:rPr>
            </w:pPr>
            <w:r>
              <w:rPr>
                <w:sz w:val="20"/>
                <w:szCs w:val="22"/>
              </w:rPr>
              <w:t>100</w:t>
            </w:r>
            <w:r w:rsidRPr="00A0565F">
              <w:rPr>
                <w:sz w:val="20"/>
                <w:szCs w:val="22"/>
              </w:rPr>
              <w:t>%</w:t>
            </w:r>
          </w:p>
        </w:tc>
      </w:tr>
    </w:tbl>
    <w:p w14:paraId="5A118A60" w14:textId="77777777" w:rsidR="00955622" w:rsidRPr="00955622" w:rsidRDefault="00955622" w:rsidP="00955622">
      <w:pPr>
        <w:widowControl/>
      </w:pPr>
    </w:p>
    <w:sectPr w:rsidR="00955622" w:rsidRPr="00955622" w:rsidSect="00CB1872">
      <w:headerReference w:type="even" r:id="rId8"/>
      <w:headerReference w:type="default" r:id="rId9"/>
      <w:footerReference w:type="even" r:id="rId10"/>
      <w:footerReference w:type="default" r:id="rId11"/>
      <w:headerReference w:type="first" r:id="rId12"/>
      <w:footerReference w:type="first" r:id="rId13"/>
      <w:endnotePr>
        <w:numFmt w:val="decimal"/>
      </w:endnotePr>
      <w:pgSz w:w="12240" w:h="15840"/>
      <w:pgMar w:top="1260" w:right="1440" w:bottom="720" w:left="1440" w:header="720" w:footer="720"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F41CB0" w14:textId="77777777" w:rsidR="003373C7" w:rsidRDefault="003373C7">
      <w:pPr>
        <w:spacing w:line="20" w:lineRule="exact"/>
      </w:pPr>
    </w:p>
  </w:endnote>
  <w:endnote w:type="continuationSeparator" w:id="0">
    <w:p w14:paraId="7788AC4D" w14:textId="77777777" w:rsidR="003373C7" w:rsidRDefault="003373C7">
      <w:r>
        <w:t xml:space="preserve"> </w:t>
      </w:r>
    </w:p>
  </w:endnote>
  <w:endnote w:type="continuationNotice" w:id="1">
    <w:p w14:paraId="2C09FD81" w14:textId="77777777" w:rsidR="003373C7" w:rsidRDefault="003373C7">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Bold">
    <w:panose1 w:val="02020803070505020304"/>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6B0259" w14:textId="77777777" w:rsidR="003373C7" w:rsidRDefault="003373C7" w:rsidP="0055614C">
    <w:pPr>
      <w:pStyle w:val="Footer"/>
      <w:framePr w:wrap="around" w:vAnchor="text" w:hAnchor="margin" w:xAlign="center" w:y="1"/>
    </w:pPr>
    <w:r>
      <w:fldChar w:fldCharType="begin"/>
    </w:r>
    <w:r>
      <w:instrText xml:space="preserve">PAGE  </w:instrText>
    </w:r>
    <w:r>
      <w:fldChar w:fldCharType="end"/>
    </w:r>
  </w:p>
  <w:p w14:paraId="2F45D4E5" w14:textId="77777777" w:rsidR="003373C7" w:rsidRDefault="003373C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E526C79" w14:textId="77777777" w:rsidR="003373C7" w:rsidRDefault="003373C7" w:rsidP="0055614C">
    <w:pPr>
      <w:pStyle w:val="Footer"/>
      <w:framePr w:wrap="around" w:vAnchor="text" w:hAnchor="margin" w:xAlign="center" w:y="1"/>
    </w:pPr>
    <w:r>
      <w:fldChar w:fldCharType="begin"/>
    </w:r>
    <w:r>
      <w:instrText xml:space="preserve">PAGE  </w:instrText>
    </w:r>
    <w:r>
      <w:fldChar w:fldCharType="separate"/>
    </w:r>
    <w:r w:rsidR="00736611">
      <w:rPr>
        <w:noProof/>
      </w:rPr>
      <w:t>2</w:t>
    </w:r>
    <w:r>
      <w:fldChar w:fldCharType="end"/>
    </w:r>
  </w:p>
  <w:p w14:paraId="4B1834E0" w14:textId="77777777" w:rsidR="003373C7" w:rsidRDefault="003373C7">
    <w:pPr>
      <w:suppressAutoHyphens/>
      <w:spacing w:line="227" w:lineRule="auto"/>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F5C15" w14:textId="77777777" w:rsidR="003373C7" w:rsidRDefault="003373C7">
    <w:pPr>
      <w:pStyle w:val="Footer"/>
      <w:tabs>
        <w:tab w:val="clear" w:pos="864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13A2B8" w14:textId="77777777" w:rsidR="003373C7" w:rsidRDefault="003373C7">
      <w:r>
        <w:separator/>
      </w:r>
    </w:p>
  </w:footnote>
  <w:footnote w:type="continuationSeparator" w:id="0">
    <w:p w14:paraId="5735530A" w14:textId="77777777" w:rsidR="003373C7" w:rsidRDefault="003373C7" w:rsidP="00C721AC">
      <w:pPr>
        <w:spacing w:before="120"/>
        <w:rPr>
          <w:sz w:val="20"/>
        </w:rPr>
      </w:pPr>
      <w:r>
        <w:rPr>
          <w:sz w:val="20"/>
        </w:rPr>
        <w:t xml:space="preserve">(Continued from previous page)  </w:t>
      </w:r>
      <w:r>
        <w:rPr>
          <w:sz w:val="20"/>
        </w:rPr>
        <w:separator/>
      </w:r>
    </w:p>
  </w:footnote>
  <w:footnote w:type="continuationNotice" w:id="1">
    <w:p w14:paraId="56D57AED" w14:textId="77777777" w:rsidR="003373C7" w:rsidRDefault="003373C7" w:rsidP="00C721AC">
      <w:pPr>
        <w:jc w:val="right"/>
        <w:rPr>
          <w:sz w:val="20"/>
        </w:rPr>
      </w:pPr>
      <w:r>
        <w:rPr>
          <w:sz w:val="20"/>
        </w:rPr>
        <w:t>(continued….)</w:t>
      </w:r>
    </w:p>
  </w:footnote>
  <w:footnote w:id="2">
    <w:p w14:paraId="2CF3ED27" w14:textId="77777777" w:rsidR="003373C7" w:rsidRDefault="003373C7" w:rsidP="00896F2D">
      <w:pPr>
        <w:pStyle w:val="FootnoteText"/>
      </w:pPr>
      <w:r w:rsidRPr="007968F7">
        <w:rPr>
          <w:rStyle w:val="FootnoteReference"/>
        </w:rPr>
        <w:footnoteRef/>
      </w:r>
      <w:r w:rsidRPr="007968F7">
        <w:t xml:space="preserve"> </w:t>
      </w:r>
      <w:r>
        <w:t>47 U.S.C. § 310(b)(4).</w:t>
      </w:r>
    </w:p>
  </w:footnote>
  <w:footnote w:id="3">
    <w:p w14:paraId="21ABB980" w14:textId="2E137DF7" w:rsidR="003373C7" w:rsidRDefault="003373C7" w:rsidP="00712F74">
      <w:pPr>
        <w:pStyle w:val="FootnoteText"/>
      </w:pPr>
      <w:r>
        <w:rPr>
          <w:rStyle w:val="FootnoteReference"/>
        </w:rPr>
        <w:footnoteRef/>
      </w:r>
      <w:r>
        <w:t xml:space="preserve"> </w:t>
      </w:r>
      <w:r w:rsidRPr="00BB4709">
        <w:rPr>
          <w:i/>
          <w:color w:val="010101"/>
        </w:rPr>
        <w:t>Policies Regarding Mobile Spectrum Holdings; Expanding the Economic and Innovation Opportunities of Spectrum Through Incentive Auctions</w:t>
      </w:r>
      <w:r w:rsidRPr="00D97728">
        <w:rPr>
          <w:color w:val="010101"/>
        </w:rPr>
        <w:t xml:space="preserve">, WT Docket No. 12-269, GN Docket No. 12-268, </w:t>
      </w:r>
      <w:r w:rsidRPr="00BB4709">
        <w:rPr>
          <w:iCs/>
          <w:color w:val="010101"/>
        </w:rPr>
        <w:t>Report and Order</w:t>
      </w:r>
      <w:r w:rsidRPr="00D97728">
        <w:rPr>
          <w:color w:val="010101"/>
        </w:rPr>
        <w:t xml:space="preserve">, 29 FCC </w:t>
      </w:r>
      <w:r>
        <w:rPr>
          <w:color w:val="010101"/>
        </w:rPr>
        <w:t xml:space="preserve">Rcd </w:t>
      </w:r>
      <w:r w:rsidRPr="00D97728">
        <w:rPr>
          <w:color w:val="010101"/>
        </w:rPr>
        <w:t>613</w:t>
      </w:r>
      <w:r>
        <w:rPr>
          <w:color w:val="010101"/>
        </w:rPr>
        <w:t>3, 6238-40, paras. 282-88 (</w:t>
      </w:r>
      <w:r w:rsidRPr="00D97728">
        <w:rPr>
          <w:color w:val="010101"/>
        </w:rPr>
        <w:t>2014) (</w:t>
      </w:r>
      <w:r w:rsidRPr="00D97728">
        <w:rPr>
          <w:i/>
          <w:iCs/>
          <w:color w:val="010101"/>
        </w:rPr>
        <w:t>Mobile Spectrum Holdings Report and Order</w:t>
      </w:r>
      <w:r w:rsidRPr="00D97728">
        <w:rPr>
          <w:color w:val="010101"/>
        </w:rPr>
        <w:t>)</w:t>
      </w:r>
      <w:r>
        <w:rPr>
          <w:color w:val="010101"/>
        </w:rPr>
        <w:t xml:space="preserve">, </w:t>
      </w:r>
      <w:r w:rsidRPr="0044008A">
        <w:rPr>
          <w:i/>
          <w:color w:val="010101"/>
        </w:rPr>
        <w:t>recon</w:t>
      </w:r>
      <w:r w:rsidRPr="00D97728">
        <w:rPr>
          <w:color w:val="010101"/>
        </w:rPr>
        <w:t>.</w:t>
      </w:r>
      <w:r>
        <w:rPr>
          <w:color w:val="010101"/>
        </w:rPr>
        <w:t xml:space="preserve"> </w:t>
      </w:r>
      <w:r>
        <w:rPr>
          <w:i/>
          <w:color w:val="010101"/>
        </w:rPr>
        <w:t>denied</w:t>
      </w:r>
      <w:r>
        <w:rPr>
          <w:color w:val="010101"/>
        </w:rPr>
        <w:t xml:space="preserve">, </w:t>
      </w:r>
      <w:r w:rsidRPr="00BB4709">
        <w:rPr>
          <w:color w:val="010101"/>
        </w:rPr>
        <w:t>Order on Reconsideration</w:t>
      </w:r>
      <w:r>
        <w:rPr>
          <w:color w:val="010101"/>
        </w:rPr>
        <w:t>, 30 FCC Rcd 8635 (2015).</w:t>
      </w:r>
    </w:p>
  </w:footnote>
  <w:footnote w:id="4">
    <w:p w14:paraId="574609F3" w14:textId="77777777" w:rsidR="003373C7" w:rsidRPr="00266D3F" w:rsidRDefault="003373C7" w:rsidP="00481E26">
      <w:pPr>
        <w:pStyle w:val="FootnoteText"/>
      </w:pPr>
      <w:r>
        <w:rPr>
          <w:rStyle w:val="FootnoteReference"/>
        </w:rPr>
        <w:footnoteRef/>
      </w:r>
      <w:r>
        <w:t xml:space="preserve"> The </w:t>
      </w:r>
      <w:r w:rsidRPr="001A01D5">
        <w:rPr>
          <w:i/>
        </w:rPr>
        <w:t>Mobile Spectrum Holdings Report and Order</w:t>
      </w:r>
      <w:r>
        <w:t xml:space="preserve"> states that the Commission attributes long-term </w:t>
      </w:r>
      <w:r w:rsidRPr="001A01D5">
        <w:rPr>
          <w:i/>
        </w:rPr>
        <w:t>de facto</w:t>
      </w:r>
      <w:r>
        <w:t xml:space="preserve"> transfer spectrum leasing arrangements to both the lessor and the lessee.  </w:t>
      </w:r>
      <w:r w:rsidRPr="00FE03DD">
        <w:rPr>
          <w:i/>
        </w:rPr>
        <w:t>Mobile Spectrum Holdings Report and Order</w:t>
      </w:r>
      <w:r>
        <w:t xml:space="preserve">, 29 FCC Rcd at </w:t>
      </w:r>
      <w:r>
        <w:rPr>
          <w:snapToGrid w:val="0"/>
          <w:color w:val="010101"/>
        </w:rPr>
        <w:t>6245, paras. 301-02.</w:t>
      </w:r>
    </w:p>
  </w:footnote>
  <w:footnote w:id="5">
    <w:p w14:paraId="2E2AA6FC" w14:textId="26B15205" w:rsidR="003373C7" w:rsidRDefault="003373C7" w:rsidP="00264E0C">
      <w:pPr>
        <w:pStyle w:val="FootnoteText"/>
      </w:pPr>
      <w:r>
        <w:rPr>
          <w:rStyle w:val="FootnoteReference"/>
        </w:rPr>
        <w:footnoteRef/>
      </w:r>
      <w:r>
        <w:t xml:space="preserve"> 47 U.S.C. </w:t>
      </w:r>
      <w:r w:rsidRPr="001878D3">
        <w:t>§</w:t>
      </w:r>
      <w:r>
        <w:t xml:space="preserve"> 214(a); Application for International Section 214 Authority Under Section 214 of the Communications Act of 1934, as amended, ITC-214-20150901-00218 (filed September 1, 2015) (Section 214 Application).  Page citations refer to the Section 214 Application as supplemented on </w:t>
      </w:r>
      <w:r w:rsidRPr="00C2484E">
        <w:t>June 15</w:t>
      </w:r>
      <w:r>
        <w:t xml:space="preserve">, 2016; </w:t>
      </w:r>
      <w:r w:rsidRPr="00DE033C">
        <w:t>Letter from K.C. Halm, Counsel, Davis Wright Tremaine LLP, Richard Gibbs, Counsel, David Wright Tremaine LLP, to Marlene H. Dortch, Secretary, FCC (Jun</w:t>
      </w:r>
      <w:r>
        <w:t>e</w:t>
      </w:r>
      <w:r w:rsidRPr="00DE033C">
        <w:t xml:space="preserve"> 15, 2016) (on file in ITC-214-20150901-00218).</w:t>
      </w:r>
      <w:r>
        <w:t xml:space="preserve">   </w:t>
      </w:r>
    </w:p>
  </w:footnote>
  <w:footnote w:id="6">
    <w:p w14:paraId="3554EA0A" w14:textId="7BA448FA" w:rsidR="003373C7" w:rsidRDefault="003373C7" w:rsidP="00264E0C">
      <w:pPr>
        <w:pStyle w:val="FootnoteText"/>
      </w:pPr>
      <w:r>
        <w:rPr>
          <w:rStyle w:val="FootnoteReference"/>
        </w:rPr>
        <w:footnoteRef/>
      </w:r>
      <w:r>
        <w:t xml:space="preserve"> 47 U.S.C. </w:t>
      </w:r>
      <w:r w:rsidRPr="001878D3">
        <w:t>§</w:t>
      </w:r>
      <w:r>
        <w:t xml:space="preserve"> 310(b)(4); Petition for Declaratory Ruling </w:t>
      </w:r>
      <w:r w:rsidRPr="00E766BB">
        <w:t xml:space="preserve">Pursuant to </w:t>
      </w:r>
      <w:r>
        <w:t xml:space="preserve">Section 310(b)(4) of the Communications Act of 1934, as amended, ISP-PDR-20150507-00003 (filed May 7, 2015 and refiled March 11, 2016) (Petition).  Page citations to the Petition refer to the Petition for Declaratory Ruling filed March 11, 2016, as supplemented on </w:t>
      </w:r>
      <w:r w:rsidRPr="00C2484E">
        <w:t>June 15</w:t>
      </w:r>
      <w:r>
        <w:t xml:space="preserve">, 2016; </w:t>
      </w:r>
      <w:r w:rsidRPr="00404750">
        <w:t>Letter from K.C. Halm, Counsel, Davis Wright Tremaine LLP, Richard Gibbs, Counsel, David Wright Tremaine LLP, to Marlene H. Dortch, Secretary, FCC (Jun</w:t>
      </w:r>
      <w:r>
        <w:t>e</w:t>
      </w:r>
      <w:r w:rsidRPr="00404750">
        <w:t xml:space="preserve"> 15, 2016) (on file in ISP-PDR-20150507-00003).</w:t>
      </w:r>
    </w:p>
  </w:footnote>
  <w:footnote w:id="7">
    <w:p w14:paraId="5D6F2C67" w14:textId="40E56F1C" w:rsidR="003373C7" w:rsidRPr="00A5312F" w:rsidRDefault="003373C7" w:rsidP="009E6F3E">
      <w:pPr>
        <w:pStyle w:val="FootnoteText"/>
      </w:pPr>
      <w:r w:rsidRPr="00A5312F">
        <w:rPr>
          <w:rStyle w:val="FootnoteReference"/>
        </w:rPr>
        <w:footnoteRef/>
      </w:r>
      <w:r w:rsidRPr="00A5312F">
        <w:t xml:space="preserve"> AT&amp;T Inc., </w:t>
      </w:r>
      <w:r>
        <w:t xml:space="preserve">2015 </w:t>
      </w:r>
      <w:r w:rsidRPr="00A5312F">
        <w:t xml:space="preserve">SEC Form 10-K, at 1 (filed Feb. </w:t>
      </w:r>
      <w:r w:rsidRPr="00691052">
        <w:t xml:space="preserve">18, 2016), </w:t>
      </w:r>
      <w:hyperlink r:id="rId1" w:history="1">
        <w:r w:rsidRPr="00691052">
          <w:rPr>
            <w:rStyle w:val="Hyperlink"/>
          </w:rPr>
          <w:t>http://www.sec.gov/Archives/edgar/data/732717/000073271716000147/ye15_10k.htm</w:t>
        </w:r>
      </w:hyperlink>
      <w:r w:rsidRPr="00691052">
        <w:t>.</w:t>
      </w:r>
    </w:p>
  </w:footnote>
  <w:footnote w:id="8">
    <w:p w14:paraId="76ABA974" w14:textId="5895958A" w:rsidR="003373C7" w:rsidRDefault="003373C7">
      <w:pPr>
        <w:pStyle w:val="FootnoteText"/>
      </w:pPr>
      <w:r>
        <w:rPr>
          <w:rStyle w:val="FootnoteReference"/>
        </w:rPr>
        <w:footnoteRef/>
      </w:r>
      <w:r>
        <w:t xml:space="preserve"> Tampnet website, Tampnet in the Gulf of Mexico, </w:t>
      </w:r>
      <w:hyperlink r:id="rId2" w:history="1">
        <w:r w:rsidRPr="00A7080D">
          <w:rPr>
            <w:rStyle w:val="Hyperlink"/>
          </w:rPr>
          <w:t>http://www.tampnet.com/gulf-of-mexico</w:t>
        </w:r>
      </w:hyperlink>
      <w:r>
        <w:t xml:space="preserve"> (last visited July 19, 2016).</w:t>
      </w:r>
    </w:p>
  </w:footnote>
  <w:footnote w:id="9">
    <w:p w14:paraId="659A0497" w14:textId="317EB99F" w:rsidR="003373C7" w:rsidRDefault="003373C7" w:rsidP="00AB4DA9">
      <w:pPr>
        <w:pStyle w:val="FootnoteText"/>
      </w:pPr>
      <w:r>
        <w:rPr>
          <w:rStyle w:val="FootnoteReference"/>
        </w:rPr>
        <w:footnoteRef/>
      </w:r>
      <w:r>
        <w:t xml:space="preserve"> Tampnet Inc. FCC Ownership Report, Form 602, ULS File No. </w:t>
      </w:r>
      <w:r w:rsidRPr="00EA60E0">
        <w:t>0007330945</w:t>
      </w:r>
      <w:r w:rsidRPr="00EA60E0" w:rsidDel="00EA60E0">
        <w:t xml:space="preserve"> </w:t>
      </w:r>
      <w:r>
        <w:t>(filed July 7, 2016).</w:t>
      </w:r>
    </w:p>
  </w:footnote>
  <w:footnote w:id="10">
    <w:p w14:paraId="0F89D79D" w14:textId="55C57980" w:rsidR="003373C7" w:rsidRDefault="003373C7">
      <w:pPr>
        <w:pStyle w:val="FootnoteText"/>
      </w:pPr>
      <w:r>
        <w:rPr>
          <w:rStyle w:val="FootnoteReference"/>
        </w:rPr>
        <w:footnoteRef/>
      </w:r>
      <w:r>
        <w:t xml:space="preserve"> Application To Assign Licenses from Broadpoint Wireless License Co., LLC to Broadpoint Newco, LLC, ULS File No. </w:t>
      </w:r>
      <w:r w:rsidRPr="00404623">
        <w:t>0006893367</w:t>
      </w:r>
      <w:r>
        <w:t xml:space="preserve"> (Tampnet Application), Exhibit 1 – Description of Transaction and Public Interest Statement at 2 (Tampnet Public Interest Statement).</w:t>
      </w:r>
    </w:p>
  </w:footnote>
  <w:footnote w:id="11">
    <w:p w14:paraId="79C471A8" w14:textId="6BEC2732" w:rsidR="003373C7" w:rsidRDefault="003373C7">
      <w:pPr>
        <w:pStyle w:val="FootnoteText"/>
      </w:pPr>
      <w:r>
        <w:rPr>
          <w:rStyle w:val="FootnoteReference"/>
        </w:rPr>
        <w:footnoteRef/>
      </w:r>
      <w:r>
        <w:t xml:space="preserve"> Broadpoint website, About Broadpoint, </w:t>
      </w:r>
      <w:hyperlink r:id="rId3" w:history="1">
        <w:r w:rsidRPr="00A7080D">
          <w:rPr>
            <w:rStyle w:val="Hyperlink"/>
          </w:rPr>
          <w:t>http://www.broadpointinc.com/about-us</w:t>
        </w:r>
      </w:hyperlink>
      <w:r>
        <w:t xml:space="preserve"> (last visited July 19, 2016).</w:t>
      </w:r>
    </w:p>
  </w:footnote>
  <w:footnote w:id="12">
    <w:p w14:paraId="3A6B3206" w14:textId="4DF6EC0F" w:rsidR="003373C7" w:rsidRDefault="003373C7" w:rsidP="00D45FB7">
      <w:pPr>
        <w:pStyle w:val="FootnoteText"/>
      </w:pPr>
      <w:r>
        <w:rPr>
          <w:rStyle w:val="FootnoteReference"/>
        </w:rPr>
        <w:footnoteRef/>
      </w:r>
      <w:r>
        <w:t xml:space="preserve"> 47 U.S.C. §§ 214(a), 310(d).</w:t>
      </w:r>
    </w:p>
  </w:footnote>
  <w:footnote w:id="13">
    <w:p w14:paraId="7E117EF4" w14:textId="01CDC86A" w:rsidR="003373C7" w:rsidRDefault="003373C7" w:rsidP="005E2F45">
      <w:pPr>
        <w:pStyle w:val="FootnoteText"/>
      </w:pPr>
      <w:r>
        <w:rPr>
          <w:rStyle w:val="FootnoteReference"/>
        </w:rPr>
        <w:footnoteRef/>
      </w:r>
      <w:r>
        <w:t xml:space="preserve"> </w:t>
      </w:r>
      <w:r w:rsidRPr="00404623">
        <w:t xml:space="preserve">The </w:t>
      </w:r>
      <w:r w:rsidRPr="00404623">
        <w:rPr>
          <w:color w:val="010101"/>
        </w:rPr>
        <w:t>Applicants</w:t>
      </w:r>
      <w:r w:rsidRPr="00404623">
        <w:t xml:space="preserve"> filed </w:t>
      </w:r>
      <w:r>
        <w:t>six</w:t>
      </w:r>
      <w:r w:rsidRPr="00404623">
        <w:t xml:space="preserve"> applications, one involving the </w:t>
      </w:r>
      <w:r>
        <w:t>assignment</w:t>
      </w:r>
      <w:r w:rsidRPr="00404623">
        <w:t xml:space="preserve"> of </w:t>
      </w:r>
      <w:r>
        <w:t>licenses</w:t>
      </w:r>
      <w:r w:rsidRPr="00404623">
        <w:t xml:space="preserve"> to AT&amp;T Mobility Spectrum LLC from </w:t>
      </w:r>
      <w:r w:rsidRPr="00404623">
        <w:rPr>
          <w:snapToGrid w:val="0"/>
        </w:rPr>
        <w:t>Broadpoint License Co., LLC</w:t>
      </w:r>
      <w:r w:rsidRPr="00404623">
        <w:t xml:space="preserve"> (ULS File No. </w:t>
      </w:r>
      <w:r w:rsidRPr="00404623">
        <w:rPr>
          <w:snapToGrid w:val="0"/>
          <w:color w:val="000000"/>
        </w:rPr>
        <w:t>0006888586</w:t>
      </w:r>
      <w:r w:rsidRPr="00404623">
        <w:t>, which has been des</w:t>
      </w:r>
      <w:r>
        <w:t>ignated the lead application) (</w:t>
      </w:r>
      <w:r w:rsidRPr="00404623">
        <w:t>AT&amp;T</w:t>
      </w:r>
      <w:r>
        <w:t xml:space="preserve"> Application</w:t>
      </w:r>
      <w:r w:rsidRPr="00404623">
        <w:t xml:space="preserve">), the second </w:t>
      </w:r>
      <w:r w:rsidRPr="00974198">
        <w:t>involving the lease of spectrum</w:t>
      </w:r>
      <w:r w:rsidRPr="00404623">
        <w:t xml:space="preserve"> to </w:t>
      </w:r>
      <w:r w:rsidRPr="00404623">
        <w:rPr>
          <w:snapToGrid w:val="0"/>
        </w:rPr>
        <w:t>Tampnet Licensee LLC</w:t>
      </w:r>
      <w:r w:rsidRPr="00404623">
        <w:t xml:space="preserve"> from </w:t>
      </w:r>
      <w:r w:rsidRPr="00404623">
        <w:rPr>
          <w:snapToGrid w:val="0"/>
        </w:rPr>
        <w:t>AT&amp;T Mobility Spectrum LLC</w:t>
      </w:r>
      <w:r w:rsidRPr="00404623">
        <w:t xml:space="preserve"> (ULS File No. </w:t>
      </w:r>
      <w:r w:rsidRPr="00113D68">
        <w:rPr>
          <w:snapToGrid w:val="0"/>
          <w:color w:val="000000"/>
        </w:rPr>
        <w:t>7035CLNL15</w:t>
      </w:r>
      <w:r>
        <w:rPr>
          <w:snapToGrid w:val="0"/>
          <w:color w:val="000000"/>
        </w:rPr>
        <w:t>; this manual application is attached to ULS File No. 0006888586</w:t>
      </w:r>
      <w:r w:rsidRPr="00404623">
        <w:t>)</w:t>
      </w:r>
      <w:r>
        <w:t xml:space="preserve">, the third involving the assignment of licenses from </w:t>
      </w:r>
      <w:r w:rsidRPr="00404623">
        <w:t>Broadpoint Wireless License Co., LLC</w:t>
      </w:r>
      <w:r>
        <w:t xml:space="preserve">, to </w:t>
      </w:r>
      <w:r w:rsidRPr="00404623">
        <w:rPr>
          <w:snapToGrid w:val="0"/>
        </w:rPr>
        <w:t>Broadpoint Newco, LLC</w:t>
      </w:r>
      <w:r w:rsidRPr="00404623">
        <w:t xml:space="preserve"> </w:t>
      </w:r>
      <w:r>
        <w:t>(</w:t>
      </w:r>
      <w:r w:rsidRPr="00404623">
        <w:t>ULS File No. 0006893367</w:t>
      </w:r>
      <w:r>
        <w:t>)</w:t>
      </w:r>
      <w:r w:rsidRPr="00D01021">
        <w:t>,</w:t>
      </w:r>
      <w:r>
        <w:t xml:space="preserve"> two applications for assignment of earth station authorizations from </w:t>
      </w:r>
      <w:r w:rsidRPr="00404623">
        <w:t>Broadpoint License Co., LLC</w:t>
      </w:r>
      <w:r>
        <w:t xml:space="preserve">, to </w:t>
      </w:r>
      <w:r w:rsidRPr="00404623">
        <w:t>Broadpoint Newco, LLC</w:t>
      </w:r>
      <w:r>
        <w:t xml:space="preserve"> (Newco) (IBFS </w:t>
      </w:r>
      <w:r w:rsidRPr="00404623">
        <w:t>File No</w:t>
      </w:r>
      <w:r>
        <w:t>s</w:t>
      </w:r>
      <w:r w:rsidRPr="00404623">
        <w:t xml:space="preserve">. </w:t>
      </w:r>
      <w:r w:rsidRPr="00113D68">
        <w:t>SES-ASG-20150828-00555</w:t>
      </w:r>
      <w:r>
        <w:t xml:space="preserve"> and </w:t>
      </w:r>
      <w:r w:rsidRPr="00113D68">
        <w:t>SES-ASG-20150828-00565</w:t>
      </w:r>
      <w:r>
        <w:t xml:space="preserve">), and an application for the issuance of an international Section 214 authorization to Tampnet Inc. (File No. ITC-214-20150901-00218) </w:t>
      </w:r>
      <w:r w:rsidRPr="00974198">
        <w:t>(Applications)</w:t>
      </w:r>
      <w:r w:rsidRPr="00404623">
        <w:t>.</w:t>
      </w:r>
      <w:r>
        <w:t xml:space="preserve">  At closing, control of Newco would be transferred, and Newco would become a wholly-owned subsidiary of Tampnet Inc.</w:t>
      </w:r>
    </w:p>
  </w:footnote>
  <w:footnote w:id="14">
    <w:p w14:paraId="03D2B201" w14:textId="1243B805" w:rsidR="003373C7" w:rsidRDefault="003373C7" w:rsidP="00D45FB7">
      <w:pPr>
        <w:pStyle w:val="FootnoteText"/>
      </w:pPr>
      <w:r w:rsidRPr="007968F7">
        <w:rPr>
          <w:rStyle w:val="FootnoteReference"/>
        </w:rPr>
        <w:footnoteRef/>
      </w:r>
      <w:r w:rsidRPr="007968F7">
        <w:t xml:space="preserve"> </w:t>
      </w:r>
      <w:r>
        <w:t xml:space="preserve">47 U.S.C. § 310(b)(4).  </w:t>
      </w:r>
      <w:r w:rsidRPr="00C546D4">
        <w:rPr>
          <w:i/>
        </w:rPr>
        <w:t xml:space="preserve">See </w:t>
      </w:r>
      <w:r w:rsidRPr="00244675">
        <w:t>F</w:t>
      </w:r>
      <w:r>
        <w:t>ile No.</w:t>
      </w:r>
      <w:r w:rsidRPr="00244675">
        <w:t xml:space="preserve"> ISP</w:t>
      </w:r>
      <w:r>
        <w:t>-</w:t>
      </w:r>
      <w:r w:rsidRPr="00244675">
        <w:t>PDR</w:t>
      </w:r>
      <w:r>
        <w:t>-</w:t>
      </w:r>
      <w:r w:rsidRPr="00244675">
        <w:t>20150507</w:t>
      </w:r>
      <w:r>
        <w:t>-</w:t>
      </w:r>
      <w:r w:rsidRPr="00244675">
        <w:t>00003</w:t>
      </w:r>
      <w:r>
        <w:t>.</w:t>
      </w:r>
    </w:p>
  </w:footnote>
  <w:footnote w:id="15">
    <w:p w14:paraId="238D3F14" w14:textId="037F84EA" w:rsidR="003373C7" w:rsidRPr="00C65AD5" w:rsidRDefault="003373C7" w:rsidP="004B2B15">
      <w:pPr>
        <w:pStyle w:val="FootnoteText"/>
      </w:pPr>
      <w:r w:rsidRPr="00C65AD5">
        <w:rPr>
          <w:rStyle w:val="FootnoteReference"/>
        </w:rPr>
        <w:footnoteRef/>
      </w:r>
      <w:r w:rsidRPr="00C65AD5">
        <w:t xml:space="preserve"> </w:t>
      </w:r>
      <w:r>
        <w:t>The Gulf of Mexico Service Area (GMSA) for cellular service is defined as the water area of the Gulf of Mexico bounded on the west, north, and east by the “coastline,” which in turn is defined as “the line of ordinary low water along that portion of the coast which is in direct contact with the open sea, and the line marking the seaward limit of inland waters.”  47 CFR § 22.99.  The GMSA has been divided into two areas for licensing purposes.  These two areas are the GMEZ, which essentially is defined as the GMSA, except for the Gulf of Mexico Coastal Zone (GMCZ).  47 CFR § 22.950(a)(1).  The GMCZ is the geographical area in the GMSA extending twelve nautical miles from the coastlines of Florida and Alabama into the GMSA.  47 CFR § 22.950(a)(2).  As a practical matter, coverage in the GMCZ is currently provided by land-based cellular licensees.</w:t>
      </w:r>
    </w:p>
  </w:footnote>
  <w:footnote w:id="16">
    <w:p w14:paraId="333FE0C3" w14:textId="50304612" w:rsidR="003373C7" w:rsidRPr="008361FB" w:rsidRDefault="003373C7" w:rsidP="00B35B5D">
      <w:pPr>
        <w:widowControl/>
        <w:autoSpaceDE w:val="0"/>
        <w:autoSpaceDN w:val="0"/>
        <w:adjustRightInd w:val="0"/>
        <w:spacing w:after="120"/>
      </w:pPr>
      <w:r w:rsidRPr="0043659B">
        <w:rPr>
          <w:rStyle w:val="FootnoteReference"/>
        </w:rPr>
        <w:footnoteRef/>
      </w:r>
      <w:r w:rsidRPr="00F20E4E">
        <w:rPr>
          <w:sz w:val="20"/>
        </w:rPr>
        <w:t xml:space="preserve"> </w:t>
      </w:r>
      <w:r w:rsidRPr="00586A07">
        <w:rPr>
          <w:sz w:val="20"/>
        </w:rPr>
        <w:t xml:space="preserve">The cellular licenses to be </w:t>
      </w:r>
      <w:r w:rsidRPr="00F460CC">
        <w:rPr>
          <w:sz w:val="20"/>
        </w:rPr>
        <w:t xml:space="preserve">assigned </w:t>
      </w:r>
      <w:r w:rsidRPr="008A477D">
        <w:rPr>
          <w:sz w:val="20"/>
        </w:rPr>
        <w:t xml:space="preserve">by Broadpoint </w:t>
      </w:r>
      <w:r w:rsidRPr="00F460CC">
        <w:rPr>
          <w:sz w:val="20"/>
        </w:rPr>
        <w:t>to AT&amp;T in the proposed transaction are WQWD617 and WQWD618</w:t>
      </w:r>
      <w:r w:rsidRPr="00F20E4E">
        <w:rPr>
          <w:sz w:val="20"/>
        </w:rPr>
        <w:t xml:space="preserve">.  WQWD618 and WQWD617 </w:t>
      </w:r>
      <w:r>
        <w:rPr>
          <w:sz w:val="20"/>
        </w:rPr>
        <w:t xml:space="preserve">cover </w:t>
      </w:r>
      <w:r w:rsidRPr="00F20E4E">
        <w:rPr>
          <w:sz w:val="20"/>
        </w:rPr>
        <w:t xml:space="preserve">the same geographic area in which New Cingular Wireless PCS, LLC, an affiliate of AT&amp;T Mobility, currently leases </w:t>
      </w:r>
      <w:r>
        <w:rPr>
          <w:sz w:val="20"/>
        </w:rPr>
        <w:t xml:space="preserve">25 megahertz of cellular </w:t>
      </w:r>
      <w:r w:rsidRPr="00F20E4E">
        <w:rPr>
          <w:sz w:val="20"/>
        </w:rPr>
        <w:t xml:space="preserve">spectrum from Broadpoint. See FCC Lease IDs L000011377 and L000011378. </w:t>
      </w:r>
      <w:r>
        <w:rPr>
          <w:sz w:val="20"/>
        </w:rPr>
        <w:t xml:space="preserve"> </w:t>
      </w:r>
      <w:r w:rsidRPr="00F20E4E">
        <w:rPr>
          <w:sz w:val="20"/>
        </w:rPr>
        <w:t>At the closing of the transactions, Lease IDs L000011377 and L000011378 will be cancelled.  Public Interest Statement at n.2.</w:t>
      </w:r>
    </w:p>
  </w:footnote>
  <w:footnote w:id="17">
    <w:p w14:paraId="21674C2B" w14:textId="77777777" w:rsidR="003373C7" w:rsidRDefault="003373C7" w:rsidP="001D5EDC">
      <w:pPr>
        <w:pStyle w:val="FootnoteText"/>
      </w:pPr>
      <w:r>
        <w:rPr>
          <w:rStyle w:val="FootnoteReference"/>
        </w:rPr>
        <w:footnoteRef/>
      </w:r>
      <w:r>
        <w:t xml:space="preserve"> </w:t>
      </w:r>
      <w:r w:rsidRPr="009D4CC3">
        <w:t xml:space="preserve">AT&amp;T </w:t>
      </w:r>
      <w:r>
        <w:t>Mobility Spectrum L</w:t>
      </w:r>
      <w:r w:rsidRPr="009D4CC3">
        <w:t xml:space="preserve">LC, </w:t>
      </w:r>
      <w:r>
        <w:t>Tampnet</w:t>
      </w:r>
      <w:r w:rsidRPr="009D4CC3">
        <w:t xml:space="preserve"> </w:t>
      </w:r>
      <w:r>
        <w:t>Inc</w:t>
      </w:r>
      <w:r w:rsidRPr="009D4CC3">
        <w:t>., T</w:t>
      </w:r>
      <w:r>
        <w:t>ampnet</w:t>
      </w:r>
      <w:r w:rsidRPr="009D4CC3">
        <w:t xml:space="preserve"> L</w:t>
      </w:r>
      <w:r>
        <w:t>icensee</w:t>
      </w:r>
      <w:r w:rsidRPr="009D4CC3">
        <w:t xml:space="preserve"> LLC, B</w:t>
      </w:r>
      <w:r>
        <w:t>roadpoint</w:t>
      </w:r>
      <w:r w:rsidRPr="009D4CC3">
        <w:t xml:space="preserve"> L</w:t>
      </w:r>
      <w:r>
        <w:t>icensee</w:t>
      </w:r>
      <w:r w:rsidRPr="009D4CC3">
        <w:t xml:space="preserve"> C</w:t>
      </w:r>
      <w:r>
        <w:t>o</w:t>
      </w:r>
      <w:r w:rsidRPr="009D4CC3">
        <w:t xml:space="preserve">., LLC, </w:t>
      </w:r>
      <w:r>
        <w:t>and</w:t>
      </w:r>
      <w:r w:rsidRPr="009D4CC3">
        <w:t xml:space="preserve"> B</w:t>
      </w:r>
      <w:r>
        <w:t>roadpoint</w:t>
      </w:r>
      <w:r w:rsidRPr="009D4CC3">
        <w:t xml:space="preserve"> W</w:t>
      </w:r>
      <w:r>
        <w:t>ireless</w:t>
      </w:r>
      <w:r w:rsidRPr="009D4CC3">
        <w:t xml:space="preserve"> L</w:t>
      </w:r>
      <w:r>
        <w:t>icensee</w:t>
      </w:r>
      <w:r w:rsidRPr="009D4CC3">
        <w:t xml:space="preserve"> C</w:t>
      </w:r>
      <w:r>
        <w:t>o</w:t>
      </w:r>
      <w:r w:rsidRPr="009D4CC3">
        <w:t>., LLC S</w:t>
      </w:r>
      <w:r>
        <w:t>eek</w:t>
      </w:r>
      <w:r w:rsidRPr="009D4CC3">
        <w:t xml:space="preserve"> FCC G</w:t>
      </w:r>
      <w:r>
        <w:t>rant</w:t>
      </w:r>
      <w:r w:rsidRPr="009D4CC3">
        <w:t xml:space="preserve"> </w:t>
      </w:r>
      <w:r>
        <w:t>of</w:t>
      </w:r>
      <w:r w:rsidRPr="009D4CC3">
        <w:t xml:space="preserve"> </w:t>
      </w:r>
      <w:r>
        <w:t xml:space="preserve">Assignment and Long-term </w:t>
      </w:r>
      <w:r w:rsidRPr="009D4CC3">
        <w:rPr>
          <w:i/>
        </w:rPr>
        <w:t>De Facto</w:t>
      </w:r>
      <w:r w:rsidRPr="009D4CC3">
        <w:t xml:space="preserve"> </w:t>
      </w:r>
      <w:r>
        <w:t>Transfer</w:t>
      </w:r>
      <w:r w:rsidRPr="009D4CC3">
        <w:t xml:space="preserve"> </w:t>
      </w:r>
      <w:r>
        <w:t>Spectrum Leasing Applications Involving Four Cellular</w:t>
      </w:r>
      <w:r w:rsidRPr="009D4CC3">
        <w:t xml:space="preserve">, </w:t>
      </w:r>
      <w:r>
        <w:t>Two</w:t>
      </w:r>
      <w:r w:rsidRPr="009D4CC3">
        <w:t xml:space="preserve"> </w:t>
      </w:r>
      <w:r>
        <w:t>Advanced</w:t>
      </w:r>
      <w:r w:rsidRPr="009D4CC3">
        <w:t xml:space="preserve"> </w:t>
      </w:r>
      <w:r>
        <w:t>Wireless</w:t>
      </w:r>
      <w:r w:rsidRPr="009D4CC3">
        <w:t xml:space="preserve"> </w:t>
      </w:r>
      <w:r>
        <w:t>Services</w:t>
      </w:r>
      <w:r w:rsidRPr="009D4CC3">
        <w:t xml:space="preserve">, </w:t>
      </w:r>
      <w:r>
        <w:t>and</w:t>
      </w:r>
      <w:r w:rsidRPr="009D4CC3">
        <w:t xml:space="preserve"> </w:t>
      </w:r>
      <w:r>
        <w:t>Satellite Earth Station Licenses</w:t>
      </w:r>
      <w:r w:rsidRPr="009D4CC3">
        <w:t xml:space="preserve">, </w:t>
      </w:r>
      <w:r>
        <w:t>an International Section</w:t>
      </w:r>
      <w:r w:rsidRPr="009D4CC3">
        <w:t> </w:t>
      </w:r>
      <w:r>
        <w:t>Authorization</w:t>
      </w:r>
      <w:r w:rsidRPr="009D4CC3">
        <w:t xml:space="preserve">, </w:t>
      </w:r>
      <w:r>
        <w:t>and</w:t>
      </w:r>
      <w:r w:rsidRPr="009D4CC3">
        <w:t xml:space="preserve"> </w:t>
      </w:r>
      <w:r>
        <w:t xml:space="preserve">a Foreign Ownership Declaratory Ruling, </w:t>
      </w:r>
      <w:r w:rsidRPr="00A22A87">
        <w:t xml:space="preserve">WT Docket No. </w:t>
      </w:r>
      <w:r>
        <w:t>15-255</w:t>
      </w:r>
      <w:r w:rsidRPr="00A22A87">
        <w:t xml:space="preserve">, </w:t>
      </w:r>
      <w:r w:rsidRPr="00A22A87">
        <w:rPr>
          <w:i/>
        </w:rPr>
        <w:t>Public Notice</w:t>
      </w:r>
      <w:r w:rsidRPr="00A22A87">
        <w:t xml:space="preserve">, </w:t>
      </w:r>
      <w:r>
        <w:t xml:space="preserve">30 FCC Rcd 11574 </w:t>
      </w:r>
      <w:r w:rsidRPr="00A22A87">
        <w:t>(WTB 201</w:t>
      </w:r>
      <w:r>
        <w:t>5) (</w:t>
      </w:r>
      <w:r w:rsidRPr="00A22A87">
        <w:rPr>
          <w:i/>
        </w:rPr>
        <w:t>Accepted for Filing Public Notice</w:t>
      </w:r>
      <w:r>
        <w:t>);</w:t>
      </w:r>
      <w:r w:rsidRPr="00A22A87">
        <w:t xml:space="preserve"> </w:t>
      </w:r>
      <w:r>
        <w:t xml:space="preserve">AT&amp;T </w:t>
      </w:r>
      <w:r w:rsidRPr="00A22A87">
        <w:t>Application, Exhibit 3 – Spectrum Aggregation.</w:t>
      </w:r>
      <w:r>
        <w:t xml:space="preserve">  </w:t>
      </w:r>
    </w:p>
  </w:footnote>
  <w:footnote w:id="18">
    <w:p w14:paraId="12E1C3B9" w14:textId="1CA7A183" w:rsidR="003373C7" w:rsidRPr="004A4D09" w:rsidRDefault="003373C7" w:rsidP="001D5EDC">
      <w:pPr>
        <w:pStyle w:val="FootnoteText"/>
      </w:pPr>
      <w:r>
        <w:rPr>
          <w:rStyle w:val="FootnoteReference"/>
        </w:rPr>
        <w:footnoteRef/>
      </w:r>
      <w:r>
        <w:t xml:space="preserve"> </w:t>
      </w:r>
      <w:r w:rsidRPr="0044008A">
        <w:rPr>
          <w:i/>
        </w:rPr>
        <w:t>Accepted for Filing Public Notice</w:t>
      </w:r>
      <w:r>
        <w:t xml:space="preserve">, 30 FCC Rcd at 11574; AT&amp;T Application, Exhibit 3 – Spectrum Aggregation.  </w:t>
      </w:r>
      <w:r w:rsidRPr="00264B5F">
        <w:t xml:space="preserve">As set out in the docket, the Bureau accepted the </w:t>
      </w:r>
      <w:r w:rsidRPr="00F76CED">
        <w:t>Applications</w:t>
      </w:r>
      <w:r w:rsidRPr="00264B5F">
        <w:t xml:space="preserve"> for filing and established a pleading cycle, released a public notice announcing that Numbering Resource Utilization and Forecast (NRUF) reports and local number portability (LNP) data would be placed into the record and adopted the associated protective order, adopted a protective order covering the submission of confidential and highly confidential information, and sent the Applicants information requests seeking further specific information relating to the proposed transaction.</w:t>
      </w:r>
    </w:p>
  </w:footnote>
  <w:footnote w:id="19">
    <w:p w14:paraId="3F3C817B" w14:textId="3223E4B1" w:rsidR="003373C7" w:rsidRPr="00E952D9" w:rsidRDefault="003373C7" w:rsidP="00D45FB7">
      <w:pPr>
        <w:pStyle w:val="FootnoteText"/>
      </w:pPr>
      <w:r w:rsidRPr="00E952D9">
        <w:rPr>
          <w:rStyle w:val="FootnoteReference"/>
        </w:rPr>
        <w:footnoteRef/>
      </w:r>
      <w:r w:rsidRPr="00E952D9">
        <w:t xml:space="preserve"> </w:t>
      </w:r>
      <w:r>
        <w:t xml:space="preserve">As proposed, </w:t>
      </w:r>
      <w:r w:rsidRPr="00F460CC">
        <w:t>Broadpoint would assign cellular licenses WQWD617 and WQWD618 to AT&amp;T</w:t>
      </w:r>
      <w:r>
        <w:t xml:space="preserve"> in Cellular Market Area (CMA) 306 (the Gulf of Mexico), which in turn would lease 25 megahertz of this spectrum to Tampnet Licensee pursuant to a long-term </w:t>
      </w:r>
      <w:r>
        <w:rPr>
          <w:i/>
        </w:rPr>
        <w:t xml:space="preserve">de facto </w:t>
      </w:r>
      <w:r>
        <w:t xml:space="preserve">transfer spectrum leasing arrangement.  As noted above, </w:t>
      </w:r>
      <w:r w:rsidRPr="00F460CC">
        <w:t>these licenses exclude any area located within the GMCZ.</w:t>
      </w:r>
    </w:p>
  </w:footnote>
  <w:footnote w:id="20">
    <w:p w14:paraId="0F402227" w14:textId="77777777" w:rsidR="003373C7" w:rsidRPr="000D0E12" w:rsidRDefault="003373C7" w:rsidP="00D45FB7">
      <w:pPr>
        <w:pStyle w:val="FootnoteText"/>
      </w:pPr>
      <w:r w:rsidRPr="00C04C9C">
        <w:rPr>
          <w:rStyle w:val="FootnoteReference"/>
        </w:rPr>
        <w:footnoteRef/>
      </w:r>
      <w:r w:rsidRPr="00C04C9C">
        <w:t xml:space="preserve"> </w:t>
      </w:r>
      <w:r>
        <w:t>These cellular licenses are KNKA411 and KNKA412.</w:t>
      </w:r>
    </w:p>
  </w:footnote>
  <w:footnote w:id="21">
    <w:p w14:paraId="4F5A1D0D" w14:textId="58F087E4" w:rsidR="003373C7" w:rsidRPr="00CD2C87" w:rsidRDefault="003373C7">
      <w:pPr>
        <w:pStyle w:val="FootnoteText"/>
      </w:pPr>
      <w:r>
        <w:rPr>
          <w:rStyle w:val="FootnoteReference"/>
        </w:rPr>
        <w:footnoteRef/>
      </w:r>
      <w:r>
        <w:t xml:space="preserve"> </w:t>
      </w:r>
      <w:r>
        <w:rPr>
          <w:i/>
        </w:rPr>
        <w:t>Accepted for Filing Public Notice</w:t>
      </w:r>
      <w:r>
        <w:t>, 30 FCC Rcd at 11574.</w:t>
      </w:r>
    </w:p>
  </w:footnote>
  <w:footnote w:id="22">
    <w:p w14:paraId="698AB6DF" w14:textId="77777777" w:rsidR="003373C7" w:rsidRDefault="003373C7" w:rsidP="008B79FF">
      <w:pPr>
        <w:pStyle w:val="FootnoteText"/>
      </w:pPr>
      <w:r w:rsidRPr="00D259AF">
        <w:rPr>
          <w:rStyle w:val="FootnoteReference"/>
        </w:rPr>
        <w:footnoteRef/>
      </w:r>
      <w:r w:rsidRPr="00D259AF">
        <w:t xml:space="preserve"> </w:t>
      </w:r>
      <w:r>
        <w:t>47 U.S.C. § 310(b)(4).</w:t>
      </w:r>
    </w:p>
  </w:footnote>
  <w:footnote w:id="23">
    <w:p w14:paraId="09968B9E" w14:textId="71C2BCFC" w:rsidR="003373C7" w:rsidRDefault="003373C7" w:rsidP="008B79FF">
      <w:pPr>
        <w:pStyle w:val="FootnoteText"/>
      </w:pPr>
      <w:r w:rsidRPr="00D259AF">
        <w:rPr>
          <w:rStyle w:val="FootnoteReference"/>
        </w:rPr>
        <w:footnoteRef/>
      </w:r>
      <w:r>
        <w:t xml:space="preserve"> </w:t>
      </w:r>
      <w:r w:rsidRPr="00E579FF">
        <w:t xml:space="preserve">47 </w:t>
      </w:r>
      <w:r>
        <w:t>CFR</w:t>
      </w:r>
      <w:r w:rsidRPr="00E579FF">
        <w:t xml:space="preserve"> § 1.990(a)(1).  The petition for a declaratory ruling has been assigned the following file number:</w:t>
      </w:r>
      <w:r>
        <w:t xml:space="preserve">  ISP</w:t>
      </w:r>
      <w:r>
        <w:noBreakHyphen/>
      </w:r>
      <w:r w:rsidRPr="00E579FF">
        <w:t>PDR</w:t>
      </w:r>
      <w:r>
        <w:noBreakHyphen/>
      </w:r>
      <w:r w:rsidRPr="00E579FF">
        <w:t>20150507</w:t>
      </w:r>
      <w:r>
        <w:noBreakHyphen/>
      </w:r>
      <w:r w:rsidRPr="00E579FF">
        <w:t>00003.</w:t>
      </w:r>
      <w:r>
        <w:rPr>
          <w:sz w:val="22"/>
          <w:szCs w:val="22"/>
        </w:rPr>
        <w:t xml:space="preserve"> </w:t>
      </w:r>
    </w:p>
  </w:footnote>
  <w:footnote w:id="24">
    <w:p w14:paraId="692AD51E" w14:textId="485335B6" w:rsidR="003373C7" w:rsidRPr="001878D3" w:rsidRDefault="003373C7" w:rsidP="00DE2E88">
      <w:pPr>
        <w:pStyle w:val="FootnoteText"/>
      </w:pPr>
      <w:r w:rsidRPr="001878D3">
        <w:rPr>
          <w:rStyle w:val="FootnoteReference"/>
        </w:rPr>
        <w:footnoteRef/>
      </w:r>
      <w:r w:rsidRPr="001878D3">
        <w:t xml:space="preserve"> Letter from</w:t>
      </w:r>
      <w:r>
        <w:t xml:space="preserve"> Hunter P. Deeley</w:t>
      </w:r>
      <w:r w:rsidRPr="001878D3">
        <w:t xml:space="preserve">, </w:t>
      </w:r>
      <w:r>
        <w:t>Law Clerk</w:t>
      </w:r>
      <w:r w:rsidRPr="001878D3">
        <w:t>, DOJ, to Marlene H. Dortch, Secretary, FCC</w:t>
      </w:r>
      <w:r>
        <w:t xml:space="preserve">, </w:t>
      </w:r>
      <w:r w:rsidRPr="00DE033C">
        <w:t>WT Docket No. 15-255</w:t>
      </w:r>
      <w:r>
        <w:t xml:space="preserve">, </w:t>
      </w:r>
      <w:r w:rsidRPr="00A66B22">
        <w:t>ITC-214-20150901-00218</w:t>
      </w:r>
      <w:r>
        <w:t xml:space="preserve">, </w:t>
      </w:r>
      <w:r w:rsidRPr="00404750">
        <w:t>ISP-PDR-20150507-00003</w:t>
      </w:r>
      <w:r>
        <w:t xml:space="preserve"> (filed Nov. 4, 2015).</w:t>
      </w:r>
    </w:p>
  </w:footnote>
  <w:footnote w:id="25">
    <w:p w14:paraId="2B3EC308" w14:textId="08A6D784" w:rsidR="003373C7" w:rsidRPr="001878D3" w:rsidRDefault="003373C7" w:rsidP="00DE2E88">
      <w:pPr>
        <w:pStyle w:val="FootnoteText"/>
      </w:pPr>
      <w:r w:rsidRPr="001878D3">
        <w:rPr>
          <w:rStyle w:val="FootnoteReference"/>
        </w:rPr>
        <w:footnoteRef/>
      </w:r>
      <w:r>
        <w:t xml:space="preserve"> Petition T</w:t>
      </w:r>
      <w:r w:rsidRPr="001878D3">
        <w:t xml:space="preserve">o Adopt Conditions to Authorizations and Licenses of the U.S. Department of Justice, </w:t>
      </w:r>
      <w:r w:rsidRPr="00DE033C">
        <w:t>WT Docket No. 15-255</w:t>
      </w:r>
      <w:r w:rsidRPr="001878D3">
        <w:t xml:space="preserve"> (filed</w:t>
      </w:r>
      <w:r>
        <w:t xml:space="preserve"> June 10, 2016</w:t>
      </w:r>
      <w:r w:rsidRPr="001878D3">
        <w:t>)</w:t>
      </w:r>
      <w:r>
        <w:t xml:space="preserve">, </w:t>
      </w:r>
      <w:hyperlink r:id="rId4" w:history="1">
        <w:r w:rsidRPr="00EF3B05">
          <w:rPr>
            <w:rStyle w:val="Hyperlink"/>
          </w:rPr>
          <w:t>https://ecfsapi.fcc.gov/file/60002112569.pdf</w:t>
        </w:r>
      </w:hyperlink>
      <w:r>
        <w:t xml:space="preserve"> (Petition to Adopt Conditions)</w:t>
      </w:r>
      <w:r w:rsidRPr="001878D3">
        <w:t>.</w:t>
      </w:r>
    </w:p>
  </w:footnote>
  <w:footnote w:id="26">
    <w:p w14:paraId="21CCC94C" w14:textId="25EE7643" w:rsidR="003373C7" w:rsidRDefault="003373C7" w:rsidP="00DE2E88">
      <w:pPr>
        <w:pStyle w:val="FootnoteText"/>
      </w:pPr>
      <w:r>
        <w:rPr>
          <w:rStyle w:val="FootnoteReference"/>
        </w:rPr>
        <w:footnoteRef/>
      </w:r>
      <w:r>
        <w:t xml:space="preserve"> Letter from David Heximer, CEO, Tampnet Inc., and Per Helge Svensson, CEO, Tampnet AS, to John Carlin, Assistant Attorney General for National Security, DOJ (June 8, 2016) (Agreement), </w:t>
      </w:r>
      <w:r w:rsidRPr="00EF3B05">
        <w:rPr>
          <w:color w:val="0000FF"/>
          <w:u w:val="single"/>
        </w:rPr>
        <w:t>https://ecfsapi.fcc.gov/file/60002112570.pdf</w:t>
      </w:r>
      <w:r>
        <w:t>.  The Agreement is attached to the Petition to Adopt Conditions.</w:t>
      </w:r>
    </w:p>
  </w:footnote>
  <w:footnote w:id="27">
    <w:p w14:paraId="433B6D13" w14:textId="77777777" w:rsidR="003373C7" w:rsidRPr="00316A29" w:rsidRDefault="003373C7" w:rsidP="00065B9F">
      <w:pPr>
        <w:pStyle w:val="FootnoteText"/>
      </w:pPr>
      <w:r w:rsidRPr="00316A29">
        <w:rPr>
          <w:rStyle w:val="FootnoteReference"/>
        </w:rPr>
        <w:footnoteRef/>
      </w:r>
      <w:r>
        <w:t xml:space="preserve"> 47 U.S.C. §§ 214, </w:t>
      </w:r>
      <w:r w:rsidRPr="00316A29">
        <w:t xml:space="preserve">310(d). </w:t>
      </w:r>
    </w:p>
  </w:footnote>
  <w:footnote w:id="28">
    <w:p w14:paraId="59D45B2D" w14:textId="7117D533" w:rsidR="003373C7" w:rsidRDefault="003373C7" w:rsidP="00065B9F">
      <w:pPr>
        <w:pStyle w:val="FootnoteText"/>
      </w:pPr>
      <w:r w:rsidRPr="006A195B">
        <w:rPr>
          <w:rStyle w:val="FootnoteReference"/>
        </w:rPr>
        <w:footnoteRef/>
      </w:r>
      <w:r>
        <w:t xml:space="preserve"> </w:t>
      </w:r>
      <w:r w:rsidRPr="00316A29">
        <w:rPr>
          <w:i/>
        </w:rPr>
        <w:t>See</w:t>
      </w:r>
      <w:r w:rsidRPr="004273B0">
        <w:t>,</w:t>
      </w:r>
      <w:r w:rsidRPr="00316A29">
        <w:rPr>
          <w:i/>
        </w:rPr>
        <w:t xml:space="preserve"> e.g.</w:t>
      </w:r>
      <w:r w:rsidRPr="00316A29">
        <w:t xml:space="preserve">, </w:t>
      </w:r>
      <w:r w:rsidRPr="0065748A">
        <w:rPr>
          <w:i/>
        </w:rPr>
        <w:t>Applications of S</w:t>
      </w:r>
      <w:r w:rsidRPr="00B1346E">
        <w:rPr>
          <w:i/>
          <w:spacing w:val="-2"/>
        </w:rPr>
        <w:t>printCom, Inc., Shenandoah Personal Communications, LLC, and NTELOS Holdings Corp. for Consent To Assign Licenses and Spectrum Lease Authorizations and To Transfer Control of Spectrum Lease Authorizations and an International Section 214 Authorization</w:t>
      </w:r>
      <w:r>
        <w:rPr>
          <w:spacing w:val="-2"/>
        </w:rPr>
        <w:t xml:space="preserve">, </w:t>
      </w:r>
      <w:r>
        <w:t>Memorandum Opinion and Order, 31 FCC Rcd 3631, 3634, para. 6 (WTB/IB 2016) (</w:t>
      </w:r>
      <w:r w:rsidRPr="00B1346E">
        <w:rPr>
          <w:i/>
        </w:rPr>
        <w:t>Sprint-Shentel-NTELOS Order</w:t>
      </w:r>
      <w:r>
        <w:t xml:space="preserve">); </w:t>
      </w:r>
      <w:r w:rsidRPr="00BC6B80">
        <w:rPr>
          <w:i/>
        </w:rPr>
        <w:t>Applications of AT&amp;T Inc. and Cellular Properties, Inc. for Consent To Assign Authorizations</w:t>
      </w:r>
      <w:r w:rsidRPr="00574523">
        <w:t xml:space="preserve">, </w:t>
      </w:r>
      <w:r w:rsidRPr="00BC6B80">
        <w:t>Memorandum Opinion and Order</w:t>
      </w:r>
      <w:r w:rsidRPr="00574523">
        <w:t xml:space="preserve">, </w:t>
      </w:r>
      <w:r>
        <w:t>31 FCC Rcd 318</w:t>
      </w:r>
      <w:r w:rsidRPr="00574523">
        <w:t xml:space="preserve">, </w:t>
      </w:r>
      <w:r>
        <w:t xml:space="preserve">319-20, </w:t>
      </w:r>
      <w:r w:rsidRPr="00574523">
        <w:t xml:space="preserve">para. </w:t>
      </w:r>
      <w:r>
        <w:t>4</w:t>
      </w:r>
      <w:r w:rsidRPr="00574523">
        <w:t xml:space="preserve"> (WTB</w:t>
      </w:r>
      <w:r>
        <w:t>,</w:t>
      </w:r>
      <w:r w:rsidRPr="00574523">
        <w:t xml:space="preserve"> IB 2016)</w:t>
      </w:r>
      <w:r>
        <w:t xml:space="preserve"> (</w:t>
      </w:r>
      <w:r w:rsidRPr="00AF7981">
        <w:rPr>
          <w:i/>
        </w:rPr>
        <w:t>AT&amp;T</w:t>
      </w:r>
      <w:r>
        <w:rPr>
          <w:i/>
        </w:rPr>
        <w:t>-</w:t>
      </w:r>
      <w:r w:rsidRPr="00AF7981">
        <w:rPr>
          <w:i/>
        </w:rPr>
        <w:t>CPI Order</w:t>
      </w:r>
      <w:r>
        <w:t xml:space="preserve">); </w:t>
      </w:r>
      <w:r w:rsidRPr="00BC6B80">
        <w:rPr>
          <w:i/>
        </w:rPr>
        <w:t>Applications of AT&amp;T Inc., E.N.M.R</w:t>
      </w:r>
      <w:r>
        <w:rPr>
          <w:i/>
        </w:rPr>
        <w:t>.</w:t>
      </w:r>
      <w:r w:rsidRPr="00BC6B80">
        <w:rPr>
          <w:i/>
        </w:rPr>
        <w:t xml:space="preserve"> Telephone Cooperative, Plateau Telecommunications, Inc., New Mexico RSA 4 East Limited Partnership, and Texas RSA 3 Limited Partnership for Consent To Assign Licenses and Authorizations</w:t>
      </w:r>
      <w:r>
        <w:t xml:space="preserve">, </w:t>
      </w:r>
      <w:r w:rsidRPr="00BC6B80">
        <w:t>Memorandum Opinion and Order</w:t>
      </w:r>
      <w:r>
        <w:t>, 30 FCC Rcd 5107, 5111, para. 8 (2015) (</w:t>
      </w:r>
      <w:r w:rsidRPr="00B61B44">
        <w:rPr>
          <w:i/>
        </w:rPr>
        <w:t>AT&amp;T-Plateau Wireless Order</w:t>
      </w:r>
      <w:r>
        <w:t xml:space="preserve">); </w:t>
      </w:r>
      <w:r w:rsidRPr="00BC6B80">
        <w:rPr>
          <w:i/>
        </w:rPr>
        <w:t>Applications of AT&amp;T Inc., Leap Wireless International, Inc., Cricket License Co., LLC and Leap Licenseco, Inc. for Consent To Transfer Control and Assign Licenses and Authorizations</w:t>
      </w:r>
      <w:r w:rsidRPr="001800E5">
        <w:t xml:space="preserve">, </w:t>
      </w:r>
      <w:r w:rsidRPr="00BC6B80">
        <w:rPr>
          <w:iCs/>
        </w:rPr>
        <w:t>Memorandum Opinion and Order</w:t>
      </w:r>
      <w:r w:rsidRPr="001800E5">
        <w:t>,</w:t>
      </w:r>
      <w:r w:rsidRPr="001800E5">
        <w:rPr>
          <w:i/>
          <w:iCs/>
        </w:rPr>
        <w:t xml:space="preserve"> </w:t>
      </w:r>
      <w:r>
        <w:t>29 FCC Rcd 2735, 2741</w:t>
      </w:r>
      <w:r>
        <w:noBreakHyphen/>
        <w:t>42,</w:t>
      </w:r>
      <w:r w:rsidRPr="001800E5">
        <w:t xml:space="preserve"> </w:t>
      </w:r>
      <w:r>
        <w:t>para. 13</w:t>
      </w:r>
      <w:r w:rsidRPr="001800E5">
        <w:t xml:space="preserve"> (WTB</w:t>
      </w:r>
      <w:r>
        <w:t>, IB</w:t>
      </w:r>
      <w:r w:rsidRPr="001800E5">
        <w:t xml:space="preserve"> 2014) (</w:t>
      </w:r>
      <w:r w:rsidRPr="001800E5">
        <w:rPr>
          <w:i/>
        </w:rPr>
        <w:t>AT&amp;T-Leap Order</w:t>
      </w:r>
      <w:r w:rsidRPr="001800E5">
        <w:t>)</w:t>
      </w:r>
      <w:r>
        <w:t>.</w:t>
      </w:r>
    </w:p>
  </w:footnote>
  <w:footnote w:id="29">
    <w:p w14:paraId="42BAAF0E" w14:textId="59F0BAC3" w:rsidR="003373C7" w:rsidRDefault="003373C7" w:rsidP="00065B9F">
      <w:pPr>
        <w:pStyle w:val="FootnoteText"/>
      </w:pPr>
      <w:r>
        <w:rPr>
          <w:rStyle w:val="FootnoteReference"/>
        </w:rPr>
        <w:footnoteRef/>
      </w:r>
      <w:r>
        <w:t xml:space="preserve"> Section 310(d) requires that we consider the application as if the proposed assignee were applying for the licenses directly under Section 308 of the Act.  47 U.SC. §§ 308, 310(d).  </w:t>
      </w:r>
      <w:r w:rsidRPr="00A101BD">
        <w:rPr>
          <w:i/>
        </w:rPr>
        <w:t>See</w:t>
      </w:r>
      <w:r w:rsidRPr="000C4720">
        <w:t>,</w:t>
      </w:r>
      <w:r w:rsidRPr="00A101BD">
        <w:rPr>
          <w:i/>
        </w:rPr>
        <w:t xml:space="preserve"> e.g.</w:t>
      </w:r>
      <w:r w:rsidRPr="000C4720">
        <w:t>,</w:t>
      </w:r>
      <w:r>
        <w:t xml:space="preserve"> </w:t>
      </w:r>
      <w:r w:rsidRPr="00B623EB">
        <w:rPr>
          <w:i/>
        </w:rPr>
        <w:t>Sprint-Shentel-NTELOS Order</w:t>
      </w:r>
      <w:r>
        <w:rPr>
          <w:i/>
        </w:rPr>
        <w:t>,</w:t>
      </w:r>
      <w:r>
        <w:t xml:space="preserve"> 31 FCC Rcd at 3634, para. 6 &amp; n.15; </w:t>
      </w:r>
      <w:r w:rsidRPr="00E01895">
        <w:rPr>
          <w:i/>
        </w:rPr>
        <w:t xml:space="preserve"> </w:t>
      </w:r>
      <w:r w:rsidRPr="006E29EF">
        <w:rPr>
          <w:i/>
        </w:rPr>
        <w:t>AT&amp;T-CPI</w:t>
      </w:r>
      <w:r w:rsidRPr="006E29EF">
        <w:t xml:space="preserve"> </w:t>
      </w:r>
      <w:r w:rsidRPr="006E29EF">
        <w:rPr>
          <w:i/>
        </w:rPr>
        <w:t>Order</w:t>
      </w:r>
      <w:r>
        <w:t>, 31 FCC Rcd at 319-20,</w:t>
      </w:r>
      <w:r w:rsidRPr="00075569">
        <w:t xml:space="preserve"> </w:t>
      </w:r>
      <w:r>
        <w:t xml:space="preserve">para. </w:t>
      </w:r>
      <w:r w:rsidRPr="002E274A">
        <w:t>4</w:t>
      </w:r>
      <w:r>
        <w:t xml:space="preserve">; </w:t>
      </w:r>
      <w:r w:rsidRPr="00A101BD">
        <w:rPr>
          <w:i/>
        </w:rPr>
        <w:t>AT&amp;T-Plateau Wireless Order</w:t>
      </w:r>
      <w:r>
        <w:t xml:space="preserve">, </w:t>
      </w:r>
      <w:r w:rsidRPr="00AA7A51">
        <w:t xml:space="preserve">30 FCC Rcd </w:t>
      </w:r>
      <w:r>
        <w:t xml:space="preserve">at </w:t>
      </w:r>
      <w:r w:rsidRPr="00AA7A51">
        <w:t>5111</w:t>
      </w:r>
      <w:r>
        <w:t xml:space="preserve">, para. 8 &amp; n.27; </w:t>
      </w:r>
      <w:r w:rsidRPr="00A101BD">
        <w:rPr>
          <w:i/>
        </w:rPr>
        <w:t>AT&amp;T-Leap Order</w:t>
      </w:r>
      <w:r>
        <w:t>, 29 FCC Rcd at 2741-42, para. 13 &amp; n.45.</w:t>
      </w:r>
    </w:p>
  </w:footnote>
  <w:footnote w:id="30">
    <w:p w14:paraId="0EDA8089" w14:textId="0C74AD71" w:rsidR="003373C7" w:rsidRPr="00316A29" w:rsidRDefault="003373C7" w:rsidP="00065B9F">
      <w:pPr>
        <w:pStyle w:val="FootnoteText"/>
      </w:pPr>
      <w:r w:rsidRPr="00316A29">
        <w:rPr>
          <w:rStyle w:val="FootnoteReference"/>
        </w:rPr>
        <w:footnoteRef/>
      </w:r>
      <w:r w:rsidRPr="00316A29">
        <w:rPr>
          <w:i/>
        </w:rPr>
        <w:t xml:space="preserve"> See, e.g</w:t>
      </w:r>
      <w:r w:rsidRPr="00316A29">
        <w:t>.,</w:t>
      </w:r>
      <w:r w:rsidRPr="00316A29">
        <w:rPr>
          <w:i/>
        </w:rPr>
        <w:t xml:space="preserve"> </w:t>
      </w:r>
      <w:r w:rsidRPr="00B623EB">
        <w:rPr>
          <w:i/>
        </w:rPr>
        <w:t>Sprint-Shentel-NTELOS Order</w:t>
      </w:r>
      <w:r>
        <w:rPr>
          <w:i/>
        </w:rPr>
        <w:t>,</w:t>
      </w:r>
      <w:r>
        <w:t xml:space="preserve"> 31 FCC Rcd at 3634, para. 6; </w:t>
      </w:r>
      <w:r w:rsidRPr="006E29EF">
        <w:rPr>
          <w:i/>
        </w:rPr>
        <w:t>AT&amp;T-CPI</w:t>
      </w:r>
      <w:r w:rsidRPr="006E29EF">
        <w:t xml:space="preserve"> </w:t>
      </w:r>
      <w:r w:rsidRPr="006E29EF">
        <w:rPr>
          <w:i/>
        </w:rPr>
        <w:t>Order</w:t>
      </w:r>
      <w:r>
        <w:rPr>
          <w:i/>
        </w:rPr>
        <w:t xml:space="preserve">, </w:t>
      </w:r>
      <w:r>
        <w:t>31 FCC Rcd at 319-20,</w:t>
      </w:r>
      <w:r w:rsidRPr="00AC1A9B">
        <w:t xml:space="preserve"> </w:t>
      </w:r>
      <w:r>
        <w:t xml:space="preserve">para. </w:t>
      </w:r>
      <w:r w:rsidRPr="002E274A">
        <w:t>4</w:t>
      </w:r>
      <w:r>
        <w:t xml:space="preserve">; </w:t>
      </w:r>
      <w:r w:rsidRPr="009B3B62">
        <w:rPr>
          <w:i/>
        </w:rPr>
        <w:t>AT&amp;T-Plateau Wireless Order</w:t>
      </w:r>
      <w:r>
        <w:t xml:space="preserve">, </w:t>
      </w:r>
      <w:r w:rsidRPr="00B47D44">
        <w:t xml:space="preserve">30 FCC Rcd </w:t>
      </w:r>
      <w:r>
        <w:t xml:space="preserve">at </w:t>
      </w:r>
      <w:r w:rsidRPr="00B47D44">
        <w:t>5111</w:t>
      </w:r>
      <w:r>
        <w:t xml:space="preserve">, para. 8; </w:t>
      </w:r>
      <w:r>
        <w:rPr>
          <w:i/>
        </w:rPr>
        <w:t xml:space="preserve">AT&amp;T-Leap Order, </w:t>
      </w:r>
      <w:r w:rsidRPr="00CF4C4A">
        <w:t>29 FCC Rcd at 2741-42</w:t>
      </w:r>
      <w:r>
        <w:t>,</w:t>
      </w:r>
      <w:r>
        <w:rPr>
          <w:i/>
        </w:rPr>
        <w:t xml:space="preserve"> </w:t>
      </w:r>
      <w:r>
        <w:t>para. 13.</w:t>
      </w:r>
    </w:p>
  </w:footnote>
  <w:footnote w:id="31">
    <w:p w14:paraId="6F81B014" w14:textId="732E79CD" w:rsidR="003373C7" w:rsidRPr="00316A29" w:rsidRDefault="003373C7" w:rsidP="00065B9F">
      <w:pPr>
        <w:pStyle w:val="FootnoteText"/>
      </w:pPr>
      <w:r w:rsidRPr="00316A29">
        <w:rPr>
          <w:rStyle w:val="FootnoteReference"/>
        </w:rPr>
        <w:footnoteRef/>
      </w:r>
      <w:r w:rsidRPr="00316A29">
        <w:rPr>
          <w:i/>
        </w:rPr>
        <w:t xml:space="preserve"> See, e.g</w:t>
      </w:r>
      <w:r w:rsidRPr="00316A29">
        <w:t>.,</w:t>
      </w:r>
      <w:r w:rsidRPr="00316A29">
        <w:rPr>
          <w:i/>
        </w:rPr>
        <w:t xml:space="preserve"> </w:t>
      </w:r>
      <w:r w:rsidRPr="00B623EB">
        <w:rPr>
          <w:i/>
        </w:rPr>
        <w:t>Sprint-Shentel-NTELOS Order</w:t>
      </w:r>
      <w:r>
        <w:rPr>
          <w:i/>
        </w:rPr>
        <w:t>,</w:t>
      </w:r>
      <w:r>
        <w:t xml:space="preserve"> 31 FCC Rcd at 3634, para. 6; </w:t>
      </w:r>
      <w:r w:rsidRPr="006E29EF">
        <w:rPr>
          <w:i/>
        </w:rPr>
        <w:t>AT&amp;T-CPI</w:t>
      </w:r>
      <w:r w:rsidRPr="006E29EF">
        <w:t xml:space="preserve"> </w:t>
      </w:r>
      <w:r w:rsidRPr="006E29EF">
        <w:rPr>
          <w:i/>
        </w:rPr>
        <w:t>Order</w:t>
      </w:r>
      <w:r>
        <w:rPr>
          <w:i/>
        </w:rPr>
        <w:t xml:space="preserve">, </w:t>
      </w:r>
      <w:r>
        <w:t>31 FCC Rcd at 319-20,</w:t>
      </w:r>
      <w:r w:rsidRPr="00AC1A9B">
        <w:t xml:space="preserve"> </w:t>
      </w:r>
      <w:r>
        <w:t xml:space="preserve">para. </w:t>
      </w:r>
      <w:r w:rsidRPr="002E274A">
        <w:t>4</w:t>
      </w:r>
      <w:r>
        <w:t xml:space="preserve">; </w:t>
      </w:r>
      <w:r w:rsidRPr="009B3B62">
        <w:rPr>
          <w:i/>
        </w:rPr>
        <w:t>AT&amp;T-Plateau Wireless Order</w:t>
      </w:r>
      <w:r>
        <w:t xml:space="preserve">, </w:t>
      </w:r>
      <w:r w:rsidRPr="00B47D44">
        <w:t xml:space="preserve">30 FCC Rcd </w:t>
      </w:r>
      <w:r>
        <w:t xml:space="preserve">at </w:t>
      </w:r>
      <w:r w:rsidRPr="00B47D44">
        <w:t>5111</w:t>
      </w:r>
      <w:r>
        <w:t xml:space="preserve">, para. 8; </w:t>
      </w:r>
      <w:r>
        <w:rPr>
          <w:i/>
        </w:rPr>
        <w:t xml:space="preserve">AT&amp;T-Leap Order, </w:t>
      </w:r>
      <w:r w:rsidRPr="00CF4C4A">
        <w:t>29 FCC Rcd at 2741-42</w:t>
      </w:r>
      <w:r>
        <w:t>,</w:t>
      </w:r>
      <w:r>
        <w:rPr>
          <w:i/>
        </w:rPr>
        <w:t xml:space="preserve"> </w:t>
      </w:r>
      <w:r>
        <w:t>para. 13.</w:t>
      </w:r>
    </w:p>
  </w:footnote>
  <w:footnote w:id="32">
    <w:p w14:paraId="5D4CE4D4" w14:textId="769E1730" w:rsidR="003373C7" w:rsidRPr="00C17C92" w:rsidRDefault="003373C7" w:rsidP="00065B9F">
      <w:pPr>
        <w:pStyle w:val="FootnoteText"/>
      </w:pPr>
      <w:r w:rsidRPr="00316A29">
        <w:rPr>
          <w:rStyle w:val="FootnoteReference"/>
        </w:rPr>
        <w:footnoteRef/>
      </w:r>
      <w:r>
        <w:rPr>
          <w:i/>
        </w:rPr>
        <w:t xml:space="preserve"> </w:t>
      </w:r>
      <w:r w:rsidRPr="00316A29">
        <w:rPr>
          <w:i/>
        </w:rPr>
        <w:t>See, e.g</w:t>
      </w:r>
      <w:r w:rsidRPr="00316A29">
        <w:t>.,</w:t>
      </w:r>
      <w:r w:rsidRPr="00316A29">
        <w:rPr>
          <w:i/>
        </w:rPr>
        <w:t xml:space="preserve"> </w:t>
      </w:r>
      <w:r w:rsidRPr="00B623EB">
        <w:rPr>
          <w:i/>
        </w:rPr>
        <w:t>Sprint-Shentel-NTELOS Order</w:t>
      </w:r>
      <w:r>
        <w:rPr>
          <w:i/>
        </w:rPr>
        <w:t>,</w:t>
      </w:r>
      <w:r>
        <w:t xml:space="preserve"> 31 FCC Rcd at 3634, para. 6; </w:t>
      </w:r>
      <w:r w:rsidRPr="006E29EF">
        <w:rPr>
          <w:i/>
        </w:rPr>
        <w:t>AT&amp;T-CPI</w:t>
      </w:r>
      <w:r w:rsidRPr="006E29EF">
        <w:t xml:space="preserve"> </w:t>
      </w:r>
      <w:r w:rsidRPr="006E29EF">
        <w:rPr>
          <w:i/>
        </w:rPr>
        <w:t>Order</w:t>
      </w:r>
      <w:r>
        <w:rPr>
          <w:i/>
        </w:rPr>
        <w:t xml:space="preserve">, </w:t>
      </w:r>
      <w:r>
        <w:t>31 FCC Rcd at 319-20,</w:t>
      </w:r>
      <w:r w:rsidRPr="00AC1A9B">
        <w:t xml:space="preserve"> </w:t>
      </w:r>
      <w:r>
        <w:t xml:space="preserve">para. </w:t>
      </w:r>
      <w:r w:rsidRPr="002E274A">
        <w:t>4</w:t>
      </w:r>
      <w:r>
        <w:t xml:space="preserve">; </w:t>
      </w:r>
      <w:r w:rsidRPr="009B3B62">
        <w:rPr>
          <w:i/>
        </w:rPr>
        <w:t>AT&amp;T-Plateau Wireless Order</w:t>
      </w:r>
      <w:r>
        <w:t xml:space="preserve">, </w:t>
      </w:r>
      <w:r w:rsidRPr="00B47D44">
        <w:t xml:space="preserve">30 FCC Rcd </w:t>
      </w:r>
      <w:r>
        <w:t xml:space="preserve">at </w:t>
      </w:r>
      <w:r w:rsidRPr="00B47D44">
        <w:t>5111</w:t>
      </w:r>
      <w:r>
        <w:t xml:space="preserve">, para. 8; </w:t>
      </w:r>
      <w:r>
        <w:rPr>
          <w:i/>
        </w:rPr>
        <w:t xml:space="preserve">AT&amp;T-Leap Order, </w:t>
      </w:r>
      <w:r w:rsidRPr="00CF4C4A">
        <w:t>29 FCC Rcd at 2741-42</w:t>
      </w:r>
      <w:r>
        <w:t>,</w:t>
      </w:r>
      <w:r>
        <w:rPr>
          <w:i/>
        </w:rPr>
        <w:t xml:space="preserve"> </w:t>
      </w:r>
      <w:r>
        <w:t>para. 13.</w:t>
      </w:r>
    </w:p>
  </w:footnote>
  <w:footnote w:id="33">
    <w:p w14:paraId="69F372B4" w14:textId="7AEBB175" w:rsidR="003373C7" w:rsidRPr="007C34DA" w:rsidRDefault="003373C7" w:rsidP="00065B9F">
      <w:pPr>
        <w:pStyle w:val="FootnoteText"/>
        <w:rPr>
          <w:i/>
        </w:rPr>
      </w:pPr>
      <w:r w:rsidRPr="00316A29">
        <w:rPr>
          <w:rStyle w:val="FootnoteReference"/>
        </w:rPr>
        <w:footnoteRef/>
      </w:r>
      <w:r>
        <w:rPr>
          <w:i/>
        </w:rPr>
        <w:t xml:space="preserve"> </w:t>
      </w:r>
      <w:r w:rsidRPr="00316A29">
        <w:rPr>
          <w:i/>
        </w:rPr>
        <w:t>See, e.g</w:t>
      </w:r>
      <w:r w:rsidRPr="00316A29">
        <w:t>.,</w:t>
      </w:r>
      <w:r w:rsidRPr="00316A29">
        <w:rPr>
          <w:i/>
        </w:rPr>
        <w:t xml:space="preserve"> </w:t>
      </w:r>
      <w:r w:rsidRPr="00B623EB">
        <w:rPr>
          <w:i/>
        </w:rPr>
        <w:t>Sprint-Shentel-NTELOS Order</w:t>
      </w:r>
      <w:r>
        <w:rPr>
          <w:i/>
        </w:rPr>
        <w:t>,</w:t>
      </w:r>
      <w:r>
        <w:t xml:space="preserve"> 31 FCC Rcd at 3634, para. 6; </w:t>
      </w:r>
      <w:r w:rsidRPr="006E29EF">
        <w:rPr>
          <w:i/>
        </w:rPr>
        <w:t>AT&amp;T-CPI</w:t>
      </w:r>
      <w:r w:rsidRPr="006E29EF">
        <w:t xml:space="preserve"> </w:t>
      </w:r>
      <w:r w:rsidRPr="006E29EF">
        <w:rPr>
          <w:i/>
        </w:rPr>
        <w:t>Order</w:t>
      </w:r>
      <w:r>
        <w:rPr>
          <w:i/>
        </w:rPr>
        <w:t xml:space="preserve">, </w:t>
      </w:r>
      <w:r>
        <w:t>31 FCC Rcd at 319-20,</w:t>
      </w:r>
      <w:r w:rsidRPr="00AC1A9B">
        <w:t xml:space="preserve"> </w:t>
      </w:r>
      <w:r>
        <w:t xml:space="preserve">para. </w:t>
      </w:r>
      <w:r w:rsidRPr="002E274A">
        <w:t>4</w:t>
      </w:r>
      <w:r>
        <w:t xml:space="preserve">; </w:t>
      </w:r>
      <w:r w:rsidRPr="009B3B62">
        <w:rPr>
          <w:i/>
        </w:rPr>
        <w:t>AT&amp;T-Plateau Wireless Order</w:t>
      </w:r>
      <w:r>
        <w:t xml:space="preserve">, </w:t>
      </w:r>
      <w:r w:rsidRPr="00B47D44">
        <w:t xml:space="preserve">30 FCC Rcd </w:t>
      </w:r>
      <w:r>
        <w:t xml:space="preserve">at </w:t>
      </w:r>
      <w:r w:rsidRPr="00B47D44">
        <w:t>5111</w:t>
      </w:r>
      <w:r>
        <w:t xml:space="preserve">, para. 8; </w:t>
      </w:r>
      <w:r>
        <w:rPr>
          <w:i/>
        </w:rPr>
        <w:t xml:space="preserve">AT&amp;T-Leap Order, </w:t>
      </w:r>
      <w:r w:rsidRPr="00CF4C4A">
        <w:t>29 FCC Rcd at 2741-42</w:t>
      </w:r>
      <w:r>
        <w:t>,</w:t>
      </w:r>
      <w:r>
        <w:rPr>
          <w:i/>
        </w:rPr>
        <w:t xml:space="preserve"> </w:t>
      </w:r>
      <w:r>
        <w:t>para. 13.</w:t>
      </w:r>
    </w:p>
  </w:footnote>
  <w:footnote w:id="34">
    <w:p w14:paraId="3B844D7D" w14:textId="6D5BDCF9" w:rsidR="003373C7" w:rsidRDefault="003373C7" w:rsidP="00065B9F">
      <w:pPr>
        <w:pStyle w:val="FootnoteText"/>
      </w:pPr>
      <w:r>
        <w:rPr>
          <w:rStyle w:val="FootnoteReference"/>
        </w:rPr>
        <w:footnoteRef/>
      </w:r>
      <w:r>
        <w:t xml:space="preserve"> </w:t>
      </w:r>
      <w:r w:rsidRPr="00316A29">
        <w:rPr>
          <w:i/>
        </w:rPr>
        <w:t>See, e.g</w:t>
      </w:r>
      <w:r w:rsidRPr="00316A29">
        <w:t>.,</w:t>
      </w:r>
      <w:r w:rsidRPr="00316A29">
        <w:rPr>
          <w:i/>
        </w:rPr>
        <w:t xml:space="preserve"> </w:t>
      </w:r>
      <w:r w:rsidRPr="00E8448F">
        <w:rPr>
          <w:i/>
        </w:rPr>
        <w:t xml:space="preserve">Applications of AT&amp;T and DIRECTV for Consent </w:t>
      </w:r>
      <w:r>
        <w:rPr>
          <w:i/>
        </w:rPr>
        <w:t>T</w:t>
      </w:r>
      <w:r w:rsidRPr="00E8448F">
        <w:rPr>
          <w:i/>
        </w:rPr>
        <w:t>o Assign or Transfer Control of Licenses and Authorizations</w:t>
      </w:r>
      <w:r w:rsidRPr="00E8448F">
        <w:t>, Memorandum Opinion and Order, 29 FCC Rcd 9131, 9139</w:t>
      </w:r>
      <w:r>
        <w:t>-41</w:t>
      </w:r>
      <w:r w:rsidRPr="00E8448F">
        <w:t>, para</w:t>
      </w:r>
      <w:r>
        <w:t>s</w:t>
      </w:r>
      <w:r w:rsidRPr="00E8448F">
        <w:t>. 18</w:t>
      </w:r>
      <w:r>
        <w:t>-22</w:t>
      </w:r>
      <w:r w:rsidRPr="00E8448F">
        <w:t xml:space="preserve"> (2015);</w:t>
      </w:r>
      <w:r w:rsidRPr="00E8448F">
        <w:rPr>
          <w:i/>
        </w:rPr>
        <w:t xml:space="preserve"> </w:t>
      </w:r>
      <w:r w:rsidRPr="00DE0232">
        <w:rPr>
          <w:i/>
        </w:rPr>
        <w:t>Applications of GCI Communication Corp., ACS W</w:t>
      </w:r>
      <w:r>
        <w:rPr>
          <w:i/>
        </w:rPr>
        <w:t>ireless License Sub, Inc., ACS of Anchorage License Sub, Inc., and Unicom, Inc. for Consent to Assign Licenses to t</w:t>
      </w:r>
      <w:r w:rsidRPr="00DE0232">
        <w:rPr>
          <w:i/>
        </w:rPr>
        <w:t>he Alaska Wireless Network, LLC</w:t>
      </w:r>
      <w:r w:rsidRPr="00700865">
        <w:t>,</w:t>
      </w:r>
      <w:r>
        <w:rPr>
          <w:i/>
        </w:rPr>
        <w:t xml:space="preserve"> </w:t>
      </w:r>
      <w:r w:rsidRPr="006010BE">
        <w:rPr>
          <w:spacing w:val="-2"/>
        </w:rPr>
        <w:t>Memorandum Opinion and Order and Declaratory Ruling</w:t>
      </w:r>
      <w:r w:rsidRPr="00316A29">
        <w:rPr>
          <w:spacing w:val="-2"/>
        </w:rPr>
        <w:t xml:space="preserve">, </w:t>
      </w:r>
      <w:r w:rsidRPr="00A5312F">
        <w:t xml:space="preserve">28 FCC Rcd </w:t>
      </w:r>
      <w:r>
        <w:t>10433,</w:t>
      </w:r>
      <w:r w:rsidRPr="00A5312F">
        <w:t xml:space="preserve"> 1044</w:t>
      </w:r>
      <w:r>
        <w:t>2-44, paras. 23-27 (2013) (</w:t>
      </w:r>
      <w:r>
        <w:rPr>
          <w:i/>
        </w:rPr>
        <w:t>Alaska Wireless Order)</w:t>
      </w:r>
      <w:r>
        <w:t>.</w:t>
      </w:r>
    </w:p>
  </w:footnote>
  <w:footnote w:id="35">
    <w:p w14:paraId="5D9D960A" w14:textId="77777777" w:rsidR="003373C7" w:rsidRPr="00316A29" w:rsidRDefault="003373C7" w:rsidP="00065B9F">
      <w:pPr>
        <w:pStyle w:val="FootnoteText"/>
      </w:pPr>
      <w:r w:rsidRPr="00316A29">
        <w:rPr>
          <w:rStyle w:val="FootnoteReference"/>
        </w:rPr>
        <w:footnoteRef/>
      </w:r>
      <w:r w:rsidRPr="00316A29">
        <w:rPr>
          <w:i/>
        </w:rPr>
        <w:t xml:space="preserve"> See</w:t>
      </w:r>
      <w:r w:rsidRPr="0002735B">
        <w:t>,</w:t>
      </w:r>
      <w:r w:rsidRPr="00316A29">
        <w:rPr>
          <w:i/>
        </w:rPr>
        <w:t xml:space="preserve"> e.g.</w:t>
      </w:r>
      <w:r w:rsidRPr="00316A29">
        <w:t xml:space="preserve">, </w:t>
      </w:r>
      <w:r w:rsidRPr="006E29EF">
        <w:rPr>
          <w:i/>
        </w:rPr>
        <w:t>AT&amp;T-CPI</w:t>
      </w:r>
      <w:r w:rsidRPr="006E29EF">
        <w:t xml:space="preserve"> </w:t>
      </w:r>
      <w:r w:rsidRPr="006E29EF">
        <w:rPr>
          <w:i/>
        </w:rPr>
        <w:t>Order</w:t>
      </w:r>
      <w:r>
        <w:t>,</w:t>
      </w:r>
      <w:r w:rsidRPr="007327CD">
        <w:t xml:space="preserve"> </w:t>
      </w:r>
      <w:r>
        <w:t>31 FCC Rcd at 320,</w:t>
      </w:r>
      <w:r w:rsidRPr="00AC1A9B">
        <w:t xml:space="preserve"> </w:t>
      </w:r>
      <w:r>
        <w:t xml:space="preserve">para. 5; </w:t>
      </w:r>
      <w:r w:rsidRPr="009B3B62">
        <w:rPr>
          <w:i/>
        </w:rPr>
        <w:t>AT&amp;T-Plateau Wireless Order</w:t>
      </w:r>
      <w:r>
        <w:t xml:space="preserve">, </w:t>
      </w:r>
      <w:r w:rsidRPr="007E1071">
        <w:t>30 FCC Rcd at 5111-12</w:t>
      </w:r>
      <w:r>
        <w:t xml:space="preserve">, para. 9; </w:t>
      </w:r>
      <w:r>
        <w:rPr>
          <w:i/>
        </w:rPr>
        <w:t xml:space="preserve">AT&amp;T-Leap Order, </w:t>
      </w:r>
      <w:r w:rsidRPr="00CF4C4A">
        <w:t xml:space="preserve">29 FCC Rcd at </w:t>
      </w:r>
      <w:r>
        <w:t>2742-43, para. 15.</w:t>
      </w:r>
    </w:p>
  </w:footnote>
  <w:footnote w:id="36">
    <w:p w14:paraId="0191F17A" w14:textId="77777777" w:rsidR="003373C7" w:rsidRPr="00316A29" w:rsidRDefault="003373C7" w:rsidP="00065B9F">
      <w:pPr>
        <w:pStyle w:val="FootnoteText"/>
      </w:pPr>
      <w:r w:rsidRPr="00316A29">
        <w:rPr>
          <w:vertAlign w:val="superscript"/>
        </w:rPr>
        <w:footnoteRef/>
      </w:r>
      <w:r w:rsidRPr="00316A29">
        <w:t xml:space="preserve"> </w:t>
      </w:r>
      <w:r w:rsidRPr="00316A29">
        <w:rPr>
          <w:i/>
        </w:rPr>
        <w:t>See</w:t>
      </w:r>
      <w:r w:rsidRPr="0002735B">
        <w:t>,</w:t>
      </w:r>
      <w:r w:rsidRPr="00316A29">
        <w:rPr>
          <w:i/>
        </w:rPr>
        <w:t xml:space="preserve"> e.g.</w:t>
      </w:r>
      <w:r w:rsidRPr="00316A29">
        <w:t xml:space="preserve">, </w:t>
      </w:r>
      <w:r w:rsidRPr="006E29EF">
        <w:rPr>
          <w:i/>
        </w:rPr>
        <w:t>AT&amp;T-CPI</w:t>
      </w:r>
      <w:r w:rsidRPr="006E29EF">
        <w:t xml:space="preserve"> </w:t>
      </w:r>
      <w:r w:rsidRPr="006E29EF">
        <w:rPr>
          <w:i/>
        </w:rPr>
        <w:t>Order</w:t>
      </w:r>
      <w:r>
        <w:t>,</w:t>
      </w:r>
      <w:r w:rsidRPr="007327CD">
        <w:t xml:space="preserve"> </w:t>
      </w:r>
      <w:r>
        <w:t>31 FCC Rcd at 320,</w:t>
      </w:r>
      <w:r w:rsidRPr="00AC1A9B">
        <w:t xml:space="preserve"> </w:t>
      </w:r>
      <w:r>
        <w:t xml:space="preserve">para. 5; </w:t>
      </w:r>
      <w:r w:rsidRPr="009B3B62">
        <w:rPr>
          <w:i/>
        </w:rPr>
        <w:t>AT&amp;T-Plateau Wireless Order</w:t>
      </w:r>
      <w:r>
        <w:t xml:space="preserve">, </w:t>
      </w:r>
      <w:r w:rsidRPr="007E1071">
        <w:t>30 FCC Rcd at 5111-12</w:t>
      </w:r>
      <w:r>
        <w:t xml:space="preserve">, para. 9; </w:t>
      </w:r>
      <w:r>
        <w:rPr>
          <w:i/>
        </w:rPr>
        <w:t xml:space="preserve">AT&amp;T-Leap Order, </w:t>
      </w:r>
      <w:r w:rsidRPr="00CF4C4A">
        <w:t xml:space="preserve">29 FCC Rcd at </w:t>
      </w:r>
      <w:r>
        <w:t>2742-43, para. 15.</w:t>
      </w:r>
    </w:p>
  </w:footnote>
  <w:footnote w:id="37">
    <w:p w14:paraId="56E981C0" w14:textId="77777777" w:rsidR="003373C7" w:rsidRDefault="003373C7" w:rsidP="00065B9F">
      <w:pPr>
        <w:pStyle w:val="FootnoteText"/>
      </w:pPr>
      <w:r>
        <w:rPr>
          <w:rStyle w:val="FootnoteReference"/>
        </w:rPr>
        <w:footnoteRef/>
      </w:r>
      <w:r>
        <w:t xml:space="preserve"> </w:t>
      </w:r>
      <w:r w:rsidRPr="007E1071">
        <w:rPr>
          <w:i/>
        </w:rPr>
        <w:t xml:space="preserve">See, e.g., </w:t>
      </w:r>
      <w:r w:rsidRPr="006E29EF">
        <w:rPr>
          <w:i/>
        </w:rPr>
        <w:t>AT&amp;T-CPI</w:t>
      </w:r>
      <w:r w:rsidRPr="006E29EF">
        <w:t xml:space="preserve"> </w:t>
      </w:r>
      <w:r w:rsidRPr="006E29EF">
        <w:rPr>
          <w:i/>
        </w:rPr>
        <w:t>Order</w:t>
      </w:r>
      <w:r>
        <w:t>,</w:t>
      </w:r>
      <w:r w:rsidRPr="007327CD">
        <w:t xml:space="preserve"> </w:t>
      </w:r>
      <w:r>
        <w:t>31 FCC Rcd at 320,</w:t>
      </w:r>
      <w:r w:rsidRPr="00AC1A9B">
        <w:t xml:space="preserve"> </w:t>
      </w:r>
      <w:r>
        <w:t xml:space="preserve">para. 5; </w:t>
      </w:r>
      <w:r w:rsidRPr="007E1071">
        <w:rPr>
          <w:i/>
        </w:rPr>
        <w:t>AT&amp;T-Plateau Wireless Order</w:t>
      </w:r>
      <w:r w:rsidRPr="0044008A">
        <w:t>, 30 FCC Rcd at 5111-12</w:t>
      </w:r>
      <w:r>
        <w:t xml:space="preserve">, para. </w:t>
      </w:r>
      <w:r w:rsidRPr="0044008A">
        <w:t>9;</w:t>
      </w:r>
      <w:r w:rsidRPr="007E1071">
        <w:rPr>
          <w:i/>
        </w:rPr>
        <w:t xml:space="preserve"> AT&amp;T-Leap Order</w:t>
      </w:r>
      <w:r w:rsidRPr="0044008A">
        <w:t>, 29 FCC Rcd at 2743-44</w:t>
      </w:r>
      <w:r>
        <w:t xml:space="preserve">, para. </w:t>
      </w:r>
      <w:r w:rsidRPr="0044008A">
        <w:t>16</w:t>
      </w:r>
      <w:r>
        <w:t>.</w:t>
      </w:r>
    </w:p>
  </w:footnote>
  <w:footnote w:id="38">
    <w:p w14:paraId="572397F0" w14:textId="75990E5D" w:rsidR="003373C7" w:rsidRPr="00316A29" w:rsidRDefault="003373C7" w:rsidP="00065B9F">
      <w:pPr>
        <w:pStyle w:val="FootnoteText"/>
      </w:pPr>
      <w:r w:rsidRPr="00316A29">
        <w:rPr>
          <w:rStyle w:val="FootnoteReference"/>
        </w:rPr>
        <w:footnoteRef/>
      </w:r>
      <w:r w:rsidRPr="00316A29">
        <w:t xml:space="preserve"> 47 U.S.C. § 309(e)</w:t>
      </w:r>
      <w:r>
        <w:t xml:space="preserve">; </w:t>
      </w:r>
      <w:r>
        <w:rPr>
          <w:i/>
        </w:rPr>
        <w:t>s</w:t>
      </w:r>
      <w:r w:rsidRPr="00316A29">
        <w:rPr>
          <w:i/>
        </w:rPr>
        <w:t>ee also</w:t>
      </w:r>
      <w:r>
        <w:t xml:space="preserve">, </w:t>
      </w:r>
      <w:r>
        <w:rPr>
          <w:i/>
        </w:rPr>
        <w:t>e.g.</w:t>
      </w:r>
      <w:r>
        <w:t>,</w:t>
      </w:r>
      <w:r w:rsidRPr="004628B5">
        <w:rPr>
          <w:i/>
        </w:rPr>
        <w:t xml:space="preserve"> </w:t>
      </w:r>
      <w:r w:rsidRPr="00B623EB">
        <w:rPr>
          <w:i/>
        </w:rPr>
        <w:t>Sprint-Shentel-NTELOS Order</w:t>
      </w:r>
      <w:r>
        <w:rPr>
          <w:i/>
        </w:rPr>
        <w:t>,</w:t>
      </w:r>
      <w:r>
        <w:t xml:space="preserve"> 31 FCC Rcd at 3635, para. 7; </w:t>
      </w:r>
      <w:r w:rsidRPr="006E29EF">
        <w:rPr>
          <w:i/>
        </w:rPr>
        <w:t>AT&amp;T-CPI</w:t>
      </w:r>
      <w:r w:rsidRPr="006E29EF">
        <w:t xml:space="preserve"> </w:t>
      </w:r>
      <w:r w:rsidRPr="006E29EF">
        <w:rPr>
          <w:i/>
        </w:rPr>
        <w:t>Order</w:t>
      </w:r>
      <w:r>
        <w:t>,</w:t>
      </w:r>
      <w:r w:rsidRPr="007327CD">
        <w:t xml:space="preserve"> </w:t>
      </w:r>
      <w:r>
        <w:t>31 FCC Rcd at 320,</w:t>
      </w:r>
      <w:r w:rsidRPr="00AC1A9B">
        <w:t xml:space="preserve"> </w:t>
      </w:r>
      <w:r>
        <w:t>para. 5;</w:t>
      </w:r>
      <w:r w:rsidRPr="00316A29">
        <w:rPr>
          <w:i/>
        </w:rPr>
        <w:t xml:space="preserve"> </w:t>
      </w:r>
      <w:r w:rsidRPr="009B3B62">
        <w:rPr>
          <w:i/>
        </w:rPr>
        <w:t>AT&amp;T-Plateau Wireless Order</w:t>
      </w:r>
      <w:r>
        <w:t xml:space="preserve">, </w:t>
      </w:r>
      <w:r w:rsidRPr="003C0D62">
        <w:t>30 FCC Rcd at 5111-12</w:t>
      </w:r>
      <w:r>
        <w:t xml:space="preserve">, para. 9; </w:t>
      </w:r>
      <w:r>
        <w:rPr>
          <w:i/>
        </w:rPr>
        <w:t xml:space="preserve">AT&amp;T-Leap Order, </w:t>
      </w:r>
      <w:r w:rsidRPr="00CF4C4A">
        <w:t xml:space="preserve">29 FCC Rcd at </w:t>
      </w:r>
      <w:r>
        <w:t xml:space="preserve">2743, para. 15; </w:t>
      </w:r>
      <w:r w:rsidRPr="00BC6B80">
        <w:rPr>
          <w:i/>
        </w:rPr>
        <w:t>Application of EchoStar Communications Corp., General Motors Corp. and Hughes Electronics Corp., and EchoStar Communications Corp.</w:t>
      </w:r>
      <w:r w:rsidRPr="00796BEF">
        <w:t>,</w:t>
      </w:r>
      <w:r w:rsidRPr="00316A29">
        <w:t xml:space="preserve"> </w:t>
      </w:r>
      <w:r w:rsidRPr="00BC6B80">
        <w:t>Hearing Designation Order</w:t>
      </w:r>
      <w:r w:rsidRPr="00316A29">
        <w:rPr>
          <w:i/>
        </w:rPr>
        <w:t>,</w:t>
      </w:r>
      <w:r>
        <w:t xml:space="preserve"> 17 FCC Rcd 20559, 20574, para. </w:t>
      </w:r>
      <w:r w:rsidRPr="00316A29">
        <w:t>25 (2002).</w:t>
      </w:r>
    </w:p>
  </w:footnote>
  <w:footnote w:id="39">
    <w:p w14:paraId="6E49AF43" w14:textId="65F8ECE2" w:rsidR="003373C7" w:rsidRPr="00A6369B" w:rsidRDefault="003373C7" w:rsidP="00D83443">
      <w:pPr>
        <w:pStyle w:val="FootnoteText"/>
      </w:pPr>
      <w:r w:rsidRPr="0075707B">
        <w:rPr>
          <w:rStyle w:val="FootnoteReference"/>
        </w:rPr>
        <w:footnoteRef/>
      </w:r>
      <w:r w:rsidRPr="0075707B">
        <w:t xml:space="preserve"> </w:t>
      </w:r>
      <w:r w:rsidRPr="00121630">
        <w:t>47 U.S.C. §</w:t>
      </w:r>
      <w:r w:rsidRPr="00A5312F">
        <w:t xml:space="preserve"> 310(d); 47 </w:t>
      </w:r>
      <w:r>
        <w:t>CFR</w:t>
      </w:r>
      <w:r w:rsidRPr="00A5312F">
        <w:t xml:space="preserve"> § 1.948; </w:t>
      </w:r>
      <w:r w:rsidRPr="00B623EB">
        <w:rPr>
          <w:i/>
        </w:rPr>
        <w:t>Sprint-Shentel-NTELOS Order</w:t>
      </w:r>
      <w:r>
        <w:rPr>
          <w:i/>
        </w:rPr>
        <w:t>,</w:t>
      </w:r>
      <w:r>
        <w:t xml:space="preserve"> 31 FCC Rcd at 3635, para. 8;</w:t>
      </w:r>
      <w:r w:rsidRPr="002B192F">
        <w:rPr>
          <w:i/>
        </w:rPr>
        <w:t xml:space="preserve"> </w:t>
      </w:r>
      <w:r w:rsidRPr="009B3B62">
        <w:rPr>
          <w:i/>
        </w:rPr>
        <w:t>AT&amp;T-Plateau Wireless Order</w:t>
      </w:r>
      <w:r>
        <w:t xml:space="preserve">, 30 FCC Rcd at 5112, para. 10; </w:t>
      </w:r>
      <w:r>
        <w:rPr>
          <w:i/>
        </w:rPr>
        <w:t>AT&amp;T-Leap Order</w:t>
      </w:r>
      <w:r w:rsidRPr="00A4055A">
        <w:t xml:space="preserve">, </w:t>
      </w:r>
      <w:r w:rsidRPr="00CF4C4A">
        <w:t xml:space="preserve">29 FCC Rcd at </w:t>
      </w:r>
      <w:r>
        <w:t>2744, para. 17</w:t>
      </w:r>
      <w:r w:rsidRPr="00A4055A">
        <w:t>.</w:t>
      </w:r>
    </w:p>
  </w:footnote>
  <w:footnote w:id="40">
    <w:p w14:paraId="3E7461CC" w14:textId="4E0C6393" w:rsidR="003373C7" w:rsidRPr="00A5312F" w:rsidRDefault="003373C7" w:rsidP="00CB1872">
      <w:pPr>
        <w:pStyle w:val="FootnoteText"/>
      </w:pPr>
      <w:r w:rsidRPr="0075707B">
        <w:rPr>
          <w:rStyle w:val="FootnoteReference"/>
        </w:rPr>
        <w:footnoteRef/>
      </w:r>
      <w:r w:rsidRPr="0075707B">
        <w:t xml:space="preserve"> </w:t>
      </w:r>
      <w:r>
        <w:t xml:space="preserve">For AT&amp;T, </w:t>
      </w:r>
      <w:r>
        <w:rPr>
          <w:i/>
        </w:rPr>
        <w:t>s</w:t>
      </w:r>
      <w:r w:rsidRPr="009F0F3A">
        <w:rPr>
          <w:i/>
        </w:rPr>
        <w:t>ee</w:t>
      </w:r>
      <w:r w:rsidRPr="00121630">
        <w:t xml:space="preserve">, </w:t>
      </w:r>
      <w:r w:rsidRPr="00A5312F">
        <w:rPr>
          <w:i/>
        </w:rPr>
        <w:t>e.g</w:t>
      </w:r>
      <w:r w:rsidRPr="00A5312F">
        <w:t xml:space="preserve">., </w:t>
      </w:r>
      <w:r w:rsidRPr="009B3B62">
        <w:rPr>
          <w:i/>
        </w:rPr>
        <w:t>AT&amp;T-Plateau Wireless Order</w:t>
      </w:r>
      <w:r>
        <w:t xml:space="preserve">, </w:t>
      </w:r>
      <w:r w:rsidRPr="00E600BF">
        <w:t>30 FCC Rcd at 5112-13,</w:t>
      </w:r>
      <w:r>
        <w:t xml:space="preserve"> para. 11; </w:t>
      </w:r>
      <w:r w:rsidRPr="00234B6F">
        <w:rPr>
          <w:i/>
        </w:rPr>
        <w:t>AT</w:t>
      </w:r>
      <w:r>
        <w:rPr>
          <w:i/>
        </w:rPr>
        <w:t xml:space="preserve">&amp;T-Leap Order, </w:t>
      </w:r>
      <w:r w:rsidRPr="00CF4C4A">
        <w:t xml:space="preserve">29 FCC Rcd at </w:t>
      </w:r>
      <w:r w:rsidRPr="00C72303">
        <w:t>2745,</w:t>
      </w:r>
      <w:r>
        <w:t xml:space="preserve"> para. </w:t>
      </w:r>
      <w:r w:rsidRPr="0021498C">
        <w:t>19</w:t>
      </w:r>
      <w:r w:rsidRPr="003E7B6B">
        <w:t>.</w:t>
      </w:r>
      <w:r>
        <w:t xml:space="preserve">  For Tampnet, </w:t>
      </w:r>
      <w:r>
        <w:rPr>
          <w:i/>
        </w:rPr>
        <w:t>s</w:t>
      </w:r>
      <w:r w:rsidRPr="00620A04">
        <w:rPr>
          <w:i/>
        </w:rPr>
        <w:t>ee</w:t>
      </w:r>
      <w:r>
        <w:t xml:space="preserve">, </w:t>
      </w:r>
      <w:r>
        <w:rPr>
          <w:i/>
        </w:rPr>
        <w:t>e.g.</w:t>
      </w:r>
      <w:r>
        <w:t xml:space="preserve">, ULS </w:t>
      </w:r>
      <w:r w:rsidRPr="0091730B">
        <w:t>Microwave Industrial/Business Pool License</w:t>
      </w:r>
      <w:r>
        <w:t xml:space="preserve"> </w:t>
      </w:r>
      <w:r w:rsidRPr="0091730B">
        <w:t>WQKF526</w:t>
      </w:r>
      <w:r>
        <w:t xml:space="preserve">, one of 43 Microwave Industrial/Business Pool Licenses held by Tampnet; </w:t>
      </w:r>
      <w:r w:rsidRPr="0091730B">
        <w:t>3650-3700 MHz License WQHV537</w:t>
      </w:r>
      <w:r>
        <w:t>.</w:t>
      </w:r>
    </w:p>
  </w:footnote>
  <w:footnote w:id="41">
    <w:p w14:paraId="11D894B9" w14:textId="2E937A6F" w:rsidR="003373C7" w:rsidRDefault="003373C7" w:rsidP="00561EB8">
      <w:pPr>
        <w:pStyle w:val="FootnoteText"/>
      </w:pPr>
      <w:r>
        <w:rPr>
          <w:rStyle w:val="FootnoteReference"/>
        </w:rPr>
        <w:footnoteRef/>
      </w:r>
      <w:r>
        <w:t xml:space="preserve"> 47 U.S.C. § 310(d); 47 CFR § 1.948.</w:t>
      </w:r>
    </w:p>
  </w:footnote>
  <w:footnote w:id="42">
    <w:p w14:paraId="5EAD914C" w14:textId="3CFDEDBE" w:rsidR="003373C7" w:rsidRDefault="003373C7">
      <w:pPr>
        <w:pStyle w:val="FootnoteText"/>
      </w:pPr>
      <w:r>
        <w:rPr>
          <w:rStyle w:val="FootnoteReference"/>
        </w:rPr>
        <w:footnoteRef/>
      </w:r>
      <w:r>
        <w:t xml:space="preserve"> Response</w:t>
      </w:r>
      <w:r>
        <w:rPr>
          <w:bCs/>
          <w:szCs w:val="22"/>
        </w:rPr>
        <w:t xml:space="preserve"> of Tampnet</w:t>
      </w:r>
      <w:r>
        <w:rPr>
          <w:color w:val="010101"/>
        </w:rPr>
        <w:t xml:space="preserve"> Inc. to the General Information Request Dated October 23, 2015, WT Docket No. 15-255, at 3 (Nov. 13, 2015) </w:t>
      </w:r>
      <w:r>
        <w:t xml:space="preserve">(Tampnet </w:t>
      </w:r>
      <w:r w:rsidRPr="00393AE0">
        <w:t>Information Request</w:t>
      </w:r>
      <w:r>
        <w:t xml:space="preserve"> Response).</w:t>
      </w:r>
    </w:p>
  </w:footnote>
  <w:footnote w:id="43">
    <w:p w14:paraId="06061384" w14:textId="4E2E8E61" w:rsidR="003373C7" w:rsidRDefault="003373C7">
      <w:pPr>
        <w:pStyle w:val="FootnoteText"/>
      </w:pPr>
      <w:r>
        <w:rPr>
          <w:rStyle w:val="FootnoteReference"/>
        </w:rPr>
        <w:footnoteRef/>
      </w:r>
      <w:r>
        <w:t xml:space="preserve"> Tampnet Public Interest Statement at 1.</w:t>
      </w:r>
    </w:p>
  </w:footnote>
  <w:footnote w:id="44">
    <w:p w14:paraId="6AEDB4C2" w14:textId="2159D5E1" w:rsidR="003373C7" w:rsidRDefault="003373C7">
      <w:pPr>
        <w:pStyle w:val="FootnoteText"/>
      </w:pPr>
      <w:r>
        <w:rPr>
          <w:rStyle w:val="FootnoteReference"/>
        </w:rPr>
        <w:footnoteRef/>
      </w:r>
      <w:r>
        <w:t xml:space="preserve"> </w:t>
      </w:r>
      <w:r w:rsidRPr="001B1A80">
        <w:rPr>
          <w:i/>
        </w:rPr>
        <w:t>Id.</w:t>
      </w:r>
      <w:r>
        <w:t xml:space="preserve"> at 1-2.</w:t>
      </w:r>
    </w:p>
  </w:footnote>
  <w:footnote w:id="45">
    <w:p w14:paraId="5E59F780" w14:textId="4DADD9B4" w:rsidR="003373C7" w:rsidRDefault="003373C7">
      <w:pPr>
        <w:pStyle w:val="FootnoteText"/>
      </w:pPr>
      <w:r>
        <w:rPr>
          <w:rStyle w:val="FootnoteReference"/>
        </w:rPr>
        <w:footnoteRef/>
      </w:r>
      <w:r>
        <w:t xml:space="preserve"> Tampnet </w:t>
      </w:r>
      <w:r w:rsidRPr="00393AE0">
        <w:t>Information Request</w:t>
      </w:r>
      <w:r>
        <w:t xml:space="preserve"> Response at 3-4.</w:t>
      </w:r>
    </w:p>
  </w:footnote>
  <w:footnote w:id="46">
    <w:p w14:paraId="53F3CE05" w14:textId="1A3FA73A" w:rsidR="003373C7" w:rsidRDefault="003373C7">
      <w:pPr>
        <w:pStyle w:val="FootnoteText"/>
      </w:pPr>
      <w:r>
        <w:rPr>
          <w:rStyle w:val="FootnoteReference"/>
        </w:rPr>
        <w:footnoteRef/>
      </w:r>
      <w:r>
        <w:t xml:space="preserve"> </w:t>
      </w:r>
      <w:r w:rsidRPr="001B1A80">
        <w:rPr>
          <w:i/>
        </w:rPr>
        <w:t>Id.</w:t>
      </w:r>
    </w:p>
  </w:footnote>
  <w:footnote w:id="47">
    <w:p w14:paraId="6ECDE833" w14:textId="3CE09FE6" w:rsidR="003373C7" w:rsidRPr="00CB1872" w:rsidRDefault="003373C7" w:rsidP="00234505">
      <w:pPr>
        <w:pStyle w:val="FootnoteText"/>
      </w:pPr>
      <w:r w:rsidRPr="00A5312F">
        <w:rPr>
          <w:rStyle w:val="FootnoteReference"/>
        </w:rPr>
        <w:footnoteRef/>
      </w:r>
      <w:r w:rsidRPr="00712FEF">
        <w:t xml:space="preserve"> </w:t>
      </w:r>
      <w:r w:rsidRPr="00712FEF">
        <w:rPr>
          <w:i/>
        </w:rPr>
        <w:t>See</w:t>
      </w:r>
      <w:r w:rsidRPr="00A82EC5">
        <w:t>,</w:t>
      </w:r>
      <w:r w:rsidRPr="00712FEF">
        <w:rPr>
          <w:i/>
        </w:rPr>
        <w:t xml:space="preserve"> e.g.</w:t>
      </w:r>
      <w:r w:rsidRPr="0002735B">
        <w:t>,</w:t>
      </w:r>
      <w:r w:rsidRPr="00712FEF">
        <w:rPr>
          <w:i/>
        </w:rPr>
        <w:t xml:space="preserve"> </w:t>
      </w:r>
      <w:r w:rsidRPr="00B623EB">
        <w:rPr>
          <w:i/>
        </w:rPr>
        <w:t>Sprint-Shentel-NTELOS Order</w:t>
      </w:r>
      <w:r>
        <w:rPr>
          <w:i/>
        </w:rPr>
        <w:t>,</w:t>
      </w:r>
      <w:r>
        <w:t xml:space="preserve"> 31 FCC Rcd at 3635, para. 9; </w:t>
      </w:r>
      <w:r w:rsidRPr="009B3B62">
        <w:rPr>
          <w:i/>
        </w:rPr>
        <w:t>AT&amp;T-Plateau Wireless Order</w:t>
      </w:r>
      <w:r>
        <w:t xml:space="preserve">, </w:t>
      </w:r>
      <w:r w:rsidRPr="00C86666">
        <w:t>30 FCC Rcd at 5113,</w:t>
      </w:r>
      <w:r>
        <w:t xml:space="preserve"> para.</w:t>
      </w:r>
      <w:r w:rsidRPr="0002735B">
        <w:t xml:space="preserve"> </w:t>
      </w:r>
      <w:r w:rsidRPr="003E7B6B">
        <w:t>12</w:t>
      </w:r>
      <w:r>
        <w:t xml:space="preserve">; </w:t>
      </w:r>
      <w:r w:rsidRPr="00CB1872">
        <w:rPr>
          <w:i/>
        </w:rPr>
        <w:t>AT&amp;T-Leap Order</w:t>
      </w:r>
      <w:r w:rsidRPr="00CB1872">
        <w:t xml:space="preserve">, 29 FCC Rcd at </w:t>
      </w:r>
      <w:r w:rsidRPr="0021498C">
        <w:t>2745,</w:t>
      </w:r>
      <w:r>
        <w:t xml:space="preserve"> para.</w:t>
      </w:r>
      <w:r w:rsidRPr="003E7B6B">
        <w:t xml:space="preserve"> 20.</w:t>
      </w:r>
    </w:p>
  </w:footnote>
  <w:footnote w:id="48">
    <w:p w14:paraId="6C51D3A0" w14:textId="7BEBD9A7" w:rsidR="003373C7" w:rsidRPr="00A5312F" w:rsidRDefault="003373C7" w:rsidP="00234505">
      <w:pPr>
        <w:pStyle w:val="FootnoteText"/>
      </w:pPr>
      <w:r w:rsidRPr="002F1CEA">
        <w:rPr>
          <w:rStyle w:val="FootnoteReference"/>
        </w:rPr>
        <w:footnoteRef/>
      </w:r>
      <w:r w:rsidRPr="003A73EF">
        <w:t xml:space="preserve"> </w:t>
      </w:r>
      <w:r w:rsidRPr="00C9339C">
        <w:rPr>
          <w:i/>
          <w:iCs/>
        </w:rPr>
        <w:t>See</w:t>
      </w:r>
      <w:r w:rsidRPr="0002735B">
        <w:rPr>
          <w:iCs/>
        </w:rPr>
        <w:t>,</w:t>
      </w:r>
      <w:r w:rsidRPr="00C9339C">
        <w:rPr>
          <w:i/>
          <w:iCs/>
        </w:rPr>
        <w:t xml:space="preserve"> e.g.</w:t>
      </w:r>
      <w:r w:rsidRPr="0002735B">
        <w:rPr>
          <w:iCs/>
        </w:rPr>
        <w:t>,</w:t>
      </w:r>
      <w:r w:rsidRPr="00C9339C">
        <w:rPr>
          <w:i/>
          <w:iCs/>
        </w:rPr>
        <w:t xml:space="preserve"> </w:t>
      </w:r>
      <w:r w:rsidRPr="00B623EB">
        <w:rPr>
          <w:i/>
        </w:rPr>
        <w:t>Sprint-Shentel-NTELOS Order</w:t>
      </w:r>
      <w:r>
        <w:rPr>
          <w:i/>
        </w:rPr>
        <w:t>,</w:t>
      </w:r>
      <w:r>
        <w:t xml:space="preserve"> 31 FCC Rcd at 3636, para. 9; </w:t>
      </w:r>
      <w:r w:rsidRPr="009B3B62">
        <w:rPr>
          <w:i/>
        </w:rPr>
        <w:t>AT&amp;T-Plateau Wireless Order</w:t>
      </w:r>
      <w:r>
        <w:t xml:space="preserve">, </w:t>
      </w:r>
      <w:r w:rsidRPr="00775B65">
        <w:t>30 FCC Rcd at 5113,</w:t>
      </w:r>
      <w:r>
        <w:t xml:space="preserve"> para. 12; </w:t>
      </w:r>
      <w:r>
        <w:rPr>
          <w:i/>
        </w:rPr>
        <w:t>see also</w:t>
      </w:r>
      <w:r w:rsidRPr="00974198">
        <w:t xml:space="preserve"> </w:t>
      </w:r>
      <w:r w:rsidRPr="00A830BF">
        <w:rPr>
          <w:i/>
        </w:rPr>
        <w:t>AT&amp;T-Leap Order</w:t>
      </w:r>
      <w:r>
        <w:t>, 29 FCC Rcd at 2752, 2753, 2755-56, paras. 39, 41, 47.</w:t>
      </w:r>
    </w:p>
  </w:footnote>
  <w:footnote w:id="49">
    <w:p w14:paraId="1A309EEF" w14:textId="31103357" w:rsidR="003373C7" w:rsidRDefault="003373C7" w:rsidP="00234505">
      <w:pPr>
        <w:pStyle w:val="FootnoteText"/>
      </w:pPr>
      <w:r w:rsidRPr="00977B49">
        <w:rPr>
          <w:rStyle w:val="FootnoteReference"/>
        </w:rPr>
        <w:footnoteRef/>
      </w:r>
      <w:r>
        <w:t xml:space="preserve"> </w:t>
      </w:r>
      <w:r w:rsidRPr="0044008A">
        <w:rPr>
          <w:i/>
        </w:rPr>
        <w:t>Mobile Spectrum Holdings Report and Order</w:t>
      </w:r>
      <w:r>
        <w:t>, 29 FCC Rcd at 6223-24, para. 231.</w:t>
      </w:r>
    </w:p>
  </w:footnote>
  <w:footnote w:id="50">
    <w:p w14:paraId="564DE966" w14:textId="66E397CD" w:rsidR="003373C7" w:rsidRPr="003D4B96" w:rsidRDefault="003373C7" w:rsidP="00234505">
      <w:pPr>
        <w:pStyle w:val="FootnoteText"/>
      </w:pPr>
      <w:r>
        <w:rPr>
          <w:rStyle w:val="FootnoteReference"/>
        </w:rPr>
        <w:footnoteRef/>
      </w:r>
      <w:r>
        <w:t xml:space="preserve"> </w:t>
      </w:r>
      <w:r w:rsidR="00E50671">
        <w:rPr>
          <w:i/>
        </w:rPr>
        <w:t>Id.</w:t>
      </w:r>
      <w:r>
        <w:t xml:space="preserve"> at</w:t>
      </w:r>
      <w:r>
        <w:rPr>
          <w:bCs/>
        </w:rPr>
        <w:t xml:space="preserve"> 6240, paras. 286-88; </w:t>
      </w:r>
      <w:r>
        <w:rPr>
          <w:bCs/>
          <w:i/>
        </w:rPr>
        <w:t>see also</w:t>
      </w:r>
      <w:r w:rsidR="00E50671">
        <w:rPr>
          <w:bCs/>
        </w:rPr>
        <w:t>,</w:t>
      </w:r>
      <w:r w:rsidRPr="00974198">
        <w:rPr>
          <w:bCs/>
        </w:rPr>
        <w:t xml:space="preserve"> </w:t>
      </w:r>
      <w:r>
        <w:rPr>
          <w:i/>
        </w:rPr>
        <w:t xml:space="preserve">e.g., </w:t>
      </w:r>
      <w:r>
        <w:rPr>
          <w:i/>
          <w:iCs/>
          <w:snapToGrid w:val="0"/>
        </w:rPr>
        <w:t>AT&amp;T-CPI</w:t>
      </w:r>
      <w:r>
        <w:rPr>
          <w:snapToGrid w:val="0"/>
        </w:rPr>
        <w:t xml:space="preserve"> </w:t>
      </w:r>
      <w:r>
        <w:rPr>
          <w:i/>
          <w:iCs/>
          <w:snapToGrid w:val="0"/>
        </w:rPr>
        <w:t xml:space="preserve">Order, </w:t>
      </w:r>
      <w:r>
        <w:rPr>
          <w:snapToGrid w:val="0"/>
        </w:rPr>
        <w:t>31 FCC Rcd at 321, para. 8</w:t>
      </w:r>
      <w:r>
        <w:rPr>
          <w:i/>
          <w:iCs/>
          <w:snapToGrid w:val="0"/>
        </w:rPr>
        <w:t>; AT&amp;T-Plateau Wireless Order</w:t>
      </w:r>
      <w:r>
        <w:rPr>
          <w:snapToGrid w:val="0"/>
        </w:rPr>
        <w:t>, 30 FCC Rcd at 5113, para. 13</w:t>
      </w:r>
      <w:r w:rsidRPr="00AB3696">
        <w:t>.</w:t>
      </w:r>
    </w:p>
  </w:footnote>
  <w:footnote w:id="51">
    <w:p w14:paraId="05FFDF33" w14:textId="02E53DEC" w:rsidR="003373C7" w:rsidRPr="00986BE3" w:rsidRDefault="003373C7" w:rsidP="00234505">
      <w:pPr>
        <w:pStyle w:val="FootnoteText"/>
      </w:pPr>
      <w:r w:rsidRPr="00EF47B8">
        <w:rPr>
          <w:rStyle w:val="FootnoteReference"/>
        </w:rPr>
        <w:footnoteRef/>
      </w:r>
      <w:r w:rsidRPr="00EF47B8">
        <w:t xml:space="preserve"> </w:t>
      </w:r>
      <w:r w:rsidRPr="00EF47B8">
        <w:rPr>
          <w:i/>
        </w:rPr>
        <w:t>Mobile Spectrum Holdings Report and Order</w:t>
      </w:r>
      <w:r w:rsidRPr="00EF47B8">
        <w:rPr>
          <w:rStyle w:val="StyleParaNumTimesNewRoman11ptChar"/>
          <w:sz w:val="20"/>
          <w:lang w:eastAsia="x-none"/>
        </w:rPr>
        <w:t>, 29 FCC Rcd at 6240,</w:t>
      </w:r>
      <w:r>
        <w:rPr>
          <w:rStyle w:val="StyleParaNumTimesNewRoman11ptChar"/>
          <w:sz w:val="20"/>
          <w:lang w:eastAsia="x-none"/>
        </w:rPr>
        <w:t xml:space="preserve"> para.</w:t>
      </w:r>
      <w:r w:rsidRPr="00EF47B8">
        <w:rPr>
          <w:rStyle w:val="StyleParaNumTimesNewRoman11ptChar"/>
          <w:sz w:val="20"/>
          <w:lang w:eastAsia="x-none"/>
        </w:rPr>
        <w:t xml:space="preserve"> 286.  </w:t>
      </w:r>
      <w:r>
        <w:rPr>
          <w:rStyle w:val="StyleParaNumTimesNewRoman11ptChar"/>
          <w:sz w:val="20"/>
          <w:lang w:eastAsia="x-none"/>
        </w:rPr>
        <w:t>T</w:t>
      </w:r>
      <w:r w:rsidRPr="00EF47B8">
        <w:rPr>
          <w:rStyle w:val="StyleParaNumTimesNewRoman11ptChar"/>
          <w:sz w:val="20"/>
          <w:lang w:eastAsia="x-none"/>
        </w:rPr>
        <w:t xml:space="preserve">he </w:t>
      </w:r>
      <w:r w:rsidRPr="004306B2">
        <w:t xml:space="preserve">Commission </w:t>
      </w:r>
      <w:r>
        <w:t>also set out a heightened standard of review</w:t>
      </w:r>
      <w:r w:rsidRPr="00EF47B8">
        <w:t xml:space="preserve"> </w:t>
      </w:r>
      <w:r>
        <w:t xml:space="preserve">for cases in which </w:t>
      </w:r>
      <w:r w:rsidRPr="00EF47B8">
        <w:t xml:space="preserve">the proposed </w:t>
      </w:r>
      <w:r w:rsidRPr="00986BE3">
        <w:t>transaction would result in an entity</w:t>
      </w:r>
      <w:r w:rsidRPr="00493DDF">
        <w:t xml:space="preserve"> that already holds approximately one-third or more of below</w:t>
      </w:r>
      <w:r w:rsidRPr="00AA4E49">
        <w:t>-1</w:t>
      </w:r>
      <w:r w:rsidRPr="00D35946">
        <w:t xml:space="preserve">-GHz spectrum in a market acquiring additional below-1-GHz spectrum in that market, </w:t>
      </w:r>
      <w:r w:rsidRPr="004306B2">
        <w:t>especially with regard to paired low</w:t>
      </w:r>
      <w:r w:rsidRPr="004306B2">
        <w:noBreakHyphen/>
        <w:t>band spectrum</w:t>
      </w:r>
      <w:r w:rsidRPr="00EF47B8">
        <w:t xml:space="preserve">.  In these cases, the Commission stated that the required </w:t>
      </w:r>
      <w:r w:rsidRPr="004306B2">
        <w:t xml:space="preserve">demonstration of the </w:t>
      </w:r>
      <w:r>
        <w:t xml:space="preserve">potential </w:t>
      </w:r>
      <w:r w:rsidRPr="004306B2">
        <w:t>public interest benefits of the proposed transaction would need to clearly outweigh the potential public interest harms associated with such additional concentration of below</w:t>
      </w:r>
      <w:r>
        <w:t>-</w:t>
      </w:r>
      <w:r w:rsidRPr="004306B2">
        <w:t>1</w:t>
      </w:r>
      <w:r>
        <w:t>-</w:t>
      </w:r>
      <w:r w:rsidRPr="004306B2">
        <w:t>GHz spectrum, irrespective of other factors</w:t>
      </w:r>
      <w:r>
        <w:t xml:space="preserve">. </w:t>
      </w:r>
      <w:r w:rsidRPr="00691052">
        <w:t xml:space="preserve"> </w:t>
      </w:r>
      <w:r w:rsidRPr="00691052">
        <w:rPr>
          <w:i/>
        </w:rPr>
        <w:t>Id.</w:t>
      </w:r>
      <w:r w:rsidRPr="00691052">
        <w:t xml:space="preserve"> at </w:t>
      </w:r>
      <w:r w:rsidRPr="00691052">
        <w:rPr>
          <w:bCs/>
        </w:rPr>
        <w:t>6240, para. 287</w:t>
      </w:r>
      <w:r>
        <w:rPr>
          <w:bCs/>
        </w:rPr>
        <w:t xml:space="preserve">; </w:t>
      </w:r>
      <w:r w:rsidRPr="00974198">
        <w:rPr>
          <w:bCs/>
          <w:i/>
        </w:rPr>
        <w:t>s</w:t>
      </w:r>
      <w:r w:rsidRPr="00B833BD">
        <w:rPr>
          <w:i/>
        </w:rPr>
        <w:t>ee also, e.g</w:t>
      </w:r>
      <w:r>
        <w:t xml:space="preserve">., </w:t>
      </w:r>
      <w:r w:rsidRPr="00C65715">
        <w:rPr>
          <w:i/>
        </w:rPr>
        <w:t>Application of AT&amp;T Mobility Spectrum LLC and Club 42CM Limited Partnership for Consent To Assign Licenses</w:t>
      </w:r>
      <w:r>
        <w:t xml:space="preserve">, </w:t>
      </w:r>
      <w:r w:rsidRPr="00C65715">
        <w:t>Memorandum Opinion and Order</w:t>
      </w:r>
      <w:r>
        <w:t>, 30 FCC Rcd 13055, 13057, 13062, 13072-73, 13077-78, 13078-79, paras. 7, 15, 37, 48, 51 (2015) (</w:t>
      </w:r>
      <w:r w:rsidRPr="005F5619">
        <w:rPr>
          <w:i/>
        </w:rPr>
        <w:t>AT&amp;T-Club 42 Order</w:t>
      </w:r>
      <w:r>
        <w:t xml:space="preserve">); </w:t>
      </w:r>
      <w:r w:rsidRPr="003B7CB6">
        <w:rPr>
          <w:i/>
        </w:rPr>
        <w:t xml:space="preserve">AT&amp;T-Plateau Wireless Order, </w:t>
      </w:r>
      <w:r>
        <w:t xml:space="preserve">30 FCC Rcd at 5111, </w:t>
      </w:r>
      <w:r w:rsidRPr="003B7CB6">
        <w:t>5113,</w:t>
      </w:r>
      <w:r>
        <w:t xml:space="preserve"> </w:t>
      </w:r>
      <w:r w:rsidRPr="003B7CB6">
        <w:t>5114,</w:t>
      </w:r>
      <w:r>
        <w:t xml:space="preserve"> </w:t>
      </w:r>
      <w:r w:rsidRPr="003B7CB6">
        <w:t>5123,</w:t>
      </w:r>
      <w:r>
        <w:t xml:space="preserve"> </w:t>
      </w:r>
      <w:r w:rsidRPr="003B7CB6">
        <w:t>5130,</w:t>
      </w:r>
      <w:r>
        <w:t xml:space="preserve"> paras.</w:t>
      </w:r>
      <w:r w:rsidRPr="003B7CB6">
        <w:t xml:space="preserve"> </w:t>
      </w:r>
      <w:r>
        <w:t xml:space="preserve">8 &amp; </w:t>
      </w:r>
      <w:r w:rsidRPr="003B7CB6">
        <w:t xml:space="preserve">n.31, 13, 15, </w:t>
      </w:r>
      <w:r>
        <w:t xml:space="preserve">36 &amp; </w:t>
      </w:r>
      <w:r w:rsidRPr="003B7CB6">
        <w:t>n.114, 56</w:t>
      </w:r>
      <w:r w:rsidRPr="003B7CB6">
        <w:rPr>
          <w:i/>
        </w:rPr>
        <w:t>.</w:t>
      </w:r>
    </w:p>
  </w:footnote>
  <w:footnote w:id="52">
    <w:p w14:paraId="442265A5" w14:textId="6765D6F1" w:rsidR="003373C7" w:rsidRPr="00D22B64" w:rsidRDefault="003373C7" w:rsidP="00234505">
      <w:pPr>
        <w:pStyle w:val="FootnoteText"/>
      </w:pPr>
      <w:r w:rsidRPr="000D2ADF">
        <w:rPr>
          <w:rStyle w:val="FootnoteReference"/>
        </w:rPr>
        <w:footnoteRef/>
      </w:r>
      <w:r w:rsidRPr="00EE32B0">
        <w:t xml:space="preserve">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w:t>
      </w:r>
      <w:r>
        <w:rPr>
          <w:rStyle w:val="StyleParaNumTimesNewRoman11ptChar"/>
          <w:sz w:val="20"/>
          <w:lang w:eastAsia="x-none"/>
        </w:rPr>
        <w:t xml:space="preserve"> para.</w:t>
      </w:r>
      <w:r w:rsidRPr="00F73613">
        <w:rPr>
          <w:rStyle w:val="StyleParaNumTimesNewRoman11ptChar"/>
          <w:sz w:val="20"/>
          <w:lang w:eastAsia="x-none"/>
        </w:rPr>
        <w:t xml:space="preserve"> 286.</w:t>
      </w:r>
    </w:p>
  </w:footnote>
  <w:footnote w:id="53">
    <w:p w14:paraId="76A234AB" w14:textId="5F4B9B91" w:rsidR="003373C7" w:rsidRPr="001800E5" w:rsidRDefault="003373C7" w:rsidP="00234505">
      <w:pPr>
        <w:pStyle w:val="FootnoteText"/>
      </w:pPr>
      <w:r w:rsidRPr="001800E5">
        <w:rPr>
          <w:rStyle w:val="FootnoteReference"/>
        </w:rPr>
        <w:footnoteRef/>
      </w:r>
      <w:r w:rsidRPr="001800E5">
        <w:t xml:space="preserve"> </w:t>
      </w:r>
      <w:r>
        <w:rPr>
          <w:i/>
        </w:rPr>
        <w:t>Id</w:t>
      </w:r>
      <w:r w:rsidRPr="003373C7">
        <w:rPr>
          <w:i/>
        </w:rPr>
        <w:t>.</w:t>
      </w:r>
      <w:r>
        <w:t xml:space="preserve"> at 6164,</w:t>
      </w:r>
      <w:r>
        <w:rPr>
          <w:bCs/>
        </w:rPr>
        <w:t xml:space="preserve"> para. 60</w:t>
      </w:r>
      <w:r w:rsidRPr="001800E5">
        <w:t>.</w:t>
      </w:r>
    </w:p>
  </w:footnote>
  <w:footnote w:id="54">
    <w:p w14:paraId="47CB7A22" w14:textId="61125505" w:rsidR="003373C7" w:rsidRPr="001800E5" w:rsidRDefault="003373C7" w:rsidP="00234505">
      <w:pPr>
        <w:pStyle w:val="FootnoteText"/>
      </w:pPr>
      <w:r w:rsidRPr="001800E5">
        <w:rPr>
          <w:rStyle w:val="FootnoteReference"/>
        </w:rPr>
        <w:footnoteRef/>
      </w:r>
      <w:r w:rsidRPr="001800E5">
        <w:t xml:space="preserve"> </w:t>
      </w:r>
      <w:r>
        <w:rPr>
          <w:i/>
        </w:rPr>
        <w:t>Id.</w:t>
      </w:r>
      <w:r>
        <w:t xml:space="preserve"> at 6156-57,</w:t>
      </w:r>
      <w:r>
        <w:rPr>
          <w:bCs/>
        </w:rPr>
        <w:t xml:space="preserve"> 6162, </w:t>
      </w:r>
      <w:r>
        <w:t>6164,</w:t>
      </w:r>
      <w:r>
        <w:rPr>
          <w:bCs/>
        </w:rPr>
        <w:t xml:space="preserve"> paras. 46, 58, 60</w:t>
      </w:r>
      <w:r w:rsidRPr="001800E5">
        <w:t>.</w:t>
      </w:r>
    </w:p>
  </w:footnote>
  <w:footnote w:id="55">
    <w:p w14:paraId="6419477C" w14:textId="22A12649" w:rsidR="003373C7" w:rsidRPr="001800E5" w:rsidRDefault="003373C7" w:rsidP="00234505">
      <w:pPr>
        <w:pStyle w:val="FootnoteText"/>
      </w:pPr>
      <w:r w:rsidRPr="001800E5">
        <w:rPr>
          <w:rStyle w:val="FootnoteReference"/>
        </w:rPr>
        <w:footnoteRef/>
      </w:r>
      <w:r w:rsidRPr="001800E5">
        <w:t xml:space="preserve"> </w:t>
      </w:r>
      <w:r>
        <w:rPr>
          <w:i/>
        </w:rPr>
        <w:t>Id.</w:t>
      </w:r>
      <w:r>
        <w:t xml:space="preserve"> at 6164,</w:t>
      </w:r>
      <w:r>
        <w:rPr>
          <w:bCs/>
        </w:rPr>
        <w:t xml:space="preserve"> para. 60</w:t>
      </w:r>
      <w:r w:rsidRPr="001800E5">
        <w:t>.</w:t>
      </w:r>
    </w:p>
  </w:footnote>
  <w:footnote w:id="56">
    <w:p w14:paraId="38D857C8" w14:textId="7CE5A363" w:rsidR="003373C7" w:rsidRPr="001800E5" w:rsidRDefault="003373C7" w:rsidP="00234505">
      <w:pPr>
        <w:pStyle w:val="FootnoteText"/>
      </w:pPr>
      <w:r w:rsidRPr="001800E5">
        <w:rPr>
          <w:rStyle w:val="FootnoteReference"/>
        </w:rPr>
        <w:footnoteRef/>
      </w:r>
      <w:r w:rsidRPr="001800E5">
        <w:t xml:space="preserve"> </w:t>
      </w:r>
      <w:r>
        <w:rPr>
          <w:i/>
        </w:rPr>
        <w:t>Id.</w:t>
      </w:r>
      <w:r>
        <w:t xml:space="preserve"> at 6164-65,</w:t>
      </w:r>
      <w:r>
        <w:rPr>
          <w:bCs/>
        </w:rPr>
        <w:t xml:space="preserve"> paras. 60-61; </w:t>
      </w:r>
      <w:r>
        <w:rPr>
          <w:bCs/>
          <w:i/>
        </w:rPr>
        <w:t>see also</w:t>
      </w:r>
      <w:r w:rsidRPr="00D15B66">
        <w:rPr>
          <w:bCs/>
          <w:i/>
        </w:rPr>
        <w:t>,</w:t>
      </w:r>
      <w:r w:rsidRPr="00974198">
        <w:rPr>
          <w:bCs/>
        </w:rPr>
        <w:t xml:space="preserve"> </w:t>
      </w:r>
      <w:r>
        <w:rPr>
          <w:bCs/>
          <w:i/>
        </w:rPr>
        <w:t>e.g.</w:t>
      </w:r>
      <w:r w:rsidRPr="00974198">
        <w:rPr>
          <w:bCs/>
        </w:rPr>
        <w:t xml:space="preserve">, </w:t>
      </w:r>
      <w:r>
        <w:rPr>
          <w:i/>
          <w:iCs/>
          <w:snapToGrid w:val="0"/>
        </w:rPr>
        <w:t>AT&amp;T-CPI</w:t>
      </w:r>
      <w:r>
        <w:rPr>
          <w:snapToGrid w:val="0"/>
        </w:rPr>
        <w:t xml:space="preserve"> </w:t>
      </w:r>
      <w:r>
        <w:rPr>
          <w:i/>
          <w:iCs/>
          <w:snapToGrid w:val="0"/>
        </w:rPr>
        <w:t xml:space="preserve">Order, </w:t>
      </w:r>
      <w:r>
        <w:rPr>
          <w:snapToGrid w:val="0"/>
        </w:rPr>
        <w:t xml:space="preserve">31 FCC Rcd at 322, para. 9; </w:t>
      </w:r>
      <w:r w:rsidRPr="003B7CB6">
        <w:rPr>
          <w:i/>
        </w:rPr>
        <w:t xml:space="preserve">AT&amp;T-Plateau Wireless Order, </w:t>
      </w:r>
      <w:r w:rsidRPr="003B7CB6">
        <w:t xml:space="preserve">30 FCC Rcd at </w:t>
      </w:r>
      <w:r>
        <w:t>5113-14,</w:t>
      </w:r>
      <w:r>
        <w:rPr>
          <w:bCs/>
        </w:rPr>
        <w:t xml:space="preserve"> para. 14</w:t>
      </w:r>
      <w:r>
        <w:t>.</w:t>
      </w:r>
    </w:p>
  </w:footnote>
  <w:footnote w:id="57">
    <w:p w14:paraId="5EAC7789" w14:textId="7C3FCD3F" w:rsidR="003373C7" w:rsidRPr="00FE757A" w:rsidRDefault="003373C7" w:rsidP="00234505">
      <w:pPr>
        <w:pStyle w:val="FootnoteText"/>
      </w:pPr>
      <w:r>
        <w:rPr>
          <w:rStyle w:val="FootnoteReference"/>
        </w:rPr>
        <w:footnoteRef/>
      </w:r>
      <w:r>
        <w:t xml:space="preserve"> </w:t>
      </w:r>
      <w:r w:rsidRPr="00FE757A">
        <w:rPr>
          <w:i/>
        </w:rPr>
        <w:t xml:space="preserve">See, e.g., </w:t>
      </w:r>
      <w:r w:rsidRPr="00010BAD">
        <w:rPr>
          <w:i/>
          <w:iCs/>
        </w:rPr>
        <w:t>AT&amp;T-CPI Order</w:t>
      </w:r>
      <w:r w:rsidRPr="00010BAD">
        <w:t xml:space="preserve">, 31 FCC Rcd at 322, para. 9; </w:t>
      </w:r>
      <w:r w:rsidRPr="00010BAD">
        <w:rPr>
          <w:i/>
          <w:iCs/>
        </w:rPr>
        <w:t>AT&amp;T-Club 42 Order</w:t>
      </w:r>
      <w:r w:rsidRPr="00010BAD">
        <w:t xml:space="preserve">, 30 FCC Rcd at 13073, para. 37; </w:t>
      </w:r>
      <w:r w:rsidRPr="00010BAD">
        <w:rPr>
          <w:bCs/>
          <w:i/>
        </w:rPr>
        <w:t>see also</w:t>
      </w:r>
      <w:r w:rsidRPr="00FE757A">
        <w:rPr>
          <w:bCs/>
        </w:rPr>
        <w:t xml:space="preserve"> </w:t>
      </w:r>
      <w:r w:rsidRPr="00FE757A">
        <w:rPr>
          <w:i/>
        </w:rPr>
        <w:t>Mobile Spectrum Holdings Report and Order</w:t>
      </w:r>
      <w:r w:rsidRPr="00FE757A">
        <w:t xml:space="preserve">, 29 FCC Rcd at </w:t>
      </w:r>
      <w:r w:rsidRPr="00010BAD">
        <w:t>6154, 6164-65, 6168</w:t>
      </w:r>
      <w:r w:rsidRPr="00FE757A">
        <w:t>, para</w:t>
      </w:r>
      <w:r w:rsidRPr="00010BAD">
        <w:t>s</w:t>
      </w:r>
      <w:r w:rsidRPr="00FE757A">
        <w:t xml:space="preserve">. </w:t>
      </w:r>
      <w:r w:rsidRPr="00FE757A">
        <w:softHyphen/>
      </w:r>
      <w:r w:rsidRPr="00010BAD">
        <w:t>41, 61, 68-69</w:t>
      </w:r>
      <w:r w:rsidRPr="00FE757A">
        <w:t>.</w:t>
      </w:r>
    </w:p>
  </w:footnote>
  <w:footnote w:id="58">
    <w:p w14:paraId="7F3D7BB9" w14:textId="4263FFBF" w:rsidR="003373C7" w:rsidRPr="00A5312F" w:rsidRDefault="003373C7" w:rsidP="00234505">
      <w:pPr>
        <w:pStyle w:val="FootnoteText"/>
      </w:pPr>
      <w:r w:rsidRPr="00D3188F">
        <w:rPr>
          <w:rStyle w:val="FootnoteReference"/>
        </w:rPr>
        <w:footnoteRef/>
      </w:r>
      <w:r w:rsidRPr="0075707B">
        <w:t xml:space="preserve"> </w:t>
      </w:r>
      <w:r w:rsidRPr="009F0F3A">
        <w:rPr>
          <w:i/>
          <w:iCs/>
        </w:rPr>
        <w:t>See</w:t>
      </w:r>
      <w:r w:rsidRPr="00C17C92">
        <w:rPr>
          <w:iCs/>
        </w:rPr>
        <w:t>,</w:t>
      </w:r>
      <w:r w:rsidRPr="009F0F3A">
        <w:rPr>
          <w:i/>
          <w:iCs/>
        </w:rPr>
        <w:t xml:space="preserve"> e.g.</w:t>
      </w:r>
      <w:r w:rsidRPr="00121630">
        <w:t xml:space="preserve">, </w:t>
      </w:r>
      <w:r w:rsidRPr="009B3B62">
        <w:rPr>
          <w:i/>
        </w:rPr>
        <w:t>AT&amp;T-Plateau Wireless Order</w:t>
      </w:r>
      <w:r>
        <w:t>, 30 FCC Rcd at 5115</w:t>
      </w:r>
      <w:r w:rsidRPr="00734AA0">
        <w:t>,</w:t>
      </w:r>
      <w:r>
        <w:t xml:space="preserve"> para. 17; </w:t>
      </w:r>
      <w:r w:rsidRPr="00E60969">
        <w:rPr>
          <w:i/>
        </w:rPr>
        <w:t>AT&amp;T-Leap Order</w:t>
      </w:r>
      <w:r>
        <w:t>, 29 FCC Rcd at 2746,</w:t>
      </w:r>
      <w:r>
        <w:rPr>
          <w:bCs/>
        </w:rPr>
        <w:t xml:space="preserve"> para.</w:t>
      </w:r>
      <w:r w:rsidRPr="00A335A9">
        <w:rPr>
          <w:bCs/>
        </w:rPr>
        <w:t xml:space="preserve"> 22</w:t>
      </w:r>
      <w:r>
        <w:t>.</w:t>
      </w:r>
    </w:p>
  </w:footnote>
  <w:footnote w:id="59">
    <w:p w14:paraId="3BFD2AEF" w14:textId="3359D493" w:rsidR="003373C7" w:rsidRDefault="003373C7" w:rsidP="00234505">
      <w:pPr>
        <w:pStyle w:val="FootnoteText"/>
      </w:pPr>
      <w:r w:rsidRPr="004F4D40">
        <w:rPr>
          <w:rStyle w:val="FootnoteReference"/>
        </w:rPr>
        <w:footnoteRef/>
      </w:r>
      <w:r w:rsidRPr="004F4D40">
        <w:t xml:space="preserve"> </w:t>
      </w:r>
      <w:r w:rsidRPr="00712FEF">
        <w:rPr>
          <w:i/>
        </w:rPr>
        <w:t>See</w:t>
      </w:r>
      <w:r w:rsidRPr="00C17C92">
        <w:t>,</w:t>
      </w:r>
      <w:r w:rsidRPr="00562E71">
        <w:rPr>
          <w:i/>
        </w:rPr>
        <w:t xml:space="preserve"> e.g.</w:t>
      </w:r>
      <w:r w:rsidRPr="00C17C92">
        <w:t>,</w:t>
      </w:r>
      <w:r w:rsidRPr="00562E71">
        <w:t xml:space="preserve"> </w:t>
      </w:r>
      <w:r w:rsidRPr="009B3B62">
        <w:rPr>
          <w:i/>
        </w:rPr>
        <w:t>AT&amp;T-Plateau Wireless Order</w:t>
      </w:r>
      <w:r>
        <w:t xml:space="preserve">, </w:t>
      </w:r>
      <w:r w:rsidRPr="00734AA0">
        <w:t>30 FCC Rcd at 5115</w:t>
      </w:r>
      <w:r>
        <w:noBreakHyphen/>
      </w:r>
      <w:r w:rsidRPr="00734AA0">
        <w:t>16</w:t>
      </w:r>
      <w:r w:rsidRPr="00F47321">
        <w:t>,</w:t>
      </w:r>
      <w:r>
        <w:t xml:space="preserve"> para. 18; </w:t>
      </w:r>
      <w:r>
        <w:rPr>
          <w:i/>
        </w:rPr>
        <w:t>AT</w:t>
      </w:r>
      <w:r w:rsidRPr="00562E71">
        <w:rPr>
          <w:i/>
        </w:rPr>
        <w:t xml:space="preserve">&amp;T-Leap Order, </w:t>
      </w:r>
      <w:r w:rsidRPr="00562E71">
        <w:t>29 FCC Rcd at 2746</w:t>
      </w:r>
      <w:r>
        <w:t>, para.</w:t>
      </w:r>
      <w:r w:rsidRPr="00562E71">
        <w:t xml:space="preserve"> 23.</w:t>
      </w:r>
    </w:p>
  </w:footnote>
  <w:footnote w:id="60">
    <w:p w14:paraId="7A64F5A7" w14:textId="514BA60E" w:rsidR="003373C7" w:rsidRPr="00712FEF" w:rsidRDefault="003373C7" w:rsidP="00234505">
      <w:pPr>
        <w:pStyle w:val="FootnoteText"/>
      </w:pPr>
      <w:r w:rsidRPr="004F192D">
        <w:rPr>
          <w:rStyle w:val="FootnoteReference"/>
        </w:rPr>
        <w:footnoteRef/>
      </w:r>
      <w:r w:rsidRPr="004F192D">
        <w:t xml:space="preserve"> </w:t>
      </w:r>
      <w:r>
        <w:t xml:space="preserve">The Commission has found that the relevant geographic markets for certain wireless transactions generally are local, but has held that a transaction’s competitive effects should also be evaluated at the national level where a transaction exhibits certain national characteristics that provide cause for concern.  </w:t>
      </w:r>
      <w:r w:rsidRPr="00712FEF">
        <w:rPr>
          <w:i/>
        </w:rPr>
        <w:t>See</w:t>
      </w:r>
      <w:r w:rsidRPr="00C17C92">
        <w:t>,</w:t>
      </w:r>
      <w:r w:rsidRPr="00712FEF">
        <w:rPr>
          <w:i/>
        </w:rPr>
        <w:t xml:space="preserve"> e.g.</w:t>
      </w:r>
      <w:r w:rsidRPr="00C17C92">
        <w:t>,</w:t>
      </w:r>
      <w:r w:rsidRPr="00712FEF">
        <w:rPr>
          <w:i/>
        </w:rPr>
        <w:t xml:space="preserve"> </w:t>
      </w:r>
      <w:r w:rsidRPr="00B623EB">
        <w:rPr>
          <w:i/>
        </w:rPr>
        <w:t>Sprint-Shentel-NTELOS Order</w:t>
      </w:r>
      <w:r>
        <w:rPr>
          <w:i/>
        </w:rPr>
        <w:t>,</w:t>
      </w:r>
      <w:r>
        <w:t xml:space="preserve"> 31 FCC Rcd at 3636, para. 12; </w:t>
      </w:r>
      <w:r w:rsidRPr="009B3B62">
        <w:rPr>
          <w:i/>
        </w:rPr>
        <w:t>AT&amp;T-Plateau Wireless Order</w:t>
      </w:r>
      <w:r>
        <w:t xml:space="preserve">, </w:t>
      </w:r>
      <w:r w:rsidRPr="00734AA0">
        <w:t>30 FCC Rcd at 5116</w:t>
      </w:r>
      <w:r w:rsidRPr="00F47321">
        <w:t>,</w:t>
      </w:r>
      <w:r>
        <w:t xml:space="preserve"> para. 19;</w:t>
      </w:r>
      <w:r>
        <w:rPr>
          <w:i/>
        </w:rPr>
        <w:t xml:space="preserve"> </w:t>
      </w:r>
      <w:r w:rsidRPr="00A74EAD">
        <w:rPr>
          <w:i/>
        </w:rPr>
        <w:t xml:space="preserve">AT&amp;T-Leap Order, </w:t>
      </w:r>
      <w:r>
        <w:t>29 FCC Rcd at 2748, para.</w:t>
      </w:r>
      <w:r w:rsidRPr="00A74EAD">
        <w:t xml:space="preserve"> 27</w:t>
      </w:r>
      <w:r>
        <w:t>.</w:t>
      </w:r>
    </w:p>
  </w:footnote>
  <w:footnote w:id="61">
    <w:p w14:paraId="39DF4670" w14:textId="6087BEF0" w:rsidR="003373C7" w:rsidRDefault="003373C7" w:rsidP="0015567D">
      <w:pPr>
        <w:pStyle w:val="FootnoteText"/>
      </w:pPr>
      <w:r>
        <w:rPr>
          <w:rStyle w:val="FootnoteReference"/>
        </w:rPr>
        <w:footnoteRef/>
      </w:r>
      <w:r>
        <w:t xml:space="preserve"> </w:t>
      </w:r>
      <w:r w:rsidRPr="00712FEF">
        <w:rPr>
          <w:i/>
        </w:rPr>
        <w:t>See</w:t>
      </w:r>
      <w:r w:rsidRPr="00C17C92">
        <w:t>,</w:t>
      </w:r>
      <w:r w:rsidRPr="00562E71">
        <w:rPr>
          <w:i/>
        </w:rPr>
        <w:t xml:space="preserve"> e.g.</w:t>
      </w:r>
      <w:r w:rsidRPr="00C17C92">
        <w:t>,</w:t>
      </w:r>
      <w:r w:rsidRPr="00562E71">
        <w:t xml:space="preserve"> </w:t>
      </w:r>
      <w:r w:rsidRPr="00B623EB">
        <w:rPr>
          <w:i/>
        </w:rPr>
        <w:t>Sprint-Shentel-NTELOS Order</w:t>
      </w:r>
      <w:r>
        <w:rPr>
          <w:i/>
        </w:rPr>
        <w:t>,</w:t>
      </w:r>
      <w:r>
        <w:t xml:space="preserve"> 31 FCC Rcd at 3637, para. 13; </w:t>
      </w:r>
      <w:r w:rsidRPr="0005491A">
        <w:rPr>
          <w:i/>
        </w:rPr>
        <w:t>AT&amp;T-Plateau Wireless Order</w:t>
      </w:r>
      <w:r>
        <w:t xml:space="preserve">, </w:t>
      </w:r>
      <w:r w:rsidRPr="005C2B3A">
        <w:t>30 FCC Rcd at 5117</w:t>
      </w:r>
      <w:r>
        <w:t xml:space="preserve">, para. 23; </w:t>
      </w:r>
      <w:r>
        <w:rPr>
          <w:i/>
        </w:rPr>
        <w:t>AT&amp;T-Club 42 Order</w:t>
      </w:r>
      <w:r w:rsidRPr="009A20D0">
        <w:t xml:space="preserve">, </w:t>
      </w:r>
      <w:r>
        <w:t>30</w:t>
      </w:r>
      <w:r w:rsidRPr="009A20D0">
        <w:t xml:space="preserve"> FCC Rcd</w:t>
      </w:r>
      <w:r w:rsidRPr="00101EA0">
        <w:t xml:space="preserve"> at </w:t>
      </w:r>
      <w:r>
        <w:t xml:space="preserve">13064-65, para. 21; </w:t>
      </w:r>
      <w:r w:rsidRPr="00B623EB">
        <w:rPr>
          <w:i/>
        </w:rPr>
        <w:t>see also</w:t>
      </w:r>
      <w:r>
        <w:t xml:space="preserve"> </w:t>
      </w:r>
      <w:r w:rsidRPr="00AE6A80">
        <w:rPr>
          <w:i/>
        </w:rPr>
        <w:t xml:space="preserve">Mobile Spectrum Holdings </w:t>
      </w:r>
      <w:r>
        <w:rPr>
          <w:i/>
        </w:rPr>
        <w:t>Report and</w:t>
      </w:r>
      <w:r w:rsidRPr="00BF23C2">
        <w:rPr>
          <w:i/>
        </w:rPr>
        <w:t xml:space="preserve"> </w:t>
      </w:r>
      <w:r w:rsidRPr="00AE6A80">
        <w:rPr>
          <w:i/>
        </w:rPr>
        <w:t>Order</w:t>
      </w:r>
      <w:r>
        <w:t xml:space="preserve">, 29 FCC Rcd at 6169, para. 70. </w:t>
      </w:r>
    </w:p>
  </w:footnote>
  <w:footnote w:id="62">
    <w:p w14:paraId="459E15B2" w14:textId="7A1FA358" w:rsidR="003373C7" w:rsidRDefault="003373C7" w:rsidP="0015567D">
      <w:pPr>
        <w:pStyle w:val="FootnoteText"/>
      </w:pPr>
      <w:r>
        <w:rPr>
          <w:rStyle w:val="FootnoteReference"/>
        </w:rPr>
        <w:footnoteRef/>
      </w:r>
      <w:r>
        <w:t xml:space="preserve"> </w:t>
      </w:r>
      <w:r w:rsidRPr="00B623EB">
        <w:rPr>
          <w:i/>
        </w:rPr>
        <w:t>Sprint-Shentel-NTELOS Order</w:t>
      </w:r>
      <w:r>
        <w:rPr>
          <w:i/>
        </w:rPr>
        <w:t>,</w:t>
      </w:r>
      <w:r>
        <w:t xml:space="preserve"> 31 FCC Rcd at 3637-38, para. 15.</w:t>
      </w:r>
    </w:p>
  </w:footnote>
  <w:footnote w:id="63">
    <w:p w14:paraId="5CB333CA" w14:textId="49DA9BEC" w:rsidR="003373C7" w:rsidRDefault="003373C7" w:rsidP="0015567D">
      <w:pPr>
        <w:pStyle w:val="FootnoteText"/>
      </w:pPr>
      <w:r>
        <w:rPr>
          <w:rStyle w:val="FootnoteReference"/>
        </w:rPr>
        <w:footnoteRef/>
      </w:r>
      <w:r>
        <w:t xml:space="preserve"> </w:t>
      </w:r>
      <w:r>
        <w:rPr>
          <w:i/>
        </w:rPr>
        <w:t>Id</w:t>
      </w:r>
      <w:r>
        <w:t>.</w:t>
      </w:r>
    </w:p>
  </w:footnote>
  <w:footnote w:id="64">
    <w:p w14:paraId="61D6BC53" w14:textId="2ACA69DF" w:rsidR="003373C7" w:rsidRDefault="003373C7" w:rsidP="0015567D">
      <w:pPr>
        <w:pStyle w:val="FootnoteText"/>
      </w:pPr>
      <w:r>
        <w:rPr>
          <w:rStyle w:val="FootnoteReference"/>
        </w:rPr>
        <w:footnoteRef/>
      </w:r>
      <w:r>
        <w:t xml:space="preserve"> </w:t>
      </w:r>
      <w:r w:rsidRPr="00943F32">
        <w:rPr>
          <w:i/>
        </w:rPr>
        <w:t>See</w:t>
      </w:r>
      <w:r w:rsidRPr="00C17C92">
        <w:t>,</w:t>
      </w:r>
      <w:r w:rsidRPr="00943F32">
        <w:rPr>
          <w:i/>
        </w:rPr>
        <w:t xml:space="preserve"> e.g.</w:t>
      </w:r>
      <w:r w:rsidRPr="00C17C92">
        <w:t>,</w:t>
      </w:r>
      <w:r w:rsidRPr="00943F32">
        <w:rPr>
          <w:i/>
        </w:rPr>
        <w:t xml:space="preserve"> </w:t>
      </w:r>
      <w:r>
        <w:rPr>
          <w:i/>
        </w:rPr>
        <w:t>id</w:t>
      </w:r>
      <w:r>
        <w:t xml:space="preserve">. at 3638, para. 16; </w:t>
      </w:r>
      <w:r w:rsidRPr="00D0210A">
        <w:rPr>
          <w:i/>
        </w:rPr>
        <w:t>AT</w:t>
      </w:r>
      <w:r w:rsidRPr="0005491A">
        <w:rPr>
          <w:i/>
        </w:rPr>
        <w:t>&amp;T-Plateau Wireless Order</w:t>
      </w:r>
      <w:r>
        <w:t xml:space="preserve">, 30 FCC Rcd at 5117, para. 23; </w:t>
      </w:r>
      <w:r w:rsidRPr="00943F32">
        <w:rPr>
          <w:i/>
        </w:rPr>
        <w:t>AT&amp;T-Leap Order</w:t>
      </w:r>
      <w:r w:rsidRPr="004F6CF3">
        <w:t xml:space="preserve">, </w:t>
      </w:r>
      <w:r w:rsidRPr="00943F32">
        <w:t>29 FCC Rcd at 2751</w:t>
      </w:r>
      <w:r>
        <w:t xml:space="preserve">, para. </w:t>
      </w:r>
      <w:r>
        <w:rPr>
          <w:rFonts w:eastAsia="Calibri"/>
        </w:rPr>
        <w:t xml:space="preserve">35.  </w:t>
      </w:r>
      <w:r>
        <w:t xml:space="preserve">The Commission has assessed </w:t>
      </w:r>
      <w:r w:rsidRPr="005211DB">
        <w:t xml:space="preserve">the </w:t>
      </w:r>
      <w:r>
        <w:t xml:space="preserve">competitive </w:t>
      </w:r>
      <w:r w:rsidRPr="005211DB">
        <w:t xml:space="preserve">effect of </w:t>
      </w:r>
      <w:r>
        <w:t>MVNOs</w:t>
      </w:r>
      <w:r w:rsidRPr="005211DB">
        <w:t xml:space="preserve"> and resellers</w:t>
      </w:r>
      <w:r>
        <w:t xml:space="preserve"> in prior transactions, but noted that it will exclude MVNOs and resellers from consideration when computing initial concentration measures.  </w:t>
      </w:r>
      <w:r w:rsidRPr="00943F32">
        <w:rPr>
          <w:i/>
        </w:rPr>
        <w:t>See</w:t>
      </w:r>
      <w:r>
        <w:rPr>
          <w:i/>
        </w:rPr>
        <w:t>, e.g.</w:t>
      </w:r>
      <w:r w:rsidRPr="009D2C88">
        <w:t>,</w:t>
      </w:r>
      <w:r w:rsidRPr="00671D04">
        <w:rPr>
          <w:i/>
        </w:rPr>
        <w:t xml:space="preserve"> A</w:t>
      </w:r>
      <w:r>
        <w:rPr>
          <w:i/>
        </w:rPr>
        <w:t xml:space="preserve">T&amp;T-Plateau </w:t>
      </w:r>
      <w:r w:rsidRPr="007B4DA1">
        <w:rPr>
          <w:i/>
        </w:rPr>
        <w:t>Wireless Order</w:t>
      </w:r>
      <w:r>
        <w:t xml:space="preserve">, 30 FCC Rcd at 5117, para. 23 &amp; n.78; </w:t>
      </w:r>
      <w:r w:rsidRPr="007B4DA1">
        <w:rPr>
          <w:i/>
        </w:rPr>
        <w:t>AT</w:t>
      </w:r>
      <w:r w:rsidRPr="00671D04">
        <w:rPr>
          <w:i/>
        </w:rPr>
        <w:t xml:space="preserve">&amp;T-Leap Order, </w:t>
      </w:r>
      <w:r w:rsidRPr="00671D04">
        <w:t>29 FCC Rcd at 2752</w:t>
      </w:r>
      <w:r>
        <w:t>,</w:t>
      </w:r>
      <w:r w:rsidRPr="00671D04">
        <w:t xml:space="preserve"> </w:t>
      </w:r>
      <w:r>
        <w:t xml:space="preserve">para. 37.  </w:t>
      </w:r>
      <w:r w:rsidRPr="00053890">
        <w:t>Further, as AWS-3 (1755-1780 MHz and 2155-2180 MHz</w:t>
      </w:r>
      <w:r>
        <w:t xml:space="preserve"> on a market-by-market basis</w:t>
      </w:r>
      <w:r w:rsidRPr="00053890">
        <w:t xml:space="preserve">) and 600 MHz spectrum become available, we will also consider facilities-based entities providing mobile telephony/broadband services </w:t>
      </w:r>
      <w:r>
        <w:t>using</w:t>
      </w:r>
      <w:r w:rsidRPr="00053890">
        <w:t xml:space="preserve"> that spectrum to be market participants</w:t>
      </w:r>
      <w:r>
        <w:t xml:space="preserve">.  </w:t>
      </w:r>
      <w:r w:rsidRPr="00B1346E">
        <w:rPr>
          <w:i/>
        </w:rPr>
        <w:t xml:space="preserve">Sprint-Shentel-NTELOS </w:t>
      </w:r>
      <w:r w:rsidRPr="00626A21">
        <w:rPr>
          <w:i/>
        </w:rPr>
        <w:t>Order</w:t>
      </w:r>
      <w:r>
        <w:t xml:space="preserve"> at 3638, para. 16.</w:t>
      </w:r>
    </w:p>
  </w:footnote>
  <w:footnote w:id="65">
    <w:p w14:paraId="1F3E005F" w14:textId="35B97398" w:rsidR="003373C7" w:rsidRPr="00A5312F" w:rsidRDefault="003373C7" w:rsidP="00D137E1">
      <w:pPr>
        <w:pStyle w:val="FootnoteText"/>
      </w:pPr>
      <w:r w:rsidRPr="0075707B">
        <w:rPr>
          <w:rStyle w:val="FootnoteReference"/>
        </w:rPr>
        <w:footnoteRef/>
      </w:r>
      <w:r w:rsidRPr="0075707B">
        <w:t xml:space="preserve"> </w:t>
      </w:r>
      <w:r w:rsidRPr="009F0F3A">
        <w:rPr>
          <w:i/>
        </w:rPr>
        <w:t>See</w:t>
      </w:r>
      <w:r w:rsidRPr="00A4055A">
        <w:t>,</w:t>
      </w:r>
      <w:r>
        <w:rPr>
          <w:i/>
        </w:rPr>
        <w:t xml:space="preserve"> e.g</w:t>
      </w:r>
      <w:r w:rsidRPr="003F003D">
        <w:rPr>
          <w:i/>
        </w:rPr>
        <w:t>.</w:t>
      </w:r>
      <w:r w:rsidRPr="003F003D">
        <w:t>,</w:t>
      </w:r>
      <w:r w:rsidRPr="003F003D">
        <w:rPr>
          <w:i/>
        </w:rPr>
        <w:t xml:space="preserve"> </w:t>
      </w:r>
      <w:r w:rsidRPr="003F003D">
        <w:rPr>
          <w:i/>
          <w:iCs/>
        </w:rPr>
        <w:t>AT&amp;T-Club 42 Order</w:t>
      </w:r>
      <w:r w:rsidRPr="003F003D">
        <w:rPr>
          <w:iCs/>
        </w:rPr>
        <w:t>, 30 FCC Rcd at 13065-</w:t>
      </w:r>
      <w:r>
        <w:rPr>
          <w:iCs/>
        </w:rPr>
        <w:t>6</w:t>
      </w:r>
      <w:r w:rsidRPr="003F003D">
        <w:rPr>
          <w:iCs/>
        </w:rPr>
        <w:t>6,</w:t>
      </w:r>
      <w:r>
        <w:t xml:space="preserve"> para.</w:t>
      </w:r>
      <w:r w:rsidRPr="003F003D">
        <w:t xml:space="preserve"> 23</w:t>
      </w:r>
      <w:r>
        <w:t>;</w:t>
      </w:r>
      <w:r w:rsidRPr="00A4055A">
        <w:t xml:space="preserve"> </w:t>
      </w:r>
      <w:r w:rsidRPr="009B3B62">
        <w:rPr>
          <w:i/>
        </w:rPr>
        <w:t>AT&amp;T-Plateau Wireless Order</w:t>
      </w:r>
      <w:r>
        <w:t xml:space="preserve">, 30 FCC Rcd at 5118, para. 24; </w:t>
      </w:r>
      <w:r w:rsidRPr="00EE32B0">
        <w:rPr>
          <w:i/>
        </w:rPr>
        <w:t>Mobile Spectrum Holdings Report and Order</w:t>
      </w:r>
      <w:r w:rsidRPr="00EE32B0">
        <w:rPr>
          <w:rStyle w:val="StyleParaNumTimesNewRoman11ptChar"/>
          <w:sz w:val="20"/>
          <w:lang w:eastAsia="x-none"/>
        </w:rPr>
        <w:t xml:space="preserve">, 29 FCC Rcd </w:t>
      </w:r>
      <w:r>
        <w:rPr>
          <w:rStyle w:val="StyleParaNumTimesNewRoman11ptChar"/>
          <w:sz w:val="20"/>
          <w:lang w:eastAsia="x-none"/>
        </w:rPr>
        <w:t xml:space="preserve">at </w:t>
      </w:r>
      <w:r w:rsidRPr="00EE32B0">
        <w:rPr>
          <w:rStyle w:val="StyleParaNumTimesNewRoman11ptChar"/>
          <w:sz w:val="20"/>
          <w:lang w:eastAsia="x-none"/>
        </w:rPr>
        <w:t>6240,</w:t>
      </w:r>
      <w:r>
        <w:rPr>
          <w:rStyle w:val="StyleParaNumTimesNewRoman11ptChar"/>
          <w:sz w:val="20"/>
          <w:lang w:eastAsia="x-none"/>
        </w:rPr>
        <w:t xml:space="preserve"> para.</w:t>
      </w:r>
      <w:r w:rsidRPr="00F73613">
        <w:rPr>
          <w:rStyle w:val="StyleParaNumTimesNewRoman11ptChar"/>
          <w:sz w:val="20"/>
          <w:lang w:eastAsia="x-none"/>
        </w:rPr>
        <w:t xml:space="preserve"> 286.</w:t>
      </w:r>
      <w:r>
        <w:rPr>
          <w:rStyle w:val="StyleParaNumTimesNewRoman11ptChar"/>
          <w:sz w:val="20"/>
          <w:lang w:eastAsia="x-none"/>
        </w:rPr>
        <w:t xml:space="preserve">  </w:t>
      </w:r>
      <w:r>
        <w:rPr>
          <w:iCs/>
        </w:rPr>
        <w:t xml:space="preserve">The current total amount of below-1-GHz spectrum that is suitable and available is </w:t>
      </w:r>
      <w:r w:rsidRPr="00253C6A">
        <w:rPr>
          <w:iCs/>
        </w:rPr>
        <w:t>134 megahertz,</w:t>
      </w:r>
      <w:r>
        <w:rPr>
          <w:iCs/>
        </w:rPr>
        <w:t xml:space="preserve"> approximately one-third of which is </w:t>
      </w:r>
      <w:r w:rsidRPr="00253C6A">
        <w:rPr>
          <w:iCs/>
        </w:rPr>
        <w:t>45 megahertz.</w:t>
      </w:r>
      <w:r>
        <w:rPr>
          <w:iCs/>
        </w:rPr>
        <w:t xml:space="preserve">  </w:t>
      </w:r>
      <w:r w:rsidRPr="009F0F3A">
        <w:rPr>
          <w:i/>
        </w:rPr>
        <w:t>See</w:t>
      </w:r>
      <w:r>
        <w:rPr>
          <w:i/>
        </w:rPr>
        <w:t xml:space="preserve"> </w:t>
      </w:r>
      <w:r w:rsidRPr="00EE32B0">
        <w:rPr>
          <w:i/>
        </w:rPr>
        <w:t>Mobile Spectrum Holdings Report and Order</w:t>
      </w:r>
      <w:r>
        <w:rPr>
          <w:rStyle w:val="StyleParaNumTimesNewRoman11ptChar"/>
          <w:sz w:val="20"/>
          <w:lang w:eastAsia="x-none"/>
        </w:rPr>
        <w:t>, 29 FCC Rcd at 6156-57, 6240, paras. 46, 286-88.  As</w:t>
      </w:r>
      <w:r>
        <w:t xml:space="preserve"> with our application of the initial total spectrum screen, we evaluate increases in below-1-GHz spectrum concentration on a county-by-county basis.  </w:t>
      </w:r>
      <w:r w:rsidRPr="009F0F3A">
        <w:rPr>
          <w:i/>
        </w:rPr>
        <w:t>See</w:t>
      </w:r>
      <w:r>
        <w:rPr>
          <w:i/>
        </w:rPr>
        <w:t xml:space="preserve">, e.g., </w:t>
      </w:r>
      <w:r w:rsidRPr="003F003D">
        <w:rPr>
          <w:i/>
          <w:iCs/>
        </w:rPr>
        <w:t>AT&amp;T-Club 42 Order</w:t>
      </w:r>
      <w:r>
        <w:rPr>
          <w:iCs/>
        </w:rPr>
        <w:t>, 30 FCC Rcd at 13065</w:t>
      </w:r>
      <w:r w:rsidRPr="003F003D">
        <w:rPr>
          <w:iCs/>
        </w:rPr>
        <w:t>,</w:t>
      </w:r>
      <w:r>
        <w:t xml:space="preserve"> para.</w:t>
      </w:r>
      <w:r w:rsidRPr="003B7CB6">
        <w:t xml:space="preserve"> </w:t>
      </w:r>
      <w:r>
        <w:t xml:space="preserve">23 &amp; n.82; </w:t>
      </w:r>
      <w:r w:rsidRPr="009B3B62">
        <w:rPr>
          <w:i/>
        </w:rPr>
        <w:t>AT&amp;T-Plateau Wireless Order</w:t>
      </w:r>
      <w:r>
        <w:t>,</w:t>
      </w:r>
      <w:r w:rsidRPr="00F43DC5">
        <w:t xml:space="preserve"> </w:t>
      </w:r>
      <w:r>
        <w:t>30 FCC Rcd at 5121, 5123, paras. 31, 35.</w:t>
      </w:r>
    </w:p>
  </w:footnote>
  <w:footnote w:id="66">
    <w:p w14:paraId="28A10F16" w14:textId="162F47DF" w:rsidR="003373C7" w:rsidRDefault="003373C7" w:rsidP="00D137E1">
      <w:pPr>
        <w:pStyle w:val="FootnoteText"/>
      </w:pPr>
      <w:r>
        <w:rPr>
          <w:rStyle w:val="FootnoteReference"/>
        </w:rPr>
        <w:footnoteRef/>
      </w:r>
      <w:r>
        <w:t xml:space="preserve"> </w:t>
      </w:r>
      <w:r>
        <w:rPr>
          <w:i/>
          <w:iCs/>
        </w:rPr>
        <w:t>See</w:t>
      </w:r>
      <w:r w:rsidRPr="00C17C92">
        <w:rPr>
          <w:iCs/>
        </w:rPr>
        <w:t>,</w:t>
      </w:r>
      <w:r>
        <w:rPr>
          <w:i/>
          <w:iCs/>
        </w:rPr>
        <w:t xml:space="preserve"> e.g</w:t>
      </w:r>
      <w:r w:rsidRPr="00012E11">
        <w:rPr>
          <w:i/>
          <w:iCs/>
        </w:rPr>
        <w:t>.</w:t>
      </w:r>
      <w:r w:rsidRPr="00C17C92">
        <w:rPr>
          <w:iCs/>
        </w:rPr>
        <w:t>,</w:t>
      </w:r>
      <w:r w:rsidRPr="00012E11">
        <w:rPr>
          <w:i/>
          <w:iCs/>
        </w:rPr>
        <w:t xml:space="preserve"> </w:t>
      </w:r>
      <w:r w:rsidRPr="003F003D">
        <w:rPr>
          <w:i/>
          <w:iCs/>
        </w:rPr>
        <w:t>AT&amp;T-Club 42 Order</w:t>
      </w:r>
      <w:r w:rsidRPr="003F003D">
        <w:rPr>
          <w:iCs/>
        </w:rPr>
        <w:t>, 30 FCC Rcd at 13065-</w:t>
      </w:r>
      <w:r>
        <w:rPr>
          <w:iCs/>
        </w:rPr>
        <w:t>6</w:t>
      </w:r>
      <w:r w:rsidRPr="003F003D">
        <w:rPr>
          <w:iCs/>
        </w:rPr>
        <w:t>6,</w:t>
      </w:r>
      <w:r>
        <w:t xml:space="preserve"> para.</w:t>
      </w:r>
      <w:r w:rsidRPr="003B7CB6">
        <w:t xml:space="preserve"> </w:t>
      </w:r>
      <w:r>
        <w:t xml:space="preserve">23; </w:t>
      </w:r>
      <w:r w:rsidRPr="00A32537">
        <w:rPr>
          <w:i/>
        </w:rPr>
        <w:t>AT&amp;T-Plateau Wireless Order</w:t>
      </w:r>
      <w:r w:rsidRPr="00A32537">
        <w:t xml:space="preserve">, </w:t>
      </w:r>
      <w:r w:rsidRPr="004E42ED">
        <w:t>30 FCC Rcd at 5118,</w:t>
      </w:r>
      <w:r>
        <w:t xml:space="preserve"> para.</w:t>
      </w:r>
      <w:r w:rsidRPr="00A32537">
        <w:t xml:space="preserve"> </w:t>
      </w:r>
      <w:r>
        <w:t xml:space="preserve">24; </w:t>
      </w:r>
      <w:r w:rsidRPr="00A32537">
        <w:rPr>
          <w:i/>
        </w:rPr>
        <w:t>A</w:t>
      </w:r>
      <w:r w:rsidRPr="00921FBA">
        <w:rPr>
          <w:i/>
          <w:iCs/>
        </w:rPr>
        <w:t>T</w:t>
      </w:r>
      <w:r w:rsidRPr="00012E11">
        <w:rPr>
          <w:i/>
          <w:iCs/>
        </w:rPr>
        <w:t>&amp;T-Leap Order,</w:t>
      </w:r>
      <w:r w:rsidRPr="0025174A">
        <w:rPr>
          <w:i/>
          <w:iCs/>
        </w:rPr>
        <w:t xml:space="preserve"> </w:t>
      </w:r>
      <w:r>
        <w:t>29 FCC Rcd at 2753, para. 41 &amp; n.140</w:t>
      </w:r>
      <w:r w:rsidRPr="0025174A">
        <w:t>.</w:t>
      </w:r>
    </w:p>
  </w:footnote>
  <w:footnote w:id="67">
    <w:p w14:paraId="45CC78E9" w14:textId="5C705CA5" w:rsidR="003373C7" w:rsidRPr="00A5312F" w:rsidRDefault="003373C7" w:rsidP="00D137E1">
      <w:pPr>
        <w:pStyle w:val="FootnoteText"/>
      </w:pPr>
      <w:r w:rsidRPr="0075707B">
        <w:rPr>
          <w:rStyle w:val="FootnoteReference"/>
        </w:rPr>
        <w:footnoteRef/>
      </w:r>
      <w:r w:rsidRPr="0075707B">
        <w:t xml:space="preserve"> </w:t>
      </w:r>
      <w:r w:rsidRPr="00C30369">
        <w:rPr>
          <w:i/>
        </w:rPr>
        <w:t>See</w:t>
      </w:r>
      <w:r w:rsidRPr="00C17C92">
        <w:t>,</w:t>
      </w:r>
      <w:r w:rsidRPr="00C30369">
        <w:rPr>
          <w:i/>
        </w:rPr>
        <w:t xml:space="preserve"> e.g.</w:t>
      </w:r>
      <w:r w:rsidRPr="00C17C92">
        <w:t>,</w:t>
      </w:r>
      <w:r>
        <w:rPr>
          <w:iCs/>
        </w:rPr>
        <w:t xml:space="preserve"> </w:t>
      </w:r>
      <w:r w:rsidRPr="006E29EF">
        <w:rPr>
          <w:i/>
        </w:rPr>
        <w:t>AT&amp;T-CPI</w:t>
      </w:r>
      <w:r w:rsidRPr="006E29EF">
        <w:t xml:space="preserve"> </w:t>
      </w:r>
      <w:r w:rsidRPr="006E29EF">
        <w:rPr>
          <w:i/>
        </w:rPr>
        <w:t>Order</w:t>
      </w:r>
      <w:r>
        <w:rPr>
          <w:i/>
        </w:rPr>
        <w:t xml:space="preserve">, </w:t>
      </w:r>
      <w:r>
        <w:t>31 FCC Rcd at 323-24,</w:t>
      </w:r>
      <w:r w:rsidRPr="00AC1A9B">
        <w:t xml:space="preserve"> </w:t>
      </w:r>
      <w:r>
        <w:t xml:space="preserve">para. 13; </w:t>
      </w:r>
      <w:r w:rsidRPr="003F003D">
        <w:rPr>
          <w:i/>
          <w:iCs/>
        </w:rPr>
        <w:t>AT&amp;T-Club 42 Order</w:t>
      </w:r>
      <w:r w:rsidRPr="003F003D">
        <w:rPr>
          <w:iCs/>
        </w:rPr>
        <w:t>, 30 FCC Rcd at 13065-</w:t>
      </w:r>
      <w:r>
        <w:rPr>
          <w:iCs/>
        </w:rPr>
        <w:t>6</w:t>
      </w:r>
      <w:r w:rsidRPr="003F003D">
        <w:rPr>
          <w:iCs/>
        </w:rPr>
        <w:t>6,</w:t>
      </w:r>
      <w:r>
        <w:t xml:space="preserve"> para.</w:t>
      </w:r>
      <w:r w:rsidRPr="003B7CB6">
        <w:t xml:space="preserve"> </w:t>
      </w:r>
      <w:r>
        <w:t xml:space="preserve">23; </w:t>
      </w:r>
      <w:r w:rsidRPr="009B3B62">
        <w:rPr>
          <w:i/>
        </w:rPr>
        <w:t>AT&amp;T-Plateau Wireless Order</w:t>
      </w:r>
      <w:r>
        <w:t xml:space="preserve">, </w:t>
      </w:r>
      <w:r w:rsidRPr="004E42ED">
        <w:t>30 FCC Rcd at 5118,</w:t>
      </w:r>
      <w:r>
        <w:t xml:space="preserve"> para. 24.</w:t>
      </w:r>
    </w:p>
  </w:footnote>
  <w:footnote w:id="68">
    <w:p w14:paraId="50476C25" w14:textId="1C3A00D7" w:rsidR="003373C7" w:rsidRPr="00121630" w:rsidRDefault="003373C7" w:rsidP="00D137E1">
      <w:pPr>
        <w:pStyle w:val="FootnoteText"/>
      </w:pPr>
      <w:r w:rsidRPr="0075707B">
        <w:rPr>
          <w:rStyle w:val="FootnoteReference"/>
        </w:rPr>
        <w:footnoteRef/>
      </w:r>
      <w:r w:rsidRPr="0075707B">
        <w:t xml:space="preserve"> </w:t>
      </w:r>
      <w:r w:rsidRPr="00D22B64">
        <w:rPr>
          <w:i/>
        </w:rPr>
        <w:t>M</w:t>
      </w:r>
      <w:r w:rsidRPr="00BE484A">
        <w:rPr>
          <w:i/>
        </w:rPr>
        <w:t>obile Spectrum Holdings Report and Order</w:t>
      </w:r>
      <w:r>
        <w:rPr>
          <w:rStyle w:val="StyleParaNumTimesNewRoman11ptChar"/>
          <w:sz w:val="20"/>
          <w:lang w:eastAsia="x-none"/>
        </w:rPr>
        <w:t xml:space="preserve">, 29 FCC Rcd at </w:t>
      </w:r>
      <w:r>
        <w:t>6233,</w:t>
      </w:r>
      <w:r>
        <w:rPr>
          <w:bCs/>
        </w:rPr>
        <w:t xml:space="preserve"> 6240, paras. 267, 286-88</w:t>
      </w:r>
      <w:r w:rsidRPr="006A5E52">
        <w:t>.</w:t>
      </w:r>
      <w:r>
        <w:t xml:space="preserve">  </w:t>
      </w:r>
      <w:r w:rsidRPr="00974198">
        <w:rPr>
          <w:rStyle w:val="StyleParaNumTimesNewRoman11ptChar"/>
          <w:i/>
          <w:sz w:val="20"/>
          <w:lang w:eastAsia="x-none"/>
        </w:rPr>
        <w:t>See</w:t>
      </w:r>
      <w:r w:rsidRPr="009B4C03">
        <w:rPr>
          <w:rStyle w:val="StyleParaNumTimesNewRoman11ptChar"/>
          <w:i/>
          <w:sz w:val="20"/>
          <w:lang w:eastAsia="x-none"/>
        </w:rPr>
        <w:t xml:space="preserve"> also</w:t>
      </w:r>
      <w:r w:rsidRPr="00A4055A">
        <w:rPr>
          <w:rStyle w:val="StyleParaNumTimesNewRoman11ptChar"/>
          <w:sz w:val="20"/>
        </w:rPr>
        <w:t>,</w:t>
      </w:r>
      <w:r w:rsidRPr="009B4C03">
        <w:rPr>
          <w:rStyle w:val="StyleParaNumTimesNewRoman11ptChar"/>
          <w:i/>
          <w:sz w:val="20"/>
          <w:lang w:eastAsia="x-none"/>
        </w:rPr>
        <w:t xml:space="preserve"> e.g.</w:t>
      </w:r>
      <w:r w:rsidRPr="00221F0C">
        <w:rPr>
          <w:rStyle w:val="StyleParaNumTimesNewRoman11ptChar"/>
          <w:sz w:val="20"/>
          <w:lang w:eastAsia="x-none"/>
        </w:rPr>
        <w:t>,</w:t>
      </w:r>
      <w:r w:rsidRPr="00A4055A">
        <w:rPr>
          <w:rStyle w:val="StyleParaNumTimesNewRoman11ptChar"/>
          <w:sz w:val="20"/>
        </w:rPr>
        <w:t xml:space="preserve"> </w:t>
      </w:r>
      <w:r w:rsidRPr="006E29EF">
        <w:rPr>
          <w:i/>
        </w:rPr>
        <w:t>AT&amp;T-CPI</w:t>
      </w:r>
      <w:r w:rsidRPr="006E29EF">
        <w:t xml:space="preserve"> </w:t>
      </w:r>
      <w:r w:rsidRPr="006E29EF">
        <w:rPr>
          <w:i/>
        </w:rPr>
        <w:t>Order</w:t>
      </w:r>
      <w:r>
        <w:rPr>
          <w:i/>
        </w:rPr>
        <w:t xml:space="preserve">, </w:t>
      </w:r>
      <w:r>
        <w:t>31 FCC Rcd at 324,</w:t>
      </w:r>
      <w:r w:rsidRPr="00AC1A9B">
        <w:t xml:space="preserve"> </w:t>
      </w:r>
      <w:r>
        <w:t xml:space="preserve">para. 13; </w:t>
      </w:r>
      <w:r w:rsidRPr="003F003D">
        <w:rPr>
          <w:i/>
          <w:iCs/>
        </w:rPr>
        <w:t>AT&amp;T-Club 42 Order</w:t>
      </w:r>
      <w:r w:rsidRPr="003F003D">
        <w:rPr>
          <w:iCs/>
        </w:rPr>
        <w:t>, 30 FCC Rcd at 13065-</w:t>
      </w:r>
      <w:r>
        <w:rPr>
          <w:iCs/>
        </w:rPr>
        <w:t>0</w:t>
      </w:r>
      <w:r w:rsidRPr="003F003D">
        <w:rPr>
          <w:iCs/>
        </w:rPr>
        <w:t>6,</w:t>
      </w:r>
      <w:r>
        <w:t xml:space="preserve"> para.</w:t>
      </w:r>
      <w:r w:rsidRPr="003F003D">
        <w:t xml:space="preserve"> 23</w:t>
      </w:r>
      <w:r>
        <w:t xml:space="preserve">; </w:t>
      </w:r>
      <w:r w:rsidRPr="00FD6A3E">
        <w:rPr>
          <w:rStyle w:val="StyleParaNumTimesNewRoman11ptChar"/>
          <w:i/>
          <w:sz w:val="20"/>
        </w:rPr>
        <w:t>AT&amp;T-Plateau Wireless Order</w:t>
      </w:r>
      <w:r>
        <w:rPr>
          <w:rStyle w:val="StyleParaNumTimesNewRoman11ptChar"/>
          <w:sz w:val="20"/>
        </w:rPr>
        <w:t>, 30 FCC Rcd at 5118, para. 24.</w:t>
      </w:r>
    </w:p>
  </w:footnote>
  <w:footnote w:id="69">
    <w:p w14:paraId="33655958" w14:textId="0BE775DB" w:rsidR="003373C7" w:rsidRDefault="003373C7" w:rsidP="00B001B8">
      <w:pPr>
        <w:pStyle w:val="FootnoteText"/>
      </w:pPr>
      <w:r>
        <w:rPr>
          <w:rStyle w:val="FootnoteReference"/>
        </w:rPr>
        <w:footnoteRef/>
      </w:r>
      <w:r>
        <w:t xml:space="preserve"> </w:t>
      </w:r>
      <w:r>
        <w:rPr>
          <w:bCs/>
        </w:rPr>
        <w:t xml:space="preserve">There is no change in the number of wireless providers in this market because Broadpoint is transitioning its customers to Tampnet through a transition services agreement.  </w:t>
      </w:r>
      <w:r w:rsidRPr="00974198">
        <w:rPr>
          <w:bCs/>
          <w:i/>
        </w:rPr>
        <w:t>See</w:t>
      </w:r>
      <w:r>
        <w:rPr>
          <w:bCs/>
        </w:rPr>
        <w:t xml:space="preserve"> </w:t>
      </w:r>
      <w:r>
        <w:rPr>
          <w:bCs/>
          <w:i/>
        </w:rPr>
        <w:t>infra</w:t>
      </w:r>
      <w:r w:rsidR="009B2C13">
        <w:rPr>
          <w:bCs/>
        </w:rPr>
        <w:t xml:space="preserve"> para. 30.</w:t>
      </w:r>
    </w:p>
  </w:footnote>
  <w:footnote w:id="70">
    <w:p w14:paraId="61F3EF96" w14:textId="077CF28A" w:rsidR="003373C7" w:rsidRDefault="003373C7">
      <w:pPr>
        <w:pStyle w:val="FootnoteText"/>
      </w:pPr>
      <w:r>
        <w:rPr>
          <w:rStyle w:val="FootnoteReference"/>
        </w:rPr>
        <w:footnoteRef/>
      </w:r>
      <w:r>
        <w:t xml:space="preserve"> </w:t>
      </w:r>
      <w:r>
        <w:rPr>
          <w:i/>
        </w:rPr>
        <w:t xml:space="preserve">See supra </w:t>
      </w:r>
      <w:r>
        <w:t xml:space="preserve">para. 15; </w:t>
      </w:r>
      <w:r w:rsidRPr="001A39C0">
        <w:rPr>
          <w:i/>
        </w:rPr>
        <w:t>see also</w:t>
      </w:r>
      <w:r w:rsidRPr="001A39C0">
        <w:rPr>
          <w:i/>
          <w:iCs/>
        </w:rPr>
        <w:t xml:space="preserve"> AT&amp;T-Club 42 Order</w:t>
      </w:r>
      <w:r w:rsidRPr="001A39C0">
        <w:rPr>
          <w:iCs/>
        </w:rPr>
        <w:t>, 30 FCC Rcd at 13066,</w:t>
      </w:r>
      <w:r w:rsidRPr="001A39C0">
        <w:t xml:space="preserve"> para. 24; </w:t>
      </w:r>
      <w:r w:rsidRPr="001A39C0">
        <w:rPr>
          <w:i/>
        </w:rPr>
        <w:t>AT&amp;T-Plateau Wireless Order</w:t>
      </w:r>
      <w:r w:rsidRPr="001A39C0">
        <w:t>, 30 FCC Rcd at 5118-19, para. 25.</w:t>
      </w:r>
      <w:r>
        <w:t xml:space="preserve">  </w:t>
      </w:r>
      <w:r>
        <w:rPr>
          <w:szCs w:val="22"/>
        </w:rPr>
        <w:t>Post-transaction, AT&amp;T would be attributed with</w:t>
      </w:r>
      <w:r w:rsidRPr="00077B42">
        <w:rPr>
          <w:szCs w:val="22"/>
        </w:rPr>
        <w:t xml:space="preserve"> 68 megahertz</w:t>
      </w:r>
      <w:r>
        <w:rPr>
          <w:szCs w:val="22"/>
        </w:rPr>
        <w:t xml:space="preserve"> of below-1-GHz spectrum in parts of the Gulf of Mexico overall, and Tampnet would be attributed with up to </w:t>
      </w:r>
      <w:r w:rsidRPr="00077B42">
        <w:rPr>
          <w:szCs w:val="22"/>
        </w:rPr>
        <w:t>50</w:t>
      </w:r>
      <w:r>
        <w:rPr>
          <w:szCs w:val="22"/>
        </w:rPr>
        <w:t xml:space="preserve"> megahertz of below-1-GHz spectrum in parts of the Gulf of Mexico.</w:t>
      </w:r>
    </w:p>
  </w:footnote>
  <w:footnote w:id="71">
    <w:p w14:paraId="0691868B" w14:textId="08E5094B" w:rsidR="003373C7" w:rsidRPr="00A04184" w:rsidRDefault="003373C7" w:rsidP="008021E6">
      <w:pPr>
        <w:pStyle w:val="FootnoteText"/>
      </w:pPr>
      <w:r>
        <w:rPr>
          <w:rStyle w:val="FootnoteReference"/>
        </w:rPr>
        <w:footnoteRef/>
      </w:r>
      <w:r>
        <w:t xml:space="preserve"> AT&amp;T Application, Exhibit 1 – Description of Transaction and Public Interest Statement at 5 (AT&amp;T Public </w:t>
      </w:r>
      <w:r w:rsidRPr="00A04184">
        <w:t>Interest Statement); AT&amp;T Information Request Response</w:t>
      </w:r>
      <w:r w:rsidRPr="00A04184">
        <w:rPr>
          <w:color w:val="010101"/>
        </w:rPr>
        <w:t xml:space="preserve"> at 9-10.</w:t>
      </w:r>
    </w:p>
  </w:footnote>
  <w:footnote w:id="72">
    <w:p w14:paraId="005D4FDF" w14:textId="314927CA" w:rsidR="003373C7" w:rsidRDefault="003373C7">
      <w:pPr>
        <w:pStyle w:val="FootnoteText"/>
      </w:pPr>
      <w:r w:rsidRPr="00CB7DED">
        <w:rPr>
          <w:rStyle w:val="FootnoteReference"/>
        </w:rPr>
        <w:footnoteRef/>
      </w:r>
      <w:r w:rsidRPr="00CB7DED">
        <w:t xml:space="preserve"> </w:t>
      </w:r>
      <w:r>
        <w:t xml:space="preserve">We note that </w:t>
      </w:r>
      <w:r w:rsidRPr="008A477D">
        <w:t xml:space="preserve">AT&amp;T is already attributed with the cellular A block and cellular B block spectrum leased from Broadpoint in the Gulf of Mexico.  FCC Lease IDs L000011377 and </w:t>
      </w:r>
      <w:r w:rsidRPr="008A477D">
        <w:rPr>
          <w:bCs/>
        </w:rPr>
        <w:t xml:space="preserve">L000011378.  </w:t>
      </w:r>
      <w:r w:rsidRPr="008A477D">
        <w:t>Response</w:t>
      </w:r>
      <w:r w:rsidRPr="008A477D">
        <w:rPr>
          <w:bCs/>
          <w:szCs w:val="22"/>
        </w:rPr>
        <w:t xml:space="preserve"> of AT&amp;T</w:t>
      </w:r>
      <w:r w:rsidRPr="008A477D">
        <w:rPr>
          <w:color w:val="010101"/>
        </w:rPr>
        <w:t xml:space="preserve"> to the General Information Request Dated October 23, 2015, WT Docket No. 15-255, 3-4 (Nov. 6, 2015) </w:t>
      </w:r>
      <w:r w:rsidRPr="008A477D">
        <w:t>(AT&amp;T Information Request Response).</w:t>
      </w:r>
    </w:p>
  </w:footnote>
  <w:footnote w:id="73">
    <w:p w14:paraId="269CF914" w14:textId="5F715C64" w:rsidR="003373C7" w:rsidRPr="008A477D" w:rsidRDefault="003373C7">
      <w:pPr>
        <w:pStyle w:val="FootnoteText"/>
        <w:rPr>
          <w:i/>
        </w:rPr>
      </w:pPr>
      <w:r>
        <w:rPr>
          <w:rStyle w:val="FootnoteReference"/>
        </w:rPr>
        <w:footnoteRef/>
      </w:r>
      <w:r>
        <w:t xml:space="preserve"> AT&amp;T’s Gulf of Mexico Coastal Area is not the same as the Gulf of Mexico Coastal Zone defined in the Commission’s rules.  </w:t>
      </w:r>
      <w:r>
        <w:rPr>
          <w:i/>
        </w:rPr>
        <w:t>See supra</w:t>
      </w:r>
      <w:r>
        <w:t xml:space="preserve"> para. 6</w:t>
      </w:r>
      <w:r>
        <w:rPr>
          <w:i/>
        </w:rPr>
        <w:t>.</w:t>
      </w:r>
    </w:p>
  </w:footnote>
  <w:footnote w:id="74">
    <w:p w14:paraId="5B59BC35" w14:textId="4732197B" w:rsidR="003373C7" w:rsidRDefault="003373C7" w:rsidP="00F310E1">
      <w:pPr>
        <w:pStyle w:val="FootnoteText"/>
      </w:pPr>
      <w:r>
        <w:rPr>
          <w:rStyle w:val="FootnoteReference"/>
        </w:rPr>
        <w:footnoteRef/>
      </w:r>
      <w:r>
        <w:t xml:space="preserve"> AT&amp;T Public Interest Statement at 5.</w:t>
      </w:r>
    </w:p>
  </w:footnote>
  <w:footnote w:id="75">
    <w:p w14:paraId="2F12E784" w14:textId="33E80828" w:rsidR="003373C7" w:rsidRDefault="003373C7">
      <w:pPr>
        <w:pStyle w:val="FootnoteText"/>
      </w:pPr>
      <w:r>
        <w:rPr>
          <w:rStyle w:val="FootnoteReference"/>
        </w:rPr>
        <w:footnoteRef/>
      </w:r>
      <w:r>
        <w:t xml:space="preserve"> AT&amp;T Information Request Response at 6.</w:t>
      </w:r>
    </w:p>
  </w:footnote>
  <w:footnote w:id="76">
    <w:p w14:paraId="698A9383" w14:textId="63ED7AB0" w:rsidR="003373C7" w:rsidRDefault="003373C7">
      <w:pPr>
        <w:pStyle w:val="FootnoteText"/>
      </w:pPr>
      <w:r>
        <w:rPr>
          <w:rStyle w:val="FootnoteReference"/>
        </w:rPr>
        <w:footnoteRef/>
      </w:r>
      <w:r>
        <w:t xml:space="preserve"> AT&amp;T Information Request Response at 5-6.</w:t>
      </w:r>
    </w:p>
  </w:footnote>
  <w:footnote w:id="77">
    <w:p w14:paraId="140DD127" w14:textId="58083ED6" w:rsidR="003373C7" w:rsidRDefault="003373C7">
      <w:pPr>
        <w:pStyle w:val="FootnoteText"/>
      </w:pPr>
      <w:r>
        <w:rPr>
          <w:rStyle w:val="FootnoteReference"/>
        </w:rPr>
        <w:footnoteRef/>
      </w:r>
      <w:r>
        <w:t xml:space="preserve"> Tampnet </w:t>
      </w:r>
      <w:r w:rsidRPr="00393AE0">
        <w:t>Information Request</w:t>
      </w:r>
      <w:r>
        <w:t xml:space="preserve"> Response</w:t>
      </w:r>
      <w:r w:rsidR="003D585B">
        <w:t xml:space="preserve"> at 3,</w:t>
      </w:r>
      <w:r w:rsidR="00481518">
        <w:t xml:space="preserve"> 8</w:t>
      </w:r>
      <w:r>
        <w:t xml:space="preserve">; </w:t>
      </w:r>
      <w:r w:rsidRPr="00C95F61">
        <w:t>Tampnet Supplement to Response to Commission RFIs</w:t>
      </w:r>
      <w:r w:rsidRPr="00E20965">
        <w:rPr>
          <w:color w:val="010101"/>
        </w:rPr>
        <w:t xml:space="preserve">, WT Docket No. 15-255, at </w:t>
      </w:r>
      <w:r>
        <w:rPr>
          <w:color w:val="010101"/>
        </w:rPr>
        <w:t>1</w:t>
      </w:r>
      <w:r w:rsidRPr="00C95F61">
        <w:rPr>
          <w:color w:val="010101"/>
        </w:rPr>
        <w:t xml:space="preserve"> (June 7, 2016) </w:t>
      </w:r>
      <w:r w:rsidRPr="00C95F61">
        <w:t>(Tampnet Supplemental Response)</w:t>
      </w:r>
      <w:r w:rsidRPr="00E20965">
        <w:t>.</w:t>
      </w:r>
    </w:p>
  </w:footnote>
  <w:footnote w:id="78">
    <w:p w14:paraId="0511A462" w14:textId="1AF25461" w:rsidR="003373C7" w:rsidRPr="008A477D" w:rsidRDefault="003373C7" w:rsidP="00650B9E">
      <w:pPr>
        <w:pStyle w:val="FootnoteText"/>
        <w:rPr>
          <w:b/>
          <w:i/>
        </w:rPr>
      </w:pPr>
      <w:r>
        <w:rPr>
          <w:rStyle w:val="FootnoteReference"/>
        </w:rPr>
        <w:footnoteRef/>
      </w:r>
      <w:r>
        <w:t xml:space="preserve"> As noted above, the </w:t>
      </w:r>
      <w:r w:rsidRPr="00A15ED6">
        <w:rPr>
          <w:color w:val="010101"/>
        </w:rPr>
        <w:t>Department</w:t>
      </w:r>
      <w:r w:rsidRPr="00A76806">
        <w:t xml:space="preserve"> of Justice, </w:t>
      </w:r>
      <w:r>
        <w:t xml:space="preserve">including the Federal Bureau of Investigation, </w:t>
      </w:r>
      <w:r w:rsidRPr="00A76806">
        <w:t>with the concurrence of the Department of Defense and the Department of Homeland Security</w:t>
      </w:r>
      <w:r>
        <w:t>,</w:t>
      </w:r>
      <w:r w:rsidRPr="00A76806">
        <w:t xml:space="preserve"> </w:t>
      </w:r>
      <w:r>
        <w:t xml:space="preserve">initially filed a request with the Commission to defer action in this proceeding.  The Agencies subsequently entered into an agreement with Tampnet, and advised the Commission that they had no objection to the grant of the Applications and Petition so long as the Commission conditions its approval upon Tampnet’s compliance with that agreement.  </w:t>
      </w:r>
      <w:r>
        <w:rPr>
          <w:i/>
        </w:rPr>
        <w:t>See supra</w:t>
      </w:r>
      <w:r>
        <w:t xml:space="preserve"> para. 9.</w:t>
      </w:r>
    </w:p>
  </w:footnote>
  <w:footnote w:id="79">
    <w:p w14:paraId="3BE12325" w14:textId="4555C8B0" w:rsidR="003373C7" w:rsidRDefault="003373C7" w:rsidP="0053379C">
      <w:pPr>
        <w:pStyle w:val="FootnoteText"/>
      </w:pPr>
      <w:r>
        <w:rPr>
          <w:rStyle w:val="FootnoteReference"/>
        </w:rPr>
        <w:footnoteRef/>
      </w:r>
      <w:r>
        <w:t xml:space="preserve"> </w:t>
      </w:r>
      <w:r w:rsidRPr="00D22B64">
        <w:t xml:space="preserve">We </w:t>
      </w:r>
      <w:r>
        <w:t xml:space="preserve">obtained </w:t>
      </w:r>
      <w:r w:rsidRPr="00D22B64">
        <w:t xml:space="preserve">2010 U.S. Census data, and spectrum holdings from our licensing databases and the Applications. </w:t>
      </w:r>
      <w:r>
        <w:t xml:space="preserve"> </w:t>
      </w:r>
      <w:r w:rsidRPr="00D22B64">
        <w:t>We also utilized and analyzed additional data as provided by the Applicants through our information requests.</w:t>
      </w:r>
      <w:r>
        <w:t xml:space="preserve">  </w:t>
      </w:r>
      <w:r>
        <w:rPr>
          <w:i/>
        </w:rPr>
        <w:t xml:space="preserve">See, e.g., </w:t>
      </w:r>
      <w:r w:rsidRPr="00B623EB">
        <w:rPr>
          <w:i/>
        </w:rPr>
        <w:t>Sprint-Shentel-NTELOS Order</w:t>
      </w:r>
      <w:r>
        <w:rPr>
          <w:i/>
        </w:rPr>
        <w:t>,</w:t>
      </w:r>
      <w:r>
        <w:t xml:space="preserve"> 31 FCC Rcd at 3641, para. 21 &amp; n.66; </w:t>
      </w:r>
      <w:r w:rsidRPr="006E29EF">
        <w:rPr>
          <w:i/>
        </w:rPr>
        <w:t>AT&amp;T-CPI</w:t>
      </w:r>
      <w:r w:rsidRPr="006E29EF">
        <w:t xml:space="preserve"> </w:t>
      </w:r>
      <w:r w:rsidRPr="006E29EF">
        <w:rPr>
          <w:i/>
        </w:rPr>
        <w:t>Order</w:t>
      </w:r>
      <w:r>
        <w:t>, 31 FCC Rcd at 325,</w:t>
      </w:r>
      <w:r w:rsidRPr="00AC1A9B">
        <w:t xml:space="preserve"> </w:t>
      </w:r>
      <w:r>
        <w:t xml:space="preserve">para. 16 &amp; n.51; </w:t>
      </w:r>
      <w:r w:rsidRPr="007C0B35">
        <w:rPr>
          <w:i/>
        </w:rPr>
        <w:t>AT</w:t>
      </w:r>
      <w:r w:rsidRPr="009B3B62">
        <w:rPr>
          <w:i/>
        </w:rPr>
        <w:t>&amp;T-Plateau Wireless Order</w:t>
      </w:r>
      <w:r>
        <w:t>, 30 FCC Rcd at 5120, para. 29 &amp; n.98</w:t>
      </w:r>
      <w:r>
        <w:rPr>
          <w:iCs/>
        </w:rPr>
        <w:t>.</w:t>
      </w:r>
    </w:p>
  </w:footnote>
  <w:footnote w:id="80">
    <w:p w14:paraId="007F573D" w14:textId="4A52E7AD" w:rsidR="003373C7" w:rsidRDefault="003373C7" w:rsidP="00441084">
      <w:pPr>
        <w:pStyle w:val="FootnoteText"/>
      </w:pPr>
      <w:r>
        <w:rPr>
          <w:rStyle w:val="FootnoteReference"/>
        </w:rPr>
        <w:footnoteRef/>
      </w:r>
      <w:r>
        <w:t xml:space="preserve"> </w:t>
      </w:r>
      <w:r w:rsidRPr="00DE66D6">
        <w:rPr>
          <w:i/>
        </w:rPr>
        <w:t>See, e.g.,</w:t>
      </w:r>
      <w:r w:rsidRPr="00DE66D6">
        <w:t xml:space="preserve"> </w:t>
      </w:r>
      <w:r w:rsidRPr="008A477D">
        <w:rPr>
          <w:i/>
        </w:rPr>
        <w:t>Amendment of Parts 1 and 22 of the Commission's Rules with Regard to the Cellular Service, Including Changes in Licensing of Unserved Area</w:t>
      </w:r>
      <w:r w:rsidRPr="00DE66D6">
        <w:t xml:space="preserve">, 29 FCC Rcd 14100, 14170, para. 4 (2014) </w:t>
      </w:r>
      <w:r>
        <w:t xml:space="preserve">(noting “the unique licensing regime established over decades for the Gulf of Mexico Service Area”).  We also have considered the unique characteristics of the affected geographies in other transsctions.  </w:t>
      </w:r>
      <w:r w:rsidRPr="00F20E4E">
        <w:rPr>
          <w:i/>
        </w:rPr>
        <w:t xml:space="preserve">Applications of AT&amp;T Inc. and Centennial Communications Corp. </w:t>
      </w:r>
      <w:r>
        <w:rPr>
          <w:i/>
        </w:rPr>
        <w:t>f</w:t>
      </w:r>
      <w:r w:rsidRPr="00F20E4E">
        <w:rPr>
          <w:i/>
        </w:rPr>
        <w:t xml:space="preserve">or Consent </w:t>
      </w:r>
      <w:r>
        <w:rPr>
          <w:i/>
        </w:rPr>
        <w:t>T</w:t>
      </w:r>
      <w:r w:rsidRPr="00F20E4E">
        <w:rPr>
          <w:i/>
        </w:rPr>
        <w:t>o Transfer Control of Licenses, Authorizations, and Spectrum Leasing Arrangements</w:t>
      </w:r>
      <w:r w:rsidRPr="003830C5">
        <w:t>,</w:t>
      </w:r>
      <w:r w:rsidRPr="003830C5">
        <w:rPr>
          <w:i/>
        </w:rPr>
        <w:t xml:space="preserve"> </w:t>
      </w:r>
      <w:r w:rsidRPr="00F20E4E">
        <w:t>Memorandum Opinion and Order</w:t>
      </w:r>
      <w:r w:rsidRPr="003830C5">
        <w:rPr>
          <w:i/>
        </w:rPr>
        <w:t xml:space="preserve">, </w:t>
      </w:r>
      <w:r w:rsidRPr="003830C5">
        <w:t>24 FCC Rcd 13915, 139</w:t>
      </w:r>
      <w:r>
        <w:t>34, paras. 41-42</w:t>
      </w:r>
      <w:r w:rsidRPr="003830C5">
        <w:t xml:space="preserve"> (</w:t>
      </w:r>
      <w:r>
        <w:t xml:space="preserve">2009) (considering the unique characteristics of Puerto Rico and the U.S. Virgin Islands in part because of their limited geographic scope and isolated nature).  </w:t>
      </w:r>
      <w:r w:rsidRPr="00F20E4E">
        <w:rPr>
          <w:i/>
        </w:rPr>
        <w:t>See also</w:t>
      </w:r>
      <w:r>
        <w:t xml:space="preserve"> </w:t>
      </w:r>
      <w:r>
        <w:rPr>
          <w:i/>
          <w:iCs/>
          <w:snapToGrid w:val="0"/>
        </w:rPr>
        <w:t>Alaska Wireless Order</w:t>
      </w:r>
      <w:r>
        <w:rPr>
          <w:snapToGrid w:val="0"/>
        </w:rPr>
        <w:t>, 28 FCC Rcd at 10435, para. 3.</w:t>
      </w:r>
    </w:p>
  </w:footnote>
  <w:footnote w:id="81">
    <w:p w14:paraId="48A0F791" w14:textId="2D02342E" w:rsidR="003373C7" w:rsidRDefault="003373C7">
      <w:pPr>
        <w:pStyle w:val="FootnoteText"/>
      </w:pPr>
      <w:r>
        <w:rPr>
          <w:rStyle w:val="FootnoteReference"/>
        </w:rPr>
        <w:footnoteRef/>
      </w:r>
      <w:r>
        <w:t xml:space="preserve"> Also, according to the Applicants,</w:t>
      </w:r>
      <w:r>
        <w:rPr>
          <w:szCs w:val="22"/>
        </w:rPr>
        <w:t xml:space="preserve"> [</w:t>
      </w:r>
      <w:r w:rsidR="00411A58">
        <w:rPr>
          <w:b/>
          <w:bCs/>
        </w:rPr>
        <w:t>REDACTED</w:t>
      </w:r>
      <w:r w:rsidRPr="00E66F20">
        <w:rPr>
          <w:b/>
          <w:szCs w:val="22"/>
        </w:rPr>
        <w:t>]</w:t>
      </w:r>
      <w:r>
        <w:rPr>
          <w:szCs w:val="22"/>
        </w:rPr>
        <w:t xml:space="preserve">.  </w:t>
      </w:r>
      <w:r w:rsidRPr="0088046D">
        <w:rPr>
          <w:szCs w:val="22"/>
        </w:rPr>
        <w:t>Broadpoint Information Request Response at 2-4</w:t>
      </w:r>
      <w:r>
        <w:rPr>
          <w:szCs w:val="22"/>
        </w:rPr>
        <w:t>.</w:t>
      </w:r>
    </w:p>
  </w:footnote>
  <w:footnote w:id="82">
    <w:p w14:paraId="58EAA347" w14:textId="38EF9386" w:rsidR="003373C7" w:rsidRPr="006722D6" w:rsidRDefault="003373C7">
      <w:pPr>
        <w:pStyle w:val="FootnoteText"/>
      </w:pPr>
      <w:r>
        <w:rPr>
          <w:rStyle w:val="FootnoteReference"/>
        </w:rPr>
        <w:footnoteRef/>
      </w:r>
      <w:r>
        <w:t xml:space="preserve"> Infrastructure Networks has a long-term spectrum manager leasing arrangement with Verizon Wireless.  Application of Infrastructure Networks, Inc. and Verizon Wireless, long-term spectrum manager lease notification, ULS File No. 0005843174 (filed July 2, 2013).  In addition, DISH holds 65 megahertz of spectrum above 1 GHz, while Rignet and Space Data each hold 20 megahertz of spectrum above 1 GHz</w:t>
      </w:r>
      <w:r w:rsidR="00411A58">
        <w:t>.</w:t>
      </w:r>
    </w:p>
  </w:footnote>
  <w:footnote w:id="83">
    <w:p w14:paraId="08585BC2" w14:textId="6E26BF01" w:rsidR="003373C7" w:rsidRPr="001241E2" w:rsidRDefault="003373C7" w:rsidP="00311120">
      <w:pPr>
        <w:pStyle w:val="FootnoteText"/>
      </w:pPr>
      <w:r w:rsidRPr="001241E2">
        <w:rPr>
          <w:rStyle w:val="FootnoteReference"/>
        </w:rPr>
        <w:footnoteRef/>
      </w:r>
      <w:r w:rsidRPr="001241E2">
        <w:t xml:space="preserve"> </w:t>
      </w:r>
      <w:r w:rsidRPr="001241E2">
        <w:rPr>
          <w:i/>
        </w:rPr>
        <w:t>See</w:t>
      </w:r>
      <w:r w:rsidRPr="001241E2">
        <w:t xml:space="preserve">, </w:t>
      </w:r>
      <w:r w:rsidRPr="001241E2">
        <w:rPr>
          <w:i/>
        </w:rPr>
        <w:t>e.g.</w:t>
      </w:r>
      <w:r w:rsidRPr="001241E2">
        <w:t xml:space="preserve">, </w:t>
      </w:r>
      <w:r w:rsidRPr="00B623EB">
        <w:rPr>
          <w:i/>
        </w:rPr>
        <w:t>Sprint-Shentel-NTELOS Order</w:t>
      </w:r>
      <w:r>
        <w:t xml:space="preserve">, 31 FCC Rcd at 3647, para. 34;  </w:t>
      </w:r>
      <w:r w:rsidRPr="00BE360A">
        <w:rPr>
          <w:i/>
        </w:rPr>
        <w:t>AT</w:t>
      </w:r>
      <w:r w:rsidRPr="001241E2">
        <w:rPr>
          <w:i/>
        </w:rPr>
        <w:t>&amp;T</w:t>
      </w:r>
      <w:r w:rsidRPr="001241E2">
        <w:rPr>
          <w:i/>
        </w:rPr>
        <w:noBreakHyphen/>
        <w:t>Plateau Wireless Order</w:t>
      </w:r>
      <w:r w:rsidRPr="001241E2">
        <w:t xml:space="preserve">, 30 FCC Rcd at 5126, para. 43; </w:t>
      </w:r>
      <w:r w:rsidRPr="001241E2">
        <w:rPr>
          <w:rStyle w:val="StyleParaNumTimesNewRoman11ptChar"/>
          <w:i/>
          <w:sz w:val="20"/>
          <w:lang w:eastAsia="x-none"/>
        </w:rPr>
        <w:t>AT&amp;T-Leap Order</w:t>
      </w:r>
      <w:r w:rsidRPr="001241E2">
        <w:rPr>
          <w:rStyle w:val="StyleParaNumTimesNewRoman11ptChar"/>
          <w:sz w:val="20"/>
          <w:lang w:eastAsia="x-none"/>
        </w:rPr>
        <w:t xml:space="preserve">, </w:t>
      </w:r>
      <w:r w:rsidRPr="001241E2">
        <w:t>29 FCC Rcd at 2792-93, para. 130.</w:t>
      </w:r>
    </w:p>
  </w:footnote>
  <w:footnote w:id="84">
    <w:p w14:paraId="40C4DBD9" w14:textId="1076661E" w:rsidR="003373C7" w:rsidRPr="001241E2" w:rsidRDefault="003373C7" w:rsidP="00311120">
      <w:pPr>
        <w:pStyle w:val="FootnoteText"/>
      </w:pPr>
      <w:r w:rsidRPr="001241E2">
        <w:rPr>
          <w:rStyle w:val="FootnoteReference"/>
        </w:rPr>
        <w:footnoteRef/>
      </w:r>
      <w:r w:rsidRPr="001241E2">
        <w:t xml:space="preserve"> </w:t>
      </w:r>
      <w:r w:rsidRPr="001241E2">
        <w:rPr>
          <w:i/>
        </w:rPr>
        <w:t>See</w:t>
      </w:r>
      <w:r w:rsidRPr="001241E2">
        <w:t>,</w:t>
      </w:r>
      <w:r w:rsidRPr="001241E2">
        <w:rPr>
          <w:i/>
        </w:rPr>
        <w:t xml:space="preserve"> e.g</w:t>
      </w:r>
      <w:r w:rsidRPr="001241E2">
        <w:t>.,</w:t>
      </w:r>
      <w:r w:rsidRPr="00311120">
        <w:rPr>
          <w:i/>
        </w:rPr>
        <w:t xml:space="preserve"> </w:t>
      </w:r>
      <w:r w:rsidRPr="00B623EB">
        <w:rPr>
          <w:i/>
        </w:rPr>
        <w:t>Sprint-Shentel-NTELOS Order</w:t>
      </w:r>
      <w:r>
        <w:t xml:space="preserve">, 31 FCC Rcd at 3647, para. 34; </w:t>
      </w:r>
      <w:r w:rsidRPr="00DC7691">
        <w:rPr>
          <w:i/>
        </w:rPr>
        <w:t xml:space="preserve">Alaska Wireless </w:t>
      </w:r>
      <w:r>
        <w:rPr>
          <w:i/>
        </w:rPr>
        <w:t xml:space="preserve">Order, </w:t>
      </w:r>
      <w:r w:rsidRPr="00A5312F">
        <w:t xml:space="preserve">28 FCC Rcd at </w:t>
      </w:r>
      <w:r>
        <w:t xml:space="preserve">10468, para. 86; </w:t>
      </w:r>
      <w:r w:rsidRPr="00936DA3">
        <w:rPr>
          <w:i/>
        </w:rPr>
        <w:t>s</w:t>
      </w:r>
      <w:r>
        <w:rPr>
          <w:i/>
        </w:rPr>
        <w:t>ee also</w:t>
      </w:r>
      <w:r w:rsidRPr="001241E2">
        <w:rPr>
          <w:rStyle w:val="StyleParaNumTimesNewRoman11ptChar"/>
          <w:i/>
          <w:sz w:val="20"/>
          <w:lang w:eastAsia="x-none"/>
        </w:rPr>
        <w:t xml:space="preserve"> AT&amp;T-Leap Order</w:t>
      </w:r>
      <w:r w:rsidRPr="001241E2">
        <w:rPr>
          <w:rStyle w:val="StyleParaNumTimesNewRoman11ptChar"/>
          <w:sz w:val="20"/>
          <w:lang w:eastAsia="x-none"/>
        </w:rPr>
        <w:t xml:space="preserve">, </w:t>
      </w:r>
      <w:r w:rsidRPr="001241E2">
        <w:t xml:space="preserve">29 FCC Rcd at </w:t>
      </w:r>
      <w:r>
        <w:t>2793, para. 131.</w:t>
      </w:r>
    </w:p>
  </w:footnote>
  <w:footnote w:id="85">
    <w:p w14:paraId="5B32DA6A" w14:textId="15CA1848" w:rsidR="003373C7" w:rsidRPr="008774FB" w:rsidRDefault="003373C7" w:rsidP="00311120">
      <w:pPr>
        <w:widowControl/>
        <w:autoSpaceDE w:val="0"/>
        <w:autoSpaceDN w:val="0"/>
        <w:adjustRightInd w:val="0"/>
        <w:spacing w:after="120"/>
        <w:rPr>
          <w:sz w:val="20"/>
        </w:rPr>
      </w:pPr>
      <w:r w:rsidRPr="008774FB">
        <w:rPr>
          <w:rStyle w:val="FootnoteReference"/>
        </w:rPr>
        <w:footnoteRef/>
      </w:r>
      <w:r w:rsidRPr="00BE360A">
        <w:rPr>
          <w:sz w:val="20"/>
        </w:rPr>
        <w:t xml:space="preserve"> </w:t>
      </w:r>
      <w:r w:rsidRPr="00BE360A">
        <w:rPr>
          <w:i/>
          <w:iCs/>
          <w:snapToGrid/>
          <w:kern w:val="0"/>
          <w:sz w:val="20"/>
        </w:rPr>
        <w:t>See</w:t>
      </w:r>
      <w:r w:rsidRPr="00BE360A">
        <w:rPr>
          <w:snapToGrid/>
          <w:kern w:val="0"/>
          <w:sz w:val="20"/>
        </w:rPr>
        <w:t xml:space="preserve">, </w:t>
      </w:r>
      <w:r w:rsidRPr="00BE360A">
        <w:rPr>
          <w:i/>
          <w:iCs/>
          <w:snapToGrid/>
          <w:kern w:val="0"/>
          <w:sz w:val="20"/>
        </w:rPr>
        <w:t>e.g.</w:t>
      </w:r>
      <w:r w:rsidRPr="00BE360A">
        <w:rPr>
          <w:snapToGrid/>
          <w:kern w:val="0"/>
          <w:sz w:val="20"/>
        </w:rPr>
        <w:t xml:space="preserve">, </w:t>
      </w:r>
      <w:r w:rsidRPr="00B623EB">
        <w:rPr>
          <w:i/>
        </w:rPr>
        <w:t>Sprint-Shentel-NTELOS Order</w:t>
      </w:r>
      <w:r>
        <w:t xml:space="preserve">, 31 FCC Rcd at 3647, para. 34; </w:t>
      </w:r>
      <w:r w:rsidRPr="008774FB">
        <w:rPr>
          <w:rStyle w:val="StyleParaNumTimesNewRoman11ptChar"/>
          <w:i/>
          <w:sz w:val="20"/>
          <w:lang w:eastAsia="x-none"/>
        </w:rPr>
        <w:t>AT&amp;T-Leap Order</w:t>
      </w:r>
      <w:r w:rsidRPr="008774FB">
        <w:rPr>
          <w:rStyle w:val="StyleParaNumTimesNewRoman11ptChar"/>
          <w:sz w:val="20"/>
          <w:lang w:eastAsia="x-none"/>
        </w:rPr>
        <w:t xml:space="preserve">, </w:t>
      </w:r>
      <w:r w:rsidRPr="00BE360A">
        <w:rPr>
          <w:sz w:val="20"/>
        </w:rPr>
        <w:t>29 FCC Rcd at 2793, para. 13</w:t>
      </w:r>
      <w:r>
        <w:rPr>
          <w:sz w:val="20"/>
        </w:rPr>
        <w:t>2</w:t>
      </w:r>
      <w:r w:rsidRPr="008774FB">
        <w:rPr>
          <w:sz w:val="20"/>
        </w:rPr>
        <w:t xml:space="preserve">; </w:t>
      </w:r>
      <w:r w:rsidRPr="00BE360A">
        <w:rPr>
          <w:i/>
          <w:iCs/>
          <w:snapToGrid/>
          <w:kern w:val="0"/>
          <w:sz w:val="20"/>
        </w:rPr>
        <w:t>Alaska Wireless Order</w:t>
      </w:r>
      <w:r w:rsidRPr="00BE360A">
        <w:rPr>
          <w:snapToGrid/>
          <w:kern w:val="0"/>
          <w:sz w:val="20"/>
        </w:rPr>
        <w:t>, 28 FCC Rcd at 10468</w:t>
      </w:r>
      <w:r>
        <w:rPr>
          <w:snapToGrid/>
          <w:kern w:val="0"/>
          <w:sz w:val="20"/>
        </w:rPr>
        <w:t>, para.</w:t>
      </w:r>
      <w:r w:rsidRPr="00BE360A">
        <w:rPr>
          <w:snapToGrid/>
          <w:kern w:val="0"/>
          <w:sz w:val="20"/>
        </w:rPr>
        <w:t xml:space="preserve"> 87.</w:t>
      </w:r>
    </w:p>
  </w:footnote>
  <w:footnote w:id="86">
    <w:p w14:paraId="48F1F265" w14:textId="21BB33C4" w:rsidR="003373C7" w:rsidRPr="008016E2" w:rsidRDefault="003373C7" w:rsidP="00311120">
      <w:pPr>
        <w:pStyle w:val="FootnoteText"/>
      </w:pPr>
      <w:r w:rsidRPr="008016E2">
        <w:rPr>
          <w:rStyle w:val="FootnoteReference"/>
        </w:rPr>
        <w:footnoteRef/>
      </w:r>
      <w:r>
        <w:t xml:space="preserve"> </w:t>
      </w:r>
      <w:r w:rsidRPr="00285276">
        <w:t>U.S. Department of Justice and the Federal Trade Commission,</w:t>
      </w:r>
      <w:r w:rsidRPr="00285276">
        <w:rPr>
          <w:color w:val="000000"/>
        </w:rPr>
        <w:t xml:space="preserve"> </w:t>
      </w:r>
      <w:r w:rsidRPr="00285276">
        <w:t xml:space="preserve">Horizontal Merger Guidelines, </w:t>
      </w:r>
      <w:r>
        <w:t>A</w:t>
      </w:r>
      <w:r w:rsidRPr="00285276">
        <w:t xml:space="preserve">ugust 19, </w:t>
      </w:r>
      <w:r>
        <w:t xml:space="preserve">2010, </w:t>
      </w:r>
      <w:r w:rsidRPr="00285276">
        <w:rPr>
          <w:color w:val="000000"/>
        </w:rPr>
        <w:t>20</w:t>
      </w:r>
      <w:r w:rsidRPr="00285276">
        <w:t xml:space="preserve"> </w:t>
      </w:r>
      <w:r w:rsidRPr="00FA36AC">
        <w:rPr>
          <w:i/>
        </w:rPr>
        <w:t xml:space="preserve"> </w:t>
      </w:r>
      <w:r w:rsidRPr="00FA36AC">
        <w:t>§</w:t>
      </w:r>
      <w:r>
        <w:t xml:space="preserve"> </w:t>
      </w:r>
      <w:r w:rsidRPr="00FA36AC">
        <w:t>10</w:t>
      </w:r>
      <w:r>
        <w:t xml:space="preserve"> </w:t>
      </w:r>
      <w:r w:rsidRPr="001822A3">
        <w:t>&amp; n.13</w:t>
      </w:r>
      <w:r>
        <w:t xml:space="preserve"> </w:t>
      </w:r>
      <w:r w:rsidRPr="00285276">
        <w:t>(</w:t>
      </w:r>
      <w:r w:rsidRPr="00285276">
        <w:rPr>
          <w:i/>
        </w:rPr>
        <w:t>2010 DOJ/FTC</w:t>
      </w:r>
      <w:r w:rsidRPr="00285276">
        <w:t xml:space="preserve"> </w:t>
      </w:r>
      <w:r w:rsidRPr="00285276">
        <w:rPr>
          <w:i/>
        </w:rPr>
        <w:t>Horizontal Merger Guidelines</w:t>
      </w:r>
      <w:r w:rsidRPr="00285276">
        <w:t>)</w:t>
      </w:r>
      <w:r>
        <w:t xml:space="preserve"> </w:t>
      </w:r>
      <w:r w:rsidRPr="00FA36AC">
        <w:t>(stating that “the agencies will not deem efficiencies to be merger-specific if they could be attained by practical alternatives that mitigate competitive concerns, such as divestiture or licensing”).</w:t>
      </w:r>
      <w:r>
        <w:t xml:space="preserve">  </w:t>
      </w:r>
      <w:r w:rsidRPr="00BE360A">
        <w:rPr>
          <w:i/>
        </w:rPr>
        <w:t xml:space="preserve">Cf. </w:t>
      </w:r>
      <w:r w:rsidRPr="0046794A">
        <w:rPr>
          <w:i/>
          <w:iCs/>
        </w:rPr>
        <w:t>Alaska</w:t>
      </w:r>
      <w:r w:rsidRPr="0024161E">
        <w:rPr>
          <w:i/>
          <w:iCs/>
        </w:rPr>
        <w:t xml:space="preserve"> Wireless Order</w:t>
      </w:r>
      <w:r w:rsidRPr="0024161E">
        <w:t>, 28 FCC Rcd at 1046</w:t>
      </w:r>
      <w:r>
        <w:t xml:space="preserve">7, para. </w:t>
      </w:r>
      <w:r w:rsidRPr="0024161E">
        <w:t>8</w:t>
      </w:r>
      <w:r>
        <w:t>5.</w:t>
      </w:r>
    </w:p>
  </w:footnote>
  <w:footnote w:id="87">
    <w:p w14:paraId="04ECD706" w14:textId="7AA7B4CC" w:rsidR="003373C7" w:rsidRPr="00677E8C" w:rsidRDefault="003373C7" w:rsidP="00311120">
      <w:pPr>
        <w:pStyle w:val="FootnoteText"/>
      </w:pPr>
      <w:r w:rsidRPr="003F0C2C">
        <w:rPr>
          <w:rStyle w:val="FootnoteReference"/>
        </w:rPr>
        <w:footnoteRef/>
      </w:r>
      <w:r w:rsidRPr="003F0C2C">
        <w:t xml:space="preserve"> </w:t>
      </w:r>
      <w:r w:rsidRPr="00677E8C">
        <w:rPr>
          <w:i/>
        </w:rPr>
        <w:t>See</w:t>
      </w:r>
      <w:r w:rsidRPr="00677E8C">
        <w:t>,</w:t>
      </w:r>
      <w:r w:rsidRPr="00677E8C">
        <w:rPr>
          <w:i/>
        </w:rPr>
        <w:t xml:space="preserve"> e.g</w:t>
      </w:r>
      <w:r w:rsidRPr="00677E8C">
        <w:t>.,</w:t>
      </w:r>
      <w:r w:rsidRPr="00677E8C">
        <w:rPr>
          <w:rStyle w:val="StyleParaNumTimesNewRoman11ptChar"/>
          <w:i/>
          <w:sz w:val="20"/>
          <w:lang w:eastAsia="x-none"/>
        </w:rPr>
        <w:t xml:space="preserve"> </w:t>
      </w:r>
      <w:r w:rsidRPr="00677E8C">
        <w:rPr>
          <w:i/>
        </w:rPr>
        <w:t>Sprint-Shentel-NTELOS Order</w:t>
      </w:r>
      <w:r w:rsidRPr="00677E8C">
        <w:t>, 31 FCC Rcd at 36</w:t>
      </w:r>
      <w:r w:rsidRPr="00B35808">
        <w:t xml:space="preserve">47-48, para. </w:t>
      </w:r>
      <w:r w:rsidRPr="00B76E02">
        <w:t xml:space="preserve">34; </w:t>
      </w:r>
      <w:r w:rsidRPr="00A61A67">
        <w:rPr>
          <w:rStyle w:val="StyleParaNumTimesNewRoman11ptChar"/>
          <w:i/>
          <w:sz w:val="20"/>
          <w:lang w:eastAsia="x-none"/>
        </w:rPr>
        <w:t>AT&amp;T-Leap Order</w:t>
      </w:r>
      <w:r w:rsidRPr="00A61A67">
        <w:rPr>
          <w:rStyle w:val="StyleParaNumTimesNewRoman11ptChar"/>
          <w:sz w:val="20"/>
          <w:lang w:eastAsia="x-none"/>
        </w:rPr>
        <w:t xml:space="preserve">, </w:t>
      </w:r>
      <w:r w:rsidRPr="00A61A67">
        <w:t>29 FCC Rcd at 2793, para. 132;</w:t>
      </w:r>
      <w:r w:rsidRPr="00916436">
        <w:rPr>
          <w:i/>
          <w:iCs/>
        </w:rPr>
        <w:t xml:space="preserve"> Alaska Wireless Order</w:t>
      </w:r>
      <w:r w:rsidRPr="00677E8C">
        <w:t>, 28 FCC Rcd at 10468, para. 87.</w:t>
      </w:r>
    </w:p>
  </w:footnote>
  <w:footnote w:id="88">
    <w:p w14:paraId="0D01BBDA" w14:textId="7DD37837" w:rsidR="003373C7" w:rsidRPr="0038577E" w:rsidRDefault="003373C7" w:rsidP="00311120">
      <w:pPr>
        <w:pStyle w:val="FootnoteText"/>
      </w:pPr>
      <w:r w:rsidRPr="0038577E">
        <w:rPr>
          <w:rStyle w:val="FootnoteReference"/>
        </w:rPr>
        <w:footnoteRef/>
      </w:r>
      <w:r w:rsidRPr="0038577E">
        <w:t xml:space="preserve"> </w:t>
      </w:r>
      <w:r w:rsidRPr="0038577E">
        <w:rPr>
          <w:i/>
        </w:rPr>
        <w:t>See</w:t>
      </w:r>
      <w:r w:rsidRPr="0038577E">
        <w:t>,</w:t>
      </w:r>
      <w:r w:rsidRPr="0038577E">
        <w:rPr>
          <w:i/>
        </w:rPr>
        <w:t xml:space="preserve"> e.g</w:t>
      </w:r>
      <w:r w:rsidRPr="0038577E">
        <w:t>.,</w:t>
      </w:r>
      <w:r w:rsidRPr="00677E8C">
        <w:rPr>
          <w:i/>
        </w:rPr>
        <w:t xml:space="preserve"> </w:t>
      </w:r>
      <w:r w:rsidRPr="00B623EB">
        <w:rPr>
          <w:i/>
        </w:rPr>
        <w:t>Sprint-Shentel-NTELOS Order</w:t>
      </w:r>
      <w:r>
        <w:t>, 31 FCC Rcd at 3648, para. 34;</w:t>
      </w:r>
      <w:r w:rsidRPr="0038577E">
        <w:rPr>
          <w:rStyle w:val="StyleParaNumTimesNewRoman11ptChar"/>
          <w:i/>
          <w:sz w:val="20"/>
          <w:lang w:eastAsia="x-none"/>
        </w:rPr>
        <w:t xml:space="preserve"> AT&amp;T-Leap Order</w:t>
      </w:r>
      <w:r w:rsidRPr="0038577E">
        <w:rPr>
          <w:rStyle w:val="StyleParaNumTimesNewRoman11ptChar"/>
          <w:sz w:val="20"/>
          <w:lang w:eastAsia="x-none"/>
        </w:rPr>
        <w:t xml:space="preserve">, </w:t>
      </w:r>
      <w:r w:rsidRPr="0038577E">
        <w:t>29 FCC Rcd at 2793, para. 132</w:t>
      </w:r>
      <w:r>
        <w:t>;</w:t>
      </w:r>
      <w:r w:rsidRPr="00BE360A">
        <w:rPr>
          <w:i/>
          <w:iCs/>
        </w:rPr>
        <w:t xml:space="preserve"> Alaska Wireless Order</w:t>
      </w:r>
      <w:r w:rsidRPr="00BE360A">
        <w:t>, 28 FCC Rcd at 10468</w:t>
      </w:r>
      <w:r w:rsidRPr="0038577E">
        <w:t xml:space="preserve">, para. </w:t>
      </w:r>
      <w:r w:rsidRPr="00BE360A">
        <w:t>87</w:t>
      </w:r>
      <w:r w:rsidRPr="0038577E">
        <w:t>.</w:t>
      </w:r>
    </w:p>
  </w:footnote>
  <w:footnote w:id="89">
    <w:p w14:paraId="1690564A" w14:textId="7CE7B73A" w:rsidR="003373C7" w:rsidRPr="007554E7" w:rsidRDefault="003373C7" w:rsidP="00311120">
      <w:pPr>
        <w:widowControl/>
        <w:autoSpaceDE w:val="0"/>
        <w:autoSpaceDN w:val="0"/>
        <w:adjustRightInd w:val="0"/>
        <w:spacing w:after="120"/>
        <w:rPr>
          <w:sz w:val="20"/>
        </w:rPr>
      </w:pPr>
      <w:r w:rsidRPr="0038577E">
        <w:rPr>
          <w:rStyle w:val="FootnoteReference"/>
        </w:rPr>
        <w:footnoteRef/>
      </w:r>
      <w:r w:rsidRPr="0038577E">
        <w:rPr>
          <w:sz w:val="20"/>
        </w:rPr>
        <w:t xml:space="preserve"> </w:t>
      </w:r>
      <w:r w:rsidRPr="0038577E">
        <w:rPr>
          <w:i/>
          <w:sz w:val="20"/>
        </w:rPr>
        <w:t>See</w:t>
      </w:r>
      <w:r w:rsidRPr="0038577E">
        <w:rPr>
          <w:sz w:val="20"/>
        </w:rPr>
        <w:t>,</w:t>
      </w:r>
      <w:r w:rsidRPr="0038577E">
        <w:rPr>
          <w:i/>
          <w:sz w:val="20"/>
        </w:rPr>
        <w:t xml:space="preserve"> e.g</w:t>
      </w:r>
      <w:r w:rsidRPr="0038577E">
        <w:rPr>
          <w:sz w:val="20"/>
        </w:rPr>
        <w:t>.,</w:t>
      </w:r>
      <w:r w:rsidRPr="0038577E">
        <w:rPr>
          <w:rStyle w:val="StyleParaNumTimesNewRoman11ptChar"/>
          <w:i/>
          <w:sz w:val="20"/>
          <w:lang w:eastAsia="x-none"/>
        </w:rPr>
        <w:t xml:space="preserve"> </w:t>
      </w:r>
      <w:r w:rsidRPr="00010BAD">
        <w:rPr>
          <w:i/>
          <w:sz w:val="20"/>
        </w:rPr>
        <w:t>Sprint-Shentel-NTELOS Order</w:t>
      </w:r>
      <w:r w:rsidRPr="00010BAD">
        <w:rPr>
          <w:sz w:val="20"/>
        </w:rPr>
        <w:t>, 31 FCC Rcd at 36</w:t>
      </w:r>
      <w:r>
        <w:rPr>
          <w:sz w:val="20"/>
        </w:rPr>
        <w:t>48</w:t>
      </w:r>
      <w:r w:rsidRPr="00010BAD">
        <w:rPr>
          <w:sz w:val="20"/>
        </w:rPr>
        <w:t>, para. 34</w:t>
      </w:r>
      <w:r>
        <w:rPr>
          <w:sz w:val="20"/>
        </w:rPr>
        <w:t xml:space="preserve">; </w:t>
      </w:r>
      <w:r w:rsidRPr="0038577E">
        <w:rPr>
          <w:rStyle w:val="StyleParaNumTimesNewRoman11ptChar"/>
          <w:i/>
          <w:sz w:val="20"/>
          <w:lang w:eastAsia="x-none"/>
        </w:rPr>
        <w:t>AT&amp;T-Leap Order</w:t>
      </w:r>
      <w:r w:rsidRPr="0038577E">
        <w:rPr>
          <w:rStyle w:val="StyleParaNumTimesNewRoman11ptChar"/>
          <w:sz w:val="20"/>
          <w:lang w:eastAsia="x-none"/>
        </w:rPr>
        <w:t xml:space="preserve">, </w:t>
      </w:r>
      <w:r w:rsidRPr="0038577E">
        <w:rPr>
          <w:sz w:val="20"/>
        </w:rPr>
        <w:t>29 FCC Rcd at 2793, para. 132</w:t>
      </w:r>
      <w:r>
        <w:rPr>
          <w:sz w:val="20"/>
        </w:rPr>
        <w:t>;</w:t>
      </w:r>
      <w:r w:rsidRPr="0038577E">
        <w:rPr>
          <w:i/>
          <w:iCs/>
          <w:sz w:val="20"/>
        </w:rPr>
        <w:t xml:space="preserve"> </w:t>
      </w:r>
      <w:r w:rsidRPr="0038577E">
        <w:rPr>
          <w:i/>
          <w:iCs/>
          <w:snapToGrid/>
          <w:kern w:val="0"/>
          <w:sz w:val="20"/>
        </w:rPr>
        <w:t>Alaska Wireless Order</w:t>
      </w:r>
      <w:r w:rsidRPr="0038577E">
        <w:rPr>
          <w:snapToGrid/>
          <w:kern w:val="0"/>
          <w:sz w:val="20"/>
        </w:rPr>
        <w:t>, 28 FCC Rcd at 10468</w:t>
      </w:r>
      <w:r w:rsidRPr="00BE360A">
        <w:rPr>
          <w:sz w:val="20"/>
        </w:rPr>
        <w:t xml:space="preserve">, para. </w:t>
      </w:r>
      <w:r w:rsidRPr="0038577E">
        <w:rPr>
          <w:snapToGrid/>
          <w:kern w:val="0"/>
          <w:sz w:val="20"/>
        </w:rPr>
        <w:t>87</w:t>
      </w:r>
      <w:r w:rsidRPr="007554E7">
        <w:rPr>
          <w:sz w:val="20"/>
        </w:rPr>
        <w:t>.</w:t>
      </w:r>
    </w:p>
  </w:footnote>
  <w:footnote w:id="90">
    <w:p w14:paraId="3A4B2249" w14:textId="55CA70DD" w:rsidR="003373C7" w:rsidRPr="0038577E" w:rsidRDefault="003373C7" w:rsidP="00311120">
      <w:pPr>
        <w:pStyle w:val="FootnoteText"/>
      </w:pPr>
      <w:r w:rsidRPr="008016E2">
        <w:rPr>
          <w:rStyle w:val="FootnoteCharacters"/>
        </w:rPr>
        <w:footnoteRef/>
      </w:r>
      <w:r w:rsidRPr="008016E2">
        <w:t xml:space="preserve"> </w:t>
      </w:r>
      <w:r w:rsidRPr="008016E2">
        <w:rPr>
          <w:rStyle w:val="FootnoteTextCharChar1"/>
          <w:i/>
        </w:rPr>
        <w:t xml:space="preserve">See </w:t>
      </w:r>
      <w:r>
        <w:rPr>
          <w:i/>
        </w:rPr>
        <w:t xml:space="preserve">e.g., </w:t>
      </w:r>
      <w:r w:rsidRPr="00B623EB">
        <w:rPr>
          <w:i/>
        </w:rPr>
        <w:t>Sprint-Shentel-NTELOS Order</w:t>
      </w:r>
      <w:r>
        <w:t xml:space="preserve">, 31 FCC Rcd at 3648, para. 34; </w:t>
      </w:r>
      <w:r w:rsidRPr="001241E2">
        <w:rPr>
          <w:rStyle w:val="StyleParaNumTimesNewRoman11ptChar"/>
          <w:i/>
          <w:sz w:val="20"/>
          <w:lang w:eastAsia="x-none"/>
        </w:rPr>
        <w:t xml:space="preserve">AT&amp;T-Leap </w:t>
      </w:r>
      <w:r w:rsidRPr="00CD74C7">
        <w:rPr>
          <w:rStyle w:val="StyleParaNumTimesNewRoman11ptChar"/>
          <w:i/>
          <w:sz w:val="20"/>
          <w:lang w:eastAsia="x-none"/>
        </w:rPr>
        <w:t>Order</w:t>
      </w:r>
      <w:r w:rsidRPr="0038577E">
        <w:rPr>
          <w:rStyle w:val="StyleParaNumTimesNewRoman11ptChar"/>
          <w:sz w:val="20"/>
          <w:lang w:eastAsia="x-none"/>
        </w:rPr>
        <w:t xml:space="preserve">, </w:t>
      </w:r>
      <w:r w:rsidRPr="0038577E">
        <w:t xml:space="preserve">29 FCC Rcd at 2793-94, para. 132; </w:t>
      </w:r>
      <w:r w:rsidRPr="00BE360A">
        <w:rPr>
          <w:i/>
          <w:iCs/>
        </w:rPr>
        <w:t>Alaska Wireless Order</w:t>
      </w:r>
      <w:r w:rsidRPr="00BE360A">
        <w:t>, 28 FCC Rcd at 10468</w:t>
      </w:r>
      <w:r>
        <w:t xml:space="preserve">, </w:t>
      </w:r>
      <w:r w:rsidRPr="0038577E">
        <w:t>para.</w:t>
      </w:r>
      <w:r w:rsidRPr="00BE360A">
        <w:t xml:space="preserve"> 87</w:t>
      </w:r>
      <w:r w:rsidRPr="0038577E">
        <w:t xml:space="preserve">. </w:t>
      </w:r>
    </w:p>
  </w:footnote>
  <w:footnote w:id="91">
    <w:p w14:paraId="6F6F1658" w14:textId="35468332" w:rsidR="003373C7" w:rsidRPr="00C64F65" w:rsidRDefault="003373C7" w:rsidP="00311120">
      <w:pPr>
        <w:widowControl/>
        <w:autoSpaceDE w:val="0"/>
        <w:autoSpaceDN w:val="0"/>
        <w:adjustRightInd w:val="0"/>
        <w:spacing w:after="120"/>
        <w:rPr>
          <w:sz w:val="20"/>
        </w:rPr>
      </w:pPr>
      <w:r w:rsidRPr="0038577E">
        <w:rPr>
          <w:rStyle w:val="FootnoteReference"/>
        </w:rPr>
        <w:footnoteRef/>
      </w:r>
      <w:r w:rsidRPr="00BE360A">
        <w:rPr>
          <w:sz w:val="20"/>
        </w:rPr>
        <w:t xml:space="preserve"> </w:t>
      </w:r>
      <w:r w:rsidRPr="00C64F65">
        <w:rPr>
          <w:i/>
          <w:sz w:val="20"/>
        </w:rPr>
        <w:t>See</w:t>
      </w:r>
      <w:r w:rsidRPr="00C64F65">
        <w:rPr>
          <w:sz w:val="20"/>
        </w:rPr>
        <w:t>,</w:t>
      </w:r>
      <w:r w:rsidRPr="00C64F65">
        <w:rPr>
          <w:i/>
          <w:sz w:val="20"/>
        </w:rPr>
        <w:t xml:space="preserve"> e.g., </w:t>
      </w:r>
      <w:r w:rsidRPr="00010BAD">
        <w:rPr>
          <w:i/>
          <w:sz w:val="20"/>
        </w:rPr>
        <w:t>Sprint-Shentel-NTELOS Order</w:t>
      </w:r>
      <w:r w:rsidRPr="00010BAD">
        <w:rPr>
          <w:sz w:val="20"/>
        </w:rPr>
        <w:t>, 31 FCC Rcd at 364</w:t>
      </w:r>
      <w:r w:rsidRPr="00C64F65">
        <w:rPr>
          <w:sz w:val="20"/>
        </w:rPr>
        <w:t>8</w:t>
      </w:r>
      <w:r w:rsidRPr="00010BAD">
        <w:rPr>
          <w:sz w:val="20"/>
        </w:rPr>
        <w:t>, para. 3</w:t>
      </w:r>
      <w:r w:rsidRPr="00C64F65">
        <w:rPr>
          <w:sz w:val="20"/>
        </w:rPr>
        <w:t>5</w:t>
      </w:r>
      <w:r w:rsidRPr="00010BAD">
        <w:rPr>
          <w:sz w:val="20"/>
        </w:rPr>
        <w:t xml:space="preserve">; </w:t>
      </w:r>
      <w:r w:rsidRPr="00C64F65">
        <w:rPr>
          <w:i/>
          <w:sz w:val="20"/>
        </w:rPr>
        <w:t>AT&amp;T</w:t>
      </w:r>
      <w:r w:rsidRPr="00C64F65">
        <w:rPr>
          <w:i/>
          <w:sz w:val="20"/>
        </w:rPr>
        <w:noBreakHyphen/>
        <w:t>Plateau Wireless Order</w:t>
      </w:r>
      <w:r w:rsidRPr="00C64F65">
        <w:rPr>
          <w:sz w:val="20"/>
        </w:rPr>
        <w:t xml:space="preserve">, 30 FCC Rcd at 5126-27, para. 44; </w:t>
      </w:r>
      <w:r w:rsidRPr="00C64F65">
        <w:rPr>
          <w:i/>
          <w:sz w:val="20"/>
        </w:rPr>
        <w:t>AT&amp;T-Club 42 Order</w:t>
      </w:r>
      <w:r w:rsidRPr="00C64F65">
        <w:rPr>
          <w:sz w:val="20"/>
        </w:rPr>
        <w:t>, 30 FCC Rcd at 13074, para. 40</w:t>
      </w:r>
      <w:r w:rsidRPr="00C64F65">
        <w:rPr>
          <w:i/>
          <w:sz w:val="20"/>
        </w:rPr>
        <w:t xml:space="preserve">; </w:t>
      </w:r>
      <w:r w:rsidRPr="00C64F65">
        <w:rPr>
          <w:i/>
          <w:iCs/>
          <w:snapToGrid/>
          <w:kern w:val="0"/>
          <w:sz w:val="20"/>
        </w:rPr>
        <w:t>Alaska Wireless Order</w:t>
      </w:r>
      <w:r w:rsidRPr="00C64F65">
        <w:rPr>
          <w:snapToGrid/>
          <w:kern w:val="0"/>
          <w:sz w:val="20"/>
        </w:rPr>
        <w:t>, 28 FCC Rcd at 10468, para. 88.</w:t>
      </w:r>
    </w:p>
  </w:footnote>
  <w:footnote w:id="92">
    <w:p w14:paraId="13B92748" w14:textId="365B0C47" w:rsidR="003373C7" w:rsidRPr="0038577E" w:rsidRDefault="003373C7" w:rsidP="00311120">
      <w:pPr>
        <w:widowControl/>
        <w:autoSpaceDE w:val="0"/>
        <w:autoSpaceDN w:val="0"/>
        <w:adjustRightInd w:val="0"/>
        <w:spacing w:after="120"/>
        <w:rPr>
          <w:sz w:val="20"/>
        </w:rPr>
      </w:pPr>
      <w:r w:rsidRPr="001241E2">
        <w:rPr>
          <w:rStyle w:val="FootnoteReference"/>
        </w:rPr>
        <w:footnoteRef/>
      </w:r>
      <w:r w:rsidRPr="001241E2">
        <w:t xml:space="preserve"> </w:t>
      </w:r>
      <w:r w:rsidRPr="00BE360A">
        <w:rPr>
          <w:i/>
          <w:sz w:val="20"/>
        </w:rPr>
        <w:t>See</w:t>
      </w:r>
      <w:r w:rsidRPr="00BE360A">
        <w:rPr>
          <w:sz w:val="20"/>
        </w:rPr>
        <w:t>,</w:t>
      </w:r>
      <w:r w:rsidRPr="00BE360A">
        <w:rPr>
          <w:i/>
          <w:sz w:val="20"/>
        </w:rPr>
        <w:t xml:space="preserve"> e.g.</w:t>
      </w:r>
      <w:r w:rsidRPr="00BE360A">
        <w:rPr>
          <w:sz w:val="20"/>
        </w:rPr>
        <w:t>,</w:t>
      </w:r>
      <w:r>
        <w:rPr>
          <w:sz w:val="20"/>
        </w:rPr>
        <w:t xml:space="preserve"> </w:t>
      </w:r>
      <w:r w:rsidRPr="005F76A3">
        <w:rPr>
          <w:i/>
          <w:sz w:val="20"/>
        </w:rPr>
        <w:t>Sprint-Shentel-NTELOS Order</w:t>
      </w:r>
      <w:r w:rsidRPr="005F76A3">
        <w:rPr>
          <w:sz w:val="20"/>
        </w:rPr>
        <w:t>, 31 FCC Rcd at 364</w:t>
      </w:r>
      <w:r w:rsidRPr="00A61A67">
        <w:rPr>
          <w:sz w:val="20"/>
        </w:rPr>
        <w:t>8</w:t>
      </w:r>
      <w:r w:rsidRPr="005F76A3">
        <w:rPr>
          <w:sz w:val="20"/>
        </w:rPr>
        <w:t>, para. 35</w:t>
      </w:r>
      <w:r>
        <w:rPr>
          <w:sz w:val="20"/>
        </w:rPr>
        <w:t>;</w:t>
      </w:r>
      <w:r w:rsidRPr="00BE360A">
        <w:rPr>
          <w:i/>
          <w:sz w:val="20"/>
        </w:rPr>
        <w:t xml:space="preserve"> AT&amp;T-Club 42 Order</w:t>
      </w:r>
      <w:r w:rsidRPr="00BE360A">
        <w:rPr>
          <w:sz w:val="20"/>
        </w:rPr>
        <w:t>, 30 FCC Rcd at 13074, para. 40</w:t>
      </w:r>
      <w:r>
        <w:rPr>
          <w:sz w:val="20"/>
        </w:rPr>
        <w:t xml:space="preserve">; </w:t>
      </w:r>
      <w:r w:rsidRPr="00936DA3">
        <w:rPr>
          <w:i/>
          <w:sz w:val="20"/>
        </w:rPr>
        <w:t>s</w:t>
      </w:r>
      <w:r>
        <w:rPr>
          <w:i/>
          <w:iCs/>
          <w:snapToGrid/>
          <w:kern w:val="0"/>
          <w:sz w:val="20"/>
        </w:rPr>
        <w:t>ee also</w:t>
      </w:r>
      <w:r w:rsidRPr="00BE360A">
        <w:rPr>
          <w:snapToGrid/>
          <w:kern w:val="0"/>
          <w:sz w:val="20"/>
        </w:rPr>
        <w:t xml:space="preserve"> </w:t>
      </w:r>
      <w:r w:rsidRPr="00BE360A">
        <w:rPr>
          <w:i/>
          <w:iCs/>
          <w:snapToGrid/>
          <w:kern w:val="0"/>
          <w:sz w:val="20"/>
        </w:rPr>
        <w:t>AT&amp;T-Leap Order</w:t>
      </w:r>
      <w:r>
        <w:rPr>
          <w:iCs/>
          <w:snapToGrid/>
          <w:kern w:val="0"/>
          <w:sz w:val="20"/>
        </w:rPr>
        <w:t>,</w:t>
      </w:r>
      <w:r w:rsidRPr="00BE360A">
        <w:rPr>
          <w:i/>
          <w:iCs/>
          <w:snapToGrid/>
          <w:kern w:val="0"/>
          <w:sz w:val="20"/>
        </w:rPr>
        <w:t xml:space="preserve"> </w:t>
      </w:r>
      <w:r w:rsidRPr="00BE360A">
        <w:rPr>
          <w:snapToGrid/>
          <w:kern w:val="0"/>
          <w:sz w:val="20"/>
        </w:rPr>
        <w:t>29 FCC Rcd at 2794</w:t>
      </w:r>
      <w:r>
        <w:rPr>
          <w:snapToGrid/>
          <w:kern w:val="0"/>
          <w:sz w:val="20"/>
        </w:rPr>
        <w:t xml:space="preserve">, para. </w:t>
      </w:r>
      <w:r w:rsidRPr="00BE360A">
        <w:rPr>
          <w:snapToGrid/>
          <w:kern w:val="0"/>
          <w:sz w:val="20"/>
        </w:rPr>
        <w:t xml:space="preserve">131; </w:t>
      </w:r>
      <w:r w:rsidRPr="00BE360A">
        <w:rPr>
          <w:i/>
          <w:iCs/>
          <w:snapToGrid/>
          <w:kern w:val="0"/>
          <w:sz w:val="20"/>
        </w:rPr>
        <w:t>Alaska Wireless Order</w:t>
      </w:r>
      <w:r w:rsidRPr="00BE360A">
        <w:rPr>
          <w:snapToGrid/>
          <w:kern w:val="0"/>
          <w:sz w:val="20"/>
        </w:rPr>
        <w:t>, 28 FCC Rcd at 10468</w:t>
      </w:r>
      <w:r>
        <w:rPr>
          <w:snapToGrid/>
          <w:kern w:val="0"/>
          <w:sz w:val="20"/>
        </w:rPr>
        <w:t xml:space="preserve">, para. </w:t>
      </w:r>
      <w:r w:rsidRPr="00BE360A">
        <w:rPr>
          <w:snapToGrid/>
          <w:kern w:val="0"/>
          <w:sz w:val="20"/>
        </w:rPr>
        <w:t xml:space="preserve">88; </w:t>
      </w:r>
      <w:r w:rsidRPr="00BE360A">
        <w:rPr>
          <w:i/>
          <w:iCs/>
          <w:snapToGrid/>
          <w:kern w:val="0"/>
          <w:sz w:val="20"/>
        </w:rPr>
        <w:t xml:space="preserve">cf. 2010 DOJ/FTC Horizontal Merger Guidelines </w:t>
      </w:r>
      <w:r w:rsidRPr="00BE360A">
        <w:rPr>
          <w:snapToGrid/>
          <w:kern w:val="0"/>
          <w:sz w:val="20"/>
        </w:rPr>
        <w:t>at § 10, p. 31.</w:t>
      </w:r>
    </w:p>
  </w:footnote>
  <w:footnote w:id="93">
    <w:p w14:paraId="54CB53EA" w14:textId="48455293" w:rsidR="003373C7" w:rsidRPr="00C1124E" w:rsidRDefault="003373C7" w:rsidP="00C1124E">
      <w:pPr>
        <w:widowControl/>
        <w:autoSpaceDE w:val="0"/>
        <w:autoSpaceDN w:val="0"/>
        <w:adjustRightInd w:val="0"/>
        <w:spacing w:after="120"/>
        <w:rPr>
          <w:sz w:val="20"/>
        </w:rPr>
      </w:pPr>
      <w:r w:rsidRPr="00C1124E">
        <w:rPr>
          <w:rStyle w:val="FootnoteReference"/>
        </w:rPr>
        <w:footnoteRef/>
      </w:r>
      <w:r w:rsidRPr="00C1124E">
        <w:rPr>
          <w:sz w:val="20"/>
        </w:rPr>
        <w:t xml:space="preserve"> AT&amp;T Public Int</w:t>
      </w:r>
      <w:r>
        <w:rPr>
          <w:sz w:val="20"/>
        </w:rPr>
        <w:t>e</w:t>
      </w:r>
      <w:r w:rsidRPr="00C1124E">
        <w:rPr>
          <w:sz w:val="20"/>
        </w:rPr>
        <w:t xml:space="preserve">rest Statement at 4; </w:t>
      </w:r>
      <w:r w:rsidRPr="00C1124E">
        <w:rPr>
          <w:i/>
          <w:sz w:val="20"/>
        </w:rPr>
        <w:t>see also</w:t>
      </w:r>
      <w:r w:rsidRPr="00C1124E">
        <w:rPr>
          <w:sz w:val="20"/>
        </w:rPr>
        <w:t xml:space="preserve"> AT&amp;T Information Request Response at 5.  </w:t>
      </w:r>
    </w:p>
  </w:footnote>
  <w:footnote w:id="94">
    <w:p w14:paraId="55A0850F" w14:textId="21AA7E5A" w:rsidR="003373C7" w:rsidRDefault="003373C7">
      <w:pPr>
        <w:pStyle w:val="FootnoteText"/>
      </w:pPr>
      <w:r>
        <w:rPr>
          <w:rStyle w:val="FootnoteReference"/>
        </w:rPr>
        <w:footnoteRef/>
      </w:r>
      <w:r>
        <w:t xml:space="preserve"> </w:t>
      </w:r>
      <w:r w:rsidRPr="00691052">
        <w:t>AT&amp;T I</w:t>
      </w:r>
      <w:r>
        <w:t>nformation Request Response at 4.</w:t>
      </w:r>
    </w:p>
  </w:footnote>
  <w:footnote w:id="95">
    <w:p w14:paraId="0B82A08D" w14:textId="4DC0610A" w:rsidR="003373C7" w:rsidRDefault="003373C7">
      <w:pPr>
        <w:pStyle w:val="FootnoteText"/>
      </w:pPr>
      <w:r>
        <w:rPr>
          <w:rStyle w:val="FootnoteReference"/>
        </w:rPr>
        <w:footnoteRef/>
      </w:r>
      <w:r>
        <w:t xml:space="preserve"> </w:t>
      </w:r>
      <w:r w:rsidRPr="00C1124E">
        <w:t xml:space="preserve">For example, </w:t>
      </w:r>
      <w:r>
        <w:t xml:space="preserve">AT&amp;T claims that it will be able to offer new </w:t>
      </w:r>
      <w:r w:rsidR="00411A58">
        <w:rPr>
          <w:szCs w:val="22"/>
        </w:rPr>
        <w:t>[</w:t>
      </w:r>
      <w:r w:rsidR="00411A58">
        <w:rPr>
          <w:b/>
          <w:bCs/>
        </w:rPr>
        <w:t>REDACTED</w:t>
      </w:r>
      <w:r w:rsidR="00411A58" w:rsidRPr="00E66F20">
        <w:rPr>
          <w:b/>
          <w:szCs w:val="22"/>
        </w:rPr>
        <w:t>]</w:t>
      </w:r>
      <w:r w:rsidRPr="00C1124E">
        <w:rPr>
          <w:bCs/>
        </w:rPr>
        <w:t xml:space="preserve">.  </w:t>
      </w:r>
      <w:r w:rsidRPr="00C1124E">
        <w:t>AT&amp;T Information Request Response at 4.</w:t>
      </w:r>
    </w:p>
  </w:footnote>
  <w:footnote w:id="96">
    <w:p w14:paraId="14025F00" w14:textId="40F92EBE" w:rsidR="003373C7" w:rsidRPr="00700AD0" w:rsidRDefault="003373C7" w:rsidP="00625D35">
      <w:pPr>
        <w:pStyle w:val="FootnoteText"/>
      </w:pPr>
      <w:r w:rsidRPr="00700AD0">
        <w:rPr>
          <w:rStyle w:val="FootnoteReference"/>
        </w:rPr>
        <w:footnoteRef/>
      </w:r>
      <w:r w:rsidRPr="00700AD0">
        <w:t xml:space="preserve"> </w:t>
      </w:r>
      <w:r>
        <w:t xml:space="preserve">AT&amp;T </w:t>
      </w:r>
      <w:r w:rsidRPr="00700AD0">
        <w:t xml:space="preserve">Public Interest Statement at </w:t>
      </w:r>
      <w:r>
        <w:t xml:space="preserve">4-5; </w:t>
      </w:r>
      <w:r w:rsidRPr="00B80111">
        <w:t xml:space="preserve">AT&amp;T Information Request Response at </w:t>
      </w:r>
      <w:r>
        <w:t>8</w:t>
      </w:r>
      <w:r w:rsidRPr="00544EFE">
        <w:t>.</w:t>
      </w:r>
    </w:p>
  </w:footnote>
  <w:footnote w:id="97">
    <w:p w14:paraId="2D4255A5" w14:textId="43E038BD" w:rsidR="003373C7" w:rsidRDefault="003373C7">
      <w:pPr>
        <w:pStyle w:val="FootnoteText"/>
      </w:pPr>
      <w:r>
        <w:rPr>
          <w:rStyle w:val="FootnoteReference"/>
        </w:rPr>
        <w:footnoteRef/>
      </w:r>
      <w:r>
        <w:t xml:space="preserve"> Tampnet Public Interest Statement at 6.</w:t>
      </w:r>
    </w:p>
  </w:footnote>
  <w:footnote w:id="98">
    <w:p w14:paraId="2F00D57A" w14:textId="0394E7D6" w:rsidR="003373C7" w:rsidRPr="0005536B" w:rsidRDefault="003373C7">
      <w:pPr>
        <w:pStyle w:val="FootnoteText"/>
      </w:pPr>
      <w:r>
        <w:rPr>
          <w:rStyle w:val="FootnoteReference"/>
        </w:rPr>
        <w:footnoteRef/>
      </w:r>
      <w:r>
        <w:t xml:space="preserve"> </w:t>
      </w:r>
      <w:r w:rsidRPr="0005536B">
        <w:rPr>
          <w:snapToGrid w:val="0"/>
        </w:rPr>
        <w:t>Tampnet Information Request Response at 14.</w:t>
      </w:r>
    </w:p>
  </w:footnote>
  <w:footnote w:id="99">
    <w:p w14:paraId="4E63D753" w14:textId="3FD286BD" w:rsidR="003373C7" w:rsidRPr="00974198" w:rsidRDefault="003373C7">
      <w:pPr>
        <w:pStyle w:val="FootnoteText"/>
        <w:rPr>
          <w:b/>
        </w:rPr>
      </w:pPr>
      <w:r>
        <w:rPr>
          <w:rStyle w:val="FootnoteReference"/>
        </w:rPr>
        <w:footnoteRef/>
      </w:r>
      <w:r>
        <w:t xml:space="preserve"> </w:t>
      </w:r>
      <w:r w:rsidRPr="00974198">
        <w:t>Tampnet Supplemental Response</w:t>
      </w:r>
      <w:r>
        <w:t xml:space="preserve"> at 1.</w:t>
      </w:r>
    </w:p>
  </w:footnote>
  <w:footnote w:id="100">
    <w:p w14:paraId="4F77ED2E" w14:textId="1E1E2114" w:rsidR="003373C7" w:rsidRDefault="003373C7">
      <w:pPr>
        <w:pStyle w:val="FootnoteText"/>
      </w:pPr>
      <w:r>
        <w:rPr>
          <w:rStyle w:val="FootnoteReference"/>
        </w:rPr>
        <w:footnoteRef/>
      </w:r>
      <w:r>
        <w:t xml:space="preserve"> </w:t>
      </w:r>
      <w:r w:rsidRPr="00C50AC0">
        <w:rPr>
          <w:i/>
        </w:rPr>
        <w:t>Id.</w:t>
      </w:r>
    </w:p>
  </w:footnote>
  <w:footnote w:id="101">
    <w:p w14:paraId="0C8A14F0" w14:textId="27D5AD8D" w:rsidR="003373C7" w:rsidRPr="00EC5F10" w:rsidRDefault="003373C7" w:rsidP="00DC7378">
      <w:pPr>
        <w:pStyle w:val="FootnoteText"/>
      </w:pPr>
      <w:r>
        <w:rPr>
          <w:rStyle w:val="FootnoteReference"/>
        </w:rPr>
        <w:footnoteRef/>
      </w:r>
      <w:r>
        <w:t xml:space="preserve"> Tampnet asserts that it plans to </w:t>
      </w:r>
      <w:r w:rsidR="00411A58">
        <w:rPr>
          <w:szCs w:val="22"/>
        </w:rPr>
        <w:t>[</w:t>
      </w:r>
      <w:r w:rsidR="00411A58">
        <w:rPr>
          <w:b/>
          <w:bCs/>
        </w:rPr>
        <w:t>REDACTED</w:t>
      </w:r>
      <w:r w:rsidR="00411A58" w:rsidRPr="00E66F20">
        <w:rPr>
          <w:b/>
          <w:szCs w:val="22"/>
        </w:rPr>
        <w:t>]</w:t>
      </w:r>
      <w:r w:rsidRPr="00F20E4E">
        <w:t xml:space="preserve">.  </w:t>
      </w:r>
      <w:r w:rsidRPr="003A687F">
        <w:t>Tampnet Supplemental Response</w:t>
      </w:r>
      <w:r>
        <w:t xml:space="preserve"> at 1-2.  Tampnet also asserts that it plans to </w:t>
      </w:r>
      <w:r w:rsidR="00411A58">
        <w:rPr>
          <w:szCs w:val="22"/>
        </w:rPr>
        <w:t>[</w:t>
      </w:r>
      <w:r w:rsidR="00411A58">
        <w:rPr>
          <w:b/>
          <w:bCs/>
        </w:rPr>
        <w:t>REDACTED</w:t>
      </w:r>
      <w:r w:rsidR="00411A58" w:rsidRPr="00E66F20">
        <w:rPr>
          <w:b/>
          <w:szCs w:val="22"/>
        </w:rPr>
        <w:t>]</w:t>
      </w:r>
      <w:r>
        <w:t xml:space="preserve">.  </w:t>
      </w:r>
      <w:r w:rsidRPr="00974198">
        <w:rPr>
          <w:i/>
        </w:rPr>
        <w:t>Id.</w:t>
      </w:r>
      <w:r>
        <w:t xml:space="preserve"> at 2.</w:t>
      </w:r>
    </w:p>
  </w:footnote>
  <w:footnote w:id="102">
    <w:p w14:paraId="5E6DD013" w14:textId="2DDFC3FB" w:rsidR="003373C7" w:rsidRDefault="003373C7">
      <w:pPr>
        <w:pStyle w:val="FootnoteText"/>
      </w:pPr>
      <w:r>
        <w:rPr>
          <w:rStyle w:val="FootnoteReference"/>
        </w:rPr>
        <w:footnoteRef/>
      </w:r>
      <w:r>
        <w:t xml:space="preserve"> Tampnet Information Request Response at 3, 12.  Tampnet states that major oil and gas operators </w:t>
      </w:r>
      <w:r w:rsidRPr="00B63CBC">
        <w:t>are developing integrated operations whereby control rooms located in offshore rigs are mirrored in onshore sites</w:t>
      </w:r>
      <w:r>
        <w:t xml:space="preserve"> in order to </w:t>
      </w:r>
      <w:r w:rsidRPr="00B63CBC">
        <w:t>remotely control production and operations.</w:t>
      </w:r>
      <w:r>
        <w:t xml:space="preserve">  </w:t>
      </w:r>
      <w:r w:rsidRPr="00B63CBC">
        <w:rPr>
          <w:i/>
        </w:rPr>
        <w:t>Id</w:t>
      </w:r>
      <w:r>
        <w:t xml:space="preserve">. at 12. </w:t>
      </w:r>
      <w:r w:rsidRPr="00B63CBC">
        <w:t xml:space="preserve"> </w:t>
      </w:r>
      <w:r>
        <w:t xml:space="preserve">Tampnet notes that a </w:t>
      </w:r>
      <w:r w:rsidRPr="00B63CBC">
        <w:t>remote access and control strategy has the benefit of moving people out of the harsh, offshore environment to safer onshore sites.</w:t>
      </w:r>
      <w:r>
        <w:t xml:space="preserve">  </w:t>
      </w:r>
      <w:r w:rsidRPr="00B63CBC">
        <w:rPr>
          <w:i/>
        </w:rPr>
        <w:t>Id</w:t>
      </w:r>
      <w:r>
        <w:t>. at 12.</w:t>
      </w:r>
    </w:p>
  </w:footnote>
  <w:footnote w:id="103">
    <w:p w14:paraId="4AFC85AC" w14:textId="1B2EBCB2" w:rsidR="003373C7" w:rsidRDefault="003373C7">
      <w:pPr>
        <w:pStyle w:val="FootnoteText"/>
      </w:pPr>
      <w:r>
        <w:rPr>
          <w:rStyle w:val="FootnoteReference"/>
        </w:rPr>
        <w:footnoteRef/>
      </w:r>
      <w:r>
        <w:t xml:space="preserve"> Tampnet Inf</w:t>
      </w:r>
      <w:r w:rsidR="00481518">
        <w:t>ormation Request Response at 7.</w:t>
      </w:r>
    </w:p>
  </w:footnote>
  <w:footnote w:id="104">
    <w:p w14:paraId="70109D77" w14:textId="0800C014" w:rsidR="003373C7" w:rsidRDefault="003373C7">
      <w:pPr>
        <w:pStyle w:val="FootnoteText"/>
      </w:pPr>
      <w:r>
        <w:rPr>
          <w:rStyle w:val="FootnoteReference"/>
        </w:rPr>
        <w:footnoteRef/>
      </w:r>
      <w:r>
        <w:t xml:space="preserve"> </w:t>
      </w:r>
      <w:r w:rsidRPr="003A687F">
        <w:t>Tampnet Supplemental Response</w:t>
      </w:r>
      <w:r>
        <w:t xml:space="preserve"> at 2-3.</w:t>
      </w:r>
    </w:p>
  </w:footnote>
  <w:footnote w:id="105">
    <w:p w14:paraId="17E7F0B5" w14:textId="0569D028" w:rsidR="003373C7" w:rsidRDefault="003373C7" w:rsidP="00027821">
      <w:pPr>
        <w:pStyle w:val="FootnoteText"/>
      </w:pPr>
      <w:r>
        <w:rPr>
          <w:rStyle w:val="FootnoteReference"/>
        </w:rPr>
        <w:footnoteRef/>
      </w:r>
      <w:r>
        <w:t xml:space="preserve"> </w:t>
      </w:r>
      <w:r w:rsidRPr="00EC1D8D">
        <w:rPr>
          <w:i/>
        </w:rPr>
        <w:t>Id.</w:t>
      </w:r>
      <w:r>
        <w:t xml:space="preserve"> at 3.</w:t>
      </w:r>
    </w:p>
  </w:footnote>
  <w:footnote w:id="106">
    <w:p w14:paraId="79B2A9BE" w14:textId="073FFD4D" w:rsidR="003373C7" w:rsidRDefault="003373C7" w:rsidP="00027821">
      <w:pPr>
        <w:pStyle w:val="FootnoteText"/>
      </w:pPr>
      <w:r>
        <w:rPr>
          <w:rStyle w:val="FootnoteReference"/>
        </w:rPr>
        <w:footnoteRef/>
      </w:r>
      <w:r>
        <w:t xml:space="preserve"> </w:t>
      </w:r>
      <w:r w:rsidRPr="00EC1D8D">
        <w:rPr>
          <w:i/>
        </w:rPr>
        <w:t>Id.</w:t>
      </w:r>
    </w:p>
  </w:footnote>
  <w:footnote w:id="107">
    <w:p w14:paraId="64CF6F0A" w14:textId="414E13AD" w:rsidR="003373C7" w:rsidRDefault="003373C7">
      <w:pPr>
        <w:pStyle w:val="FootnoteText"/>
      </w:pPr>
      <w:r>
        <w:rPr>
          <w:rStyle w:val="FootnoteReference"/>
        </w:rPr>
        <w:footnoteRef/>
      </w:r>
      <w:r>
        <w:t xml:space="preserve"> Tampnet Information Request Response at 7 (stating that </w:t>
      </w:r>
      <w:r w:rsidRPr="00BE4A35">
        <w:t>Tampnet will use the cellular and AWS-1 spectrum for its overbuild and upgrade of Broadpoint’s GSM network and Tampnet’s private WiMAX network to dep</w:t>
      </w:r>
      <w:r>
        <w:t xml:space="preserve">loy a high capacity LTE network); </w:t>
      </w:r>
      <w:r w:rsidRPr="003A687F">
        <w:t>Tampnet Supplemental Response</w:t>
      </w:r>
      <w:r>
        <w:t xml:space="preserve"> at 4.</w:t>
      </w:r>
    </w:p>
  </w:footnote>
  <w:footnote w:id="108">
    <w:p w14:paraId="2D1D141A" w14:textId="77777777" w:rsidR="003373C7" w:rsidRDefault="003373C7" w:rsidP="00B61651">
      <w:pPr>
        <w:pStyle w:val="FootnoteText"/>
      </w:pPr>
      <w:r>
        <w:rPr>
          <w:rStyle w:val="FootnoteReference"/>
        </w:rPr>
        <w:footnoteRef/>
      </w:r>
      <w:r>
        <w:t xml:space="preserve"> </w:t>
      </w:r>
      <w:r>
        <w:rPr>
          <w:bCs/>
          <w:szCs w:val="22"/>
        </w:rPr>
        <w:t>Response of Broadpoint</w:t>
      </w:r>
      <w:r>
        <w:rPr>
          <w:color w:val="010101"/>
        </w:rPr>
        <w:t xml:space="preserve"> to the General Information Request Dated October 23, 2015, WT Docket No. 15-255, at 4-5 (Nov. 5, 2015) </w:t>
      </w:r>
      <w:r>
        <w:t xml:space="preserve">(Broadpoint </w:t>
      </w:r>
      <w:r w:rsidRPr="00393AE0">
        <w:t>Information Request</w:t>
      </w:r>
      <w:r>
        <w:t xml:space="preserve"> Response)</w:t>
      </w:r>
      <w:r w:rsidRPr="00700AD0">
        <w:rPr>
          <w:color w:val="010101"/>
        </w:rPr>
        <w:t>.</w:t>
      </w:r>
    </w:p>
  </w:footnote>
  <w:footnote w:id="109">
    <w:p w14:paraId="4F98FD97" w14:textId="6B09B8A7" w:rsidR="003373C7" w:rsidRDefault="003373C7" w:rsidP="00B61651">
      <w:pPr>
        <w:pStyle w:val="FootnoteText"/>
      </w:pPr>
      <w:r>
        <w:rPr>
          <w:rStyle w:val="FootnoteReference"/>
        </w:rPr>
        <w:footnoteRef/>
      </w:r>
      <w:r>
        <w:t xml:space="preserve"> Letter from </w:t>
      </w:r>
      <w:r>
        <w:rPr>
          <w:lang w:val="fr-FR"/>
        </w:rPr>
        <w:t xml:space="preserve">Todd Slamowitz, </w:t>
      </w:r>
      <w:r>
        <w:t>Counsel for Broadpoint Wireless Co., LLC, and K.C. Halm</w:t>
      </w:r>
      <w:r>
        <w:rPr>
          <w:i/>
        </w:rPr>
        <w:t xml:space="preserve">, </w:t>
      </w:r>
      <w:r>
        <w:t>Counsel for Tampnet Inc. and Tampnet Licensee LLC</w:t>
      </w:r>
      <w:r>
        <w:rPr>
          <w:i/>
        </w:rPr>
        <w:t>,</w:t>
      </w:r>
      <w:r>
        <w:t xml:space="preserve"> to Marlene H. Dortch, Secretary, FCC, WT Docket No. 15-255</w:t>
      </w:r>
      <w:r w:rsidR="00481518">
        <w:t>,</w:t>
      </w:r>
      <w:r>
        <w:t xml:space="preserve"> at 1 (filed May 19, 2016) (Broadpoint-Tampnet Customer Transition Letter).  The Applicants state that, “[a]s part of the transaction, Tampnet is not assuming Broadpoint’s existing arrangements with such customers primarily because Broadpoint’s current customer arrangements are not reflected in currently effective written contracts, but are month-to-month arrangements reflected on the customers’ monthly invoice.”  </w:t>
      </w:r>
      <w:r w:rsidRPr="00C20EAE">
        <w:rPr>
          <w:i/>
        </w:rPr>
        <w:t>Id.</w:t>
      </w:r>
      <w:r>
        <w:t xml:space="preserve">  The Applicants state that Tampnet will enter into long-term roaming agreements with other telecommunications providers in the Gulf.  Tampnet Public Interest Statement at 6;</w:t>
      </w:r>
      <w:r w:rsidRPr="0050410E">
        <w:t xml:space="preserve"> </w:t>
      </w:r>
      <w:r w:rsidRPr="003A687F">
        <w:t>Tampnet Supplemental Response</w:t>
      </w:r>
      <w:r>
        <w:t xml:space="preserve"> at 4.</w:t>
      </w:r>
    </w:p>
  </w:footnote>
  <w:footnote w:id="110">
    <w:p w14:paraId="3B456305" w14:textId="77777777" w:rsidR="003373C7" w:rsidRDefault="003373C7" w:rsidP="00B61651">
      <w:pPr>
        <w:pStyle w:val="FootnoteText"/>
      </w:pPr>
      <w:r>
        <w:rPr>
          <w:rStyle w:val="FootnoteReference"/>
        </w:rPr>
        <w:footnoteRef/>
      </w:r>
      <w:r>
        <w:t xml:space="preserve"> Broadpoint-Tampnet Customer Transition </w:t>
      </w:r>
      <w:r w:rsidRPr="00A129DD">
        <w:t>Letter</w:t>
      </w:r>
      <w:r w:rsidRPr="00974198" w:rsidDel="00A129DD">
        <w:t xml:space="preserve"> </w:t>
      </w:r>
      <w:r w:rsidRPr="00974198">
        <w:t>at 1.</w:t>
      </w:r>
      <w:r>
        <w:rPr>
          <w:i/>
        </w:rPr>
        <w:t xml:space="preserve">  </w:t>
      </w:r>
      <w:r>
        <w:t>The Applicants state that w</w:t>
      </w:r>
      <w:r w:rsidRPr="008D7278">
        <w:t xml:space="preserve">hile the pricing plans offered by Tampnet may vary from those currently in place today, Tampnet intends to provide improved service at rates that are, on average, the same or lower than the rates currently offered by Broadpoint.  </w:t>
      </w:r>
      <w:r w:rsidRPr="00A6121C">
        <w:rPr>
          <w:i/>
        </w:rPr>
        <w:t>Id.</w:t>
      </w:r>
      <w:r>
        <w:t xml:space="preserve"> at 2.  The Applicants also state that </w:t>
      </w:r>
      <w:r w:rsidRPr="008D7278">
        <w:t>customers will be able to continue to receive existing service over the 2G network, if they so choose.</w:t>
      </w:r>
      <w:r>
        <w:t xml:space="preserve">  </w:t>
      </w:r>
      <w:r w:rsidRPr="0042754A">
        <w:rPr>
          <w:i/>
        </w:rPr>
        <w:t>Id.</w:t>
      </w:r>
      <w:r>
        <w:t xml:space="preserve"> </w:t>
      </w:r>
    </w:p>
  </w:footnote>
  <w:footnote w:id="111">
    <w:p w14:paraId="6FF4967F" w14:textId="77777777" w:rsidR="003373C7" w:rsidRDefault="003373C7" w:rsidP="00B61651">
      <w:pPr>
        <w:pStyle w:val="FootnoteText"/>
      </w:pPr>
      <w:r>
        <w:rPr>
          <w:rStyle w:val="FootnoteReference"/>
        </w:rPr>
        <w:footnoteRef/>
      </w:r>
      <w:r>
        <w:t xml:space="preserve"> Broadpoint-Tampnet Customer Transition Letter</w:t>
      </w:r>
      <w:r w:rsidRPr="0042754A" w:rsidDel="00A129DD">
        <w:rPr>
          <w:i/>
        </w:rPr>
        <w:t xml:space="preserve"> </w:t>
      </w:r>
      <w:r>
        <w:t>at 1.</w:t>
      </w:r>
    </w:p>
  </w:footnote>
  <w:footnote w:id="112">
    <w:p w14:paraId="153E849E" w14:textId="60DC8DB7" w:rsidR="003373C7" w:rsidRDefault="003373C7" w:rsidP="00B61651">
      <w:pPr>
        <w:pStyle w:val="FootnoteText"/>
      </w:pPr>
      <w:r>
        <w:rPr>
          <w:rStyle w:val="FootnoteReference"/>
        </w:rPr>
        <w:footnoteRef/>
      </w:r>
      <w:r>
        <w:t xml:space="preserve"> </w:t>
      </w:r>
      <w:r w:rsidRPr="00D53352">
        <w:rPr>
          <w:i/>
        </w:rPr>
        <w:t>Id.</w:t>
      </w:r>
    </w:p>
  </w:footnote>
  <w:footnote w:id="113">
    <w:p w14:paraId="1A726C41" w14:textId="11AA4F4F" w:rsidR="003373C7" w:rsidRDefault="003373C7" w:rsidP="00B61651">
      <w:pPr>
        <w:pStyle w:val="FootnoteText"/>
      </w:pPr>
      <w:r>
        <w:rPr>
          <w:rStyle w:val="FootnoteReference"/>
        </w:rPr>
        <w:footnoteRef/>
      </w:r>
      <w:r>
        <w:t xml:space="preserve"> </w:t>
      </w:r>
      <w:r w:rsidRPr="00D53352">
        <w:rPr>
          <w:i/>
        </w:rPr>
        <w:t>Id.</w:t>
      </w:r>
      <w:r w:rsidRPr="0042754A" w:rsidDel="00A129DD">
        <w:rPr>
          <w:i/>
        </w:rPr>
        <w:t xml:space="preserve"> </w:t>
      </w:r>
      <w:r>
        <w:t>at 1-2.</w:t>
      </w:r>
    </w:p>
  </w:footnote>
  <w:footnote w:id="114">
    <w:p w14:paraId="58725C66" w14:textId="3777AD36" w:rsidR="003373C7" w:rsidRDefault="003373C7">
      <w:pPr>
        <w:pStyle w:val="FootnoteText"/>
      </w:pPr>
      <w:r>
        <w:rPr>
          <w:rStyle w:val="FootnoteReference"/>
        </w:rPr>
        <w:footnoteRef/>
      </w:r>
      <w:r>
        <w:t xml:space="preserve"> </w:t>
      </w:r>
      <w:r w:rsidRPr="00691052">
        <w:rPr>
          <w:i/>
        </w:rPr>
        <w:t>See, e.g.</w:t>
      </w:r>
      <w:r w:rsidRPr="00691052">
        <w:t>,</w:t>
      </w:r>
      <w:r w:rsidRPr="00691052">
        <w:rPr>
          <w:i/>
        </w:rPr>
        <w:t xml:space="preserve"> AT&amp;T-Club 42 Order</w:t>
      </w:r>
      <w:r w:rsidRPr="00691052">
        <w:t xml:space="preserve">, 30 FCC Rcd at 13076-77, paras. 46-47; </w:t>
      </w:r>
      <w:r w:rsidRPr="00691052">
        <w:rPr>
          <w:i/>
        </w:rPr>
        <w:t>AT&amp;T-Plateau Wireless Order</w:t>
      </w:r>
      <w:r w:rsidRPr="00691052">
        <w:t>, 30 FCC Rcd at 5129, para. 53</w:t>
      </w:r>
      <w:r>
        <w:t>.</w:t>
      </w:r>
    </w:p>
  </w:footnote>
  <w:footnote w:id="115">
    <w:p w14:paraId="336370CC" w14:textId="703ED579" w:rsidR="003373C7" w:rsidRPr="001878D3" w:rsidRDefault="003373C7" w:rsidP="00615384">
      <w:pPr>
        <w:pStyle w:val="FootnoteText"/>
      </w:pPr>
      <w:r w:rsidRPr="001878D3">
        <w:rPr>
          <w:rStyle w:val="FootnoteReference"/>
        </w:rPr>
        <w:footnoteRef/>
      </w:r>
      <w:r>
        <w:t xml:space="preserve"> 47 CFR</w:t>
      </w:r>
      <w:r w:rsidRPr="001878D3">
        <w:t xml:space="preserve"> § 1.990(a)(1).</w:t>
      </w:r>
      <w:r>
        <w:t xml:space="preserve">  </w:t>
      </w:r>
      <w:r w:rsidRPr="001878D3">
        <w:t xml:space="preserve">The rules applicable to foreign ownership of common carrier licensees and spectrum lessees are set forth in </w:t>
      </w:r>
      <w:r>
        <w:t>Section</w:t>
      </w:r>
      <w:r w:rsidRPr="001878D3">
        <w:t>s 1.990 through 1.994 of the Commission’s rules</w:t>
      </w:r>
      <w:r>
        <w:t xml:space="preserve">.  </w:t>
      </w:r>
      <w:r w:rsidRPr="001878D3">
        <w:t xml:space="preserve">47 </w:t>
      </w:r>
      <w:r>
        <w:t>CFR</w:t>
      </w:r>
      <w:r w:rsidRPr="001878D3">
        <w:t xml:space="preserve"> §§ 1.990-1.994.  </w:t>
      </w:r>
      <w:r w:rsidRPr="001878D3">
        <w:rPr>
          <w:i/>
        </w:rPr>
        <w:t>See</w:t>
      </w:r>
      <w:r w:rsidRPr="001878D3">
        <w:t xml:space="preserve"> </w:t>
      </w:r>
      <w:r w:rsidRPr="001878D3">
        <w:rPr>
          <w:i/>
        </w:rPr>
        <w:t>also</w:t>
      </w:r>
      <w:r w:rsidRPr="001878D3">
        <w:t xml:space="preserve"> </w:t>
      </w:r>
      <w:r w:rsidRPr="001878D3">
        <w:rPr>
          <w:i/>
        </w:rPr>
        <w:t xml:space="preserve">Review of Foreign Ownership Policies for Common Carrier and Aeronautical Radio Licensees Under Section 310(b)(4) of the Communications Act of 1934, as Amended, </w:t>
      </w:r>
      <w:r w:rsidRPr="001878D3">
        <w:t>IB Docket No. 11-133, Second Report and Order, 28 FCC Rcd 5741 (2013) (</w:t>
      </w:r>
      <w:r w:rsidRPr="001878D3">
        <w:rPr>
          <w:i/>
        </w:rPr>
        <w:t>2013 Foreign Ownership Second Report and Order</w:t>
      </w:r>
      <w:r w:rsidRPr="001878D3">
        <w:t>).</w:t>
      </w:r>
    </w:p>
  </w:footnote>
  <w:footnote w:id="116">
    <w:p w14:paraId="3F31843A" w14:textId="0FE692DB" w:rsidR="003373C7" w:rsidRDefault="003373C7" w:rsidP="00615384">
      <w:pPr>
        <w:pStyle w:val="FootnoteText"/>
      </w:pPr>
      <w:r>
        <w:rPr>
          <w:rStyle w:val="FootnoteReference"/>
        </w:rPr>
        <w:footnoteRef/>
      </w:r>
      <w:r>
        <w:t xml:space="preserve"> </w:t>
      </w:r>
      <w:r w:rsidRPr="0045130C">
        <w:t>Petition</w:t>
      </w:r>
      <w:r>
        <w:t xml:space="preserve"> at </w:t>
      </w:r>
      <w:r w:rsidRPr="00F51077">
        <w:t>1</w:t>
      </w:r>
      <w:r>
        <w:t xml:space="preserve">, 3 (citing 47 CFR </w:t>
      </w:r>
      <w:r w:rsidRPr="001878D3">
        <w:t>§</w:t>
      </w:r>
      <w:r>
        <w:t xml:space="preserve"> 1.994(b)(1)).  Section 1.994(b) of the Commission’s </w:t>
      </w:r>
      <w:r w:rsidRPr="00E6549D">
        <w:t>rules</w:t>
      </w:r>
      <w:r>
        <w:t xml:space="preserve"> provides that, unless otherwise specified in a particular foreign ownership ruling, a licensee’s ruling shall cover the licensee as well as any of its U.S.-organized subsidiaries or affiliates, as those terms are defined in Section 1.990(d), whether the subsidiary or affiliate exists at the time the ruling is issued or is formed or acquired subsequently, provided that the licensee and subsidiary/affiliate certify in any future applications that they are in compliance with the terms and conditions of the ruling and the Commission’s rules.</w:t>
      </w:r>
    </w:p>
  </w:footnote>
  <w:footnote w:id="117">
    <w:p w14:paraId="69AA67FB" w14:textId="5A87BB67" w:rsidR="003373C7" w:rsidRDefault="003373C7" w:rsidP="00615384">
      <w:pPr>
        <w:pStyle w:val="FootnoteText"/>
      </w:pPr>
      <w:r>
        <w:rPr>
          <w:rStyle w:val="FootnoteReference"/>
        </w:rPr>
        <w:footnoteRef/>
      </w:r>
      <w:r>
        <w:t xml:space="preserve"> </w:t>
      </w:r>
      <w:r>
        <w:rPr>
          <w:i/>
        </w:rPr>
        <w:t>Id</w:t>
      </w:r>
      <w:r w:rsidRPr="00514901">
        <w:rPr>
          <w:i/>
        </w:rPr>
        <w:t>.</w:t>
      </w:r>
      <w:r>
        <w:t xml:space="preserve"> Exhibit C-1.  </w:t>
      </w:r>
      <w:r w:rsidRPr="00ED13D3">
        <w:t>Exhibit C-1 is inclu</w:t>
      </w:r>
      <w:r>
        <w:t xml:space="preserve">ded as </w:t>
      </w:r>
      <w:r w:rsidRPr="00E6549D">
        <w:t xml:space="preserve">Appendix </w:t>
      </w:r>
      <w:r>
        <w:t xml:space="preserve">B to this Order.  </w:t>
      </w:r>
      <w:r w:rsidRPr="004A0D05">
        <w:t xml:space="preserve">Section 1.991(i) of the Commission’s rules requires that Tampnet seek specific approval for any foreign investor, or “group” of foreign investors as defined in </w:t>
      </w:r>
      <w:r>
        <w:t xml:space="preserve">Section 1.990(d)(5) of the </w:t>
      </w:r>
      <w:r w:rsidRPr="004A0D05">
        <w:t xml:space="preserve">rules, that would hold directly and/or indirectly more than </w:t>
      </w:r>
      <w:r>
        <w:t>five</w:t>
      </w:r>
      <w:r w:rsidRPr="004A0D05">
        <w:t xml:space="preserve"> percent </w:t>
      </w:r>
      <w:r>
        <w:t xml:space="preserve">of Tampnet’s equity and/or voting interests, </w:t>
      </w:r>
      <w:r w:rsidRPr="004A0D05">
        <w:t xml:space="preserve">or </w:t>
      </w:r>
      <w:r>
        <w:t xml:space="preserve">more than </w:t>
      </w:r>
      <w:r w:rsidRPr="004A0D05">
        <w:t xml:space="preserve">10 percent </w:t>
      </w:r>
      <w:r>
        <w:t>where the petitioner demonstrates under Section 1.993(i)(3) of the rules that the interests are exempt from the general five percent specific approval requirement in Section 1.993(i).</w:t>
      </w:r>
    </w:p>
  </w:footnote>
  <w:footnote w:id="118">
    <w:p w14:paraId="4963E9E4" w14:textId="79B0A3C3" w:rsidR="003373C7" w:rsidRPr="001878D3" w:rsidRDefault="003373C7" w:rsidP="00615384">
      <w:pPr>
        <w:pStyle w:val="FootnoteText"/>
      </w:pPr>
      <w:r w:rsidRPr="001878D3">
        <w:rPr>
          <w:rStyle w:val="FootnoteReference"/>
        </w:rPr>
        <w:footnoteRef/>
      </w:r>
      <w:r w:rsidRPr="001878D3">
        <w:t xml:space="preserve"> </w:t>
      </w:r>
      <w:r>
        <w:rPr>
          <w:i/>
        </w:rPr>
        <w:t>Id</w:t>
      </w:r>
      <w:r w:rsidRPr="00514901">
        <w:rPr>
          <w:i/>
        </w:rPr>
        <w:t>.</w:t>
      </w:r>
      <w:r>
        <w:t xml:space="preserve"> at 3 (citing </w:t>
      </w:r>
      <w:r w:rsidRPr="001878D3">
        <w:rPr>
          <w:color w:val="191919"/>
          <w:u w:color="0000E9"/>
        </w:rPr>
        <w:t xml:space="preserve">47 </w:t>
      </w:r>
      <w:r>
        <w:rPr>
          <w:color w:val="191919"/>
          <w:u w:color="0000E9"/>
        </w:rPr>
        <w:t>CFR</w:t>
      </w:r>
      <w:r w:rsidRPr="001878D3">
        <w:rPr>
          <w:color w:val="191919"/>
          <w:u w:color="0000E9"/>
        </w:rPr>
        <w:t xml:space="preserve"> § 1.991(k)(2)</w:t>
      </w:r>
      <w:r>
        <w:rPr>
          <w:color w:val="191919"/>
          <w:u w:color="0000E9"/>
        </w:rPr>
        <w:t>)</w:t>
      </w:r>
      <w:r w:rsidRPr="001878D3">
        <w:rPr>
          <w:color w:val="191919"/>
          <w:u w:color="0000E9"/>
        </w:rPr>
        <w:t>.</w:t>
      </w:r>
    </w:p>
  </w:footnote>
  <w:footnote w:id="119">
    <w:p w14:paraId="1910A446" w14:textId="174E5CF5" w:rsidR="003373C7" w:rsidRDefault="003373C7" w:rsidP="00615384">
      <w:pPr>
        <w:pStyle w:val="FootnoteText"/>
      </w:pPr>
      <w:r>
        <w:rPr>
          <w:rStyle w:val="FootnoteReference"/>
        </w:rPr>
        <w:footnoteRef/>
      </w:r>
      <w:r>
        <w:t xml:space="preserve"> </w:t>
      </w:r>
      <w:r>
        <w:rPr>
          <w:i/>
        </w:rPr>
        <w:t>Id</w:t>
      </w:r>
      <w:r w:rsidRPr="00514901">
        <w:rPr>
          <w:i/>
        </w:rPr>
        <w:t>.</w:t>
      </w:r>
      <w:r w:rsidR="00481518">
        <w:t xml:space="preserve"> at 3</w:t>
      </w:r>
      <w:r>
        <w:t xml:space="preserve"> n.3.  Tampnet subsequently assigned these licenses and a 3650-3700 MHz wireless service license to Tampnet Licensee in a </w:t>
      </w:r>
      <w:r w:rsidRPr="0079371A">
        <w:rPr>
          <w:i/>
        </w:rPr>
        <w:t>pro forma</w:t>
      </w:r>
      <w:r>
        <w:t xml:space="preserve"> reorganization.  Tampnet Inc. and </w:t>
      </w:r>
      <w:r w:rsidRPr="00B9075D">
        <w:t>Tampnet Licensee have pending before the Commission numerous applications to modify the regulatory status of the microwave licenses from private to common carrier.</w:t>
      </w:r>
      <w:r>
        <w:t xml:space="preserve">  </w:t>
      </w:r>
      <w:r w:rsidRPr="0045130C">
        <w:rPr>
          <w:i/>
        </w:rPr>
        <w:t>Id</w:t>
      </w:r>
      <w:r>
        <w:t>. at 1-2.</w:t>
      </w:r>
    </w:p>
  </w:footnote>
  <w:footnote w:id="120">
    <w:p w14:paraId="2E7AE01B" w14:textId="77777777" w:rsidR="003373C7" w:rsidRDefault="003373C7" w:rsidP="00615384">
      <w:pPr>
        <w:pStyle w:val="FootnoteText"/>
      </w:pPr>
      <w:r>
        <w:rPr>
          <w:rStyle w:val="FootnoteReference"/>
        </w:rPr>
        <w:footnoteRef/>
      </w:r>
      <w:r>
        <w:t xml:space="preserve"> </w:t>
      </w:r>
      <w:r w:rsidRPr="006F6094">
        <w:rPr>
          <w:i/>
        </w:rPr>
        <w:t>Id</w:t>
      </w:r>
      <w:r>
        <w:t xml:space="preserve">. </w:t>
      </w:r>
      <w:r w:rsidRPr="006F6094">
        <w:t>at</w:t>
      </w:r>
      <w:r>
        <w:t xml:space="preserve"> 14.</w:t>
      </w:r>
    </w:p>
  </w:footnote>
  <w:footnote w:id="121">
    <w:p w14:paraId="3AF43B02" w14:textId="77777777" w:rsidR="003373C7" w:rsidRDefault="003373C7" w:rsidP="00615384">
      <w:pPr>
        <w:pStyle w:val="FootnoteText"/>
      </w:pPr>
      <w:r>
        <w:rPr>
          <w:rStyle w:val="FootnoteReference"/>
        </w:rPr>
        <w:footnoteRef/>
      </w:r>
      <w:r>
        <w:t xml:space="preserve"> Section 214 Application, Attach. 2 at 1.</w:t>
      </w:r>
    </w:p>
  </w:footnote>
  <w:footnote w:id="122">
    <w:p w14:paraId="46889557" w14:textId="77777777" w:rsidR="003373C7" w:rsidRDefault="003373C7" w:rsidP="00615384">
      <w:pPr>
        <w:pStyle w:val="FootnoteText"/>
      </w:pPr>
      <w:r>
        <w:rPr>
          <w:rStyle w:val="FootnoteReference"/>
        </w:rPr>
        <w:footnoteRef/>
      </w:r>
      <w:r>
        <w:t xml:space="preserve"> </w:t>
      </w:r>
      <w:r>
        <w:rPr>
          <w:i/>
        </w:rPr>
        <w:t>Id</w:t>
      </w:r>
      <w:r w:rsidRPr="007A6521">
        <w:rPr>
          <w:i/>
        </w:rPr>
        <w:t>.</w:t>
      </w:r>
    </w:p>
  </w:footnote>
  <w:footnote w:id="123">
    <w:p w14:paraId="00D60DBD" w14:textId="0EBAA828" w:rsidR="003373C7" w:rsidRDefault="003373C7" w:rsidP="00615384">
      <w:pPr>
        <w:pStyle w:val="FootnoteText"/>
      </w:pPr>
      <w:r>
        <w:rPr>
          <w:rStyle w:val="FootnoteReference"/>
        </w:rPr>
        <w:footnoteRef/>
      </w:r>
      <w:r>
        <w:t xml:space="preserve"> Petition at 4.  Section 1.991(e)-(h) of the rules requires all Section 310(b) petitions for declaratory ruling to contain the name, address, citizenship and principal business(es) of any individual or entity, regardless of citizenship, that directly or indirectly holds (or would hold, after effectuation of any planned ownership changes described in the petition) at least 10 percent of the equity or voting interests in the controlling U.S. parent of a petitioning common carrier licensee or a controlling interest, as well as a narrative description and a diagram of the petitioner’s ownership and control structure.  We note that all of Tampnet’s disclosable interest holders are foreign individuals and foreign-organized entities that also require specific approval under Section 1.991(i) of the rules.  </w:t>
      </w:r>
    </w:p>
  </w:footnote>
  <w:footnote w:id="124">
    <w:p w14:paraId="2ED9CB0D" w14:textId="77777777" w:rsidR="003373C7" w:rsidRDefault="003373C7" w:rsidP="00615384">
      <w:pPr>
        <w:pStyle w:val="FootnoteText"/>
      </w:pPr>
      <w:r>
        <w:rPr>
          <w:rStyle w:val="FootnoteReference"/>
        </w:rPr>
        <w:footnoteRef/>
      </w:r>
      <w:r>
        <w:t xml:space="preserve"> </w:t>
      </w:r>
      <w:r>
        <w:rPr>
          <w:i/>
        </w:rPr>
        <w:t>Id</w:t>
      </w:r>
      <w:r>
        <w:t>. at 10.</w:t>
      </w:r>
    </w:p>
  </w:footnote>
  <w:footnote w:id="125">
    <w:p w14:paraId="744F7ED2" w14:textId="77777777" w:rsidR="003373C7" w:rsidRDefault="003373C7" w:rsidP="00615384">
      <w:pPr>
        <w:pStyle w:val="FootnoteText"/>
      </w:pPr>
      <w:r>
        <w:rPr>
          <w:rStyle w:val="FootnoteReference"/>
        </w:rPr>
        <w:footnoteRef/>
      </w:r>
      <w:r>
        <w:t xml:space="preserve"> </w:t>
      </w:r>
      <w:r w:rsidRPr="00870D2D">
        <w:rPr>
          <w:i/>
        </w:rPr>
        <w:t>Id</w:t>
      </w:r>
      <w:r>
        <w:t>.</w:t>
      </w:r>
    </w:p>
  </w:footnote>
  <w:footnote w:id="126">
    <w:p w14:paraId="28C14679" w14:textId="77777777" w:rsidR="003373C7" w:rsidRDefault="003373C7" w:rsidP="00615384">
      <w:pPr>
        <w:pStyle w:val="FootnoteText"/>
      </w:pPr>
      <w:r>
        <w:rPr>
          <w:rStyle w:val="FootnoteReference"/>
        </w:rPr>
        <w:footnoteRef/>
      </w:r>
      <w:r>
        <w:t xml:space="preserve"> </w:t>
      </w:r>
      <w:r w:rsidRPr="00870D2D">
        <w:rPr>
          <w:i/>
        </w:rPr>
        <w:t>Id</w:t>
      </w:r>
      <w:r>
        <w:t>. at 10-12.</w:t>
      </w:r>
    </w:p>
  </w:footnote>
  <w:footnote w:id="127">
    <w:p w14:paraId="19B95BB6" w14:textId="02C1C9C5" w:rsidR="003373C7" w:rsidRDefault="003373C7" w:rsidP="00615384">
      <w:pPr>
        <w:pStyle w:val="FootnoteText"/>
      </w:pPr>
      <w:r>
        <w:rPr>
          <w:rStyle w:val="FootnoteReference"/>
        </w:rPr>
        <w:footnoteRef/>
      </w:r>
      <w:r>
        <w:t xml:space="preserve"> 47 CFR </w:t>
      </w:r>
      <w:r w:rsidRPr="001878D3">
        <w:t>§ 1.99</w:t>
      </w:r>
      <w:r>
        <w:t>3.</w:t>
      </w:r>
    </w:p>
  </w:footnote>
  <w:footnote w:id="128">
    <w:p w14:paraId="77002117" w14:textId="1F321C79" w:rsidR="003373C7" w:rsidRPr="00007465" w:rsidRDefault="003373C7" w:rsidP="00615384">
      <w:pPr>
        <w:pStyle w:val="FootnoteText"/>
      </w:pPr>
      <w:r w:rsidRPr="001878D3">
        <w:rPr>
          <w:rStyle w:val="FootnoteReference"/>
        </w:rPr>
        <w:footnoteRef/>
      </w:r>
      <w:r w:rsidRPr="001878D3">
        <w:t xml:space="preserve"> Sections 1.992 and 1.993 of the Commission’s rules specify the methodology for calculating the foreign equity and voting interests in the controlling U.S. parent of a common carrier licensee that require specific approval under </w:t>
      </w:r>
      <w:r>
        <w:t>Section</w:t>
      </w:r>
      <w:r w:rsidRPr="001878D3">
        <w:t xml:space="preserve"> 1.991(i) of the rules.  Equity interests held indirectly in the controlling U.S. parent are calculated using a “multiplier” to dilute the percentage of each investor’s equity interest when those interests are held through intervening companies.  </w:t>
      </w:r>
      <w:r>
        <w:t xml:space="preserve">The multiplier is applied to each link in the vertical ownership chain, regardless of whether any particular link represents a controlling interest in the company positioned in the next lower tier.  The resulting product yields the </w:t>
      </w:r>
      <w:r w:rsidRPr="00386C67">
        <w:rPr>
          <w:i/>
        </w:rPr>
        <w:t>pro</w:t>
      </w:r>
      <w:r>
        <w:t xml:space="preserve"> </w:t>
      </w:r>
      <w:r w:rsidRPr="00386C67">
        <w:rPr>
          <w:i/>
        </w:rPr>
        <w:t>rata</w:t>
      </w:r>
      <w:r>
        <w:t xml:space="preserve"> equity holdings of the investors in the U.S. parent company separate from the voting power associated with the investors’ shareholdings.  </w:t>
      </w:r>
      <w:r w:rsidRPr="001878D3">
        <w:t xml:space="preserve">47 </w:t>
      </w:r>
      <w:r>
        <w:t>CFR</w:t>
      </w:r>
      <w:r w:rsidRPr="001878D3">
        <w:t xml:space="preserve"> § 1.992(b)(1); </w:t>
      </w:r>
      <w:r w:rsidRPr="001878D3">
        <w:rPr>
          <w:i/>
        </w:rPr>
        <w:t>2013 Foreign Ownership Second Report and Order</w:t>
      </w:r>
      <w:r w:rsidRPr="001878D3">
        <w:t xml:space="preserve">, 28 FCC Rcd at 5803, </w:t>
      </w:r>
      <w:r>
        <w:t>para.</w:t>
      </w:r>
      <w:r w:rsidRPr="001878D3">
        <w:t xml:space="preserve"> 118.  </w:t>
      </w:r>
      <w:r>
        <w:t xml:space="preserve">In calculating foreign voting interests, the multiplier is not applied to any link in the vertical ownership chain that constitutes a controlling interest in the company positioned in the next lower tier.  In circumstances where foreign </w:t>
      </w:r>
      <w:r w:rsidRPr="001878D3">
        <w:t xml:space="preserve">voting interests </w:t>
      </w:r>
      <w:r>
        <w:t xml:space="preserve">are </w:t>
      </w:r>
      <w:r w:rsidRPr="001878D3">
        <w:t xml:space="preserve">held indirectly in the controlling U.S. parent through one or more intervening partnerships or </w:t>
      </w:r>
      <w:r>
        <w:t>LLCs</w:t>
      </w:r>
      <w:r w:rsidRPr="001878D3">
        <w:t xml:space="preserve">, </w:t>
      </w:r>
      <w:r>
        <w:t>the multiplier is not applied to dilute a general partnership interest or an “uninsulated” interest held in a limited partnership or LLC.  A general partner, u</w:t>
      </w:r>
      <w:r w:rsidRPr="001878D3">
        <w:t xml:space="preserve">ninsulated limited partner or uninsulated </w:t>
      </w:r>
      <w:r>
        <w:t xml:space="preserve">member of an </w:t>
      </w:r>
      <w:r w:rsidRPr="001878D3">
        <w:t>LLC (</w:t>
      </w:r>
      <w:r>
        <w:t xml:space="preserve">or </w:t>
      </w:r>
      <w:r w:rsidRPr="001878D3">
        <w:t>non-member manager</w:t>
      </w:r>
      <w:r>
        <w:t>/director of an LLC</w:t>
      </w:r>
      <w:r w:rsidRPr="001878D3">
        <w:t>) is considered to hold the same voting interest as the partnership or LLC holds in the company situated in the next lower tier of the vertical ownership chain</w:t>
      </w:r>
      <w:r>
        <w:t xml:space="preserve"> and, ultimately, the same voting interest as the partnership or LLC is calculated as holding in the U.S. parent</w:t>
      </w:r>
      <w:r w:rsidRPr="001878D3">
        <w:t xml:space="preserve">.  </w:t>
      </w:r>
      <w:r w:rsidRPr="00625520">
        <w:rPr>
          <w:i/>
        </w:rPr>
        <w:t>2013 Foreign Ownership Second Report and Order</w:t>
      </w:r>
      <w:r>
        <w:t>, 28 FCC Rcd</w:t>
      </w:r>
      <w:r w:rsidRPr="001878D3">
        <w:rPr>
          <w:i/>
        </w:rPr>
        <w:t xml:space="preserve"> </w:t>
      </w:r>
      <w:r w:rsidRPr="001878D3">
        <w:t>a</w:t>
      </w:r>
      <w:r>
        <w:t xml:space="preserve">t 5803-04, 5806, paras. 119, 124.  Where a limited partner or LLC member is insulated, the limited partner’s or LLC member’s voting interest in the U.S. parent is calculated as equal to the limited partner’s or LLC member’s equity interest in the U.S. parent.  </w:t>
      </w:r>
      <w:r w:rsidRPr="00BC786E">
        <w:rPr>
          <w:i/>
        </w:rPr>
        <w:t>Id</w:t>
      </w:r>
      <w:r w:rsidR="00481518">
        <w:t>.</w:t>
      </w:r>
    </w:p>
  </w:footnote>
  <w:footnote w:id="129">
    <w:p w14:paraId="5B02769A" w14:textId="72987EDC" w:rsidR="003373C7" w:rsidRPr="00B72AF0" w:rsidRDefault="003373C7" w:rsidP="00615384">
      <w:pPr>
        <w:pStyle w:val="FootnoteText"/>
      </w:pPr>
      <w:r>
        <w:rPr>
          <w:rStyle w:val="FootnoteReference"/>
        </w:rPr>
        <w:footnoteRef/>
      </w:r>
      <w:r>
        <w:t xml:space="preserve"> </w:t>
      </w:r>
      <w:r w:rsidRPr="001878D3">
        <w:t>The Commission’s treatment of uninsulated interests in a limited partnership (or in a limited liability company) is based on the concern that the partners in a limited partnership or members of a limited liability company, through contractual arrangements, largely have the power themselves to determine the rights of the limited partners or members.</w:t>
      </w:r>
      <w:r>
        <w:t xml:space="preserve">  </w:t>
      </w:r>
      <w:r w:rsidRPr="001878D3">
        <w:rPr>
          <w:i/>
        </w:rPr>
        <w:t>2013 Foreign Ownership Second Report and Order</w:t>
      </w:r>
      <w:r w:rsidRPr="001878D3">
        <w:t xml:space="preserve">, 28 FCC Rcd at </w:t>
      </w:r>
      <w:r>
        <w:t xml:space="preserve">5804 n.317 (citing </w:t>
      </w:r>
      <w:r w:rsidRPr="00F05B58">
        <w:rPr>
          <w:i/>
        </w:rPr>
        <w:t>Reexamination of the Commission’s Rules and Policies Regarding the Attribution of Ownership Interests in Broadcast, Cable Television and Newspaper Entities</w:t>
      </w:r>
      <w:r w:rsidRPr="00F05B58">
        <w:t>, Memorandum Opinion and Order, 1 FCC Rcd 802, 803-04,</w:t>
      </w:r>
      <w:r>
        <w:t xml:space="preserve"> paras.</w:t>
      </w:r>
      <w:r w:rsidRPr="00F05B58">
        <w:t xml:space="preserve"> 9</w:t>
      </w:r>
      <w:r>
        <w:t>-</w:t>
      </w:r>
      <w:r w:rsidRPr="00F05B58">
        <w:t>10</w:t>
      </w:r>
      <w:r>
        <w:t xml:space="preserve"> </w:t>
      </w:r>
      <w:r w:rsidRPr="00F05B58">
        <w:t>(1986)</w:t>
      </w:r>
      <w:r>
        <w:t>).</w:t>
      </w:r>
    </w:p>
  </w:footnote>
  <w:footnote w:id="130">
    <w:p w14:paraId="088CC68B" w14:textId="23D30CA3" w:rsidR="003373C7" w:rsidRDefault="003373C7" w:rsidP="00615384">
      <w:pPr>
        <w:pStyle w:val="FootnoteText"/>
      </w:pPr>
      <w:r>
        <w:rPr>
          <w:rStyle w:val="FootnoteReference"/>
        </w:rPr>
        <w:footnoteRef/>
      </w:r>
      <w:r>
        <w:t xml:space="preserve"> Section 1.991(i)(3) of the rules contains an exception to the general rule in Section 1.991(i) that requires Section 310(b)(4) petitions to include a request for specific approval of any foreign investor that would hold a greater-than-five percent equity and/or voting interest directly or indirectly in the licensee’s controlling U.S. parent (here, Tampnet).  Under Section 1.991(i)(3), specific approval is not required where a non-controlling foreign investor’s direct or indirect interest in the U.S. parent does not exceed 10 percent of the parent’s equity and/or voting interests (47 CFR </w:t>
      </w:r>
      <w:r w:rsidRPr="001878D3">
        <w:t>§</w:t>
      </w:r>
      <w:r>
        <w:t xml:space="preserve"> 1.991(i)(3)(i)) and the investor’s interest is non-influential in nature (47 CFR </w:t>
      </w:r>
      <w:r w:rsidRPr="001878D3">
        <w:t>§</w:t>
      </w:r>
      <w:r>
        <w:t xml:space="preserve"> 1.991(i)(3)(ii)).  The Commission will presume, in the absence of evidence to the contrary, that a membership or limited partnership interest in a limited liability company or limited partnership, respectively, satisfies this criterion for exemption where the interest is “insulated” within the meaning of Section 1.993 of the rules.  47 CFR </w:t>
      </w:r>
      <w:r w:rsidRPr="001878D3">
        <w:t>§</w:t>
      </w:r>
      <w:r>
        <w:t xml:space="preserve"> 1.991(i)(3)(ii)(C).</w:t>
      </w:r>
    </w:p>
  </w:footnote>
  <w:footnote w:id="131">
    <w:p w14:paraId="1BA978BF" w14:textId="698EBC19" w:rsidR="003373C7" w:rsidRDefault="003373C7" w:rsidP="00615384">
      <w:pPr>
        <w:pStyle w:val="FootnoteText"/>
      </w:pPr>
      <w:r>
        <w:rPr>
          <w:rStyle w:val="FootnoteReference"/>
        </w:rPr>
        <w:footnoteRef/>
      </w:r>
      <w:r>
        <w:t xml:space="preserve"> Petition, Exhibit E.</w:t>
      </w:r>
    </w:p>
  </w:footnote>
  <w:footnote w:id="132">
    <w:p w14:paraId="4F89FE58" w14:textId="77777777" w:rsidR="003373C7" w:rsidRDefault="003373C7" w:rsidP="00615384">
      <w:pPr>
        <w:pStyle w:val="FootnoteText"/>
      </w:pPr>
      <w:r>
        <w:rPr>
          <w:rStyle w:val="FootnoteReference"/>
        </w:rPr>
        <w:footnoteRef/>
      </w:r>
      <w:r>
        <w:t xml:space="preserve"> Petition at 12.</w:t>
      </w:r>
    </w:p>
  </w:footnote>
  <w:footnote w:id="133">
    <w:p w14:paraId="7BEF5054" w14:textId="063EDC92" w:rsidR="003373C7" w:rsidRDefault="003373C7" w:rsidP="009A47CE">
      <w:pPr>
        <w:widowControl/>
        <w:spacing w:after="120"/>
      </w:pPr>
      <w:r w:rsidRPr="00007465">
        <w:rPr>
          <w:rStyle w:val="FootnoteReference"/>
        </w:rPr>
        <w:footnoteRef/>
      </w:r>
      <w:r w:rsidRPr="00007465">
        <w:rPr>
          <w:sz w:val="20"/>
        </w:rPr>
        <w:t xml:space="preserve"> </w:t>
      </w:r>
      <w:r w:rsidRPr="006840F4">
        <w:rPr>
          <w:sz w:val="20"/>
        </w:rPr>
        <w:t xml:space="preserve">Each certification is signed by or on behalf of a duly authorized director of SEP Holdings, CBTJ, and </w:t>
      </w:r>
      <w:r>
        <w:rPr>
          <w:sz w:val="20"/>
        </w:rPr>
        <w:t>EQT Cooperatief under penalty of</w:t>
      </w:r>
      <w:r w:rsidRPr="006840F4">
        <w:rPr>
          <w:sz w:val="20"/>
        </w:rPr>
        <w:t xml:space="preserve"> perjury</w:t>
      </w:r>
      <w:r>
        <w:rPr>
          <w:sz w:val="20"/>
        </w:rPr>
        <w:t xml:space="preserve">.  The </w:t>
      </w:r>
      <w:r w:rsidRPr="006840F4">
        <w:rPr>
          <w:sz w:val="20"/>
        </w:rPr>
        <w:t xml:space="preserve">SEP Holdings, CBTJ, and </w:t>
      </w:r>
      <w:r>
        <w:rPr>
          <w:sz w:val="20"/>
        </w:rPr>
        <w:t>EQT Cooperatief</w:t>
      </w:r>
      <w:r w:rsidRPr="00007465">
        <w:rPr>
          <w:sz w:val="20"/>
        </w:rPr>
        <w:t xml:space="preserve"> </w:t>
      </w:r>
      <w:r>
        <w:rPr>
          <w:sz w:val="20"/>
        </w:rPr>
        <w:t xml:space="preserve">certifications </w:t>
      </w:r>
      <w:r w:rsidRPr="00007465">
        <w:rPr>
          <w:sz w:val="20"/>
        </w:rPr>
        <w:t xml:space="preserve">further </w:t>
      </w:r>
      <w:r>
        <w:rPr>
          <w:sz w:val="20"/>
        </w:rPr>
        <w:t xml:space="preserve">specify </w:t>
      </w:r>
      <w:r w:rsidRPr="00007465">
        <w:rPr>
          <w:sz w:val="20"/>
        </w:rPr>
        <w:t xml:space="preserve">that </w:t>
      </w:r>
      <w:r>
        <w:rPr>
          <w:sz w:val="20"/>
        </w:rPr>
        <w:t>a</w:t>
      </w:r>
      <w:r w:rsidRPr="00007465">
        <w:rPr>
          <w:sz w:val="20"/>
        </w:rPr>
        <w:t xml:space="preserve"> foreign share owner that has not been specifically approved by the Commission shall not serve as an officer, director, manager, committee member, employee, independent contractor, agent or otherwise perform any services for </w:t>
      </w:r>
      <w:r>
        <w:rPr>
          <w:sz w:val="20"/>
        </w:rPr>
        <w:t>the company</w:t>
      </w:r>
      <w:r w:rsidRPr="00007465">
        <w:rPr>
          <w:sz w:val="20"/>
        </w:rPr>
        <w:t xml:space="preserve">, with the exception of making loans to, or acting as a surety for them; shall not be involved, directly or indirectly, in the policymaking activities of the Covered Entities or in their day-to-day management or operations; and shall not exercise investor rights (or be permitted to vote its investment units) on matters beyond the usual and customary investor protections delineated in 47 </w:t>
      </w:r>
      <w:r>
        <w:rPr>
          <w:sz w:val="20"/>
        </w:rPr>
        <w:t>CFR</w:t>
      </w:r>
      <w:r w:rsidRPr="00007465">
        <w:rPr>
          <w:sz w:val="20"/>
        </w:rPr>
        <w:t xml:space="preserve"> </w:t>
      </w:r>
      <w:r>
        <w:rPr>
          <w:sz w:val="20"/>
        </w:rPr>
        <w:t>§</w:t>
      </w:r>
      <w:r w:rsidRPr="00007465">
        <w:rPr>
          <w:sz w:val="20"/>
        </w:rPr>
        <w:t xml:space="preserve"> 1.993(c), as may be amended from time to time, or any successor section.  In addition, a foreign share</w:t>
      </w:r>
      <w:r>
        <w:rPr>
          <w:sz w:val="20"/>
        </w:rPr>
        <w:t xml:space="preserve"> owner</w:t>
      </w:r>
      <w:r w:rsidRPr="00007465">
        <w:rPr>
          <w:sz w:val="20"/>
        </w:rPr>
        <w:t xml:space="preserve"> that has not been specifically approved by the FCC may nominate directors, officers, and managers, but is barred from appointing them.</w:t>
      </w:r>
    </w:p>
  </w:footnote>
  <w:footnote w:id="134">
    <w:p w14:paraId="26E9A8F8" w14:textId="29D1B6A3" w:rsidR="003373C7" w:rsidRPr="001878D3" w:rsidRDefault="003373C7" w:rsidP="00615384">
      <w:pPr>
        <w:pStyle w:val="FootnoteText"/>
      </w:pPr>
      <w:r w:rsidRPr="001878D3">
        <w:rPr>
          <w:rStyle w:val="FootnoteReference"/>
        </w:rPr>
        <w:footnoteRef/>
      </w:r>
      <w:r>
        <w:t xml:space="preserve"> 47 CFR §</w:t>
      </w:r>
      <w:r w:rsidRPr="00007465">
        <w:t xml:space="preserve"> 1.993</w:t>
      </w:r>
      <w:r>
        <w:t xml:space="preserve">.  </w:t>
      </w:r>
      <w:r>
        <w:rPr>
          <w:i/>
        </w:rPr>
        <w:t xml:space="preserve">See also </w:t>
      </w:r>
      <w:r w:rsidRPr="006F686E">
        <w:rPr>
          <w:i/>
        </w:rPr>
        <w:t>Applications of LightSquared Subsidiary LLC, Debtor-in-Possession, and LightSquared Subsidiary LLC</w:t>
      </w:r>
      <w:r>
        <w:rPr>
          <w:i/>
        </w:rPr>
        <w:t xml:space="preserve"> for Consent To Assign and Transfer Licenses and Other Authorizations and Request for Declaratory Ruling on Foreign Ownership</w:t>
      </w:r>
      <w:r>
        <w:t xml:space="preserve">, Memorandum Opinion and Order and Declaratory Ruling, </w:t>
      </w:r>
      <w:r w:rsidRPr="00514901">
        <w:t>30</w:t>
      </w:r>
      <w:r>
        <w:t xml:space="preserve"> FCC Rcd</w:t>
      </w:r>
      <w:r>
        <w:rPr>
          <w:b/>
        </w:rPr>
        <w:t xml:space="preserve"> </w:t>
      </w:r>
      <w:r w:rsidRPr="00514901">
        <w:t>1398,</w:t>
      </w:r>
      <w:r>
        <w:rPr>
          <w:b/>
        </w:rPr>
        <w:t xml:space="preserve"> </w:t>
      </w:r>
      <w:r w:rsidRPr="00514901">
        <w:t>1412</w:t>
      </w:r>
      <w:r>
        <w:t>,</w:t>
      </w:r>
      <w:r>
        <w:rPr>
          <w:b/>
        </w:rPr>
        <w:t xml:space="preserve"> </w:t>
      </w:r>
      <w:r w:rsidRPr="0066046E">
        <w:t>para</w:t>
      </w:r>
      <w:r>
        <w:t>s</w:t>
      </w:r>
      <w:r w:rsidRPr="0066046E">
        <w:t>.</w:t>
      </w:r>
      <w:r>
        <w:t xml:space="preserve"> 27-28 (2015).</w:t>
      </w:r>
    </w:p>
  </w:footnote>
  <w:footnote w:id="135">
    <w:p w14:paraId="6D03EEB5" w14:textId="5D9BBDDE" w:rsidR="003373C7" w:rsidRPr="001878D3" w:rsidRDefault="003373C7" w:rsidP="00615384">
      <w:pPr>
        <w:pStyle w:val="FootnoteText"/>
      </w:pPr>
      <w:r w:rsidRPr="001878D3">
        <w:rPr>
          <w:rStyle w:val="FootnoteReference"/>
        </w:rPr>
        <w:footnoteRef/>
      </w:r>
      <w:r w:rsidRPr="001878D3">
        <w:t xml:space="preserve"> </w:t>
      </w:r>
      <w:r w:rsidRPr="001878D3">
        <w:rPr>
          <w:i/>
        </w:rPr>
        <w:t>See</w:t>
      </w:r>
      <w:r w:rsidRPr="001878D3">
        <w:t xml:space="preserve"> </w:t>
      </w:r>
      <w:r w:rsidRPr="001878D3">
        <w:rPr>
          <w:i/>
        </w:rPr>
        <w:t>supra</w:t>
      </w:r>
      <w:r w:rsidRPr="001878D3">
        <w:t xml:space="preserve"> </w:t>
      </w:r>
      <w:r>
        <w:t>para. 9</w:t>
      </w:r>
      <w:r w:rsidRPr="001878D3">
        <w:t>.</w:t>
      </w:r>
    </w:p>
  </w:footnote>
  <w:footnote w:id="136">
    <w:p w14:paraId="4AE993EF" w14:textId="70F0755D" w:rsidR="003373C7" w:rsidRPr="008E15FD" w:rsidRDefault="003373C7" w:rsidP="00615384">
      <w:pPr>
        <w:pStyle w:val="FootnoteText"/>
        <w:rPr>
          <w:u w:val="single"/>
        </w:rPr>
      </w:pPr>
      <w:r>
        <w:rPr>
          <w:rStyle w:val="FootnoteReference"/>
        </w:rPr>
        <w:footnoteRef/>
      </w:r>
      <w:r>
        <w:t xml:space="preserve"> As one example of many scenarios that might precipitate the specific approval requirement, Tampnet would require specific approval before a previously unapproved foreign individual or foreign-organized entity assumes the position of non-member manager/director of a U.S.- or foreign-organized LLC that holds, directly or indirectly, more than five percent of Tampnet’s voting interests (or more than 10 percent in circumstances where the LLC’s interest is exempt under Section 1.991(i)(3) from the general five percent specific approval requirement in Section 1.991(i)).  However, we note that in circumstances where an LLC’s foreign non-member manager/director has been specifically approved to hold a given percentage of Tampnet’s voting interests (</w:t>
      </w:r>
      <w:r w:rsidRPr="00DE033C">
        <w:t>e.g.</w:t>
      </w:r>
      <w:r>
        <w:t xml:space="preserve">, up to and including a non-controlling 49.99 percent voting interest), Tampnet would not be required to again seek the Commission’s specific approval before the foreign non-member manager/director assumed the same position with a different LLC holding interests in Tampnet, unless doing so would cause the foreign non-member manager/director’s calculated voting interest in Tampnet to exceed the percentage for which Tampnet received the Commission’s specific approval. </w:t>
      </w:r>
    </w:p>
  </w:footnote>
  <w:footnote w:id="137">
    <w:p w14:paraId="223D3653" w14:textId="42259AE9" w:rsidR="003373C7" w:rsidRPr="001878D3" w:rsidRDefault="003373C7" w:rsidP="00615384">
      <w:pPr>
        <w:pStyle w:val="FootnoteText"/>
      </w:pPr>
      <w:r w:rsidRPr="001878D3">
        <w:rPr>
          <w:rStyle w:val="FootnoteReference"/>
        </w:rPr>
        <w:footnoteRef/>
      </w:r>
      <w:r w:rsidRPr="001878D3">
        <w:t xml:space="preserve"> </w:t>
      </w:r>
      <w:r w:rsidRPr="001878D3">
        <w:rPr>
          <w:i/>
        </w:rPr>
        <w:t xml:space="preserve">Rules and Policies on Foreign Participation in the U.S. Telecommunications Market: </w:t>
      </w:r>
      <w:r>
        <w:rPr>
          <w:i/>
        </w:rPr>
        <w:t xml:space="preserve"> </w:t>
      </w:r>
      <w:r w:rsidRPr="001878D3">
        <w:rPr>
          <w:i/>
        </w:rPr>
        <w:t>Market Entry and Regulation of Foreign-Affiliated Entities</w:t>
      </w:r>
      <w:r w:rsidRPr="001878D3">
        <w:t xml:space="preserve">, Report and Order and Order on Reconsideration, 12 FCC Rcd 23891, 23918-21, </w:t>
      </w:r>
      <w:r>
        <w:t>paras.</w:t>
      </w:r>
      <w:r w:rsidRPr="001878D3">
        <w:t xml:space="preserve"> 59-66 (1997) (</w:t>
      </w:r>
      <w:r w:rsidRPr="001878D3">
        <w:rPr>
          <w:i/>
        </w:rPr>
        <w:t>Foreign Participation Order</w:t>
      </w:r>
      <w:r w:rsidRPr="001878D3">
        <w:t>).</w:t>
      </w:r>
    </w:p>
  </w:footnote>
  <w:footnote w:id="138">
    <w:p w14:paraId="2159DC01" w14:textId="3ACFC311" w:rsidR="003373C7" w:rsidRPr="001878D3" w:rsidRDefault="003373C7" w:rsidP="00615384">
      <w:pPr>
        <w:pStyle w:val="FootnoteText"/>
      </w:pPr>
      <w:r w:rsidRPr="001878D3">
        <w:rPr>
          <w:rStyle w:val="FootnoteReference"/>
        </w:rPr>
        <w:footnoteRef/>
      </w:r>
      <w:r w:rsidRPr="001878D3">
        <w:t xml:space="preserve"> </w:t>
      </w:r>
      <w:r w:rsidRPr="008A477D">
        <w:rPr>
          <w:i/>
        </w:rPr>
        <w:t>See</w:t>
      </w:r>
      <w:r w:rsidRPr="008A477D">
        <w:t xml:space="preserve"> </w:t>
      </w:r>
      <w:r w:rsidRPr="008A477D">
        <w:rPr>
          <w:i/>
        </w:rPr>
        <w:t>supra</w:t>
      </w:r>
      <w:r w:rsidRPr="008A477D">
        <w:t xml:space="preserve"> </w:t>
      </w:r>
      <w:r>
        <w:t>para. 9</w:t>
      </w:r>
      <w:r w:rsidRPr="001878D3">
        <w:t>.</w:t>
      </w:r>
    </w:p>
  </w:footnote>
  <w:footnote w:id="139">
    <w:p w14:paraId="0F59E1A4" w14:textId="5F47C038" w:rsidR="003373C7" w:rsidRPr="001878D3" w:rsidRDefault="003373C7" w:rsidP="00615384">
      <w:pPr>
        <w:pStyle w:val="FootnoteText"/>
      </w:pPr>
      <w:r w:rsidRPr="001878D3">
        <w:rPr>
          <w:rStyle w:val="FootnoteReference"/>
        </w:rPr>
        <w:footnoteRef/>
      </w:r>
      <w:r w:rsidRPr="001878D3">
        <w:t xml:space="preserve"> </w:t>
      </w:r>
      <w:r w:rsidRPr="001878D3">
        <w:rPr>
          <w:i/>
        </w:rPr>
        <w:t>Foreign Participation Order</w:t>
      </w:r>
      <w:r w:rsidRPr="001878D3">
        <w:t xml:space="preserve">, 12 FCC Rcd at 23918-21, </w:t>
      </w:r>
      <w:r>
        <w:t>paras.</w:t>
      </w:r>
      <w:r w:rsidRPr="001878D3">
        <w:t xml:space="preserve"> 59-66.</w:t>
      </w:r>
    </w:p>
  </w:footnote>
  <w:footnote w:id="140">
    <w:p w14:paraId="06320ACD" w14:textId="77777777" w:rsidR="003373C7" w:rsidRPr="001878D3" w:rsidRDefault="003373C7" w:rsidP="00615384">
      <w:pPr>
        <w:pStyle w:val="FootnoteText"/>
      </w:pPr>
      <w:r w:rsidRPr="001878D3">
        <w:rPr>
          <w:rStyle w:val="FootnoteReference"/>
        </w:rPr>
        <w:footnoteRef/>
      </w:r>
      <w:r w:rsidRPr="001878D3">
        <w:t xml:space="preserve"> </w:t>
      </w:r>
      <w:r w:rsidRPr="001878D3">
        <w:rPr>
          <w:i/>
        </w:rPr>
        <w:t>Id.</w:t>
      </w:r>
      <w:r>
        <w:t xml:space="preserve"> at 23919, para.</w:t>
      </w:r>
      <w:r w:rsidRPr="001878D3">
        <w:t xml:space="preserve"> 62.</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FE7A26" w14:textId="77777777" w:rsidR="004A0BE0" w:rsidRDefault="004A0BE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6FC493" w14:textId="6D7B06C7" w:rsidR="003373C7" w:rsidRDefault="003373C7" w:rsidP="00973BC6">
    <w:pPr>
      <w:pStyle w:val="Header"/>
    </w:pPr>
    <w:r>
      <w:tab/>
      <w:t>Federal Communications Commission</w:t>
    </w:r>
    <w:r>
      <w:tab/>
      <w:t>DA 16-857</w:t>
    </w:r>
  </w:p>
  <w:p w14:paraId="1BD50E0D" w14:textId="77777777" w:rsidR="003373C7" w:rsidRDefault="003373C7">
    <w:pPr>
      <w:tabs>
        <w:tab w:val="left" w:pos="-720"/>
      </w:tabs>
      <w:suppressAutoHyphens/>
      <w:spacing w:line="19" w:lineRule="exact"/>
      <w:rPr>
        <w:spacing w:val="-2"/>
      </w:rPr>
    </w:pPr>
    <w:r>
      <w:rPr>
        <w:noProof/>
        <w:snapToGrid/>
      </w:rPr>
      <mc:AlternateContent>
        <mc:Choice Requires="wps">
          <w:drawing>
            <wp:anchor distT="0" distB="0" distL="114300" distR="114300" simplePos="0" relativeHeight="251657216" behindDoc="1" locked="0" layoutInCell="0" allowOverlap="1" wp14:anchorId="3C158C2C" wp14:editId="21AF4309">
              <wp:simplePos x="0" y="0"/>
              <wp:positionH relativeFrom="margin">
                <wp:posOffset>0</wp:posOffset>
              </wp:positionH>
              <wp:positionV relativeFrom="paragraph">
                <wp:posOffset>0</wp:posOffset>
              </wp:positionV>
              <wp:extent cx="5943600" cy="12065"/>
              <wp:effectExtent l="0" t="0" r="0" b="6985"/>
              <wp:wrapNone/>
              <wp:docPr id="2"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337438FD" id="Rectangle 1" o:spid="_x0000_s1026" style="position:absolute;margin-left:0;margin-top:0;width:468pt;height:.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any5w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" o:allowincell="f" fillcolor="black" stroked="f" strokeweight=".05pt">
              <w10:wrap anchorx="margin"/>
            </v:rect>
          </w:pict>
        </mc:Fallback>
      </mc:AlternateContent>
    </w:r>
  </w:p>
  <w:p w14:paraId="5788C99C" w14:textId="77777777" w:rsidR="003373C7" w:rsidRDefault="003373C7">
    <w:pPr>
      <w:spacing w:after="389" w:line="100" w:lineRule="exact"/>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83D64E" w14:textId="7202C1BD" w:rsidR="003373C7" w:rsidRPr="00973BC6" w:rsidRDefault="00A23CD8" w:rsidP="00973BC6">
    <w:pPr>
      <w:pStyle w:val="Header"/>
    </w:pPr>
    <w:r>
      <w:tab/>
    </w:r>
    <w:r>
      <w:tab/>
    </w:r>
    <w:r w:rsidR="00973BC6" w:rsidRPr="00973BC6">
      <w:t>RE</w:t>
    </w:r>
    <w:r w:rsidR="00973BC6">
      <w:t>DACTED FOR PUBLIC INSPECTION</w:t>
    </w:r>
  </w:p>
  <w:p w14:paraId="45C17AD4" w14:textId="790489D0" w:rsidR="003373C7" w:rsidRDefault="003373C7" w:rsidP="00973BC6">
    <w:pPr>
      <w:pStyle w:val="Header"/>
    </w:pPr>
  </w:p>
  <w:p w14:paraId="2A91E0AC" w14:textId="5EBAA4B0" w:rsidR="003373C7" w:rsidRDefault="003373C7" w:rsidP="00973BC6">
    <w:pPr>
      <w:pStyle w:val="Header"/>
    </w:pPr>
    <w:r>
      <w:tab/>
      <w:t>Federal Communications Commission</w:t>
    </w:r>
    <w:r>
      <w:tab/>
      <w:t xml:space="preserve">                        DA </w:t>
    </w:r>
    <w:r w:rsidRPr="0046084C">
      <w:t>1</w:t>
    </w:r>
    <w:r>
      <w:t>6</w:t>
    </w:r>
    <w:r w:rsidRPr="0046084C">
      <w:t>-</w:t>
    </w:r>
    <w:r>
      <w:t>857</w:t>
    </w:r>
    <w:r>
      <w:rPr>
        <w:noProof/>
        <w:snapToGrid/>
      </w:rPr>
      <mc:AlternateContent>
        <mc:Choice Requires="wps">
          <w:drawing>
            <wp:anchor distT="0" distB="0" distL="114300" distR="114300" simplePos="0" relativeHeight="251659264" behindDoc="1" locked="0" layoutInCell="0" allowOverlap="1" wp14:anchorId="08B252D2" wp14:editId="3C1FFB9C">
              <wp:simplePos x="0" y="0"/>
              <wp:positionH relativeFrom="margin">
                <wp:posOffset>7620</wp:posOffset>
              </wp:positionH>
              <wp:positionV relativeFrom="paragraph">
                <wp:posOffset>160655</wp:posOffset>
              </wp:positionV>
              <wp:extent cx="5943600" cy="12065"/>
              <wp:effectExtent l="0" t="0" r="0" b="6985"/>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635">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466A8D11" id="Rectangle 3" o:spid="_x0000_s1026" style="position:absolute;margin-left:.6pt;margin-top:12.65pt;width:468pt;height:.95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" o:allowincell="f" fillcolor="black" stroked="f" strokeweight=".05pt">
              <w10:wrap anchorx="margin"/>
            </v:rect>
          </w:pict>
        </mc:Fallback>
      </mc:AlternateContent>
    </w:r>
  </w:p>
  <w:p w14:paraId="3964EF2A" w14:textId="77777777" w:rsidR="003373C7" w:rsidRDefault="003373C7" w:rsidP="00973BC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1A3B115E"/>
    <w:multiLevelType w:val="hybridMultilevel"/>
    <w:tmpl w:val="F4DEAD70"/>
    <w:lvl w:ilvl="0" w:tplc="0FA8FEA0">
      <w:start w:val="1"/>
      <w:numFmt w:val="decimal"/>
      <w:lvlText w:val="%1."/>
      <w:lvlJc w:val="left"/>
      <w:pPr>
        <w:ind w:left="45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3">
    <w:nsid w:val="248246F3"/>
    <w:multiLevelType w:val="singleLevel"/>
    <w:tmpl w:val="B1F45678"/>
    <w:lvl w:ilvl="0">
      <w:start w:val="1"/>
      <w:numFmt w:val="decimal"/>
      <w:lvlText w:val="%1."/>
      <w:lvlJc w:val="left"/>
      <w:pPr>
        <w:tabs>
          <w:tab w:val="num" w:pos="1080"/>
        </w:tabs>
        <w:ind w:left="0" w:firstLine="720"/>
      </w:pPr>
    </w:lvl>
  </w:abstractNum>
  <w:abstractNum w:abstractNumId="4">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6"/>
  </w:num>
  <w:num w:numId="2">
    <w:abstractNumId w:val="4"/>
  </w:num>
  <w:num w:numId="3">
    <w:abstractNumId w:val="6"/>
    <w:lvlOverride w:ilvl="0">
      <w:startOverride w:val="1"/>
    </w:lvlOverride>
  </w:num>
  <w:num w:numId="4">
    <w:abstractNumId w:val="2"/>
  </w:num>
  <w:num w:numId="5">
    <w:abstractNumId w:val="5"/>
  </w:num>
  <w:num w:numId="6">
    <w:abstractNumId w:val="3"/>
  </w:num>
  <w:num w:numId="7">
    <w:abstractNumId w:val="0"/>
  </w:num>
  <w:num w:numId="8">
    <w:abstractNumId w:val="6"/>
  </w:num>
  <w:num w:numId="9">
    <w:abstractNumId w:val="6"/>
  </w:num>
  <w:num w:numId="10">
    <w:abstractNumId w:val="6"/>
  </w:num>
  <w:num w:numId="11">
    <w:abstractNumId w:val="6"/>
    <w:lvlOverride w:ilvl="0">
      <w:startOverride w:val="1"/>
    </w:lvlOverride>
  </w:num>
  <w:num w:numId="12">
    <w:abstractNumId w:val="6"/>
    <w:lvlOverride w:ilvl="0">
      <w:startOverride w:val="1"/>
    </w:lvlOverride>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6"/>
  </w:num>
  <w:num w:numId="22">
    <w:abstractNumId w:val="6"/>
  </w:num>
  <w:num w:numId="23">
    <w:abstractNumId w:val="6"/>
  </w:num>
  <w:num w:numId="24">
    <w:abstractNumId w:val="6"/>
  </w:num>
  <w:num w:numId="25">
    <w:abstractNumId w:val="6"/>
  </w:num>
  <w:num w:numId="26">
    <w:abstractNumId w:val="6"/>
  </w:num>
  <w:num w:numId="27">
    <w:abstractNumId w:val="6"/>
  </w:num>
  <w:num w:numId="28">
    <w:abstractNumId w:val="6"/>
  </w:num>
  <w:num w:numId="29">
    <w:abstractNumId w:val="6"/>
  </w:num>
  <w:num w:numId="30">
    <w:abstractNumId w:val="6"/>
  </w:num>
  <w:num w:numId="31">
    <w:abstractNumId w:val="6"/>
  </w:num>
  <w:num w:numId="32">
    <w:abstractNumId w:val="6"/>
  </w:num>
  <w:num w:numId="33">
    <w:abstractNumId w:val="6"/>
  </w:num>
  <w:num w:numId="34">
    <w:abstractNumId w:val="6"/>
  </w:num>
  <w:num w:numId="35">
    <w:abstractNumId w:val="6"/>
  </w:num>
  <w:num w:numId="36">
    <w:abstractNumId w:val="6"/>
  </w:num>
  <w:num w:numId="37">
    <w:abstractNumId w:val="6"/>
    <w:lvlOverride w:ilvl="0">
      <w:startOverride w:val="1"/>
    </w:lvlOverride>
  </w:num>
  <w:num w:numId="38">
    <w:abstractNumId w:val="6"/>
  </w:num>
  <w:num w:numId="39">
    <w:abstractNumId w:val="6"/>
  </w:num>
  <w:num w:numId="40">
    <w:abstractNumId w:val="6"/>
    <w:lvlOverride w:ilvl="0">
      <w:startOverride w:val="1"/>
    </w:lvlOverride>
  </w:num>
  <w:num w:numId="41">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bordersDoNotSurroundHeader/>
  <w:bordersDoNotSurroundFooter/>
  <w:hideSpellingErrors/>
  <w:hideGrammaticalError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552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75A2"/>
    <w:rsid w:val="0000036E"/>
    <w:rsid w:val="00000B7F"/>
    <w:rsid w:val="00000BA7"/>
    <w:rsid w:val="000017FD"/>
    <w:rsid w:val="0000188E"/>
    <w:rsid w:val="0000263E"/>
    <w:rsid w:val="0000298F"/>
    <w:rsid w:val="00002E17"/>
    <w:rsid w:val="00003195"/>
    <w:rsid w:val="00004BAA"/>
    <w:rsid w:val="00005E90"/>
    <w:rsid w:val="000079A3"/>
    <w:rsid w:val="00007B86"/>
    <w:rsid w:val="00010BAD"/>
    <w:rsid w:val="00010D65"/>
    <w:rsid w:val="000129EB"/>
    <w:rsid w:val="0001496F"/>
    <w:rsid w:val="00014C95"/>
    <w:rsid w:val="00014E7A"/>
    <w:rsid w:val="00014F1F"/>
    <w:rsid w:val="00015205"/>
    <w:rsid w:val="00015469"/>
    <w:rsid w:val="0001576B"/>
    <w:rsid w:val="00015992"/>
    <w:rsid w:val="00016803"/>
    <w:rsid w:val="00017B57"/>
    <w:rsid w:val="00017F26"/>
    <w:rsid w:val="00020633"/>
    <w:rsid w:val="0002112F"/>
    <w:rsid w:val="00022A88"/>
    <w:rsid w:val="0002379E"/>
    <w:rsid w:val="00023DCA"/>
    <w:rsid w:val="00024F6C"/>
    <w:rsid w:val="00024F92"/>
    <w:rsid w:val="00025241"/>
    <w:rsid w:val="00025990"/>
    <w:rsid w:val="000264A7"/>
    <w:rsid w:val="00026A5A"/>
    <w:rsid w:val="0002735B"/>
    <w:rsid w:val="00027728"/>
    <w:rsid w:val="00027821"/>
    <w:rsid w:val="00031936"/>
    <w:rsid w:val="000322E6"/>
    <w:rsid w:val="0003237D"/>
    <w:rsid w:val="00033385"/>
    <w:rsid w:val="0003338C"/>
    <w:rsid w:val="000338FE"/>
    <w:rsid w:val="00033C0B"/>
    <w:rsid w:val="00033C23"/>
    <w:rsid w:val="00034686"/>
    <w:rsid w:val="00034B1F"/>
    <w:rsid w:val="00034CC8"/>
    <w:rsid w:val="00035D14"/>
    <w:rsid w:val="00036039"/>
    <w:rsid w:val="00037F90"/>
    <w:rsid w:val="0004006A"/>
    <w:rsid w:val="00040F26"/>
    <w:rsid w:val="00041956"/>
    <w:rsid w:val="00041FB7"/>
    <w:rsid w:val="000423AD"/>
    <w:rsid w:val="000425C7"/>
    <w:rsid w:val="000429EB"/>
    <w:rsid w:val="000432EC"/>
    <w:rsid w:val="00043FDC"/>
    <w:rsid w:val="0004492D"/>
    <w:rsid w:val="00045740"/>
    <w:rsid w:val="00046358"/>
    <w:rsid w:val="000473C8"/>
    <w:rsid w:val="0004756D"/>
    <w:rsid w:val="000502BD"/>
    <w:rsid w:val="00050328"/>
    <w:rsid w:val="000504D7"/>
    <w:rsid w:val="00050715"/>
    <w:rsid w:val="00051B96"/>
    <w:rsid w:val="00051D75"/>
    <w:rsid w:val="00051E75"/>
    <w:rsid w:val="0005346D"/>
    <w:rsid w:val="00053F3C"/>
    <w:rsid w:val="0005491A"/>
    <w:rsid w:val="00054DF0"/>
    <w:rsid w:val="00055264"/>
    <w:rsid w:val="000552FB"/>
    <w:rsid w:val="0005536B"/>
    <w:rsid w:val="000555AB"/>
    <w:rsid w:val="0005561D"/>
    <w:rsid w:val="000574F9"/>
    <w:rsid w:val="000579FE"/>
    <w:rsid w:val="00057E63"/>
    <w:rsid w:val="00061EAE"/>
    <w:rsid w:val="0006242C"/>
    <w:rsid w:val="00062632"/>
    <w:rsid w:val="0006297E"/>
    <w:rsid w:val="00063314"/>
    <w:rsid w:val="00063862"/>
    <w:rsid w:val="00063B1A"/>
    <w:rsid w:val="0006467B"/>
    <w:rsid w:val="00065B9F"/>
    <w:rsid w:val="00066321"/>
    <w:rsid w:val="000668DD"/>
    <w:rsid w:val="00066CBB"/>
    <w:rsid w:val="000670C6"/>
    <w:rsid w:val="00067E9E"/>
    <w:rsid w:val="000704FE"/>
    <w:rsid w:val="000716D3"/>
    <w:rsid w:val="000726FE"/>
    <w:rsid w:val="00072F91"/>
    <w:rsid w:val="00076067"/>
    <w:rsid w:val="0007666E"/>
    <w:rsid w:val="00076948"/>
    <w:rsid w:val="00076A5E"/>
    <w:rsid w:val="0007777D"/>
    <w:rsid w:val="00077B42"/>
    <w:rsid w:val="00077BAF"/>
    <w:rsid w:val="000826B8"/>
    <w:rsid w:val="00083488"/>
    <w:rsid w:val="000842EE"/>
    <w:rsid w:val="00085435"/>
    <w:rsid w:val="0008577F"/>
    <w:rsid w:val="000857EE"/>
    <w:rsid w:val="00085BB2"/>
    <w:rsid w:val="000863EB"/>
    <w:rsid w:val="00086E18"/>
    <w:rsid w:val="0008756E"/>
    <w:rsid w:val="000875BF"/>
    <w:rsid w:val="00087F8E"/>
    <w:rsid w:val="00091851"/>
    <w:rsid w:val="00092ACE"/>
    <w:rsid w:val="00092D01"/>
    <w:rsid w:val="00095512"/>
    <w:rsid w:val="00096376"/>
    <w:rsid w:val="00096D8C"/>
    <w:rsid w:val="000977A9"/>
    <w:rsid w:val="000978B2"/>
    <w:rsid w:val="00097A5A"/>
    <w:rsid w:val="00097EE0"/>
    <w:rsid w:val="000A076A"/>
    <w:rsid w:val="000A16C5"/>
    <w:rsid w:val="000A2E66"/>
    <w:rsid w:val="000A33AA"/>
    <w:rsid w:val="000A3508"/>
    <w:rsid w:val="000A41C0"/>
    <w:rsid w:val="000A42FA"/>
    <w:rsid w:val="000A4486"/>
    <w:rsid w:val="000A4521"/>
    <w:rsid w:val="000B04AF"/>
    <w:rsid w:val="000B095A"/>
    <w:rsid w:val="000B1207"/>
    <w:rsid w:val="000B1B0B"/>
    <w:rsid w:val="000B1BAC"/>
    <w:rsid w:val="000B1E5F"/>
    <w:rsid w:val="000B204B"/>
    <w:rsid w:val="000B289B"/>
    <w:rsid w:val="000B336A"/>
    <w:rsid w:val="000B37EC"/>
    <w:rsid w:val="000B3998"/>
    <w:rsid w:val="000B4238"/>
    <w:rsid w:val="000B4BA1"/>
    <w:rsid w:val="000B4EA6"/>
    <w:rsid w:val="000B509B"/>
    <w:rsid w:val="000B72A0"/>
    <w:rsid w:val="000B730D"/>
    <w:rsid w:val="000C05F9"/>
    <w:rsid w:val="000C077A"/>
    <w:rsid w:val="000C0AFD"/>
    <w:rsid w:val="000C0B65"/>
    <w:rsid w:val="000C0CB3"/>
    <w:rsid w:val="000C249D"/>
    <w:rsid w:val="000C37DA"/>
    <w:rsid w:val="000C544C"/>
    <w:rsid w:val="000C6CD1"/>
    <w:rsid w:val="000C72DA"/>
    <w:rsid w:val="000D018C"/>
    <w:rsid w:val="000D023C"/>
    <w:rsid w:val="000D1F71"/>
    <w:rsid w:val="000D1F73"/>
    <w:rsid w:val="000D2653"/>
    <w:rsid w:val="000D2B84"/>
    <w:rsid w:val="000D2E54"/>
    <w:rsid w:val="000D3AF0"/>
    <w:rsid w:val="000D3DEB"/>
    <w:rsid w:val="000D4D62"/>
    <w:rsid w:val="000D603F"/>
    <w:rsid w:val="000D64FC"/>
    <w:rsid w:val="000D678C"/>
    <w:rsid w:val="000D6820"/>
    <w:rsid w:val="000D7551"/>
    <w:rsid w:val="000D7BF9"/>
    <w:rsid w:val="000D7DDA"/>
    <w:rsid w:val="000E01AA"/>
    <w:rsid w:val="000E04A7"/>
    <w:rsid w:val="000E05FE"/>
    <w:rsid w:val="000E17B4"/>
    <w:rsid w:val="000E21B8"/>
    <w:rsid w:val="000E31A7"/>
    <w:rsid w:val="000E34B4"/>
    <w:rsid w:val="000E35C4"/>
    <w:rsid w:val="000E3D42"/>
    <w:rsid w:val="000E47DF"/>
    <w:rsid w:val="000E4CEF"/>
    <w:rsid w:val="000E4E4E"/>
    <w:rsid w:val="000E4E8A"/>
    <w:rsid w:val="000E566F"/>
    <w:rsid w:val="000E583F"/>
    <w:rsid w:val="000E590F"/>
    <w:rsid w:val="000E69D1"/>
    <w:rsid w:val="000E7009"/>
    <w:rsid w:val="000E725B"/>
    <w:rsid w:val="000E78C2"/>
    <w:rsid w:val="000F0ED3"/>
    <w:rsid w:val="000F19C1"/>
    <w:rsid w:val="000F1B4F"/>
    <w:rsid w:val="000F251F"/>
    <w:rsid w:val="000F3053"/>
    <w:rsid w:val="000F52A4"/>
    <w:rsid w:val="000F52CA"/>
    <w:rsid w:val="000F55F9"/>
    <w:rsid w:val="000F57D5"/>
    <w:rsid w:val="000F5FDD"/>
    <w:rsid w:val="000F6463"/>
    <w:rsid w:val="00100956"/>
    <w:rsid w:val="0010119E"/>
    <w:rsid w:val="001018F4"/>
    <w:rsid w:val="00101E5E"/>
    <w:rsid w:val="00101FE4"/>
    <w:rsid w:val="001026BF"/>
    <w:rsid w:val="001033FB"/>
    <w:rsid w:val="001040F7"/>
    <w:rsid w:val="0010414B"/>
    <w:rsid w:val="0010421C"/>
    <w:rsid w:val="00104586"/>
    <w:rsid w:val="00104C73"/>
    <w:rsid w:val="00105447"/>
    <w:rsid w:val="001055E0"/>
    <w:rsid w:val="00105774"/>
    <w:rsid w:val="00105840"/>
    <w:rsid w:val="001062DE"/>
    <w:rsid w:val="00106A70"/>
    <w:rsid w:val="00106F00"/>
    <w:rsid w:val="00107A75"/>
    <w:rsid w:val="00107DE3"/>
    <w:rsid w:val="00110D29"/>
    <w:rsid w:val="00113694"/>
    <w:rsid w:val="00113D68"/>
    <w:rsid w:val="00113FBA"/>
    <w:rsid w:val="001146AF"/>
    <w:rsid w:val="00115278"/>
    <w:rsid w:val="001157BD"/>
    <w:rsid w:val="0011726B"/>
    <w:rsid w:val="0012087D"/>
    <w:rsid w:val="00120CB7"/>
    <w:rsid w:val="001227FD"/>
    <w:rsid w:val="00122BD5"/>
    <w:rsid w:val="00122C03"/>
    <w:rsid w:val="00122D8A"/>
    <w:rsid w:val="00123A36"/>
    <w:rsid w:val="00123CA4"/>
    <w:rsid w:val="00123DC5"/>
    <w:rsid w:val="00123E79"/>
    <w:rsid w:val="00125EBC"/>
    <w:rsid w:val="00125EFF"/>
    <w:rsid w:val="00126D57"/>
    <w:rsid w:val="001270D0"/>
    <w:rsid w:val="00127273"/>
    <w:rsid w:val="00127C9D"/>
    <w:rsid w:val="00127F3E"/>
    <w:rsid w:val="00131627"/>
    <w:rsid w:val="001325B0"/>
    <w:rsid w:val="00132ABD"/>
    <w:rsid w:val="00132C9F"/>
    <w:rsid w:val="00133BE9"/>
    <w:rsid w:val="00133F79"/>
    <w:rsid w:val="00134DD1"/>
    <w:rsid w:val="001354D1"/>
    <w:rsid w:val="00136E77"/>
    <w:rsid w:val="0014038F"/>
    <w:rsid w:val="001404A8"/>
    <w:rsid w:val="00140C4D"/>
    <w:rsid w:val="00140D64"/>
    <w:rsid w:val="00141676"/>
    <w:rsid w:val="001420DB"/>
    <w:rsid w:val="0014227A"/>
    <w:rsid w:val="0014236B"/>
    <w:rsid w:val="00142660"/>
    <w:rsid w:val="0014429B"/>
    <w:rsid w:val="0014444C"/>
    <w:rsid w:val="001455AE"/>
    <w:rsid w:val="00146175"/>
    <w:rsid w:val="001464F4"/>
    <w:rsid w:val="00147A02"/>
    <w:rsid w:val="00147F2A"/>
    <w:rsid w:val="0015027F"/>
    <w:rsid w:val="001505AF"/>
    <w:rsid w:val="00150BF0"/>
    <w:rsid w:val="00150CD0"/>
    <w:rsid w:val="00151316"/>
    <w:rsid w:val="00151EB6"/>
    <w:rsid w:val="00152587"/>
    <w:rsid w:val="00152BEF"/>
    <w:rsid w:val="001537E7"/>
    <w:rsid w:val="00153C80"/>
    <w:rsid w:val="0015567D"/>
    <w:rsid w:val="001562DD"/>
    <w:rsid w:val="00156758"/>
    <w:rsid w:val="00156E0F"/>
    <w:rsid w:val="001570DB"/>
    <w:rsid w:val="00157485"/>
    <w:rsid w:val="00160F54"/>
    <w:rsid w:val="00161087"/>
    <w:rsid w:val="0016220D"/>
    <w:rsid w:val="00162754"/>
    <w:rsid w:val="00164120"/>
    <w:rsid w:val="0016436B"/>
    <w:rsid w:val="00165B23"/>
    <w:rsid w:val="00167782"/>
    <w:rsid w:val="00170AB3"/>
    <w:rsid w:val="001734D1"/>
    <w:rsid w:val="00173DF9"/>
    <w:rsid w:val="001744C6"/>
    <w:rsid w:val="001747CA"/>
    <w:rsid w:val="001747D4"/>
    <w:rsid w:val="00175657"/>
    <w:rsid w:val="00175BBA"/>
    <w:rsid w:val="00175D0A"/>
    <w:rsid w:val="0017666D"/>
    <w:rsid w:val="00176892"/>
    <w:rsid w:val="00176F76"/>
    <w:rsid w:val="001773D1"/>
    <w:rsid w:val="001779A1"/>
    <w:rsid w:val="00177F35"/>
    <w:rsid w:val="00180325"/>
    <w:rsid w:val="001807D6"/>
    <w:rsid w:val="00181193"/>
    <w:rsid w:val="00181227"/>
    <w:rsid w:val="00181838"/>
    <w:rsid w:val="00182241"/>
    <w:rsid w:val="0018256A"/>
    <w:rsid w:val="001832D3"/>
    <w:rsid w:val="0018353C"/>
    <w:rsid w:val="00183B73"/>
    <w:rsid w:val="00184E99"/>
    <w:rsid w:val="001857A1"/>
    <w:rsid w:val="00186691"/>
    <w:rsid w:val="001868A8"/>
    <w:rsid w:val="00187C90"/>
    <w:rsid w:val="00190056"/>
    <w:rsid w:val="00190632"/>
    <w:rsid w:val="00190932"/>
    <w:rsid w:val="00191206"/>
    <w:rsid w:val="00191EEE"/>
    <w:rsid w:val="00192769"/>
    <w:rsid w:val="00192EAB"/>
    <w:rsid w:val="00194A66"/>
    <w:rsid w:val="00195226"/>
    <w:rsid w:val="001959F3"/>
    <w:rsid w:val="00196642"/>
    <w:rsid w:val="00196827"/>
    <w:rsid w:val="0019728A"/>
    <w:rsid w:val="00197495"/>
    <w:rsid w:val="001976D2"/>
    <w:rsid w:val="00197BF5"/>
    <w:rsid w:val="001A04F2"/>
    <w:rsid w:val="001A0CFB"/>
    <w:rsid w:val="001A0F92"/>
    <w:rsid w:val="001A143E"/>
    <w:rsid w:val="001A14E9"/>
    <w:rsid w:val="001A3218"/>
    <w:rsid w:val="001A33AE"/>
    <w:rsid w:val="001A39C0"/>
    <w:rsid w:val="001A3B09"/>
    <w:rsid w:val="001A4218"/>
    <w:rsid w:val="001A5245"/>
    <w:rsid w:val="001A56A2"/>
    <w:rsid w:val="001A57DA"/>
    <w:rsid w:val="001A5875"/>
    <w:rsid w:val="001A5F4C"/>
    <w:rsid w:val="001A6190"/>
    <w:rsid w:val="001A6785"/>
    <w:rsid w:val="001A6847"/>
    <w:rsid w:val="001A73A6"/>
    <w:rsid w:val="001A79F7"/>
    <w:rsid w:val="001A7FC7"/>
    <w:rsid w:val="001B193E"/>
    <w:rsid w:val="001B1A80"/>
    <w:rsid w:val="001B296A"/>
    <w:rsid w:val="001B4327"/>
    <w:rsid w:val="001B4956"/>
    <w:rsid w:val="001B4E1D"/>
    <w:rsid w:val="001B589B"/>
    <w:rsid w:val="001B5939"/>
    <w:rsid w:val="001B5A9E"/>
    <w:rsid w:val="001B5DF3"/>
    <w:rsid w:val="001B5E72"/>
    <w:rsid w:val="001B6C49"/>
    <w:rsid w:val="001B7C72"/>
    <w:rsid w:val="001C03FF"/>
    <w:rsid w:val="001C0B9E"/>
    <w:rsid w:val="001C1EB4"/>
    <w:rsid w:val="001C2690"/>
    <w:rsid w:val="001C29E6"/>
    <w:rsid w:val="001C43F6"/>
    <w:rsid w:val="001C47AC"/>
    <w:rsid w:val="001C66F6"/>
    <w:rsid w:val="001D06D7"/>
    <w:rsid w:val="001D0B9E"/>
    <w:rsid w:val="001D0FFA"/>
    <w:rsid w:val="001D1A46"/>
    <w:rsid w:val="001D1B27"/>
    <w:rsid w:val="001D204C"/>
    <w:rsid w:val="001D420E"/>
    <w:rsid w:val="001D5E8E"/>
    <w:rsid w:val="001D5EDC"/>
    <w:rsid w:val="001D6BCF"/>
    <w:rsid w:val="001E01CA"/>
    <w:rsid w:val="001E0653"/>
    <w:rsid w:val="001E07BF"/>
    <w:rsid w:val="001E2824"/>
    <w:rsid w:val="001E2916"/>
    <w:rsid w:val="001E3E32"/>
    <w:rsid w:val="001E5A46"/>
    <w:rsid w:val="001E5C0A"/>
    <w:rsid w:val="001E5D5E"/>
    <w:rsid w:val="001E640E"/>
    <w:rsid w:val="001E7589"/>
    <w:rsid w:val="001E7861"/>
    <w:rsid w:val="001F007B"/>
    <w:rsid w:val="001F0735"/>
    <w:rsid w:val="001F23C8"/>
    <w:rsid w:val="001F44E6"/>
    <w:rsid w:val="001F4C5B"/>
    <w:rsid w:val="001F5587"/>
    <w:rsid w:val="001F5623"/>
    <w:rsid w:val="001F6546"/>
    <w:rsid w:val="001F6A0C"/>
    <w:rsid w:val="001F7031"/>
    <w:rsid w:val="001F79F7"/>
    <w:rsid w:val="002006A9"/>
    <w:rsid w:val="00201920"/>
    <w:rsid w:val="00202AA6"/>
    <w:rsid w:val="0020478B"/>
    <w:rsid w:val="00206DAB"/>
    <w:rsid w:val="002073B3"/>
    <w:rsid w:val="00207A62"/>
    <w:rsid w:val="00210743"/>
    <w:rsid w:val="002117FA"/>
    <w:rsid w:val="002121E9"/>
    <w:rsid w:val="002124D0"/>
    <w:rsid w:val="002124FC"/>
    <w:rsid w:val="002138F0"/>
    <w:rsid w:val="00213C8B"/>
    <w:rsid w:val="0021496E"/>
    <w:rsid w:val="0021498C"/>
    <w:rsid w:val="00215D9D"/>
    <w:rsid w:val="00216DA2"/>
    <w:rsid w:val="00216F8B"/>
    <w:rsid w:val="00220725"/>
    <w:rsid w:val="00220FC5"/>
    <w:rsid w:val="002215C5"/>
    <w:rsid w:val="00221AE2"/>
    <w:rsid w:val="00221CF3"/>
    <w:rsid w:val="002225C2"/>
    <w:rsid w:val="002225FA"/>
    <w:rsid w:val="00222EDC"/>
    <w:rsid w:val="002230C8"/>
    <w:rsid w:val="0022385A"/>
    <w:rsid w:val="00223906"/>
    <w:rsid w:val="00223913"/>
    <w:rsid w:val="00223BCF"/>
    <w:rsid w:val="00224B6F"/>
    <w:rsid w:val="00224DD3"/>
    <w:rsid w:val="00225A8E"/>
    <w:rsid w:val="00225F5F"/>
    <w:rsid w:val="00226A5E"/>
    <w:rsid w:val="0022790B"/>
    <w:rsid w:val="00227D46"/>
    <w:rsid w:val="00230FB8"/>
    <w:rsid w:val="00230FFD"/>
    <w:rsid w:val="0023123D"/>
    <w:rsid w:val="00231A24"/>
    <w:rsid w:val="00231CD7"/>
    <w:rsid w:val="00234505"/>
    <w:rsid w:val="00234AEB"/>
    <w:rsid w:val="00234B6F"/>
    <w:rsid w:val="0023513D"/>
    <w:rsid w:val="002358FF"/>
    <w:rsid w:val="00235946"/>
    <w:rsid w:val="00235D9B"/>
    <w:rsid w:val="00235EDF"/>
    <w:rsid w:val="00236F6C"/>
    <w:rsid w:val="0023728C"/>
    <w:rsid w:val="00240012"/>
    <w:rsid w:val="00240017"/>
    <w:rsid w:val="0024024A"/>
    <w:rsid w:val="0024044C"/>
    <w:rsid w:val="0024172A"/>
    <w:rsid w:val="00241CB6"/>
    <w:rsid w:val="00241F33"/>
    <w:rsid w:val="00242B3B"/>
    <w:rsid w:val="002436A6"/>
    <w:rsid w:val="002438CA"/>
    <w:rsid w:val="002439D8"/>
    <w:rsid w:val="00244675"/>
    <w:rsid w:val="00244BA5"/>
    <w:rsid w:val="00244F93"/>
    <w:rsid w:val="00245024"/>
    <w:rsid w:val="00245361"/>
    <w:rsid w:val="00245B05"/>
    <w:rsid w:val="00245E95"/>
    <w:rsid w:val="0024695C"/>
    <w:rsid w:val="00246BFB"/>
    <w:rsid w:val="00246C3D"/>
    <w:rsid w:val="0024738F"/>
    <w:rsid w:val="002475A2"/>
    <w:rsid w:val="00247AC4"/>
    <w:rsid w:val="00247C39"/>
    <w:rsid w:val="0025088F"/>
    <w:rsid w:val="00250AAF"/>
    <w:rsid w:val="00250EBA"/>
    <w:rsid w:val="0025166F"/>
    <w:rsid w:val="00251AF2"/>
    <w:rsid w:val="00251FF4"/>
    <w:rsid w:val="00252622"/>
    <w:rsid w:val="00253B16"/>
    <w:rsid w:val="00253C6A"/>
    <w:rsid w:val="00253C7C"/>
    <w:rsid w:val="002546A0"/>
    <w:rsid w:val="00254B62"/>
    <w:rsid w:val="002552DC"/>
    <w:rsid w:val="00256B7C"/>
    <w:rsid w:val="002613B1"/>
    <w:rsid w:val="00261619"/>
    <w:rsid w:val="002641A9"/>
    <w:rsid w:val="0026433A"/>
    <w:rsid w:val="00264B5F"/>
    <w:rsid w:val="00264BBA"/>
    <w:rsid w:val="00264E0C"/>
    <w:rsid w:val="00265172"/>
    <w:rsid w:val="002654F4"/>
    <w:rsid w:val="00266D3F"/>
    <w:rsid w:val="00267ED0"/>
    <w:rsid w:val="00267F39"/>
    <w:rsid w:val="00267FCA"/>
    <w:rsid w:val="00270592"/>
    <w:rsid w:val="002724F6"/>
    <w:rsid w:val="002739E9"/>
    <w:rsid w:val="00274DE9"/>
    <w:rsid w:val="00275CF5"/>
    <w:rsid w:val="00275FE3"/>
    <w:rsid w:val="00276347"/>
    <w:rsid w:val="00276B0E"/>
    <w:rsid w:val="00280ADB"/>
    <w:rsid w:val="00280ECA"/>
    <w:rsid w:val="00280FCC"/>
    <w:rsid w:val="00281068"/>
    <w:rsid w:val="00281196"/>
    <w:rsid w:val="002820C7"/>
    <w:rsid w:val="00282A9C"/>
    <w:rsid w:val="0028301F"/>
    <w:rsid w:val="002833E8"/>
    <w:rsid w:val="00283B16"/>
    <w:rsid w:val="00284136"/>
    <w:rsid w:val="00284CE3"/>
    <w:rsid w:val="00285017"/>
    <w:rsid w:val="002851F1"/>
    <w:rsid w:val="00286EAF"/>
    <w:rsid w:val="00287B31"/>
    <w:rsid w:val="002908AC"/>
    <w:rsid w:val="00294DA7"/>
    <w:rsid w:val="00294F5B"/>
    <w:rsid w:val="00295032"/>
    <w:rsid w:val="002958B6"/>
    <w:rsid w:val="00296082"/>
    <w:rsid w:val="002976D3"/>
    <w:rsid w:val="00297C9F"/>
    <w:rsid w:val="002A0AB3"/>
    <w:rsid w:val="002A1059"/>
    <w:rsid w:val="002A139A"/>
    <w:rsid w:val="002A1901"/>
    <w:rsid w:val="002A1A9D"/>
    <w:rsid w:val="002A1C08"/>
    <w:rsid w:val="002A225D"/>
    <w:rsid w:val="002A266D"/>
    <w:rsid w:val="002A2982"/>
    <w:rsid w:val="002A2D2E"/>
    <w:rsid w:val="002A2D44"/>
    <w:rsid w:val="002A49F0"/>
    <w:rsid w:val="002A4A20"/>
    <w:rsid w:val="002A4AB1"/>
    <w:rsid w:val="002A5E65"/>
    <w:rsid w:val="002B09D9"/>
    <w:rsid w:val="002B0FD6"/>
    <w:rsid w:val="002B1E0C"/>
    <w:rsid w:val="002B303C"/>
    <w:rsid w:val="002B343C"/>
    <w:rsid w:val="002B3883"/>
    <w:rsid w:val="002B3A09"/>
    <w:rsid w:val="002B3E62"/>
    <w:rsid w:val="002B43DD"/>
    <w:rsid w:val="002B479D"/>
    <w:rsid w:val="002B526D"/>
    <w:rsid w:val="002B59CB"/>
    <w:rsid w:val="002B6278"/>
    <w:rsid w:val="002B66DD"/>
    <w:rsid w:val="002B6A4A"/>
    <w:rsid w:val="002C00E8"/>
    <w:rsid w:val="002C0CCE"/>
    <w:rsid w:val="002C1FB1"/>
    <w:rsid w:val="002C2303"/>
    <w:rsid w:val="002C2FEC"/>
    <w:rsid w:val="002C33E3"/>
    <w:rsid w:val="002C371C"/>
    <w:rsid w:val="002C3A26"/>
    <w:rsid w:val="002C5128"/>
    <w:rsid w:val="002D12E0"/>
    <w:rsid w:val="002D3D3C"/>
    <w:rsid w:val="002D6A30"/>
    <w:rsid w:val="002D6C64"/>
    <w:rsid w:val="002D70E2"/>
    <w:rsid w:val="002D731D"/>
    <w:rsid w:val="002D734C"/>
    <w:rsid w:val="002E0CCC"/>
    <w:rsid w:val="002E11CD"/>
    <w:rsid w:val="002E1BD6"/>
    <w:rsid w:val="002E1CDE"/>
    <w:rsid w:val="002E289F"/>
    <w:rsid w:val="002E2E2E"/>
    <w:rsid w:val="002E4C63"/>
    <w:rsid w:val="002E570F"/>
    <w:rsid w:val="002E60D0"/>
    <w:rsid w:val="002E7051"/>
    <w:rsid w:val="002E7C6C"/>
    <w:rsid w:val="002F0BA7"/>
    <w:rsid w:val="002F1193"/>
    <w:rsid w:val="002F1D56"/>
    <w:rsid w:val="002F1DE4"/>
    <w:rsid w:val="002F22CF"/>
    <w:rsid w:val="002F276D"/>
    <w:rsid w:val="002F38B9"/>
    <w:rsid w:val="002F49E6"/>
    <w:rsid w:val="002F4AE2"/>
    <w:rsid w:val="002F4D0A"/>
    <w:rsid w:val="002F4F0B"/>
    <w:rsid w:val="002F5019"/>
    <w:rsid w:val="002F5116"/>
    <w:rsid w:val="002F59CF"/>
    <w:rsid w:val="002F626A"/>
    <w:rsid w:val="002F6566"/>
    <w:rsid w:val="002F7081"/>
    <w:rsid w:val="002F751E"/>
    <w:rsid w:val="002F794F"/>
    <w:rsid w:val="00300337"/>
    <w:rsid w:val="0030079E"/>
    <w:rsid w:val="00300AFD"/>
    <w:rsid w:val="00300CC7"/>
    <w:rsid w:val="00300E16"/>
    <w:rsid w:val="0030230F"/>
    <w:rsid w:val="00302379"/>
    <w:rsid w:val="00302439"/>
    <w:rsid w:val="00303699"/>
    <w:rsid w:val="00303FE0"/>
    <w:rsid w:val="00304E00"/>
    <w:rsid w:val="0030508A"/>
    <w:rsid w:val="0030548F"/>
    <w:rsid w:val="00305537"/>
    <w:rsid w:val="00306086"/>
    <w:rsid w:val="003068D8"/>
    <w:rsid w:val="00306D3C"/>
    <w:rsid w:val="00306DA5"/>
    <w:rsid w:val="00306EB8"/>
    <w:rsid w:val="003102FE"/>
    <w:rsid w:val="0031081E"/>
    <w:rsid w:val="0031107B"/>
    <w:rsid w:val="00311120"/>
    <w:rsid w:val="003111BF"/>
    <w:rsid w:val="00311DBC"/>
    <w:rsid w:val="00311FB8"/>
    <w:rsid w:val="00312649"/>
    <w:rsid w:val="00313F0B"/>
    <w:rsid w:val="003141E8"/>
    <w:rsid w:val="00314415"/>
    <w:rsid w:val="003149AE"/>
    <w:rsid w:val="00314E27"/>
    <w:rsid w:val="00314F01"/>
    <w:rsid w:val="003226C5"/>
    <w:rsid w:val="0032283D"/>
    <w:rsid w:val="003232EB"/>
    <w:rsid w:val="00323BC6"/>
    <w:rsid w:val="00324081"/>
    <w:rsid w:val="00324B59"/>
    <w:rsid w:val="0032649B"/>
    <w:rsid w:val="003269C7"/>
    <w:rsid w:val="00326A32"/>
    <w:rsid w:val="0033016D"/>
    <w:rsid w:val="0033110D"/>
    <w:rsid w:val="00331719"/>
    <w:rsid w:val="00331D3E"/>
    <w:rsid w:val="00332017"/>
    <w:rsid w:val="0033202D"/>
    <w:rsid w:val="00332D03"/>
    <w:rsid w:val="003339A6"/>
    <w:rsid w:val="00333B77"/>
    <w:rsid w:val="00333F3B"/>
    <w:rsid w:val="00334AF3"/>
    <w:rsid w:val="003362C4"/>
    <w:rsid w:val="003373C7"/>
    <w:rsid w:val="00337472"/>
    <w:rsid w:val="003374AF"/>
    <w:rsid w:val="003375B7"/>
    <w:rsid w:val="003414C3"/>
    <w:rsid w:val="003419E0"/>
    <w:rsid w:val="003423A4"/>
    <w:rsid w:val="00342941"/>
    <w:rsid w:val="00343316"/>
    <w:rsid w:val="003433EA"/>
    <w:rsid w:val="0034343A"/>
    <w:rsid w:val="00343749"/>
    <w:rsid w:val="003444DD"/>
    <w:rsid w:val="00344C11"/>
    <w:rsid w:val="0034609A"/>
    <w:rsid w:val="00346250"/>
    <w:rsid w:val="0034637D"/>
    <w:rsid w:val="00347CE2"/>
    <w:rsid w:val="00347D2D"/>
    <w:rsid w:val="003506E0"/>
    <w:rsid w:val="003508CB"/>
    <w:rsid w:val="00351AF4"/>
    <w:rsid w:val="00351EED"/>
    <w:rsid w:val="0035337E"/>
    <w:rsid w:val="003536EC"/>
    <w:rsid w:val="003540EA"/>
    <w:rsid w:val="00354758"/>
    <w:rsid w:val="00354A47"/>
    <w:rsid w:val="003550BC"/>
    <w:rsid w:val="0035554C"/>
    <w:rsid w:val="00355BD1"/>
    <w:rsid w:val="00355D5F"/>
    <w:rsid w:val="00356689"/>
    <w:rsid w:val="003602B6"/>
    <w:rsid w:val="00361682"/>
    <w:rsid w:val="00361731"/>
    <w:rsid w:val="00361ABF"/>
    <w:rsid w:val="00361B73"/>
    <w:rsid w:val="00361C44"/>
    <w:rsid w:val="0036213F"/>
    <w:rsid w:val="003622A6"/>
    <w:rsid w:val="00362A49"/>
    <w:rsid w:val="00362C8B"/>
    <w:rsid w:val="00362E00"/>
    <w:rsid w:val="00362E1F"/>
    <w:rsid w:val="00364A1F"/>
    <w:rsid w:val="00364D4F"/>
    <w:rsid w:val="00364DC8"/>
    <w:rsid w:val="00365864"/>
    <w:rsid w:val="00365D2A"/>
    <w:rsid w:val="00366093"/>
    <w:rsid w:val="003660ED"/>
    <w:rsid w:val="003668D0"/>
    <w:rsid w:val="0037171C"/>
    <w:rsid w:val="00371730"/>
    <w:rsid w:val="00372207"/>
    <w:rsid w:val="0037235D"/>
    <w:rsid w:val="0037255A"/>
    <w:rsid w:val="00372AD5"/>
    <w:rsid w:val="00372C20"/>
    <w:rsid w:val="00372EDE"/>
    <w:rsid w:val="00373121"/>
    <w:rsid w:val="003732E1"/>
    <w:rsid w:val="0037332A"/>
    <w:rsid w:val="00373CA8"/>
    <w:rsid w:val="00374465"/>
    <w:rsid w:val="003749F9"/>
    <w:rsid w:val="00375BF9"/>
    <w:rsid w:val="00375C23"/>
    <w:rsid w:val="0037664D"/>
    <w:rsid w:val="003771F2"/>
    <w:rsid w:val="003777D5"/>
    <w:rsid w:val="00377FC4"/>
    <w:rsid w:val="003818D7"/>
    <w:rsid w:val="00381A2F"/>
    <w:rsid w:val="00381F31"/>
    <w:rsid w:val="0038278B"/>
    <w:rsid w:val="00383DB4"/>
    <w:rsid w:val="00384844"/>
    <w:rsid w:val="00384AD2"/>
    <w:rsid w:val="00385F09"/>
    <w:rsid w:val="00386218"/>
    <w:rsid w:val="00386CED"/>
    <w:rsid w:val="00386DF8"/>
    <w:rsid w:val="003910F4"/>
    <w:rsid w:val="00392651"/>
    <w:rsid w:val="0039456A"/>
    <w:rsid w:val="0039460A"/>
    <w:rsid w:val="00395066"/>
    <w:rsid w:val="00395458"/>
    <w:rsid w:val="003957F5"/>
    <w:rsid w:val="00395F55"/>
    <w:rsid w:val="0039617A"/>
    <w:rsid w:val="00396B77"/>
    <w:rsid w:val="0039710E"/>
    <w:rsid w:val="00397881"/>
    <w:rsid w:val="0039789D"/>
    <w:rsid w:val="003A0A67"/>
    <w:rsid w:val="003A0ADA"/>
    <w:rsid w:val="003A0F89"/>
    <w:rsid w:val="003A1D83"/>
    <w:rsid w:val="003A2696"/>
    <w:rsid w:val="003A28ED"/>
    <w:rsid w:val="003A4700"/>
    <w:rsid w:val="003A4B65"/>
    <w:rsid w:val="003A5F1E"/>
    <w:rsid w:val="003A6E08"/>
    <w:rsid w:val="003A6EBA"/>
    <w:rsid w:val="003B0550"/>
    <w:rsid w:val="003B0CC4"/>
    <w:rsid w:val="003B1C70"/>
    <w:rsid w:val="003B1E23"/>
    <w:rsid w:val="003B1F13"/>
    <w:rsid w:val="003B2776"/>
    <w:rsid w:val="003B2B58"/>
    <w:rsid w:val="003B418B"/>
    <w:rsid w:val="003B42F7"/>
    <w:rsid w:val="003B5B0F"/>
    <w:rsid w:val="003B5BB8"/>
    <w:rsid w:val="003B631D"/>
    <w:rsid w:val="003B694F"/>
    <w:rsid w:val="003B77D0"/>
    <w:rsid w:val="003B7CB6"/>
    <w:rsid w:val="003C0D62"/>
    <w:rsid w:val="003C126F"/>
    <w:rsid w:val="003C1304"/>
    <w:rsid w:val="003C4739"/>
    <w:rsid w:val="003C49E4"/>
    <w:rsid w:val="003C4E70"/>
    <w:rsid w:val="003C55A8"/>
    <w:rsid w:val="003C60C2"/>
    <w:rsid w:val="003C6174"/>
    <w:rsid w:val="003C62A9"/>
    <w:rsid w:val="003C6AC6"/>
    <w:rsid w:val="003C6E20"/>
    <w:rsid w:val="003C724B"/>
    <w:rsid w:val="003C7B0E"/>
    <w:rsid w:val="003D0DB9"/>
    <w:rsid w:val="003D1A2F"/>
    <w:rsid w:val="003D1C4A"/>
    <w:rsid w:val="003D1F45"/>
    <w:rsid w:val="003D267E"/>
    <w:rsid w:val="003D3037"/>
    <w:rsid w:val="003D3F20"/>
    <w:rsid w:val="003D4B96"/>
    <w:rsid w:val="003D55E0"/>
    <w:rsid w:val="003D585B"/>
    <w:rsid w:val="003D58ED"/>
    <w:rsid w:val="003D64B6"/>
    <w:rsid w:val="003D6863"/>
    <w:rsid w:val="003D7220"/>
    <w:rsid w:val="003D769E"/>
    <w:rsid w:val="003D770F"/>
    <w:rsid w:val="003E05DD"/>
    <w:rsid w:val="003E0EDA"/>
    <w:rsid w:val="003E10F3"/>
    <w:rsid w:val="003E1691"/>
    <w:rsid w:val="003E2527"/>
    <w:rsid w:val="003E2D0D"/>
    <w:rsid w:val="003E392B"/>
    <w:rsid w:val="003E476B"/>
    <w:rsid w:val="003E4D43"/>
    <w:rsid w:val="003E56FB"/>
    <w:rsid w:val="003E60A0"/>
    <w:rsid w:val="003E6688"/>
    <w:rsid w:val="003E6CFA"/>
    <w:rsid w:val="003E6FAE"/>
    <w:rsid w:val="003E7B6B"/>
    <w:rsid w:val="003F0633"/>
    <w:rsid w:val="003F08D5"/>
    <w:rsid w:val="003F171C"/>
    <w:rsid w:val="003F1C73"/>
    <w:rsid w:val="003F1EC4"/>
    <w:rsid w:val="003F2AFA"/>
    <w:rsid w:val="003F33F4"/>
    <w:rsid w:val="003F35DB"/>
    <w:rsid w:val="003F3F27"/>
    <w:rsid w:val="003F45B3"/>
    <w:rsid w:val="003F45C9"/>
    <w:rsid w:val="003F4D11"/>
    <w:rsid w:val="003F5049"/>
    <w:rsid w:val="003F5228"/>
    <w:rsid w:val="004016D9"/>
    <w:rsid w:val="004019F1"/>
    <w:rsid w:val="004032AC"/>
    <w:rsid w:val="00404623"/>
    <w:rsid w:val="00404D18"/>
    <w:rsid w:val="004076EF"/>
    <w:rsid w:val="004104FD"/>
    <w:rsid w:val="00411839"/>
    <w:rsid w:val="00411A58"/>
    <w:rsid w:val="00411E84"/>
    <w:rsid w:val="00412975"/>
    <w:rsid w:val="00412DF8"/>
    <w:rsid w:val="00412EED"/>
    <w:rsid w:val="00412FC5"/>
    <w:rsid w:val="004140FB"/>
    <w:rsid w:val="00414254"/>
    <w:rsid w:val="0041435D"/>
    <w:rsid w:val="004143B6"/>
    <w:rsid w:val="0041492B"/>
    <w:rsid w:val="00415AB2"/>
    <w:rsid w:val="00415C83"/>
    <w:rsid w:val="00416A57"/>
    <w:rsid w:val="00416F79"/>
    <w:rsid w:val="0041783A"/>
    <w:rsid w:val="00417F7C"/>
    <w:rsid w:val="00421C78"/>
    <w:rsid w:val="00421E3C"/>
    <w:rsid w:val="00422276"/>
    <w:rsid w:val="004224DC"/>
    <w:rsid w:val="00422D3B"/>
    <w:rsid w:val="0042328E"/>
    <w:rsid w:val="0042373F"/>
    <w:rsid w:val="0042387E"/>
    <w:rsid w:val="00423DEE"/>
    <w:rsid w:val="004242F1"/>
    <w:rsid w:val="00424962"/>
    <w:rsid w:val="00425CFE"/>
    <w:rsid w:val="004260ED"/>
    <w:rsid w:val="00426C28"/>
    <w:rsid w:val="004270E4"/>
    <w:rsid w:val="004273B0"/>
    <w:rsid w:val="0042754A"/>
    <w:rsid w:val="0042755D"/>
    <w:rsid w:val="00427717"/>
    <w:rsid w:val="0043080B"/>
    <w:rsid w:val="00430D70"/>
    <w:rsid w:val="0043368A"/>
    <w:rsid w:val="0043391F"/>
    <w:rsid w:val="00433E58"/>
    <w:rsid w:val="00434225"/>
    <w:rsid w:val="0043423D"/>
    <w:rsid w:val="004342CE"/>
    <w:rsid w:val="00434482"/>
    <w:rsid w:val="0043659B"/>
    <w:rsid w:val="00440069"/>
    <w:rsid w:val="0044008A"/>
    <w:rsid w:val="004400D5"/>
    <w:rsid w:val="004409DA"/>
    <w:rsid w:val="004409F2"/>
    <w:rsid w:val="00440BA8"/>
    <w:rsid w:val="00441084"/>
    <w:rsid w:val="00442C11"/>
    <w:rsid w:val="00443997"/>
    <w:rsid w:val="00444BBC"/>
    <w:rsid w:val="00444C3A"/>
    <w:rsid w:val="004459CB"/>
    <w:rsid w:val="00445A00"/>
    <w:rsid w:val="00445AB6"/>
    <w:rsid w:val="00446900"/>
    <w:rsid w:val="00446E34"/>
    <w:rsid w:val="00451035"/>
    <w:rsid w:val="0045130C"/>
    <w:rsid w:val="004517F3"/>
    <w:rsid w:val="0045187E"/>
    <w:rsid w:val="00451ABE"/>
    <w:rsid w:val="00451B0F"/>
    <w:rsid w:val="00451BF9"/>
    <w:rsid w:val="00452D37"/>
    <w:rsid w:val="00453518"/>
    <w:rsid w:val="004535D0"/>
    <w:rsid w:val="00454474"/>
    <w:rsid w:val="00454FBE"/>
    <w:rsid w:val="0045579C"/>
    <w:rsid w:val="004558BB"/>
    <w:rsid w:val="00455DF1"/>
    <w:rsid w:val="00456500"/>
    <w:rsid w:val="00456CAE"/>
    <w:rsid w:val="004570F8"/>
    <w:rsid w:val="0046064A"/>
    <w:rsid w:val="00461769"/>
    <w:rsid w:val="00461B1D"/>
    <w:rsid w:val="004624A6"/>
    <w:rsid w:val="0046258D"/>
    <w:rsid w:val="00462854"/>
    <w:rsid w:val="004628D7"/>
    <w:rsid w:val="00463957"/>
    <w:rsid w:val="004639B7"/>
    <w:rsid w:val="00463FF5"/>
    <w:rsid w:val="00464821"/>
    <w:rsid w:val="00464ADD"/>
    <w:rsid w:val="00466391"/>
    <w:rsid w:val="00467C65"/>
    <w:rsid w:val="00470283"/>
    <w:rsid w:val="0047135F"/>
    <w:rsid w:val="0047142D"/>
    <w:rsid w:val="004715A2"/>
    <w:rsid w:val="00471953"/>
    <w:rsid w:val="004719D3"/>
    <w:rsid w:val="00471CE3"/>
    <w:rsid w:val="0047206F"/>
    <w:rsid w:val="00472C71"/>
    <w:rsid w:val="004734F9"/>
    <w:rsid w:val="00475218"/>
    <w:rsid w:val="004771F2"/>
    <w:rsid w:val="0047752B"/>
    <w:rsid w:val="00480478"/>
    <w:rsid w:val="00480C52"/>
    <w:rsid w:val="004810D2"/>
    <w:rsid w:val="00481518"/>
    <w:rsid w:val="004815D7"/>
    <w:rsid w:val="00481836"/>
    <w:rsid w:val="00481E26"/>
    <w:rsid w:val="004820F6"/>
    <w:rsid w:val="00482587"/>
    <w:rsid w:val="004832C2"/>
    <w:rsid w:val="004837D4"/>
    <w:rsid w:val="00483978"/>
    <w:rsid w:val="00484480"/>
    <w:rsid w:val="0048661A"/>
    <w:rsid w:val="004866C4"/>
    <w:rsid w:val="00486909"/>
    <w:rsid w:val="00490368"/>
    <w:rsid w:val="00491330"/>
    <w:rsid w:val="00491B72"/>
    <w:rsid w:val="00492F11"/>
    <w:rsid w:val="00493D9F"/>
    <w:rsid w:val="004946ED"/>
    <w:rsid w:val="00494A90"/>
    <w:rsid w:val="0049527B"/>
    <w:rsid w:val="004955B3"/>
    <w:rsid w:val="0049594D"/>
    <w:rsid w:val="00496241"/>
    <w:rsid w:val="004977EA"/>
    <w:rsid w:val="00497916"/>
    <w:rsid w:val="00497FB5"/>
    <w:rsid w:val="004A0BE0"/>
    <w:rsid w:val="004A0C17"/>
    <w:rsid w:val="004A213D"/>
    <w:rsid w:val="004A3C9F"/>
    <w:rsid w:val="004A4AF4"/>
    <w:rsid w:val="004A4B74"/>
    <w:rsid w:val="004A4D09"/>
    <w:rsid w:val="004A5079"/>
    <w:rsid w:val="004A5EE7"/>
    <w:rsid w:val="004A6313"/>
    <w:rsid w:val="004A649F"/>
    <w:rsid w:val="004A79A0"/>
    <w:rsid w:val="004A7AE3"/>
    <w:rsid w:val="004A7D17"/>
    <w:rsid w:val="004A7D72"/>
    <w:rsid w:val="004B0268"/>
    <w:rsid w:val="004B0434"/>
    <w:rsid w:val="004B08D3"/>
    <w:rsid w:val="004B0E4C"/>
    <w:rsid w:val="004B1777"/>
    <w:rsid w:val="004B179F"/>
    <w:rsid w:val="004B1A72"/>
    <w:rsid w:val="004B2336"/>
    <w:rsid w:val="004B2B15"/>
    <w:rsid w:val="004B361B"/>
    <w:rsid w:val="004B3F8B"/>
    <w:rsid w:val="004B4BBE"/>
    <w:rsid w:val="004B5D7E"/>
    <w:rsid w:val="004B5DDA"/>
    <w:rsid w:val="004B6759"/>
    <w:rsid w:val="004B6B32"/>
    <w:rsid w:val="004B73AE"/>
    <w:rsid w:val="004B7B34"/>
    <w:rsid w:val="004C0D37"/>
    <w:rsid w:val="004C13FC"/>
    <w:rsid w:val="004C1411"/>
    <w:rsid w:val="004C1C75"/>
    <w:rsid w:val="004C2649"/>
    <w:rsid w:val="004C2EE3"/>
    <w:rsid w:val="004C311B"/>
    <w:rsid w:val="004C517E"/>
    <w:rsid w:val="004C5F2F"/>
    <w:rsid w:val="004C6B0B"/>
    <w:rsid w:val="004C7533"/>
    <w:rsid w:val="004D038C"/>
    <w:rsid w:val="004D047B"/>
    <w:rsid w:val="004D05ED"/>
    <w:rsid w:val="004D17D8"/>
    <w:rsid w:val="004D1D45"/>
    <w:rsid w:val="004D1DCE"/>
    <w:rsid w:val="004D3C37"/>
    <w:rsid w:val="004D40DE"/>
    <w:rsid w:val="004D4120"/>
    <w:rsid w:val="004D4E64"/>
    <w:rsid w:val="004D51C2"/>
    <w:rsid w:val="004D5AF3"/>
    <w:rsid w:val="004D5E64"/>
    <w:rsid w:val="004D5EFC"/>
    <w:rsid w:val="004D71B2"/>
    <w:rsid w:val="004D7AC8"/>
    <w:rsid w:val="004D7F0D"/>
    <w:rsid w:val="004E040B"/>
    <w:rsid w:val="004E1212"/>
    <w:rsid w:val="004E181A"/>
    <w:rsid w:val="004E24E4"/>
    <w:rsid w:val="004E2CC2"/>
    <w:rsid w:val="004E3CFF"/>
    <w:rsid w:val="004E4874"/>
    <w:rsid w:val="004E4A22"/>
    <w:rsid w:val="004E5D8D"/>
    <w:rsid w:val="004E5EC9"/>
    <w:rsid w:val="004E645E"/>
    <w:rsid w:val="004F06D7"/>
    <w:rsid w:val="004F0AAB"/>
    <w:rsid w:val="004F136B"/>
    <w:rsid w:val="004F192D"/>
    <w:rsid w:val="004F1DE5"/>
    <w:rsid w:val="004F268E"/>
    <w:rsid w:val="004F38B3"/>
    <w:rsid w:val="004F4A88"/>
    <w:rsid w:val="004F4D40"/>
    <w:rsid w:val="004F4FCF"/>
    <w:rsid w:val="004F5D17"/>
    <w:rsid w:val="004F680D"/>
    <w:rsid w:val="004F761A"/>
    <w:rsid w:val="004F7972"/>
    <w:rsid w:val="004F7C55"/>
    <w:rsid w:val="0050178D"/>
    <w:rsid w:val="00501C52"/>
    <w:rsid w:val="005022B8"/>
    <w:rsid w:val="0050276B"/>
    <w:rsid w:val="00502778"/>
    <w:rsid w:val="005028A4"/>
    <w:rsid w:val="0050367B"/>
    <w:rsid w:val="0050371B"/>
    <w:rsid w:val="0050410E"/>
    <w:rsid w:val="005042CF"/>
    <w:rsid w:val="00504733"/>
    <w:rsid w:val="00505927"/>
    <w:rsid w:val="00505970"/>
    <w:rsid w:val="00505C2E"/>
    <w:rsid w:val="00506439"/>
    <w:rsid w:val="00506546"/>
    <w:rsid w:val="00510EEB"/>
    <w:rsid w:val="0051119E"/>
    <w:rsid w:val="00511203"/>
    <w:rsid w:val="00511968"/>
    <w:rsid w:val="00511F0C"/>
    <w:rsid w:val="00512238"/>
    <w:rsid w:val="00512D6A"/>
    <w:rsid w:val="00512EE8"/>
    <w:rsid w:val="0051397F"/>
    <w:rsid w:val="00514940"/>
    <w:rsid w:val="00515A9D"/>
    <w:rsid w:val="00516964"/>
    <w:rsid w:val="005208B7"/>
    <w:rsid w:val="00520E8B"/>
    <w:rsid w:val="0052137A"/>
    <w:rsid w:val="0052152A"/>
    <w:rsid w:val="00522C42"/>
    <w:rsid w:val="00523B05"/>
    <w:rsid w:val="00523E13"/>
    <w:rsid w:val="00524DDA"/>
    <w:rsid w:val="0052567A"/>
    <w:rsid w:val="00525E21"/>
    <w:rsid w:val="005261CA"/>
    <w:rsid w:val="005264E7"/>
    <w:rsid w:val="00526B3D"/>
    <w:rsid w:val="005271E6"/>
    <w:rsid w:val="0053078C"/>
    <w:rsid w:val="0053095C"/>
    <w:rsid w:val="00531D18"/>
    <w:rsid w:val="005322A9"/>
    <w:rsid w:val="00533032"/>
    <w:rsid w:val="0053379C"/>
    <w:rsid w:val="0053413D"/>
    <w:rsid w:val="0053463D"/>
    <w:rsid w:val="00535296"/>
    <w:rsid w:val="005360E2"/>
    <w:rsid w:val="005362A8"/>
    <w:rsid w:val="00536A1B"/>
    <w:rsid w:val="0053722D"/>
    <w:rsid w:val="0053787B"/>
    <w:rsid w:val="00537BFE"/>
    <w:rsid w:val="00537CBA"/>
    <w:rsid w:val="00540211"/>
    <w:rsid w:val="005404A8"/>
    <w:rsid w:val="005407CC"/>
    <w:rsid w:val="00542FDD"/>
    <w:rsid w:val="005431D2"/>
    <w:rsid w:val="005437B5"/>
    <w:rsid w:val="00543B00"/>
    <w:rsid w:val="00543D4A"/>
    <w:rsid w:val="00544EFE"/>
    <w:rsid w:val="00546888"/>
    <w:rsid w:val="00546C56"/>
    <w:rsid w:val="00547E9E"/>
    <w:rsid w:val="00550E72"/>
    <w:rsid w:val="005512B8"/>
    <w:rsid w:val="005518CF"/>
    <w:rsid w:val="005524E7"/>
    <w:rsid w:val="0055293D"/>
    <w:rsid w:val="00553514"/>
    <w:rsid w:val="005539B3"/>
    <w:rsid w:val="00555C0B"/>
    <w:rsid w:val="0055614C"/>
    <w:rsid w:val="005567A1"/>
    <w:rsid w:val="00556CE3"/>
    <w:rsid w:val="00556CFC"/>
    <w:rsid w:val="00556F5B"/>
    <w:rsid w:val="00556F9D"/>
    <w:rsid w:val="00557472"/>
    <w:rsid w:val="005578E4"/>
    <w:rsid w:val="005606D5"/>
    <w:rsid w:val="00561A37"/>
    <w:rsid w:val="00561B62"/>
    <w:rsid w:val="00561EB8"/>
    <w:rsid w:val="00562085"/>
    <w:rsid w:val="00562E71"/>
    <w:rsid w:val="0056302B"/>
    <w:rsid w:val="00566EEA"/>
    <w:rsid w:val="00566F4B"/>
    <w:rsid w:val="00567E20"/>
    <w:rsid w:val="005701CC"/>
    <w:rsid w:val="00573055"/>
    <w:rsid w:val="0057393F"/>
    <w:rsid w:val="00573E05"/>
    <w:rsid w:val="00573F52"/>
    <w:rsid w:val="00574690"/>
    <w:rsid w:val="00574AA9"/>
    <w:rsid w:val="00574E4A"/>
    <w:rsid w:val="005755A0"/>
    <w:rsid w:val="00575E68"/>
    <w:rsid w:val="0057618B"/>
    <w:rsid w:val="005769FD"/>
    <w:rsid w:val="00576A9A"/>
    <w:rsid w:val="005808C4"/>
    <w:rsid w:val="00580FB3"/>
    <w:rsid w:val="00581498"/>
    <w:rsid w:val="005820F6"/>
    <w:rsid w:val="00582241"/>
    <w:rsid w:val="005827B7"/>
    <w:rsid w:val="00582DF2"/>
    <w:rsid w:val="00584CD4"/>
    <w:rsid w:val="00586149"/>
    <w:rsid w:val="00586A07"/>
    <w:rsid w:val="00587461"/>
    <w:rsid w:val="005874FF"/>
    <w:rsid w:val="00590CDF"/>
    <w:rsid w:val="0059106E"/>
    <w:rsid w:val="005914CC"/>
    <w:rsid w:val="00591B1E"/>
    <w:rsid w:val="005927AA"/>
    <w:rsid w:val="00592B69"/>
    <w:rsid w:val="00593325"/>
    <w:rsid w:val="00593FD7"/>
    <w:rsid w:val="00594BBD"/>
    <w:rsid w:val="00595395"/>
    <w:rsid w:val="00595430"/>
    <w:rsid w:val="005958E9"/>
    <w:rsid w:val="00595AF5"/>
    <w:rsid w:val="00596B81"/>
    <w:rsid w:val="00596C20"/>
    <w:rsid w:val="00597E12"/>
    <w:rsid w:val="005A01C7"/>
    <w:rsid w:val="005A15F7"/>
    <w:rsid w:val="005A217F"/>
    <w:rsid w:val="005A2DBE"/>
    <w:rsid w:val="005A3CC2"/>
    <w:rsid w:val="005A4122"/>
    <w:rsid w:val="005A56A3"/>
    <w:rsid w:val="005A58A0"/>
    <w:rsid w:val="005A5AF0"/>
    <w:rsid w:val="005A6398"/>
    <w:rsid w:val="005A6829"/>
    <w:rsid w:val="005A6B18"/>
    <w:rsid w:val="005A6B4E"/>
    <w:rsid w:val="005B1B26"/>
    <w:rsid w:val="005B1D6A"/>
    <w:rsid w:val="005B2F7E"/>
    <w:rsid w:val="005B3FAA"/>
    <w:rsid w:val="005B40E4"/>
    <w:rsid w:val="005B49CA"/>
    <w:rsid w:val="005B4C2B"/>
    <w:rsid w:val="005B63D5"/>
    <w:rsid w:val="005B656E"/>
    <w:rsid w:val="005B6AF1"/>
    <w:rsid w:val="005B73E7"/>
    <w:rsid w:val="005C0743"/>
    <w:rsid w:val="005C08EA"/>
    <w:rsid w:val="005C0D28"/>
    <w:rsid w:val="005C1467"/>
    <w:rsid w:val="005C2B3A"/>
    <w:rsid w:val="005C2C8F"/>
    <w:rsid w:val="005C2F5D"/>
    <w:rsid w:val="005C30E2"/>
    <w:rsid w:val="005C3D67"/>
    <w:rsid w:val="005C482F"/>
    <w:rsid w:val="005C5ED9"/>
    <w:rsid w:val="005C61DE"/>
    <w:rsid w:val="005C7865"/>
    <w:rsid w:val="005C79D1"/>
    <w:rsid w:val="005C7D7C"/>
    <w:rsid w:val="005D0091"/>
    <w:rsid w:val="005D039B"/>
    <w:rsid w:val="005D0A6A"/>
    <w:rsid w:val="005D0BD8"/>
    <w:rsid w:val="005D1314"/>
    <w:rsid w:val="005D143A"/>
    <w:rsid w:val="005D1BF9"/>
    <w:rsid w:val="005D2CEF"/>
    <w:rsid w:val="005D2F87"/>
    <w:rsid w:val="005D446B"/>
    <w:rsid w:val="005D45DE"/>
    <w:rsid w:val="005D5C6E"/>
    <w:rsid w:val="005D610A"/>
    <w:rsid w:val="005D623E"/>
    <w:rsid w:val="005D65A3"/>
    <w:rsid w:val="005D6809"/>
    <w:rsid w:val="005D6AF5"/>
    <w:rsid w:val="005D6B83"/>
    <w:rsid w:val="005D7F5F"/>
    <w:rsid w:val="005E0BE1"/>
    <w:rsid w:val="005E14C2"/>
    <w:rsid w:val="005E1C31"/>
    <w:rsid w:val="005E2040"/>
    <w:rsid w:val="005E2F45"/>
    <w:rsid w:val="005E3868"/>
    <w:rsid w:val="005E3BAD"/>
    <w:rsid w:val="005E3EE2"/>
    <w:rsid w:val="005E63AA"/>
    <w:rsid w:val="005E77AE"/>
    <w:rsid w:val="005F0DA4"/>
    <w:rsid w:val="005F27BA"/>
    <w:rsid w:val="005F2A36"/>
    <w:rsid w:val="005F2B35"/>
    <w:rsid w:val="005F4C65"/>
    <w:rsid w:val="005F4D86"/>
    <w:rsid w:val="005F529C"/>
    <w:rsid w:val="005F5E3E"/>
    <w:rsid w:val="005F609B"/>
    <w:rsid w:val="005F73B3"/>
    <w:rsid w:val="005F765B"/>
    <w:rsid w:val="005F7866"/>
    <w:rsid w:val="005F7ECA"/>
    <w:rsid w:val="006002D0"/>
    <w:rsid w:val="006003C6"/>
    <w:rsid w:val="006003DD"/>
    <w:rsid w:val="0060092D"/>
    <w:rsid w:val="00600E1B"/>
    <w:rsid w:val="006011CA"/>
    <w:rsid w:val="00601266"/>
    <w:rsid w:val="006017D0"/>
    <w:rsid w:val="006018DE"/>
    <w:rsid w:val="00601FD9"/>
    <w:rsid w:val="0060210A"/>
    <w:rsid w:val="006023BF"/>
    <w:rsid w:val="006046AF"/>
    <w:rsid w:val="00605817"/>
    <w:rsid w:val="00605A8C"/>
    <w:rsid w:val="006061EC"/>
    <w:rsid w:val="00606A53"/>
    <w:rsid w:val="00607167"/>
    <w:rsid w:val="006077E6"/>
    <w:rsid w:val="00607944"/>
    <w:rsid w:val="00607BA5"/>
    <w:rsid w:val="00610521"/>
    <w:rsid w:val="00610D8E"/>
    <w:rsid w:val="0061180A"/>
    <w:rsid w:val="00612BFE"/>
    <w:rsid w:val="00612D88"/>
    <w:rsid w:val="00613480"/>
    <w:rsid w:val="00613574"/>
    <w:rsid w:val="00613627"/>
    <w:rsid w:val="00613D80"/>
    <w:rsid w:val="00614C3E"/>
    <w:rsid w:val="00615145"/>
    <w:rsid w:val="00615384"/>
    <w:rsid w:val="00617DB3"/>
    <w:rsid w:val="00620A04"/>
    <w:rsid w:val="00620F30"/>
    <w:rsid w:val="0062129B"/>
    <w:rsid w:val="00621A46"/>
    <w:rsid w:val="00621C16"/>
    <w:rsid w:val="00621E8E"/>
    <w:rsid w:val="00622740"/>
    <w:rsid w:val="0062376B"/>
    <w:rsid w:val="0062392A"/>
    <w:rsid w:val="00623B27"/>
    <w:rsid w:val="00623E2F"/>
    <w:rsid w:val="006240C2"/>
    <w:rsid w:val="00624701"/>
    <w:rsid w:val="00625434"/>
    <w:rsid w:val="00625D35"/>
    <w:rsid w:val="00625DF4"/>
    <w:rsid w:val="00626EB6"/>
    <w:rsid w:val="00627909"/>
    <w:rsid w:val="0062794D"/>
    <w:rsid w:val="006305A7"/>
    <w:rsid w:val="00630EC3"/>
    <w:rsid w:val="00632622"/>
    <w:rsid w:val="00633B50"/>
    <w:rsid w:val="00633B86"/>
    <w:rsid w:val="00633CC8"/>
    <w:rsid w:val="006340D9"/>
    <w:rsid w:val="00634B25"/>
    <w:rsid w:val="0063506A"/>
    <w:rsid w:val="0063586D"/>
    <w:rsid w:val="00636C0A"/>
    <w:rsid w:val="006407D2"/>
    <w:rsid w:val="00640840"/>
    <w:rsid w:val="00641794"/>
    <w:rsid w:val="00642CD4"/>
    <w:rsid w:val="00644A26"/>
    <w:rsid w:val="00645CBC"/>
    <w:rsid w:val="006460F1"/>
    <w:rsid w:val="006463F5"/>
    <w:rsid w:val="006478EA"/>
    <w:rsid w:val="006479F7"/>
    <w:rsid w:val="006508F2"/>
    <w:rsid w:val="00650B9E"/>
    <w:rsid w:val="00650FCD"/>
    <w:rsid w:val="00651BE0"/>
    <w:rsid w:val="00651C86"/>
    <w:rsid w:val="00652473"/>
    <w:rsid w:val="0065259C"/>
    <w:rsid w:val="006537BE"/>
    <w:rsid w:val="00653D11"/>
    <w:rsid w:val="00654785"/>
    <w:rsid w:val="00654841"/>
    <w:rsid w:val="006551B7"/>
    <w:rsid w:val="00655D03"/>
    <w:rsid w:val="006566F5"/>
    <w:rsid w:val="006601BB"/>
    <w:rsid w:val="0066048A"/>
    <w:rsid w:val="00660D7A"/>
    <w:rsid w:val="00661221"/>
    <w:rsid w:val="00661461"/>
    <w:rsid w:val="00661848"/>
    <w:rsid w:val="006618B5"/>
    <w:rsid w:val="00661A16"/>
    <w:rsid w:val="00662451"/>
    <w:rsid w:val="0066266D"/>
    <w:rsid w:val="00662B09"/>
    <w:rsid w:val="00663AFB"/>
    <w:rsid w:val="00664AF9"/>
    <w:rsid w:val="00665711"/>
    <w:rsid w:val="006663DE"/>
    <w:rsid w:val="00666987"/>
    <w:rsid w:val="00666C21"/>
    <w:rsid w:val="0066703A"/>
    <w:rsid w:val="00667370"/>
    <w:rsid w:val="00670008"/>
    <w:rsid w:val="006710AD"/>
    <w:rsid w:val="0067148C"/>
    <w:rsid w:val="00671495"/>
    <w:rsid w:val="00671D04"/>
    <w:rsid w:val="00672039"/>
    <w:rsid w:val="006722D6"/>
    <w:rsid w:val="00673629"/>
    <w:rsid w:val="0067428E"/>
    <w:rsid w:val="00674770"/>
    <w:rsid w:val="006748FB"/>
    <w:rsid w:val="006756DC"/>
    <w:rsid w:val="00676182"/>
    <w:rsid w:val="006766C4"/>
    <w:rsid w:val="0067709B"/>
    <w:rsid w:val="00677E8C"/>
    <w:rsid w:val="006826E7"/>
    <w:rsid w:val="0068280B"/>
    <w:rsid w:val="00682A17"/>
    <w:rsid w:val="00682DE5"/>
    <w:rsid w:val="006831D7"/>
    <w:rsid w:val="00683388"/>
    <w:rsid w:val="00683577"/>
    <w:rsid w:val="00683F84"/>
    <w:rsid w:val="006850D2"/>
    <w:rsid w:val="006851AA"/>
    <w:rsid w:val="0068526A"/>
    <w:rsid w:val="00685B17"/>
    <w:rsid w:val="0069046F"/>
    <w:rsid w:val="006909B3"/>
    <w:rsid w:val="00690E31"/>
    <w:rsid w:val="006922CB"/>
    <w:rsid w:val="00692E50"/>
    <w:rsid w:val="00693594"/>
    <w:rsid w:val="006946E6"/>
    <w:rsid w:val="00694AEB"/>
    <w:rsid w:val="00695177"/>
    <w:rsid w:val="00695E09"/>
    <w:rsid w:val="00697DA9"/>
    <w:rsid w:val="006A0A6F"/>
    <w:rsid w:val="006A0D4F"/>
    <w:rsid w:val="006A1112"/>
    <w:rsid w:val="006A195B"/>
    <w:rsid w:val="006A1B4B"/>
    <w:rsid w:val="006A2591"/>
    <w:rsid w:val="006A31FC"/>
    <w:rsid w:val="006A3ACF"/>
    <w:rsid w:val="006A3FD9"/>
    <w:rsid w:val="006A50F2"/>
    <w:rsid w:val="006A590C"/>
    <w:rsid w:val="006A60D1"/>
    <w:rsid w:val="006A660B"/>
    <w:rsid w:val="006A6A81"/>
    <w:rsid w:val="006A6FD7"/>
    <w:rsid w:val="006A7952"/>
    <w:rsid w:val="006A7D2F"/>
    <w:rsid w:val="006B06B1"/>
    <w:rsid w:val="006B0D33"/>
    <w:rsid w:val="006B1656"/>
    <w:rsid w:val="006B2467"/>
    <w:rsid w:val="006B2888"/>
    <w:rsid w:val="006B30BE"/>
    <w:rsid w:val="006B3BF4"/>
    <w:rsid w:val="006B42D2"/>
    <w:rsid w:val="006B50BD"/>
    <w:rsid w:val="006B53A2"/>
    <w:rsid w:val="006B6665"/>
    <w:rsid w:val="006B723C"/>
    <w:rsid w:val="006C04BA"/>
    <w:rsid w:val="006C0669"/>
    <w:rsid w:val="006C1C41"/>
    <w:rsid w:val="006C309D"/>
    <w:rsid w:val="006C35CD"/>
    <w:rsid w:val="006C4F9A"/>
    <w:rsid w:val="006C5832"/>
    <w:rsid w:val="006C7B8A"/>
    <w:rsid w:val="006C7BB1"/>
    <w:rsid w:val="006D050C"/>
    <w:rsid w:val="006D0785"/>
    <w:rsid w:val="006D081C"/>
    <w:rsid w:val="006D3262"/>
    <w:rsid w:val="006D4230"/>
    <w:rsid w:val="006D4776"/>
    <w:rsid w:val="006D4D53"/>
    <w:rsid w:val="006D63B3"/>
    <w:rsid w:val="006D6717"/>
    <w:rsid w:val="006D7B07"/>
    <w:rsid w:val="006E02F0"/>
    <w:rsid w:val="006E0419"/>
    <w:rsid w:val="006E0D4C"/>
    <w:rsid w:val="006E18EA"/>
    <w:rsid w:val="006E2E8D"/>
    <w:rsid w:val="006E365E"/>
    <w:rsid w:val="006E3EA0"/>
    <w:rsid w:val="006E4B26"/>
    <w:rsid w:val="006E517B"/>
    <w:rsid w:val="006E5219"/>
    <w:rsid w:val="006E5487"/>
    <w:rsid w:val="006E5912"/>
    <w:rsid w:val="006E754E"/>
    <w:rsid w:val="006F0B08"/>
    <w:rsid w:val="006F152F"/>
    <w:rsid w:val="006F2906"/>
    <w:rsid w:val="006F3755"/>
    <w:rsid w:val="006F426E"/>
    <w:rsid w:val="006F51FE"/>
    <w:rsid w:val="006F5467"/>
    <w:rsid w:val="006F6BE5"/>
    <w:rsid w:val="006F715D"/>
    <w:rsid w:val="006F7393"/>
    <w:rsid w:val="006F79E9"/>
    <w:rsid w:val="0070224F"/>
    <w:rsid w:val="0070255F"/>
    <w:rsid w:val="00702866"/>
    <w:rsid w:val="00702B3B"/>
    <w:rsid w:val="007036E3"/>
    <w:rsid w:val="0070401A"/>
    <w:rsid w:val="00704FD3"/>
    <w:rsid w:val="007051F0"/>
    <w:rsid w:val="00705A2D"/>
    <w:rsid w:val="00706809"/>
    <w:rsid w:val="00706DE0"/>
    <w:rsid w:val="00706F21"/>
    <w:rsid w:val="00707BBD"/>
    <w:rsid w:val="00707ED6"/>
    <w:rsid w:val="007105A5"/>
    <w:rsid w:val="00710A2E"/>
    <w:rsid w:val="007115F7"/>
    <w:rsid w:val="00712F74"/>
    <w:rsid w:val="00712FEF"/>
    <w:rsid w:val="0071369F"/>
    <w:rsid w:val="00714193"/>
    <w:rsid w:val="0071575F"/>
    <w:rsid w:val="00715F2F"/>
    <w:rsid w:val="007163B2"/>
    <w:rsid w:val="00716716"/>
    <w:rsid w:val="00716CA1"/>
    <w:rsid w:val="00717D26"/>
    <w:rsid w:val="00720246"/>
    <w:rsid w:val="00720E6D"/>
    <w:rsid w:val="00721C60"/>
    <w:rsid w:val="00722820"/>
    <w:rsid w:val="00722D17"/>
    <w:rsid w:val="00723059"/>
    <w:rsid w:val="00723353"/>
    <w:rsid w:val="007233C1"/>
    <w:rsid w:val="0072358D"/>
    <w:rsid w:val="00723CE8"/>
    <w:rsid w:val="0072425E"/>
    <w:rsid w:val="007244B4"/>
    <w:rsid w:val="00724B8E"/>
    <w:rsid w:val="007257CA"/>
    <w:rsid w:val="007258C1"/>
    <w:rsid w:val="00726B76"/>
    <w:rsid w:val="00726D0E"/>
    <w:rsid w:val="00726E03"/>
    <w:rsid w:val="00727839"/>
    <w:rsid w:val="00727F4F"/>
    <w:rsid w:val="0073018A"/>
    <w:rsid w:val="007301E3"/>
    <w:rsid w:val="00730333"/>
    <w:rsid w:val="007311B7"/>
    <w:rsid w:val="00731B23"/>
    <w:rsid w:val="00731F96"/>
    <w:rsid w:val="007322BB"/>
    <w:rsid w:val="007328F6"/>
    <w:rsid w:val="00732B7C"/>
    <w:rsid w:val="00733172"/>
    <w:rsid w:val="00734683"/>
    <w:rsid w:val="00734B48"/>
    <w:rsid w:val="00736611"/>
    <w:rsid w:val="00736681"/>
    <w:rsid w:val="00736BC3"/>
    <w:rsid w:val="00737C4A"/>
    <w:rsid w:val="00737C84"/>
    <w:rsid w:val="0074141B"/>
    <w:rsid w:val="00741538"/>
    <w:rsid w:val="00742177"/>
    <w:rsid w:val="007441B9"/>
    <w:rsid w:val="007447BB"/>
    <w:rsid w:val="00745442"/>
    <w:rsid w:val="00747486"/>
    <w:rsid w:val="007479B7"/>
    <w:rsid w:val="00747A17"/>
    <w:rsid w:val="00747D20"/>
    <w:rsid w:val="00747FEA"/>
    <w:rsid w:val="007501BF"/>
    <w:rsid w:val="007505EB"/>
    <w:rsid w:val="007509D5"/>
    <w:rsid w:val="00753E06"/>
    <w:rsid w:val="007545EA"/>
    <w:rsid w:val="007546EA"/>
    <w:rsid w:val="00754905"/>
    <w:rsid w:val="00756BF4"/>
    <w:rsid w:val="00756FFB"/>
    <w:rsid w:val="0075747F"/>
    <w:rsid w:val="007574B8"/>
    <w:rsid w:val="00760006"/>
    <w:rsid w:val="0076091C"/>
    <w:rsid w:val="00762A54"/>
    <w:rsid w:val="00762ABB"/>
    <w:rsid w:val="00762C02"/>
    <w:rsid w:val="00764671"/>
    <w:rsid w:val="00764B72"/>
    <w:rsid w:val="00765A2E"/>
    <w:rsid w:val="0076615E"/>
    <w:rsid w:val="00770754"/>
    <w:rsid w:val="00770D74"/>
    <w:rsid w:val="00770F6D"/>
    <w:rsid w:val="00770FAD"/>
    <w:rsid w:val="0077107A"/>
    <w:rsid w:val="00772DB3"/>
    <w:rsid w:val="0077338B"/>
    <w:rsid w:val="007737D0"/>
    <w:rsid w:val="007738EF"/>
    <w:rsid w:val="0077507B"/>
    <w:rsid w:val="007752EF"/>
    <w:rsid w:val="007753DB"/>
    <w:rsid w:val="00775B65"/>
    <w:rsid w:val="007767C5"/>
    <w:rsid w:val="00776FA2"/>
    <w:rsid w:val="0077717D"/>
    <w:rsid w:val="00777569"/>
    <w:rsid w:val="0078012C"/>
    <w:rsid w:val="00780744"/>
    <w:rsid w:val="00780EC3"/>
    <w:rsid w:val="00780F2F"/>
    <w:rsid w:val="00780F30"/>
    <w:rsid w:val="00782897"/>
    <w:rsid w:val="00785689"/>
    <w:rsid w:val="007856C3"/>
    <w:rsid w:val="0078667F"/>
    <w:rsid w:val="007874FB"/>
    <w:rsid w:val="007875AE"/>
    <w:rsid w:val="007876F7"/>
    <w:rsid w:val="00787E8F"/>
    <w:rsid w:val="00790233"/>
    <w:rsid w:val="007905A9"/>
    <w:rsid w:val="007912D0"/>
    <w:rsid w:val="00793B02"/>
    <w:rsid w:val="00793E48"/>
    <w:rsid w:val="007943AC"/>
    <w:rsid w:val="00794B80"/>
    <w:rsid w:val="00794D18"/>
    <w:rsid w:val="00794D25"/>
    <w:rsid w:val="007952AB"/>
    <w:rsid w:val="00795D40"/>
    <w:rsid w:val="00796261"/>
    <w:rsid w:val="00796460"/>
    <w:rsid w:val="00796B0E"/>
    <w:rsid w:val="00796E64"/>
    <w:rsid w:val="0079754B"/>
    <w:rsid w:val="00797C84"/>
    <w:rsid w:val="00797DA2"/>
    <w:rsid w:val="00797DAA"/>
    <w:rsid w:val="007A04BE"/>
    <w:rsid w:val="007A12EB"/>
    <w:rsid w:val="007A1609"/>
    <w:rsid w:val="007A1A22"/>
    <w:rsid w:val="007A1E6D"/>
    <w:rsid w:val="007A2A6E"/>
    <w:rsid w:val="007A3B10"/>
    <w:rsid w:val="007A4913"/>
    <w:rsid w:val="007A4ED5"/>
    <w:rsid w:val="007A50FB"/>
    <w:rsid w:val="007A54DA"/>
    <w:rsid w:val="007A6401"/>
    <w:rsid w:val="007A6EFE"/>
    <w:rsid w:val="007B052D"/>
    <w:rsid w:val="007B0EB2"/>
    <w:rsid w:val="007B11DB"/>
    <w:rsid w:val="007B37A3"/>
    <w:rsid w:val="007B3B03"/>
    <w:rsid w:val="007B4C43"/>
    <w:rsid w:val="007B626C"/>
    <w:rsid w:val="007B650E"/>
    <w:rsid w:val="007B7CA8"/>
    <w:rsid w:val="007C024E"/>
    <w:rsid w:val="007C02BF"/>
    <w:rsid w:val="007C07DD"/>
    <w:rsid w:val="007C1FD2"/>
    <w:rsid w:val="007C2278"/>
    <w:rsid w:val="007C28FE"/>
    <w:rsid w:val="007C3501"/>
    <w:rsid w:val="007C36AA"/>
    <w:rsid w:val="007C4761"/>
    <w:rsid w:val="007C5118"/>
    <w:rsid w:val="007C6ACE"/>
    <w:rsid w:val="007C7578"/>
    <w:rsid w:val="007D101E"/>
    <w:rsid w:val="007D17EA"/>
    <w:rsid w:val="007D2706"/>
    <w:rsid w:val="007D2A9C"/>
    <w:rsid w:val="007D333C"/>
    <w:rsid w:val="007D3B1F"/>
    <w:rsid w:val="007D4285"/>
    <w:rsid w:val="007D7126"/>
    <w:rsid w:val="007D7ABB"/>
    <w:rsid w:val="007D7AC0"/>
    <w:rsid w:val="007E0E05"/>
    <w:rsid w:val="007E1071"/>
    <w:rsid w:val="007E2767"/>
    <w:rsid w:val="007E2822"/>
    <w:rsid w:val="007E2B7C"/>
    <w:rsid w:val="007E2FD8"/>
    <w:rsid w:val="007E36F2"/>
    <w:rsid w:val="007E4A56"/>
    <w:rsid w:val="007E4FE5"/>
    <w:rsid w:val="007E50B0"/>
    <w:rsid w:val="007E6DF1"/>
    <w:rsid w:val="007E7194"/>
    <w:rsid w:val="007E7280"/>
    <w:rsid w:val="007E7FFC"/>
    <w:rsid w:val="007F028A"/>
    <w:rsid w:val="007F082E"/>
    <w:rsid w:val="007F1357"/>
    <w:rsid w:val="007F144E"/>
    <w:rsid w:val="007F1740"/>
    <w:rsid w:val="007F264F"/>
    <w:rsid w:val="007F499D"/>
    <w:rsid w:val="007F5221"/>
    <w:rsid w:val="007F664C"/>
    <w:rsid w:val="007F6DC9"/>
    <w:rsid w:val="007F7326"/>
    <w:rsid w:val="007F790F"/>
    <w:rsid w:val="008001C6"/>
    <w:rsid w:val="00800324"/>
    <w:rsid w:val="00800E5D"/>
    <w:rsid w:val="0080182C"/>
    <w:rsid w:val="008021E6"/>
    <w:rsid w:val="00802752"/>
    <w:rsid w:val="00802F6A"/>
    <w:rsid w:val="00803A72"/>
    <w:rsid w:val="00803E09"/>
    <w:rsid w:val="00804762"/>
    <w:rsid w:val="00804C29"/>
    <w:rsid w:val="00806C23"/>
    <w:rsid w:val="008071DE"/>
    <w:rsid w:val="00807363"/>
    <w:rsid w:val="00807588"/>
    <w:rsid w:val="008079AB"/>
    <w:rsid w:val="00810643"/>
    <w:rsid w:val="00810B6F"/>
    <w:rsid w:val="008127F9"/>
    <w:rsid w:val="00812A79"/>
    <w:rsid w:val="00814021"/>
    <w:rsid w:val="00814948"/>
    <w:rsid w:val="00814A90"/>
    <w:rsid w:val="00814B09"/>
    <w:rsid w:val="00814C5A"/>
    <w:rsid w:val="00814ED4"/>
    <w:rsid w:val="008152C6"/>
    <w:rsid w:val="008154DF"/>
    <w:rsid w:val="008155A1"/>
    <w:rsid w:val="00815A26"/>
    <w:rsid w:val="00815CC0"/>
    <w:rsid w:val="00816725"/>
    <w:rsid w:val="008169B5"/>
    <w:rsid w:val="00816AA4"/>
    <w:rsid w:val="0081726E"/>
    <w:rsid w:val="008178FA"/>
    <w:rsid w:val="00817A20"/>
    <w:rsid w:val="00817A3D"/>
    <w:rsid w:val="00820569"/>
    <w:rsid w:val="00820E99"/>
    <w:rsid w:val="0082164D"/>
    <w:rsid w:val="0082270D"/>
    <w:rsid w:val="00822A67"/>
    <w:rsid w:val="00822C93"/>
    <w:rsid w:val="00822CE0"/>
    <w:rsid w:val="008231FE"/>
    <w:rsid w:val="00823ADA"/>
    <w:rsid w:val="008246E6"/>
    <w:rsid w:val="00824E96"/>
    <w:rsid w:val="00825ED1"/>
    <w:rsid w:val="0082707B"/>
    <w:rsid w:val="008274B9"/>
    <w:rsid w:val="0083135F"/>
    <w:rsid w:val="00832595"/>
    <w:rsid w:val="00832D93"/>
    <w:rsid w:val="00833396"/>
    <w:rsid w:val="008340B7"/>
    <w:rsid w:val="00834162"/>
    <w:rsid w:val="0083464C"/>
    <w:rsid w:val="008353A7"/>
    <w:rsid w:val="00835B30"/>
    <w:rsid w:val="00835C97"/>
    <w:rsid w:val="008361D9"/>
    <w:rsid w:val="008361FB"/>
    <w:rsid w:val="0083633C"/>
    <w:rsid w:val="00836897"/>
    <w:rsid w:val="0083701B"/>
    <w:rsid w:val="008372B8"/>
    <w:rsid w:val="0083742E"/>
    <w:rsid w:val="00837570"/>
    <w:rsid w:val="00840C48"/>
    <w:rsid w:val="00841330"/>
    <w:rsid w:val="00841AB1"/>
    <w:rsid w:val="00841D8E"/>
    <w:rsid w:val="00842675"/>
    <w:rsid w:val="008428CA"/>
    <w:rsid w:val="0084293A"/>
    <w:rsid w:val="00842D1A"/>
    <w:rsid w:val="00843336"/>
    <w:rsid w:val="00843355"/>
    <w:rsid w:val="00843562"/>
    <w:rsid w:val="00844C66"/>
    <w:rsid w:val="00845372"/>
    <w:rsid w:val="00846FF4"/>
    <w:rsid w:val="00847D37"/>
    <w:rsid w:val="00851947"/>
    <w:rsid w:val="00851C47"/>
    <w:rsid w:val="00853F71"/>
    <w:rsid w:val="0085541B"/>
    <w:rsid w:val="008555CF"/>
    <w:rsid w:val="008572D7"/>
    <w:rsid w:val="00857A46"/>
    <w:rsid w:val="00857F6C"/>
    <w:rsid w:val="008609DB"/>
    <w:rsid w:val="00860DD4"/>
    <w:rsid w:val="00860F10"/>
    <w:rsid w:val="00861039"/>
    <w:rsid w:val="00861758"/>
    <w:rsid w:val="00861E28"/>
    <w:rsid w:val="008632C4"/>
    <w:rsid w:val="00864900"/>
    <w:rsid w:val="00864A22"/>
    <w:rsid w:val="00865AAF"/>
    <w:rsid w:val="00865FBF"/>
    <w:rsid w:val="008669A4"/>
    <w:rsid w:val="00867E20"/>
    <w:rsid w:val="00867F4F"/>
    <w:rsid w:val="008706B7"/>
    <w:rsid w:val="0087076D"/>
    <w:rsid w:val="00870BDC"/>
    <w:rsid w:val="0087102F"/>
    <w:rsid w:val="008738AB"/>
    <w:rsid w:val="00873D0F"/>
    <w:rsid w:val="00873F28"/>
    <w:rsid w:val="00875A54"/>
    <w:rsid w:val="0087627D"/>
    <w:rsid w:val="0088046D"/>
    <w:rsid w:val="008815D4"/>
    <w:rsid w:val="008820C7"/>
    <w:rsid w:val="00882C17"/>
    <w:rsid w:val="00882F6B"/>
    <w:rsid w:val="0088362B"/>
    <w:rsid w:val="00884382"/>
    <w:rsid w:val="00884A5F"/>
    <w:rsid w:val="00884C17"/>
    <w:rsid w:val="00885A9C"/>
    <w:rsid w:val="008867DB"/>
    <w:rsid w:val="00886948"/>
    <w:rsid w:val="008906B3"/>
    <w:rsid w:val="008908C5"/>
    <w:rsid w:val="00890E70"/>
    <w:rsid w:val="008910D1"/>
    <w:rsid w:val="00891924"/>
    <w:rsid w:val="00891DF1"/>
    <w:rsid w:val="0089243A"/>
    <w:rsid w:val="0089243C"/>
    <w:rsid w:val="00892553"/>
    <w:rsid w:val="00892FBE"/>
    <w:rsid w:val="008936BB"/>
    <w:rsid w:val="00893BBC"/>
    <w:rsid w:val="0089461E"/>
    <w:rsid w:val="0089538A"/>
    <w:rsid w:val="00896F2D"/>
    <w:rsid w:val="0089768F"/>
    <w:rsid w:val="00897B9B"/>
    <w:rsid w:val="00897E63"/>
    <w:rsid w:val="008A0B7B"/>
    <w:rsid w:val="008A176C"/>
    <w:rsid w:val="008A30AE"/>
    <w:rsid w:val="008A3180"/>
    <w:rsid w:val="008A382F"/>
    <w:rsid w:val="008A477D"/>
    <w:rsid w:val="008A4A79"/>
    <w:rsid w:val="008A5C08"/>
    <w:rsid w:val="008A662E"/>
    <w:rsid w:val="008A6C91"/>
    <w:rsid w:val="008B0CE0"/>
    <w:rsid w:val="008B12F5"/>
    <w:rsid w:val="008B1AAC"/>
    <w:rsid w:val="008B29B8"/>
    <w:rsid w:val="008B2F07"/>
    <w:rsid w:val="008B3158"/>
    <w:rsid w:val="008B3162"/>
    <w:rsid w:val="008B34EB"/>
    <w:rsid w:val="008B39BB"/>
    <w:rsid w:val="008B425A"/>
    <w:rsid w:val="008B471A"/>
    <w:rsid w:val="008B50AE"/>
    <w:rsid w:val="008B5210"/>
    <w:rsid w:val="008B5909"/>
    <w:rsid w:val="008B5C51"/>
    <w:rsid w:val="008B5EB0"/>
    <w:rsid w:val="008B6B64"/>
    <w:rsid w:val="008B717F"/>
    <w:rsid w:val="008B79FF"/>
    <w:rsid w:val="008C0657"/>
    <w:rsid w:val="008C0D5B"/>
    <w:rsid w:val="008C0F01"/>
    <w:rsid w:val="008C1525"/>
    <w:rsid w:val="008C16A1"/>
    <w:rsid w:val="008C3067"/>
    <w:rsid w:val="008C3AB0"/>
    <w:rsid w:val="008C3C38"/>
    <w:rsid w:val="008C68F1"/>
    <w:rsid w:val="008C6B85"/>
    <w:rsid w:val="008C6DC6"/>
    <w:rsid w:val="008C719B"/>
    <w:rsid w:val="008D0294"/>
    <w:rsid w:val="008D062A"/>
    <w:rsid w:val="008D08C7"/>
    <w:rsid w:val="008D0E43"/>
    <w:rsid w:val="008D15FF"/>
    <w:rsid w:val="008D2D87"/>
    <w:rsid w:val="008D344D"/>
    <w:rsid w:val="008D4AD2"/>
    <w:rsid w:val="008D4D35"/>
    <w:rsid w:val="008D514D"/>
    <w:rsid w:val="008D62D8"/>
    <w:rsid w:val="008D642F"/>
    <w:rsid w:val="008D6624"/>
    <w:rsid w:val="008D6E8E"/>
    <w:rsid w:val="008D73F4"/>
    <w:rsid w:val="008D7A97"/>
    <w:rsid w:val="008E10C3"/>
    <w:rsid w:val="008E162D"/>
    <w:rsid w:val="008E1781"/>
    <w:rsid w:val="008E2A77"/>
    <w:rsid w:val="008E2E01"/>
    <w:rsid w:val="008E2F92"/>
    <w:rsid w:val="008E31CB"/>
    <w:rsid w:val="008E3822"/>
    <w:rsid w:val="008E3D6F"/>
    <w:rsid w:val="008E4366"/>
    <w:rsid w:val="008E6193"/>
    <w:rsid w:val="008E61CE"/>
    <w:rsid w:val="008E776E"/>
    <w:rsid w:val="008E7C4B"/>
    <w:rsid w:val="008E7EC1"/>
    <w:rsid w:val="008F1936"/>
    <w:rsid w:val="008F19E8"/>
    <w:rsid w:val="008F3359"/>
    <w:rsid w:val="008F35B3"/>
    <w:rsid w:val="008F3FD8"/>
    <w:rsid w:val="008F4F6F"/>
    <w:rsid w:val="008F5423"/>
    <w:rsid w:val="008F584D"/>
    <w:rsid w:val="008F5E8D"/>
    <w:rsid w:val="008F5FAF"/>
    <w:rsid w:val="008F692C"/>
    <w:rsid w:val="008F751E"/>
    <w:rsid w:val="008F768E"/>
    <w:rsid w:val="008F7B65"/>
    <w:rsid w:val="0090048F"/>
    <w:rsid w:val="00900868"/>
    <w:rsid w:val="009010BF"/>
    <w:rsid w:val="009013BB"/>
    <w:rsid w:val="00901860"/>
    <w:rsid w:val="009028F6"/>
    <w:rsid w:val="00903092"/>
    <w:rsid w:val="00903414"/>
    <w:rsid w:val="00904589"/>
    <w:rsid w:val="009045BE"/>
    <w:rsid w:val="009049CA"/>
    <w:rsid w:val="00905B63"/>
    <w:rsid w:val="009071D2"/>
    <w:rsid w:val="009076A2"/>
    <w:rsid w:val="0091064F"/>
    <w:rsid w:val="009107F1"/>
    <w:rsid w:val="0091184B"/>
    <w:rsid w:val="00912797"/>
    <w:rsid w:val="00912CC0"/>
    <w:rsid w:val="00913AF9"/>
    <w:rsid w:val="00913B1A"/>
    <w:rsid w:val="00913BF6"/>
    <w:rsid w:val="00915E08"/>
    <w:rsid w:val="00915EE7"/>
    <w:rsid w:val="00916436"/>
    <w:rsid w:val="00916657"/>
    <w:rsid w:val="0091730B"/>
    <w:rsid w:val="00917D52"/>
    <w:rsid w:val="00921405"/>
    <w:rsid w:val="00921803"/>
    <w:rsid w:val="00921B89"/>
    <w:rsid w:val="009221D4"/>
    <w:rsid w:val="00922241"/>
    <w:rsid w:val="00923278"/>
    <w:rsid w:val="00923E50"/>
    <w:rsid w:val="00923F63"/>
    <w:rsid w:val="00926503"/>
    <w:rsid w:val="00930424"/>
    <w:rsid w:val="00930518"/>
    <w:rsid w:val="00930783"/>
    <w:rsid w:val="00931660"/>
    <w:rsid w:val="00932ADD"/>
    <w:rsid w:val="00933C23"/>
    <w:rsid w:val="00933F41"/>
    <w:rsid w:val="00934387"/>
    <w:rsid w:val="00934EE5"/>
    <w:rsid w:val="009358D7"/>
    <w:rsid w:val="00935960"/>
    <w:rsid w:val="0093728F"/>
    <w:rsid w:val="00940098"/>
    <w:rsid w:val="009409FD"/>
    <w:rsid w:val="00941240"/>
    <w:rsid w:val="009414B9"/>
    <w:rsid w:val="00941649"/>
    <w:rsid w:val="00941A36"/>
    <w:rsid w:val="00941CF0"/>
    <w:rsid w:val="00942E21"/>
    <w:rsid w:val="009431ED"/>
    <w:rsid w:val="00943481"/>
    <w:rsid w:val="0094390A"/>
    <w:rsid w:val="00943F32"/>
    <w:rsid w:val="00944C6B"/>
    <w:rsid w:val="00945FAA"/>
    <w:rsid w:val="00946A65"/>
    <w:rsid w:val="00947BA9"/>
    <w:rsid w:val="0095077D"/>
    <w:rsid w:val="009511D5"/>
    <w:rsid w:val="00951B18"/>
    <w:rsid w:val="00951EF0"/>
    <w:rsid w:val="0095232A"/>
    <w:rsid w:val="00952918"/>
    <w:rsid w:val="009540F0"/>
    <w:rsid w:val="00954912"/>
    <w:rsid w:val="00955167"/>
    <w:rsid w:val="00955622"/>
    <w:rsid w:val="00955AF2"/>
    <w:rsid w:val="009564CC"/>
    <w:rsid w:val="00957B10"/>
    <w:rsid w:val="00957DD9"/>
    <w:rsid w:val="009603F7"/>
    <w:rsid w:val="00960F30"/>
    <w:rsid w:val="00961013"/>
    <w:rsid w:val="00961E39"/>
    <w:rsid w:val="00962AF8"/>
    <w:rsid w:val="00963BE6"/>
    <w:rsid w:val="00967239"/>
    <w:rsid w:val="0097031F"/>
    <w:rsid w:val="00970CDA"/>
    <w:rsid w:val="009726D8"/>
    <w:rsid w:val="009730AB"/>
    <w:rsid w:val="00973BC6"/>
    <w:rsid w:val="00974198"/>
    <w:rsid w:val="0097480E"/>
    <w:rsid w:val="00974997"/>
    <w:rsid w:val="009755D3"/>
    <w:rsid w:val="00975FF2"/>
    <w:rsid w:val="00976C3E"/>
    <w:rsid w:val="00976C83"/>
    <w:rsid w:val="00977B49"/>
    <w:rsid w:val="0098045E"/>
    <w:rsid w:val="00980602"/>
    <w:rsid w:val="00981BEF"/>
    <w:rsid w:val="00981D6F"/>
    <w:rsid w:val="00982106"/>
    <w:rsid w:val="00982298"/>
    <w:rsid w:val="009834E6"/>
    <w:rsid w:val="00983D33"/>
    <w:rsid w:val="00983E08"/>
    <w:rsid w:val="00983F49"/>
    <w:rsid w:val="00983FF7"/>
    <w:rsid w:val="00984D0B"/>
    <w:rsid w:val="009866C4"/>
    <w:rsid w:val="00986F8F"/>
    <w:rsid w:val="00991270"/>
    <w:rsid w:val="00991324"/>
    <w:rsid w:val="0099150E"/>
    <w:rsid w:val="009915C1"/>
    <w:rsid w:val="00991CE3"/>
    <w:rsid w:val="0099249A"/>
    <w:rsid w:val="00992F75"/>
    <w:rsid w:val="00993341"/>
    <w:rsid w:val="00993848"/>
    <w:rsid w:val="00993D1C"/>
    <w:rsid w:val="0099638F"/>
    <w:rsid w:val="009967D0"/>
    <w:rsid w:val="00997609"/>
    <w:rsid w:val="00997804"/>
    <w:rsid w:val="00997922"/>
    <w:rsid w:val="0099792A"/>
    <w:rsid w:val="00997B85"/>
    <w:rsid w:val="009A0A7D"/>
    <w:rsid w:val="009A20B1"/>
    <w:rsid w:val="009A262B"/>
    <w:rsid w:val="009A2B12"/>
    <w:rsid w:val="009A2EC9"/>
    <w:rsid w:val="009A3DBC"/>
    <w:rsid w:val="009A411F"/>
    <w:rsid w:val="009A47CE"/>
    <w:rsid w:val="009A4913"/>
    <w:rsid w:val="009A5075"/>
    <w:rsid w:val="009A54AB"/>
    <w:rsid w:val="009A57DA"/>
    <w:rsid w:val="009A5E25"/>
    <w:rsid w:val="009A6A39"/>
    <w:rsid w:val="009A77DF"/>
    <w:rsid w:val="009B07B3"/>
    <w:rsid w:val="009B138A"/>
    <w:rsid w:val="009B1875"/>
    <w:rsid w:val="009B1C28"/>
    <w:rsid w:val="009B2511"/>
    <w:rsid w:val="009B294C"/>
    <w:rsid w:val="009B2C13"/>
    <w:rsid w:val="009B3624"/>
    <w:rsid w:val="009B3C04"/>
    <w:rsid w:val="009B407E"/>
    <w:rsid w:val="009B4BDC"/>
    <w:rsid w:val="009B4C03"/>
    <w:rsid w:val="009B4D6D"/>
    <w:rsid w:val="009B4E62"/>
    <w:rsid w:val="009B586F"/>
    <w:rsid w:val="009B5906"/>
    <w:rsid w:val="009B5B50"/>
    <w:rsid w:val="009B7B02"/>
    <w:rsid w:val="009B7B07"/>
    <w:rsid w:val="009C02F4"/>
    <w:rsid w:val="009C18FB"/>
    <w:rsid w:val="009C27DA"/>
    <w:rsid w:val="009C2C39"/>
    <w:rsid w:val="009C3B34"/>
    <w:rsid w:val="009C3C57"/>
    <w:rsid w:val="009C4534"/>
    <w:rsid w:val="009C6072"/>
    <w:rsid w:val="009C69B3"/>
    <w:rsid w:val="009C6A9A"/>
    <w:rsid w:val="009C6EC7"/>
    <w:rsid w:val="009D0CA7"/>
    <w:rsid w:val="009D103E"/>
    <w:rsid w:val="009D1069"/>
    <w:rsid w:val="009D2373"/>
    <w:rsid w:val="009D3655"/>
    <w:rsid w:val="009D3E69"/>
    <w:rsid w:val="009D44ED"/>
    <w:rsid w:val="009D4BAA"/>
    <w:rsid w:val="009D4CC3"/>
    <w:rsid w:val="009D5E9D"/>
    <w:rsid w:val="009D74E4"/>
    <w:rsid w:val="009D78E9"/>
    <w:rsid w:val="009D7E5D"/>
    <w:rsid w:val="009E1C9F"/>
    <w:rsid w:val="009E270C"/>
    <w:rsid w:val="009E29F9"/>
    <w:rsid w:val="009E3046"/>
    <w:rsid w:val="009E39BF"/>
    <w:rsid w:val="009E43CD"/>
    <w:rsid w:val="009E539A"/>
    <w:rsid w:val="009E5C29"/>
    <w:rsid w:val="009E5C5D"/>
    <w:rsid w:val="009E66DD"/>
    <w:rsid w:val="009E6F3E"/>
    <w:rsid w:val="009E716A"/>
    <w:rsid w:val="009E7194"/>
    <w:rsid w:val="009E72E0"/>
    <w:rsid w:val="009F0157"/>
    <w:rsid w:val="009F047C"/>
    <w:rsid w:val="009F04A3"/>
    <w:rsid w:val="009F072C"/>
    <w:rsid w:val="009F083A"/>
    <w:rsid w:val="009F12BA"/>
    <w:rsid w:val="009F16B8"/>
    <w:rsid w:val="009F1707"/>
    <w:rsid w:val="009F19F9"/>
    <w:rsid w:val="009F1BDF"/>
    <w:rsid w:val="009F1FD0"/>
    <w:rsid w:val="009F2552"/>
    <w:rsid w:val="009F2B17"/>
    <w:rsid w:val="009F39E1"/>
    <w:rsid w:val="009F452E"/>
    <w:rsid w:val="009F5104"/>
    <w:rsid w:val="009F5146"/>
    <w:rsid w:val="009F5F73"/>
    <w:rsid w:val="009F76DB"/>
    <w:rsid w:val="00A0016C"/>
    <w:rsid w:val="00A00FF0"/>
    <w:rsid w:val="00A01987"/>
    <w:rsid w:val="00A01F7F"/>
    <w:rsid w:val="00A03879"/>
    <w:rsid w:val="00A0395B"/>
    <w:rsid w:val="00A03ED0"/>
    <w:rsid w:val="00A03F1B"/>
    <w:rsid w:val="00A04184"/>
    <w:rsid w:val="00A04601"/>
    <w:rsid w:val="00A0561F"/>
    <w:rsid w:val="00A05EF6"/>
    <w:rsid w:val="00A07EA3"/>
    <w:rsid w:val="00A101BD"/>
    <w:rsid w:val="00A10BF6"/>
    <w:rsid w:val="00A10F1A"/>
    <w:rsid w:val="00A11C29"/>
    <w:rsid w:val="00A12570"/>
    <w:rsid w:val="00A129DD"/>
    <w:rsid w:val="00A136F8"/>
    <w:rsid w:val="00A14361"/>
    <w:rsid w:val="00A15ED6"/>
    <w:rsid w:val="00A168CF"/>
    <w:rsid w:val="00A16962"/>
    <w:rsid w:val="00A172B8"/>
    <w:rsid w:val="00A17539"/>
    <w:rsid w:val="00A17A71"/>
    <w:rsid w:val="00A17C78"/>
    <w:rsid w:val="00A2058C"/>
    <w:rsid w:val="00A209B5"/>
    <w:rsid w:val="00A20BD0"/>
    <w:rsid w:val="00A20D0E"/>
    <w:rsid w:val="00A20D7E"/>
    <w:rsid w:val="00A20F1E"/>
    <w:rsid w:val="00A21213"/>
    <w:rsid w:val="00A214C4"/>
    <w:rsid w:val="00A21998"/>
    <w:rsid w:val="00A21CE6"/>
    <w:rsid w:val="00A23CD8"/>
    <w:rsid w:val="00A25678"/>
    <w:rsid w:val="00A257B6"/>
    <w:rsid w:val="00A25970"/>
    <w:rsid w:val="00A25E70"/>
    <w:rsid w:val="00A26D0F"/>
    <w:rsid w:val="00A272ED"/>
    <w:rsid w:val="00A31108"/>
    <w:rsid w:val="00A3113D"/>
    <w:rsid w:val="00A31D83"/>
    <w:rsid w:val="00A31E3C"/>
    <w:rsid w:val="00A32C3B"/>
    <w:rsid w:val="00A335A9"/>
    <w:rsid w:val="00A3437F"/>
    <w:rsid w:val="00A34DD2"/>
    <w:rsid w:val="00A355F6"/>
    <w:rsid w:val="00A35B57"/>
    <w:rsid w:val="00A35C98"/>
    <w:rsid w:val="00A36A67"/>
    <w:rsid w:val="00A419F6"/>
    <w:rsid w:val="00A41D0C"/>
    <w:rsid w:val="00A42838"/>
    <w:rsid w:val="00A43154"/>
    <w:rsid w:val="00A44141"/>
    <w:rsid w:val="00A44163"/>
    <w:rsid w:val="00A4545E"/>
    <w:rsid w:val="00A456E5"/>
    <w:rsid w:val="00A45D5F"/>
    <w:rsid w:val="00A45F4F"/>
    <w:rsid w:val="00A4618A"/>
    <w:rsid w:val="00A4637F"/>
    <w:rsid w:val="00A4770C"/>
    <w:rsid w:val="00A501E1"/>
    <w:rsid w:val="00A51599"/>
    <w:rsid w:val="00A51A08"/>
    <w:rsid w:val="00A51B16"/>
    <w:rsid w:val="00A524DD"/>
    <w:rsid w:val="00A53B78"/>
    <w:rsid w:val="00A55BD8"/>
    <w:rsid w:val="00A56F2E"/>
    <w:rsid w:val="00A57F5D"/>
    <w:rsid w:val="00A600A9"/>
    <w:rsid w:val="00A6087D"/>
    <w:rsid w:val="00A60A9A"/>
    <w:rsid w:val="00A6102A"/>
    <w:rsid w:val="00A61206"/>
    <w:rsid w:val="00A6121C"/>
    <w:rsid w:val="00A6125C"/>
    <w:rsid w:val="00A612FB"/>
    <w:rsid w:val="00A61A02"/>
    <w:rsid w:val="00A61A67"/>
    <w:rsid w:val="00A626B6"/>
    <w:rsid w:val="00A62DD7"/>
    <w:rsid w:val="00A62F6D"/>
    <w:rsid w:val="00A62F78"/>
    <w:rsid w:val="00A633D2"/>
    <w:rsid w:val="00A645E6"/>
    <w:rsid w:val="00A656BB"/>
    <w:rsid w:val="00A67CEB"/>
    <w:rsid w:val="00A67D7B"/>
    <w:rsid w:val="00A70990"/>
    <w:rsid w:val="00A70A78"/>
    <w:rsid w:val="00A70B78"/>
    <w:rsid w:val="00A70CC3"/>
    <w:rsid w:val="00A712F4"/>
    <w:rsid w:val="00A71DB6"/>
    <w:rsid w:val="00A71EAE"/>
    <w:rsid w:val="00A73E11"/>
    <w:rsid w:val="00A7634C"/>
    <w:rsid w:val="00A76806"/>
    <w:rsid w:val="00A771D3"/>
    <w:rsid w:val="00A77C80"/>
    <w:rsid w:val="00A81FF4"/>
    <w:rsid w:val="00A82EC5"/>
    <w:rsid w:val="00A834D0"/>
    <w:rsid w:val="00A834E9"/>
    <w:rsid w:val="00A83D5A"/>
    <w:rsid w:val="00A83E57"/>
    <w:rsid w:val="00A84553"/>
    <w:rsid w:val="00A851B8"/>
    <w:rsid w:val="00A85E74"/>
    <w:rsid w:val="00A8608F"/>
    <w:rsid w:val="00A876FA"/>
    <w:rsid w:val="00A915A7"/>
    <w:rsid w:val="00A915AC"/>
    <w:rsid w:val="00A91C30"/>
    <w:rsid w:val="00A93D4A"/>
    <w:rsid w:val="00A93DEB"/>
    <w:rsid w:val="00A93E98"/>
    <w:rsid w:val="00A94367"/>
    <w:rsid w:val="00A945DB"/>
    <w:rsid w:val="00A95615"/>
    <w:rsid w:val="00A961B9"/>
    <w:rsid w:val="00A964D2"/>
    <w:rsid w:val="00A965C4"/>
    <w:rsid w:val="00A9670A"/>
    <w:rsid w:val="00A971CA"/>
    <w:rsid w:val="00AA08CF"/>
    <w:rsid w:val="00AA1605"/>
    <w:rsid w:val="00AA33B2"/>
    <w:rsid w:val="00AA425B"/>
    <w:rsid w:val="00AA43CE"/>
    <w:rsid w:val="00AA4FD4"/>
    <w:rsid w:val="00AA55B7"/>
    <w:rsid w:val="00AA5B9E"/>
    <w:rsid w:val="00AA6350"/>
    <w:rsid w:val="00AA66E1"/>
    <w:rsid w:val="00AA69B2"/>
    <w:rsid w:val="00AA7682"/>
    <w:rsid w:val="00AA789A"/>
    <w:rsid w:val="00AA7A51"/>
    <w:rsid w:val="00AB1317"/>
    <w:rsid w:val="00AB14EC"/>
    <w:rsid w:val="00AB1802"/>
    <w:rsid w:val="00AB2407"/>
    <w:rsid w:val="00AB3696"/>
    <w:rsid w:val="00AB49DF"/>
    <w:rsid w:val="00AB4DA9"/>
    <w:rsid w:val="00AB4E44"/>
    <w:rsid w:val="00AB53DF"/>
    <w:rsid w:val="00AB60FA"/>
    <w:rsid w:val="00AB66FC"/>
    <w:rsid w:val="00AB6B1D"/>
    <w:rsid w:val="00AB6EBA"/>
    <w:rsid w:val="00AB72B6"/>
    <w:rsid w:val="00AC0670"/>
    <w:rsid w:val="00AC2276"/>
    <w:rsid w:val="00AC27F5"/>
    <w:rsid w:val="00AC2E4D"/>
    <w:rsid w:val="00AC30AA"/>
    <w:rsid w:val="00AC46A0"/>
    <w:rsid w:val="00AC5945"/>
    <w:rsid w:val="00AC5E7D"/>
    <w:rsid w:val="00AC674A"/>
    <w:rsid w:val="00AC70AB"/>
    <w:rsid w:val="00AD0169"/>
    <w:rsid w:val="00AD0188"/>
    <w:rsid w:val="00AD1132"/>
    <w:rsid w:val="00AD1B9A"/>
    <w:rsid w:val="00AD28D5"/>
    <w:rsid w:val="00AD2BBC"/>
    <w:rsid w:val="00AD3407"/>
    <w:rsid w:val="00AD4024"/>
    <w:rsid w:val="00AD4256"/>
    <w:rsid w:val="00AD441A"/>
    <w:rsid w:val="00AD4CF5"/>
    <w:rsid w:val="00AD6175"/>
    <w:rsid w:val="00AD64D0"/>
    <w:rsid w:val="00AD7011"/>
    <w:rsid w:val="00AD74AF"/>
    <w:rsid w:val="00AD783A"/>
    <w:rsid w:val="00AD7B99"/>
    <w:rsid w:val="00AE0B2D"/>
    <w:rsid w:val="00AE1495"/>
    <w:rsid w:val="00AE280C"/>
    <w:rsid w:val="00AE2F82"/>
    <w:rsid w:val="00AE32DC"/>
    <w:rsid w:val="00AE3783"/>
    <w:rsid w:val="00AE442F"/>
    <w:rsid w:val="00AE47D8"/>
    <w:rsid w:val="00AE48B2"/>
    <w:rsid w:val="00AE511E"/>
    <w:rsid w:val="00AE6679"/>
    <w:rsid w:val="00AE6A80"/>
    <w:rsid w:val="00AE6D2A"/>
    <w:rsid w:val="00AE73FE"/>
    <w:rsid w:val="00AE7781"/>
    <w:rsid w:val="00AE7EFC"/>
    <w:rsid w:val="00AF1561"/>
    <w:rsid w:val="00AF1CB2"/>
    <w:rsid w:val="00AF2604"/>
    <w:rsid w:val="00AF39DF"/>
    <w:rsid w:val="00AF471F"/>
    <w:rsid w:val="00AF4C5E"/>
    <w:rsid w:val="00AF5443"/>
    <w:rsid w:val="00AF5A16"/>
    <w:rsid w:val="00AF68E6"/>
    <w:rsid w:val="00AF6A5E"/>
    <w:rsid w:val="00AF6E90"/>
    <w:rsid w:val="00AF7D3B"/>
    <w:rsid w:val="00B001B8"/>
    <w:rsid w:val="00B009F4"/>
    <w:rsid w:val="00B0179A"/>
    <w:rsid w:val="00B03393"/>
    <w:rsid w:val="00B035C4"/>
    <w:rsid w:val="00B0459E"/>
    <w:rsid w:val="00B047C9"/>
    <w:rsid w:val="00B04A46"/>
    <w:rsid w:val="00B057D8"/>
    <w:rsid w:val="00B058C8"/>
    <w:rsid w:val="00B06370"/>
    <w:rsid w:val="00B06A25"/>
    <w:rsid w:val="00B06E80"/>
    <w:rsid w:val="00B07481"/>
    <w:rsid w:val="00B0753A"/>
    <w:rsid w:val="00B07E5C"/>
    <w:rsid w:val="00B1080B"/>
    <w:rsid w:val="00B109D5"/>
    <w:rsid w:val="00B1120F"/>
    <w:rsid w:val="00B117BF"/>
    <w:rsid w:val="00B118D3"/>
    <w:rsid w:val="00B11D8D"/>
    <w:rsid w:val="00B11E5A"/>
    <w:rsid w:val="00B11F94"/>
    <w:rsid w:val="00B13A0C"/>
    <w:rsid w:val="00B13EE2"/>
    <w:rsid w:val="00B144B8"/>
    <w:rsid w:val="00B1562E"/>
    <w:rsid w:val="00B16756"/>
    <w:rsid w:val="00B17D9A"/>
    <w:rsid w:val="00B20CAF"/>
    <w:rsid w:val="00B20F14"/>
    <w:rsid w:val="00B210B9"/>
    <w:rsid w:val="00B219AB"/>
    <w:rsid w:val="00B231E7"/>
    <w:rsid w:val="00B23425"/>
    <w:rsid w:val="00B24137"/>
    <w:rsid w:val="00B2478E"/>
    <w:rsid w:val="00B24BA2"/>
    <w:rsid w:val="00B25AB8"/>
    <w:rsid w:val="00B25E16"/>
    <w:rsid w:val="00B2694B"/>
    <w:rsid w:val="00B271B7"/>
    <w:rsid w:val="00B2724E"/>
    <w:rsid w:val="00B278C1"/>
    <w:rsid w:val="00B31B29"/>
    <w:rsid w:val="00B31CC6"/>
    <w:rsid w:val="00B330C3"/>
    <w:rsid w:val="00B3318E"/>
    <w:rsid w:val="00B339D4"/>
    <w:rsid w:val="00B33B62"/>
    <w:rsid w:val="00B34AF5"/>
    <w:rsid w:val="00B35808"/>
    <w:rsid w:val="00B35B5D"/>
    <w:rsid w:val="00B35F58"/>
    <w:rsid w:val="00B35F90"/>
    <w:rsid w:val="00B3664A"/>
    <w:rsid w:val="00B36794"/>
    <w:rsid w:val="00B367A1"/>
    <w:rsid w:val="00B36C89"/>
    <w:rsid w:val="00B37227"/>
    <w:rsid w:val="00B374BB"/>
    <w:rsid w:val="00B37BDF"/>
    <w:rsid w:val="00B40230"/>
    <w:rsid w:val="00B40E50"/>
    <w:rsid w:val="00B413DE"/>
    <w:rsid w:val="00B41467"/>
    <w:rsid w:val="00B4153A"/>
    <w:rsid w:val="00B425E2"/>
    <w:rsid w:val="00B42B56"/>
    <w:rsid w:val="00B4309B"/>
    <w:rsid w:val="00B4340F"/>
    <w:rsid w:val="00B43C1E"/>
    <w:rsid w:val="00B45094"/>
    <w:rsid w:val="00B47C7B"/>
    <w:rsid w:val="00B47D44"/>
    <w:rsid w:val="00B47FE2"/>
    <w:rsid w:val="00B512C1"/>
    <w:rsid w:val="00B51622"/>
    <w:rsid w:val="00B52A50"/>
    <w:rsid w:val="00B52E75"/>
    <w:rsid w:val="00B53214"/>
    <w:rsid w:val="00B533B4"/>
    <w:rsid w:val="00B539EB"/>
    <w:rsid w:val="00B53AC7"/>
    <w:rsid w:val="00B53E50"/>
    <w:rsid w:val="00B5529A"/>
    <w:rsid w:val="00B55A1B"/>
    <w:rsid w:val="00B55CEF"/>
    <w:rsid w:val="00B569BA"/>
    <w:rsid w:val="00B577DD"/>
    <w:rsid w:val="00B60120"/>
    <w:rsid w:val="00B60F6D"/>
    <w:rsid w:val="00B611E0"/>
    <w:rsid w:val="00B61651"/>
    <w:rsid w:val="00B6200A"/>
    <w:rsid w:val="00B623A6"/>
    <w:rsid w:val="00B633D3"/>
    <w:rsid w:val="00B63CBC"/>
    <w:rsid w:val="00B63E10"/>
    <w:rsid w:val="00B640C6"/>
    <w:rsid w:val="00B649DC"/>
    <w:rsid w:val="00B65734"/>
    <w:rsid w:val="00B65D6A"/>
    <w:rsid w:val="00B65E7B"/>
    <w:rsid w:val="00B6616A"/>
    <w:rsid w:val="00B66DB2"/>
    <w:rsid w:val="00B66F56"/>
    <w:rsid w:val="00B6709C"/>
    <w:rsid w:val="00B70264"/>
    <w:rsid w:val="00B70B2F"/>
    <w:rsid w:val="00B71049"/>
    <w:rsid w:val="00B72F65"/>
    <w:rsid w:val="00B7314E"/>
    <w:rsid w:val="00B73C49"/>
    <w:rsid w:val="00B74B21"/>
    <w:rsid w:val="00B74B39"/>
    <w:rsid w:val="00B75B7A"/>
    <w:rsid w:val="00B75DF4"/>
    <w:rsid w:val="00B765A6"/>
    <w:rsid w:val="00B76E02"/>
    <w:rsid w:val="00B80111"/>
    <w:rsid w:val="00B8046B"/>
    <w:rsid w:val="00B811F7"/>
    <w:rsid w:val="00B819D1"/>
    <w:rsid w:val="00B833D6"/>
    <w:rsid w:val="00B83404"/>
    <w:rsid w:val="00B83495"/>
    <w:rsid w:val="00B83608"/>
    <w:rsid w:val="00B8477A"/>
    <w:rsid w:val="00B852DD"/>
    <w:rsid w:val="00B85AA8"/>
    <w:rsid w:val="00B8644C"/>
    <w:rsid w:val="00B86CED"/>
    <w:rsid w:val="00B87243"/>
    <w:rsid w:val="00B8762D"/>
    <w:rsid w:val="00B90585"/>
    <w:rsid w:val="00B907B2"/>
    <w:rsid w:val="00B92E12"/>
    <w:rsid w:val="00B94118"/>
    <w:rsid w:val="00B94371"/>
    <w:rsid w:val="00B95ADA"/>
    <w:rsid w:val="00B967BB"/>
    <w:rsid w:val="00B97B46"/>
    <w:rsid w:val="00BA1EE9"/>
    <w:rsid w:val="00BA3851"/>
    <w:rsid w:val="00BA39EA"/>
    <w:rsid w:val="00BA3E89"/>
    <w:rsid w:val="00BA462C"/>
    <w:rsid w:val="00BA5DC6"/>
    <w:rsid w:val="00BA6196"/>
    <w:rsid w:val="00BA722F"/>
    <w:rsid w:val="00BA7719"/>
    <w:rsid w:val="00BA790B"/>
    <w:rsid w:val="00BB1D16"/>
    <w:rsid w:val="00BB3731"/>
    <w:rsid w:val="00BB3DE0"/>
    <w:rsid w:val="00BB5A1D"/>
    <w:rsid w:val="00BB641A"/>
    <w:rsid w:val="00BB6995"/>
    <w:rsid w:val="00BB76B2"/>
    <w:rsid w:val="00BC0072"/>
    <w:rsid w:val="00BC01E7"/>
    <w:rsid w:val="00BC02F9"/>
    <w:rsid w:val="00BC1035"/>
    <w:rsid w:val="00BC5427"/>
    <w:rsid w:val="00BC6378"/>
    <w:rsid w:val="00BC6D8C"/>
    <w:rsid w:val="00BD007C"/>
    <w:rsid w:val="00BD007F"/>
    <w:rsid w:val="00BD06C4"/>
    <w:rsid w:val="00BD0FE9"/>
    <w:rsid w:val="00BD112A"/>
    <w:rsid w:val="00BD11FA"/>
    <w:rsid w:val="00BD1D5E"/>
    <w:rsid w:val="00BD1F2E"/>
    <w:rsid w:val="00BD354C"/>
    <w:rsid w:val="00BD4B83"/>
    <w:rsid w:val="00BD4CFD"/>
    <w:rsid w:val="00BD4D6A"/>
    <w:rsid w:val="00BD4E27"/>
    <w:rsid w:val="00BD53D4"/>
    <w:rsid w:val="00BD5BB3"/>
    <w:rsid w:val="00BD62DD"/>
    <w:rsid w:val="00BD64E0"/>
    <w:rsid w:val="00BD67FE"/>
    <w:rsid w:val="00BD6C4E"/>
    <w:rsid w:val="00BD7997"/>
    <w:rsid w:val="00BD7D94"/>
    <w:rsid w:val="00BE070F"/>
    <w:rsid w:val="00BE0754"/>
    <w:rsid w:val="00BE0A7F"/>
    <w:rsid w:val="00BE0B98"/>
    <w:rsid w:val="00BE0D32"/>
    <w:rsid w:val="00BE110A"/>
    <w:rsid w:val="00BE1151"/>
    <w:rsid w:val="00BE1CB6"/>
    <w:rsid w:val="00BE1E57"/>
    <w:rsid w:val="00BE26BE"/>
    <w:rsid w:val="00BE2B18"/>
    <w:rsid w:val="00BE2BFB"/>
    <w:rsid w:val="00BE3225"/>
    <w:rsid w:val="00BE3A8D"/>
    <w:rsid w:val="00BE3C30"/>
    <w:rsid w:val="00BE44B9"/>
    <w:rsid w:val="00BE484A"/>
    <w:rsid w:val="00BE4A0A"/>
    <w:rsid w:val="00BE4A35"/>
    <w:rsid w:val="00BE4DA4"/>
    <w:rsid w:val="00BE5D87"/>
    <w:rsid w:val="00BE5E01"/>
    <w:rsid w:val="00BE622D"/>
    <w:rsid w:val="00BE638D"/>
    <w:rsid w:val="00BE646B"/>
    <w:rsid w:val="00BE65E1"/>
    <w:rsid w:val="00BE6E19"/>
    <w:rsid w:val="00BE72DF"/>
    <w:rsid w:val="00BF015D"/>
    <w:rsid w:val="00BF114E"/>
    <w:rsid w:val="00BF2133"/>
    <w:rsid w:val="00BF23C2"/>
    <w:rsid w:val="00BF2504"/>
    <w:rsid w:val="00BF2FEF"/>
    <w:rsid w:val="00BF3FAB"/>
    <w:rsid w:val="00BF4838"/>
    <w:rsid w:val="00BF4B2D"/>
    <w:rsid w:val="00BF4E24"/>
    <w:rsid w:val="00BF51B0"/>
    <w:rsid w:val="00BF5C3A"/>
    <w:rsid w:val="00BF6551"/>
    <w:rsid w:val="00C0033E"/>
    <w:rsid w:val="00C00B15"/>
    <w:rsid w:val="00C00DE6"/>
    <w:rsid w:val="00C0150F"/>
    <w:rsid w:val="00C01F28"/>
    <w:rsid w:val="00C02074"/>
    <w:rsid w:val="00C02F02"/>
    <w:rsid w:val="00C031D3"/>
    <w:rsid w:val="00C031DC"/>
    <w:rsid w:val="00C03AD1"/>
    <w:rsid w:val="00C03D66"/>
    <w:rsid w:val="00C03EA7"/>
    <w:rsid w:val="00C0503C"/>
    <w:rsid w:val="00C06FD9"/>
    <w:rsid w:val="00C071AD"/>
    <w:rsid w:val="00C07633"/>
    <w:rsid w:val="00C106B5"/>
    <w:rsid w:val="00C10993"/>
    <w:rsid w:val="00C1124E"/>
    <w:rsid w:val="00C11EAD"/>
    <w:rsid w:val="00C12699"/>
    <w:rsid w:val="00C12D05"/>
    <w:rsid w:val="00C13547"/>
    <w:rsid w:val="00C135B2"/>
    <w:rsid w:val="00C13B33"/>
    <w:rsid w:val="00C13BC8"/>
    <w:rsid w:val="00C142D7"/>
    <w:rsid w:val="00C1464B"/>
    <w:rsid w:val="00C148F1"/>
    <w:rsid w:val="00C14D2C"/>
    <w:rsid w:val="00C17980"/>
    <w:rsid w:val="00C2001F"/>
    <w:rsid w:val="00C20EAE"/>
    <w:rsid w:val="00C212C5"/>
    <w:rsid w:val="00C21455"/>
    <w:rsid w:val="00C21538"/>
    <w:rsid w:val="00C228FF"/>
    <w:rsid w:val="00C23733"/>
    <w:rsid w:val="00C239E5"/>
    <w:rsid w:val="00C269C6"/>
    <w:rsid w:val="00C30369"/>
    <w:rsid w:val="00C30989"/>
    <w:rsid w:val="00C30B82"/>
    <w:rsid w:val="00C31C26"/>
    <w:rsid w:val="00C3274F"/>
    <w:rsid w:val="00C3348D"/>
    <w:rsid w:val="00C33A6D"/>
    <w:rsid w:val="00C34006"/>
    <w:rsid w:val="00C34512"/>
    <w:rsid w:val="00C35426"/>
    <w:rsid w:val="00C365D2"/>
    <w:rsid w:val="00C40273"/>
    <w:rsid w:val="00C4069E"/>
    <w:rsid w:val="00C40DE8"/>
    <w:rsid w:val="00C413EB"/>
    <w:rsid w:val="00C4195B"/>
    <w:rsid w:val="00C41BC6"/>
    <w:rsid w:val="00C42300"/>
    <w:rsid w:val="00C426B1"/>
    <w:rsid w:val="00C43446"/>
    <w:rsid w:val="00C4396F"/>
    <w:rsid w:val="00C43DC6"/>
    <w:rsid w:val="00C4409D"/>
    <w:rsid w:val="00C449E9"/>
    <w:rsid w:val="00C44CCC"/>
    <w:rsid w:val="00C45510"/>
    <w:rsid w:val="00C457E0"/>
    <w:rsid w:val="00C45B4C"/>
    <w:rsid w:val="00C461C5"/>
    <w:rsid w:val="00C46AD4"/>
    <w:rsid w:val="00C471A8"/>
    <w:rsid w:val="00C477E0"/>
    <w:rsid w:val="00C478C5"/>
    <w:rsid w:val="00C47B5B"/>
    <w:rsid w:val="00C50434"/>
    <w:rsid w:val="00C50AC0"/>
    <w:rsid w:val="00C51AD6"/>
    <w:rsid w:val="00C52073"/>
    <w:rsid w:val="00C52185"/>
    <w:rsid w:val="00C546D4"/>
    <w:rsid w:val="00C552A2"/>
    <w:rsid w:val="00C559F9"/>
    <w:rsid w:val="00C55BCD"/>
    <w:rsid w:val="00C56624"/>
    <w:rsid w:val="00C62392"/>
    <w:rsid w:val="00C62409"/>
    <w:rsid w:val="00C62AA1"/>
    <w:rsid w:val="00C62B13"/>
    <w:rsid w:val="00C634AA"/>
    <w:rsid w:val="00C63CA8"/>
    <w:rsid w:val="00C64F65"/>
    <w:rsid w:val="00C65715"/>
    <w:rsid w:val="00C65927"/>
    <w:rsid w:val="00C66160"/>
    <w:rsid w:val="00C66C96"/>
    <w:rsid w:val="00C66F00"/>
    <w:rsid w:val="00C66F2D"/>
    <w:rsid w:val="00C677A1"/>
    <w:rsid w:val="00C67FAA"/>
    <w:rsid w:val="00C70211"/>
    <w:rsid w:val="00C7052F"/>
    <w:rsid w:val="00C70949"/>
    <w:rsid w:val="00C70B8E"/>
    <w:rsid w:val="00C71695"/>
    <w:rsid w:val="00C721AC"/>
    <w:rsid w:val="00C72204"/>
    <w:rsid w:val="00C72303"/>
    <w:rsid w:val="00C73107"/>
    <w:rsid w:val="00C7338E"/>
    <w:rsid w:val="00C73843"/>
    <w:rsid w:val="00C74B13"/>
    <w:rsid w:val="00C757F8"/>
    <w:rsid w:val="00C77CA2"/>
    <w:rsid w:val="00C801C9"/>
    <w:rsid w:val="00C83944"/>
    <w:rsid w:val="00C84463"/>
    <w:rsid w:val="00C84794"/>
    <w:rsid w:val="00C84AB0"/>
    <w:rsid w:val="00C84D27"/>
    <w:rsid w:val="00C85057"/>
    <w:rsid w:val="00C861E4"/>
    <w:rsid w:val="00C86666"/>
    <w:rsid w:val="00C86B1A"/>
    <w:rsid w:val="00C86E40"/>
    <w:rsid w:val="00C87A87"/>
    <w:rsid w:val="00C90D6A"/>
    <w:rsid w:val="00C92F78"/>
    <w:rsid w:val="00C93262"/>
    <w:rsid w:val="00C932C5"/>
    <w:rsid w:val="00C9413B"/>
    <w:rsid w:val="00C9670E"/>
    <w:rsid w:val="00CA04B8"/>
    <w:rsid w:val="00CA1453"/>
    <w:rsid w:val="00CA159D"/>
    <w:rsid w:val="00CA212C"/>
    <w:rsid w:val="00CA247E"/>
    <w:rsid w:val="00CA301F"/>
    <w:rsid w:val="00CA337D"/>
    <w:rsid w:val="00CA4643"/>
    <w:rsid w:val="00CA6332"/>
    <w:rsid w:val="00CA653A"/>
    <w:rsid w:val="00CA6801"/>
    <w:rsid w:val="00CA682D"/>
    <w:rsid w:val="00CA6AFE"/>
    <w:rsid w:val="00CA797F"/>
    <w:rsid w:val="00CB03F5"/>
    <w:rsid w:val="00CB1471"/>
    <w:rsid w:val="00CB1872"/>
    <w:rsid w:val="00CB1C0C"/>
    <w:rsid w:val="00CB313F"/>
    <w:rsid w:val="00CB31F0"/>
    <w:rsid w:val="00CB337E"/>
    <w:rsid w:val="00CB343B"/>
    <w:rsid w:val="00CB4E2D"/>
    <w:rsid w:val="00CB558D"/>
    <w:rsid w:val="00CB5BA1"/>
    <w:rsid w:val="00CB6D14"/>
    <w:rsid w:val="00CB6DFE"/>
    <w:rsid w:val="00CB7095"/>
    <w:rsid w:val="00CB7D55"/>
    <w:rsid w:val="00CB7DED"/>
    <w:rsid w:val="00CB7F37"/>
    <w:rsid w:val="00CC06DF"/>
    <w:rsid w:val="00CC0D86"/>
    <w:rsid w:val="00CC1744"/>
    <w:rsid w:val="00CC2E29"/>
    <w:rsid w:val="00CC42D4"/>
    <w:rsid w:val="00CC4AD3"/>
    <w:rsid w:val="00CC4BF4"/>
    <w:rsid w:val="00CC4C56"/>
    <w:rsid w:val="00CC5212"/>
    <w:rsid w:val="00CC56B6"/>
    <w:rsid w:val="00CC5A09"/>
    <w:rsid w:val="00CC5EB6"/>
    <w:rsid w:val="00CC604E"/>
    <w:rsid w:val="00CC61C4"/>
    <w:rsid w:val="00CC72B6"/>
    <w:rsid w:val="00CC7891"/>
    <w:rsid w:val="00CC7FDC"/>
    <w:rsid w:val="00CD0449"/>
    <w:rsid w:val="00CD0739"/>
    <w:rsid w:val="00CD105B"/>
    <w:rsid w:val="00CD1247"/>
    <w:rsid w:val="00CD129C"/>
    <w:rsid w:val="00CD2360"/>
    <w:rsid w:val="00CD2BE9"/>
    <w:rsid w:val="00CD2C87"/>
    <w:rsid w:val="00CD37E7"/>
    <w:rsid w:val="00CD3C8D"/>
    <w:rsid w:val="00CD46B6"/>
    <w:rsid w:val="00CD5692"/>
    <w:rsid w:val="00CD6C53"/>
    <w:rsid w:val="00CD6FF7"/>
    <w:rsid w:val="00CD76E7"/>
    <w:rsid w:val="00CD7B98"/>
    <w:rsid w:val="00CE064A"/>
    <w:rsid w:val="00CE07E6"/>
    <w:rsid w:val="00CE0836"/>
    <w:rsid w:val="00CE158B"/>
    <w:rsid w:val="00CE2535"/>
    <w:rsid w:val="00CE2726"/>
    <w:rsid w:val="00CE2B03"/>
    <w:rsid w:val="00CE2DD8"/>
    <w:rsid w:val="00CE3686"/>
    <w:rsid w:val="00CE3DCE"/>
    <w:rsid w:val="00CE4008"/>
    <w:rsid w:val="00CE44D7"/>
    <w:rsid w:val="00CE4BFB"/>
    <w:rsid w:val="00CE54BD"/>
    <w:rsid w:val="00CE5A8E"/>
    <w:rsid w:val="00CE5C90"/>
    <w:rsid w:val="00CE66B0"/>
    <w:rsid w:val="00CE6B5F"/>
    <w:rsid w:val="00CE6C00"/>
    <w:rsid w:val="00CF0514"/>
    <w:rsid w:val="00CF1CDD"/>
    <w:rsid w:val="00CF29FA"/>
    <w:rsid w:val="00CF2A93"/>
    <w:rsid w:val="00CF4C4A"/>
    <w:rsid w:val="00CF537E"/>
    <w:rsid w:val="00CF5797"/>
    <w:rsid w:val="00CF5E6A"/>
    <w:rsid w:val="00CF6126"/>
    <w:rsid w:val="00CF7751"/>
    <w:rsid w:val="00D00911"/>
    <w:rsid w:val="00D01021"/>
    <w:rsid w:val="00D01027"/>
    <w:rsid w:val="00D011BA"/>
    <w:rsid w:val="00D01871"/>
    <w:rsid w:val="00D0218D"/>
    <w:rsid w:val="00D02DAE"/>
    <w:rsid w:val="00D02E98"/>
    <w:rsid w:val="00D0394E"/>
    <w:rsid w:val="00D039FE"/>
    <w:rsid w:val="00D041E2"/>
    <w:rsid w:val="00D04381"/>
    <w:rsid w:val="00D04EF0"/>
    <w:rsid w:val="00D06196"/>
    <w:rsid w:val="00D06973"/>
    <w:rsid w:val="00D06EC8"/>
    <w:rsid w:val="00D06F29"/>
    <w:rsid w:val="00D11900"/>
    <w:rsid w:val="00D12668"/>
    <w:rsid w:val="00D1267A"/>
    <w:rsid w:val="00D128B3"/>
    <w:rsid w:val="00D137E1"/>
    <w:rsid w:val="00D13B77"/>
    <w:rsid w:val="00D14624"/>
    <w:rsid w:val="00D152F0"/>
    <w:rsid w:val="00D15B66"/>
    <w:rsid w:val="00D16A8D"/>
    <w:rsid w:val="00D16D3E"/>
    <w:rsid w:val="00D17347"/>
    <w:rsid w:val="00D17D70"/>
    <w:rsid w:val="00D21F4E"/>
    <w:rsid w:val="00D230F8"/>
    <w:rsid w:val="00D23657"/>
    <w:rsid w:val="00D24843"/>
    <w:rsid w:val="00D248EF"/>
    <w:rsid w:val="00D249DF"/>
    <w:rsid w:val="00D24A9B"/>
    <w:rsid w:val="00D24E06"/>
    <w:rsid w:val="00D25FB5"/>
    <w:rsid w:val="00D260BB"/>
    <w:rsid w:val="00D262A6"/>
    <w:rsid w:val="00D26A34"/>
    <w:rsid w:val="00D271E5"/>
    <w:rsid w:val="00D27BC7"/>
    <w:rsid w:val="00D27FE9"/>
    <w:rsid w:val="00D3043E"/>
    <w:rsid w:val="00D30665"/>
    <w:rsid w:val="00D31152"/>
    <w:rsid w:val="00D3188F"/>
    <w:rsid w:val="00D31BC8"/>
    <w:rsid w:val="00D32D5A"/>
    <w:rsid w:val="00D33AF4"/>
    <w:rsid w:val="00D35F74"/>
    <w:rsid w:val="00D37BE2"/>
    <w:rsid w:val="00D37EBA"/>
    <w:rsid w:val="00D37FF4"/>
    <w:rsid w:val="00D4001A"/>
    <w:rsid w:val="00D404C3"/>
    <w:rsid w:val="00D43A9D"/>
    <w:rsid w:val="00D44223"/>
    <w:rsid w:val="00D44445"/>
    <w:rsid w:val="00D44D05"/>
    <w:rsid w:val="00D45FB7"/>
    <w:rsid w:val="00D46BEF"/>
    <w:rsid w:val="00D47CB9"/>
    <w:rsid w:val="00D50AF2"/>
    <w:rsid w:val="00D50BA3"/>
    <w:rsid w:val="00D50DBE"/>
    <w:rsid w:val="00D53352"/>
    <w:rsid w:val="00D536A6"/>
    <w:rsid w:val="00D54146"/>
    <w:rsid w:val="00D54AE5"/>
    <w:rsid w:val="00D57D1D"/>
    <w:rsid w:val="00D57E4B"/>
    <w:rsid w:val="00D602F3"/>
    <w:rsid w:val="00D60693"/>
    <w:rsid w:val="00D606D5"/>
    <w:rsid w:val="00D6171F"/>
    <w:rsid w:val="00D61BEF"/>
    <w:rsid w:val="00D6230F"/>
    <w:rsid w:val="00D6269B"/>
    <w:rsid w:val="00D62E4A"/>
    <w:rsid w:val="00D63426"/>
    <w:rsid w:val="00D6344B"/>
    <w:rsid w:val="00D63B4B"/>
    <w:rsid w:val="00D63E67"/>
    <w:rsid w:val="00D63E7A"/>
    <w:rsid w:val="00D647CA"/>
    <w:rsid w:val="00D6531D"/>
    <w:rsid w:val="00D65D58"/>
    <w:rsid w:val="00D67322"/>
    <w:rsid w:val="00D6785F"/>
    <w:rsid w:val="00D678FB"/>
    <w:rsid w:val="00D7034B"/>
    <w:rsid w:val="00D7469F"/>
    <w:rsid w:val="00D746BD"/>
    <w:rsid w:val="00D74AE8"/>
    <w:rsid w:val="00D74E48"/>
    <w:rsid w:val="00D75E83"/>
    <w:rsid w:val="00D75F85"/>
    <w:rsid w:val="00D76860"/>
    <w:rsid w:val="00D7732F"/>
    <w:rsid w:val="00D77F59"/>
    <w:rsid w:val="00D806AB"/>
    <w:rsid w:val="00D80DFA"/>
    <w:rsid w:val="00D8106A"/>
    <w:rsid w:val="00D811C2"/>
    <w:rsid w:val="00D81770"/>
    <w:rsid w:val="00D81C61"/>
    <w:rsid w:val="00D825CF"/>
    <w:rsid w:val="00D82A97"/>
    <w:rsid w:val="00D83368"/>
    <w:rsid w:val="00D83443"/>
    <w:rsid w:val="00D84717"/>
    <w:rsid w:val="00D84F31"/>
    <w:rsid w:val="00D8621F"/>
    <w:rsid w:val="00D8786D"/>
    <w:rsid w:val="00D87DF9"/>
    <w:rsid w:val="00D92087"/>
    <w:rsid w:val="00D92866"/>
    <w:rsid w:val="00D93193"/>
    <w:rsid w:val="00D932D6"/>
    <w:rsid w:val="00D9422D"/>
    <w:rsid w:val="00D94335"/>
    <w:rsid w:val="00D94842"/>
    <w:rsid w:val="00D94BCD"/>
    <w:rsid w:val="00D951A0"/>
    <w:rsid w:val="00D95384"/>
    <w:rsid w:val="00D96D6A"/>
    <w:rsid w:val="00D97728"/>
    <w:rsid w:val="00DA08E3"/>
    <w:rsid w:val="00DA0E51"/>
    <w:rsid w:val="00DA2529"/>
    <w:rsid w:val="00DA5E2D"/>
    <w:rsid w:val="00DA61AC"/>
    <w:rsid w:val="00DA6869"/>
    <w:rsid w:val="00DA76A0"/>
    <w:rsid w:val="00DA794C"/>
    <w:rsid w:val="00DA7F97"/>
    <w:rsid w:val="00DA7FE1"/>
    <w:rsid w:val="00DB09A6"/>
    <w:rsid w:val="00DB130A"/>
    <w:rsid w:val="00DB198E"/>
    <w:rsid w:val="00DB1F0E"/>
    <w:rsid w:val="00DB1F60"/>
    <w:rsid w:val="00DB200E"/>
    <w:rsid w:val="00DB25D0"/>
    <w:rsid w:val="00DB26E8"/>
    <w:rsid w:val="00DB2E52"/>
    <w:rsid w:val="00DB2EBB"/>
    <w:rsid w:val="00DB52CE"/>
    <w:rsid w:val="00DB54C9"/>
    <w:rsid w:val="00DB65C8"/>
    <w:rsid w:val="00DB67B3"/>
    <w:rsid w:val="00DB6F3D"/>
    <w:rsid w:val="00DB7784"/>
    <w:rsid w:val="00DC07C4"/>
    <w:rsid w:val="00DC10A1"/>
    <w:rsid w:val="00DC12FC"/>
    <w:rsid w:val="00DC1485"/>
    <w:rsid w:val="00DC2095"/>
    <w:rsid w:val="00DC212D"/>
    <w:rsid w:val="00DC25BB"/>
    <w:rsid w:val="00DC2D93"/>
    <w:rsid w:val="00DC34B0"/>
    <w:rsid w:val="00DC36E2"/>
    <w:rsid w:val="00DC4EC3"/>
    <w:rsid w:val="00DC50F4"/>
    <w:rsid w:val="00DC57F9"/>
    <w:rsid w:val="00DC59D3"/>
    <w:rsid w:val="00DC5C7F"/>
    <w:rsid w:val="00DC625A"/>
    <w:rsid w:val="00DC655F"/>
    <w:rsid w:val="00DC7111"/>
    <w:rsid w:val="00DC7118"/>
    <w:rsid w:val="00DC7247"/>
    <w:rsid w:val="00DC7378"/>
    <w:rsid w:val="00DC7B71"/>
    <w:rsid w:val="00DD0B59"/>
    <w:rsid w:val="00DD0C47"/>
    <w:rsid w:val="00DD0DD8"/>
    <w:rsid w:val="00DD1AA9"/>
    <w:rsid w:val="00DD24F8"/>
    <w:rsid w:val="00DD2A9E"/>
    <w:rsid w:val="00DD2E74"/>
    <w:rsid w:val="00DD303C"/>
    <w:rsid w:val="00DD34C7"/>
    <w:rsid w:val="00DD4B39"/>
    <w:rsid w:val="00DD7B5A"/>
    <w:rsid w:val="00DD7E12"/>
    <w:rsid w:val="00DD7EBD"/>
    <w:rsid w:val="00DE1190"/>
    <w:rsid w:val="00DE2256"/>
    <w:rsid w:val="00DE24BE"/>
    <w:rsid w:val="00DE2E88"/>
    <w:rsid w:val="00DE354B"/>
    <w:rsid w:val="00DE3CF9"/>
    <w:rsid w:val="00DE3ED0"/>
    <w:rsid w:val="00DE530E"/>
    <w:rsid w:val="00DE5C06"/>
    <w:rsid w:val="00DE66D6"/>
    <w:rsid w:val="00DE6F86"/>
    <w:rsid w:val="00DF06BD"/>
    <w:rsid w:val="00DF07E2"/>
    <w:rsid w:val="00DF0EAC"/>
    <w:rsid w:val="00DF11A4"/>
    <w:rsid w:val="00DF1B99"/>
    <w:rsid w:val="00DF1DB5"/>
    <w:rsid w:val="00DF2697"/>
    <w:rsid w:val="00DF26AA"/>
    <w:rsid w:val="00DF2EBA"/>
    <w:rsid w:val="00DF36D9"/>
    <w:rsid w:val="00DF46B9"/>
    <w:rsid w:val="00DF553E"/>
    <w:rsid w:val="00DF62B6"/>
    <w:rsid w:val="00DF788B"/>
    <w:rsid w:val="00E0103F"/>
    <w:rsid w:val="00E01895"/>
    <w:rsid w:val="00E01D47"/>
    <w:rsid w:val="00E01DFE"/>
    <w:rsid w:val="00E02061"/>
    <w:rsid w:val="00E020AF"/>
    <w:rsid w:val="00E02766"/>
    <w:rsid w:val="00E045B0"/>
    <w:rsid w:val="00E04C4A"/>
    <w:rsid w:val="00E04E12"/>
    <w:rsid w:val="00E0586F"/>
    <w:rsid w:val="00E05A33"/>
    <w:rsid w:val="00E06B02"/>
    <w:rsid w:val="00E06D6C"/>
    <w:rsid w:val="00E07225"/>
    <w:rsid w:val="00E07737"/>
    <w:rsid w:val="00E1007B"/>
    <w:rsid w:val="00E111F8"/>
    <w:rsid w:val="00E11E5A"/>
    <w:rsid w:val="00E1242C"/>
    <w:rsid w:val="00E14AB1"/>
    <w:rsid w:val="00E150DD"/>
    <w:rsid w:val="00E15D61"/>
    <w:rsid w:val="00E173CB"/>
    <w:rsid w:val="00E17692"/>
    <w:rsid w:val="00E1778A"/>
    <w:rsid w:val="00E20243"/>
    <w:rsid w:val="00E20965"/>
    <w:rsid w:val="00E20C6F"/>
    <w:rsid w:val="00E236E2"/>
    <w:rsid w:val="00E242FF"/>
    <w:rsid w:val="00E245CA"/>
    <w:rsid w:val="00E24F47"/>
    <w:rsid w:val="00E255C7"/>
    <w:rsid w:val="00E26CD8"/>
    <w:rsid w:val="00E27567"/>
    <w:rsid w:val="00E27AFD"/>
    <w:rsid w:val="00E27CF0"/>
    <w:rsid w:val="00E300BC"/>
    <w:rsid w:val="00E31169"/>
    <w:rsid w:val="00E317FC"/>
    <w:rsid w:val="00E32259"/>
    <w:rsid w:val="00E32A92"/>
    <w:rsid w:val="00E32EED"/>
    <w:rsid w:val="00E33193"/>
    <w:rsid w:val="00E33861"/>
    <w:rsid w:val="00E33E69"/>
    <w:rsid w:val="00E33FB8"/>
    <w:rsid w:val="00E34972"/>
    <w:rsid w:val="00E409D5"/>
    <w:rsid w:val="00E40AE8"/>
    <w:rsid w:val="00E415AE"/>
    <w:rsid w:val="00E41A96"/>
    <w:rsid w:val="00E42C8F"/>
    <w:rsid w:val="00E436D2"/>
    <w:rsid w:val="00E43B7C"/>
    <w:rsid w:val="00E43C60"/>
    <w:rsid w:val="00E44037"/>
    <w:rsid w:val="00E44095"/>
    <w:rsid w:val="00E440EA"/>
    <w:rsid w:val="00E443DF"/>
    <w:rsid w:val="00E45DF5"/>
    <w:rsid w:val="00E47B37"/>
    <w:rsid w:val="00E50350"/>
    <w:rsid w:val="00E50671"/>
    <w:rsid w:val="00E518DF"/>
    <w:rsid w:val="00E53245"/>
    <w:rsid w:val="00E534EE"/>
    <w:rsid w:val="00E5409F"/>
    <w:rsid w:val="00E54DB7"/>
    <w:rsid w:val="00E5592B"/>
    <w:rsid w:val="00E559C9"/>
    <w:rsid w:val="00E55C5B"/>
    <w:rsid w:val="00E55F40"/>
    <w:rsid w:val="00E56D84"/>
    <w:rsid w:val="00E572A9"/>
    <w:rsid w:val="00E578F8"/>
    <w:rsid w:val="00E579FF"/>
    <w:rsid w:val="00E600BF"/>
    <w:rsid w:val="00E60969"/>
    <w:rsid w:val="00E6158A"/>
    <w:rsid w:val="00E6236F"/>
    <w:rsid w:val="00E62A46"/>
    <w:rsid w:val="00E62F11"/>
    <w:rsid w:val="00E64BDB"/>
    <w:rsid w:val="00E6549D"/>
    <w:rsid w:val="00E65CF4"/>
    <w:rsid w:val="00E65F8B"/>
    <w:rsid w:val="00E6623E"/>
    <w:rsid w:val="00E662B5"/>
    <w:rsid w:val="00E664EE"/>
    <w:rsid w:val="00E7063E"/>
    <w:rsid w:val="00E70967"/>
    <w:rsid w:val="00E70CCA"/>
    <w:rsid w:val="00E70D7C"/>
    <w:rsid w:val="00E71019"/>
    <w:rsid w:val="00E71E3D"/>
    <w:rsid w:val="00E7208C"/>
    <w:rsid w:val="00E72845"/>
    <w:rsid w:val="00E72C0A"/>
    <w:rsid w:val="00E72D03"/>
    <w:rsid w:val="00E74399"/>
    <w:rsid w:val="00E74A29"/>
    <w:rsid w:val="00E75EFC"/>
    <w:rsid w:val="00E76571"/>
    <w:rsid w:val="00E8060E"/>
    <w:rsid w:val="00E80AE5"/>
    <w:rsid w:val="00E81392"/>
    <w:rsid w:val="00E815B1"/>
    <w:rsid w:val="00E817A5"/>
    <w:rsid w:val="00E8182C"/>
    <w:rsid w:val="00E81B4E"/>
    <w:rsid w:val="00E837A2"/>
    <w:rsid w:val="00E837BB"/>
    <w:rsid w:val="00E83EA5"/>
    <w:rsid w:val="00E83EDF"/>
    <w:rsid w:val="00E851DA"/>
    <w:rsid w:val="00E85923"/>
    <w:rsid w:val="00E85A50"/>
    <w:rsid w:val="00E87031"/>
    <w:rsid w:val="00E87A59"/>
    <w:rsid w:val="00E90595"/>
    <w:rsid w:val="00E90A13"/>
    <w:rsid w:val="00E90BF7"/>
    <w:rsid w:val="00E90D9B"/>
    <w:rsid w:val="00E918B1"/>
    <w:rsid w:val="00E91C1F"/>
    <w:rsid w:val="00E92190"/>
    <w:rsid w:val="00E92A1E"/>
    <w:rsid w:val="00E93665"/>
    <w:rsid w:val="00E93B23"/>
    <w:rsid w:val="00E940EF"/>
    <w:rsid w:val="00E94BAA"/>
    <w:rsid w:val="00E969FE"/>
    <w:rsid w:val="00E97471"/>
    <w:rsid w:val="00EA0339"/>
    <w:rsid w:val="00EA0771"/>
    <w:rsid w:val="00EA1A1A"/>
    <w:rsid w:val="00EA1D06"/>
    <w:rsid w:val="00EA2B71"/>
    <w:rsid w:val="00EA2FEA"/>
    <w:rsid w:val="00EA3062"/>
    <w:rsid w:val="00EA43C0"/>
    <w:rsid w:val="00EA60E0"/>
    <w:rsid w:val="00EA7A36"/>
    <w:rsid w:val="00EB069C"/>
    <w:rsid w:val="00EB072B"/>
    <w:rsid w:val="00EB1225"/>
    <w:rsid w:val="00EB28FB"/>
    <w:rsid w:val="00EB3DE7"/>
    <w:rsid w:val="00EB5CB7"/>
    <w:rsid w:val="00EB6341"/>
    <w:rsid w:val="00EB759F"/>
    <w:rsid w:val="00EC0D44"/>
    <w:rsid w:val="00EC11B9"/>
    <w:rsid w:val="00EC185F"/>
    <w:rsid w:val="00EC1D8D"/>
    <w:rsid w:val="00EC1F09"/>
    <w:rsid w:val="00EC2969"/>
    <w:rsid w:val="00EC3739"/>
    <w:rsid w:val="00EC39FD"/>
    <w:rsid w:val="00EC3CD4"/>
    <w:rsid w:val="00EC5759"/>
    <w:rsid w:val="00EC5A61"/>
    <w:rsid w:val="00EC5D49"/>
    <w:rsid w:val="00EC5DEF"/>
    <w:rsid w:val="00EC5F10"/>
    <w:rsid w:val="00EC65B5"/>
    <w:rsid w:val="00EC732B"/>
    <w:rsid w:val="00EC7431"/>
    <w:rsid w:val="00EC7E11"/>
    <w:rsid w:val="00ED038A"/>
    <w:rsid w:val="00ED23FA"/>
    <w:rsid w:val="00ED2560"/>
    <w:rsid w:val="00ED2D30"/>
    <w:rsid w:val="00ED35CA"/>
    <w:rsid w:val="00ED3B23"/>
    <w:rsid w:val="00ED5F5A"/>
    <w:rsid w:val="00ED6167"/>
    <w:rsid w:val="00EE17E4"/>
    <w:rsid w:val="00EE1FA7"/>
    <w:rsid w:val="00EE2134"/>
    <w:rsid w:val="00EE296D"/>
    <w:rsid w:val="00EE37B7"/>
    <w:rsid w:val="00EE463B"/>
    <w:rsid w:val="00EE4CBC"/>
    <w:rsid w:val="00EE5937"/>
    <w:rsid w:val="00EE6488"/>
    <w:rsid w:val="00EE75F6"/>
    <w:rsid w:val="00EE7774"/>
    <w:rsid w:val="00EE7F03"/>
    <w:rsid w:val="00EF048D"/>
    <w:rsid w:val="00EF0CE6"/>
    <w:rsid w:val="00EF10FA"/>
    <w:rsid w:val="00EF22F8"/>
    <w:rsid w:val="00EF2300"/>
    <w:rsid w:val="00EF2ADB"/>
    <w:rsid w:val="00EF2E10"/>
    <w:rsid w:val="00EF331E"/>
    <w:rsid w:val="00EF3C9E"/>
    <w:rsid w:val="00EF4D85"/>
    <w:rsid w:val="00EF53FB"/>
    <w:rsid w:val="00EF5A22"/>
    <w:rsid w:val="00EF76E7"/>
    <w:rsid w:val="00F001C5"/>
    <w:rsid w:val="00F00B93"/>
    <w:rsid w:val="00F01C7E"/>
    <w:rsid w:val="00F01E5F"/>
    <w:rsid w:val="00F01F00"/>
    <w:rsid w:val="00F02058"/>
    <w:rsid w:val="00F021FA"/>
    <w:rsid w:val="00F025EE"/>
    <w:rsid w:val="00F04BC5"/>
    <w:rsid w:val="00F0558F"/>
    <w:rsid w:val="00F056AE"/>
    <w:rsid w:val="00F05841"/>
    <w:rsid w:val="00F059E1"/>
    <w:rsid w:val="00F069F5"/>
    <w:rsid w:val="00F06D28"/>
    <w:rsid w:val="00F0741D"/>
    <w:rsid w:val="00F0757B"/>
    <w:rsid w:val="00F10A1E"/>
    <w:rsid w:val="00F129CD"/>
    <w:rsid w:val="00F12DEB"/>
    <w:rsid w:val="00F132FC"/>
    <w:rsid w:val="00F138CA"/>
    <w:rsid w:val="00F1450B"/>
    <w:rsid w:val="00F14985"/>
    <w:rsid w:val="00F156EA"/>
    <w:rsid w:val="00F158DA"/>
    <w:rsid w:val="00F1667C"/>
    <w:rsid w:val="00F170CD"/>
    <w:rsid w:val="00F1758B"/>
    <w:rsid w:val="00F17D07"/>
    <w:rsid w:val="00F20E4E"/>
    <w:rsid w:val="00F210A1"/>
    <w:rsid w:val="00F21754"/>
    <w:rsid w:val="00F225D5"/>
    <w:rsid w:val="00F226F7"/>
    <w:rsid w:val="00F22D50"/>
    <w:rsid w:val="00F23F58"/>
    <w:rsid w:val="00F23FCF"/>
    <w:rsid w:val="00F24CBE"/>
    <w:rsid w:val="00F24DE1"/>
    <w:rsid w:val="00F2530F"/>
    <w:rsid w:val="00F25A88"/>
    <w:rsid w:val="00F263E1"/>
    <w:rsid w:val="00F26948"/>
    <w:rsid w:val="00F26B5F"/>
    <w:rsid w:val="00F272BA"/>
    <w:rsid w:val="00F2783F"/>
    <w:rsid w:val="00F27993"/>
    <w:rsid w:val="00F3084D"/>
    <w:rsid w:val="00F310E1"/>
    <w:rsid w:val="00F31252"/>
    <w:rsid w:val="00F3175A"/>
    <w:rsid w:val="00F31780"/>
    <w:rsid w:val="00F32CCE"/>
    <w:rsid w:val="00F3320B"/>
    <w:rsid w:val="00F3415D"/>
    <w:rsid w:val="00F34324"/>
    <w:rsid w:val="00F344A4"/>
    <w:rsid w:val="00F34AD6"/>
    <w:rsid w:val="00F34E84"/>
    <w:rsid w:val="00F35844"/>
    <w:rsid w:val="00F35C54"/>
    <w:rsid w:val="00F3798E"/>
    <w:rsid w:val="00F40138"/>
    <w:rsid w:val="00F40ABB"/>
    <w:rsid w:val="00F41527"/>
    <w:rsid w:val="00F42823"/>
    <w:rsid w:val="00F43974"/>
    <w:rsid w:val="00F43DD9"/>
    <w:rsid w:val="00F4422F"/>
    <w:rsid w:val="00F44D7E"/>
    <w:rsid w:val="00F45A46"/>
    <w:rsid w:val="00F460CC"/>
    <w:rsid w:val="00F47AAB"/>
    <w:rsid w:val="00F504AD"/>
    <w:rsid w:val="00F50927"/>
    <w:rsid w:val="00F51303"/>
    <w:rsid w:val="00F5279C"/>
    <w:rsid w:val="00F5307C"/>
    <w:rsid w:val="00F533C7"/>
    <w:rsid w:val="00F5547D"/>
    <w:rsid w:val="00F57D9D"/>
    <w:rsid w:val="00F60AAF"/>
    <w:rsid w:val="00F61311"/>
    <w:rsid w:val="00F6157F"/>
    <w:rsid w:val="00F6164F"/>
    <w:rsid w:val="00F616B2"/>
    <w:rsid w:val="00F61B15"/>
    <w:rsid w:val="00F61D38"/>
    <w:rsid w:val="00F620F3"/>
    <w:rsid w:val="00F62628"/>
    <w:rsid w:val="00F629C0"/>
    <w:rsid w:val="00F62E97"/>
    <w:rsid w:val="00F6360A"/>
    <w:rsid w:val="00F63667"/>
    <w:rsid w:val="00F64209"/>
    <w:rsid w:val="00F6492A"/>
    <w:rsid w:val="00F653FF"/>
    <w:rsid w:val="00F65957"/>
    <w:rsid w:val="00F65C9E"/>
    <w:rsid w:val="00F66C5D"/>
    <w:rsid w:val="00F673A2"/>
    <w:rsid w:val="00F73149"/>
    <w:rsid w:val="00F73CCD"/>
    <w:rsid w:val="00F75E1C"/>
    <w:rsid w:val="00F75E2C"/>
    <w:rsid w:val="00F7607E"/>
    <w:rsid w:val="00F760FA"/>
    <w:rsid w:val="00F7629F"/>
    <w:rsid w:val="00F764E1"/>
    <w:rsid w:val="00F76CED"/>
    <w:rsid w:val="00F76F1F"/>
    <w:rsid w:val="00F775E6"/>
    <w:rsid w:val="00F77C96"/>
    <w:rsid w:val="00F80290"/>
    <w:rsid w:val="00F803CC"/>
    <w:rsid w:val="00F80693"/>
    <w:rsid w:val="00F807CD"/>
    <w:rsid w:val="00F816FF"/>
    <w:rsid w:val="00F82C0D"/>
    <w:rsid w:val="00F83768"/>
    <w:rsid w:val="00F858C6"/>
    <w:rsid w:val="00F861A3"/>
    <w:rsid w:val="00F8626B"/>
    <w:rsid w:val="00F86624"/>
    <w:rsid w:val="00F86717"/>
    <w:rsid w:val="00F86EB2"/>
    <w:rsid w:val="00F87A24"/>
    <w:rsid w:val="00F87D14"/>
    <w:rsid w:val="00F901E3"/>
    <w:rsid w:val="00F913CB"/>
    <w:rsid w:val="00F9271E"/>
    <w:rsid w:val="00F93271"/>
    <w:rsid w:val="00F93BF5"/>
    <w:rsid w:val="00F9594F"/>
    <w:rsid w:val="00F96105"/>
    <w:rsid w:val="00F96FDA"/>
    <w:rsid w:val="00FA0B98"/>
    <w:rsid w:val="00FA2162"/>
    <w:rsid w:val="00FA46F4"/>
    <w:rsid w:val="00FA4E95"/>
    <w:rsid w:val="00FA52F6"/>
    <w:rsid w:val="00FA5F4E"/>
    <w:rsid w:val="00FA65BB"/>
    <w:rsid w:val="00FA6F04"/>
    <w:rsid w:val="00FA79D4"/>
    <w:rsid w:val="00FB1DED"/>
    <w:rsid w:val="00FB255E"/>
    <w:rsid w:val="00FB298D"/>
    <w:rsid w:val="00FB2B0E"/>
    <w:rsid w:val="00FB309D"/>
    <w:rsid w:val="00FB3287"/>
    <w:rsid w:val="00FB38D2"/>
    <w:rsid w:val="00FB39A9"/>
    <w:rsid w:val="00FB3E2C"/>
    <w:rsid w:val="00FB3FC0"/>
    <w:rsid w:val="00FB43B8"/>
    <w:rsid w:val="00FB5EF1"/>
    <w:rsid w:val="00FB614D"/>
    <w:rsid w:val="00FB685A"/>
    <w:rsid w:val="00FB6E35"/>
    <w:rsid w:val="00FB78D1"/>
    <w:rsid w:val="00FB7D62"/>
    <w:rsid w:val="00FC05CB"/>
    <w:rsid w:val="00FC3E0C"/>
    <w:rsid w:val="00FC480A"/>
    <w:rsid w:val="00FC6827"/>
    <w:rsid w:val="00FC6A53"/>
    <w:rsid w:val="00FC7665"/>
    <w:rsid w:val="00FC7CFD"/>
    <w:rsid w:val="00FD06B5"/>
    <w:rsid w:val="00FD1C4F"/>
    <w:rsid w:val="00FD2058"/>
    <w:rsid w:val="00FD2B35"/>
    <w:rsid w:val="00FD358D"/>
    <w:rsid w:val="00FD3C1D"/>
    <w:rsid w:val="00FD3C3F"/>
    <w:rsid w:val="00FD4004"/>
    <w:rsid w:val="00FD4CE2"/>
    <w:rsid w:val="00FD4EF8"/>
    <w:rsid w:val="00FD51E0"/>
    <w:rsid w:val="00FE057E"/>
    <w:rsid w:val="00FE118A"/>
    <w:rsid w:val="00FE1225"/>
    <w:rsid w:val="00FE1F62"/>
    <w:rsid w:val="00FE1FE5"/>
    <w:rsid w:val="00FE235E"/>
    <w:rsid w:val="00FE2F58"/>
    <w:rsid w:val="00FE3A4C"/>
    <w:rsid w:val="00FE452D"/>
    <w:rsid w:val="00FE4FD4"/>
    <w:rsid w:val="00FE53B5"/>
    <w:rsid w:val="00FE6412"/>
    <w:rsid w:val="00FE69DA"/>
    <w:rsid w:val="00FE6AA8"/>
    <w:rsid w:val="00FE6B89"/>
    <w:rsid w:val="00FE757A"/>
    <w:rsid w:val="00FE792A"/>
    <w:rsid w:val="00FE7DC1"/>
    <w:rsid w:val="00FF093F"/>
    <w:rsid w:val="00FF10F5"/>
    <w:rsid w:val="00FF3506"/>
    <w:rsid w:val="00FF377C"/>
    <w:rsid w:val="00FF3ADD"/>
    <w:rsid w:val="00FF4952"/>
    <w:rsid w:val="00FF4F6C"/>
    <w:rsid w:val="00FF57CE"/>
    <w:rsid w:val="00FF6CAB"/>
    <w:rsid w:val="00FF6F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11"/>
    <w:pPr>
      <w:widowControl w:val="0"/>
    </w:pPr>
    <w:rPr>
      <w:snapToGrid w:val="0"/>
      <w:kern w:val="28"/>
      <w:sz w:val="22"/>
    </w:rPr>
  </w:style>
  <w:style w:type="paragraph" w:styleId="Heading1">
    <w:name w:val="heading 1"/>
    <w:basedOn w:val="Normal"/>
    <w:next w:val="ParaNum"/>
    <w:link w:val="Heading1Char"/>
    <w:qFormat/>
    <w:rsid w:val="0073661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6611"/>
    <w:pPr>
      <w:keepNext/>
      <w:numPr>
        <w:ilvl w:val="1"/>
        <w:numId w:val="2"/>
      </w:numPr>
      <w:spacing w:after="120"/>
      <w:outlineLvl w:val="1"/>
    </w:pPr>
    <w:rPr>
      <w:b/>
    </w:rPr>
  </w:style>
  <w:style w:type="paragraph" w:styleId="Heading3">
    <w:name w:val="heading 3"/>
    <w:basedOn w:val="Normal"/>
    <w:next w:val="ParaNum"/>
    <w:qFormat/>
    <w:rsid w:val="00736611"/>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736611"/>
    <w:pPr>
      <w:keepNext/>
      <w:numPr>
        <w:ilvl w:val="3"/>
        <w:numId w:val="2"/>
      </w:numPr>
      <w:tabs>
        <w:tab w:val="left" w:pos="2880"/>
      </w:tabs>
      <w:spacing w:after="120"/>
      <w:outlineLvl w:val="3"/>
    </w:pPr>
    <w:rPr>
      <w:b/>
    </w:rPr>
  </w:style>
  <w:style w:type="paragraph" w:styleId="Heading5">
    <w:name w:val="heading 5"/>
    <w:basedOn w:val="Normal"/>
    <w:next w:val="ParaNum"/>
    <w:qFormat/>
    <w:rsid w:val="00736611"/>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736611"/>
    <w:pPr>
      <w:numPr>
        <w:ilvl w:val="5"/>
        <w:numId w:val="2"/>
      </w:numPr>
      <w:tabs>
        <w:tab w:val="left" w:pos="4320"/>
      </w:tabs>
      <w:spacing w:after="120"/>
      <w:outlineLvl w:val="5"/>
    </w:pPr>
    <w:rPr>
      <w:b/>
    </w:rPr>
  </w:style>
  <w:style w:type="paragraph" w:styleId="Heading7">
    <w:name w:val="heading 7"/>
    <w:basedOn w:val="Normal"/>
    <w:next w:val="ParaNum"/>
    <w:qFormat/>
    <w:rsid w:val="0073661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736611"/>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3661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66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611"/>
  </w:style>
  <w:style w:type="paragraph" w:customStyle="1" w:styleId="ParaNum">
    <w:name w:val="ParaNum"/>
    <w:basedOn w:val="Normal"/>
    <w:link w:val="ParaNumChar"/>
    <w:rsid w:val="00736611"/>
    <w:pPr>
      <w:numPr>
        <w:numId w:val="1"/>
      </w:numPr>
      <w:tabs>
        <w:tab w:val="clear" w:pos="1080"/>
        <w:tab w:val="num" w:pos="1440"/>
      </w:tabs>
      <w:spacing w:after="120"/>
    </w:pPr>
  </w:style>
  <w:style w:type="paragraph" w:styleId="EndnoteText">
    <w:name w:val="endnote text"/>
    <w:basedOn w:val="Normal"/>
    <w:semiHidden/>
    <w:rsid w:val="00736611"/>
    <w:rPr>
      <w:sz w:val="20"/>
    </w:rPr>
  </w:style>
  <w:style w:type="character" w:styleId="EndnoteReference">
    <w:name w:val="endnote reference"/>
    <w:semiHidden/>
    <w:rsid w:val="00736611"/>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736611"/>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736611"/>
    <w:rPr>
      <w:rFonts w:ascii="Times New Roman" w:hAnsi="Times New Roman"/>
      <w:dstrike w:val="0"/>
      <w:color w:val="auto"/>
      <w:sz w:val="20"/>
      <w:vertAlign w:val="superscript"/>
    </w:rPr>
  </w:style>
  <w:style w:type="paragraph" w:styleId="TOC1">
    <w:name w:val="toc 1"/>
    <w:basedOn w:val="Normal"/>
    <w:next w:val="Normal"/>
    <w:rsid w:val="00736611"/>
    <w:pPr>
      <w:tabs>
        <w:tab w:val="left" w:pos="360"/>
        <w:tab w:val="right" w:leader="dot" w:pos="9360"/>
      </w:tabs>
      <w:suppressAutoHyphens/>
      <w:ind w:left="360" w:right="720" w:hanging="360"/>
    </w:pPr>
    <w:rPr>
      <w:caps/>
      <w:noProof/>
    </w:rPr>
  </w:style>
  <w:style w:type="paragraph" w:styleId="TOC2">
    <w:name w:val="toc 2"/>
    <w:basedOn w:val="Normal"/>
    <w:next w:val="Normal"/>
    <w:rsid w:val="00736611"/>
    <w:pPr>
      <w:tabs>
        <w:tab w:val="left" w:pos="720"/>
        <w:tab w:val="right" w:leader="dot" w:pos="9360"/>
      </w:tabs>
      <w:suppressAutoHyphens/>
      <w:ind w:left="720" w:right="720" w:hanging="360"/>
    </w:pPr>
    <w:rPr>
      <w:noProof/>
    </w:rPr>
  </w:style>
  <w:style w:type="paragraph" w:styleId="TOC3">
    <w:name w:val="toc 3"/>
    <w:basedOn w:val="Normal"/>
    <w:next w:val="Normal"/>
    <w:rsid w:val="0073661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366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366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366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366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366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3661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36611"/>
    <w:pPr>
      <w:tabs>
        <w:tab w:val="right" w:pos="9360"/>
      </w:tabs>
      <w:suppressAutoHyphens/>
    </w:pPr>
  </w:style>
  <w:style w:type="character" w:customStyle="1" w:styleId="EquationCaption">
    <w:name w:val="_Equation Caption"/>
    <w:rsid w:val="00736611"/>
  </w:style>
  <w:style w:type="paragraph" w:styleId="Header">
    <w:name w:val="header"/>
    <w:basedOn w:val="Normal"/>
    <w:link w:val="HeaderChar"/>
    <w:autoRedefine/>
    <w:rsid w:val="00736611"/>
    <w:pPr>
      <w:tabs>
        <w:tab w:val="center" w:pos="4680"/>
        <w:tab w:val="right" w:pos="9360"/>
      </w:tabs>
    </w:pPr>
    <w:rPr>
      <w:b/>
    </w:rPr>
  </w:style>
  <w:style w:type="paragraph" w:styleId="Footer">
    <w:name w:val="footer"/>
    <w:basedOn w:val="Normal"/>
    <w:rsid w:val="00736611"/>
    <w:pPr>
      <w:tabs>
        <w:tab w:val="center" w:pos="4320"/>
        <w:tab w:val="right" w:pos="8640"/>
      </w:tabs>
    </w:pPr>
  </w:style>
  <w:style w:type="character" w:styleId="PageNumber">
    <w:name w:val="page number"/>
    <w:basedOn w:val="DefaultParagraphFont"/>
    <w:rsid w:val="00736611"/>
  </w:style>
  <w:style w:type="paragraph" w:styleId="BlockText">
    <w:name w:val="Block Text"/>
    <w:basedOn w:val="Normal"/>
    <w:rsid w:val="00736611"/>
    <w:pPr>
      <w:spacing w:after="240"/>
      <w:ind w:left="1440" w:right="1440"/>
    </w:pPr>
  </w:style>
  <w:style w:type="paragraph" w:customStyle="1" w:styleId="Paratitle">
    <w:name w:val="Para title"/>
    <w:basedOn w:val="Normal"/>
    <w:rsid w:val="00736611"/>
    <w:pPr>
      <w:tabs>
        <w:tab w:val="center" w:pos="9270"/>
      </w:tabs>
      <w:spacing w:after="240"/>
    </w:pPr>
    <w:rPr>
      <w:spacing w:val="-2"/>
    </w:rPr>
  </w:style>
  <w:style w:type="paragraph" w:customStyle="1" w:styleId="Bullet">
    <w:name w:val="Bullet"/>
    <w:basedOn w:val="Normal"/>
    <w:rsid w:val="00736611"/>
    <w:pPr>
      <w:tabs>
        <w:tab w:val="left" w:pos="2160"/>
      </w:tabs>
      <w:spacing w:after="220"/>
      <w:ind w:left="2160" w:hanging="720"/>
    </w:pPr>
  </w:style>
  <w:style w:type="paragraph" w:customStyle="1" w:styleId="TableFormat">
    <w:name w:val="TableFormat"/>
    <w:basedOn w:val="Bullet"/>
    <w:rsid w:val="00736611"/>
    <w:pPr>
      <w:tabs>
        <w:tab w:val="clear" w:pos="2160"/>
        <w:tab w:val="left" w:pos="5040"/>
      </w:tabs>
      <w:ind w:left="5040" w:hanging="3600"/>
    </w:pPr>
  </w:style>
  <w:style w:type="paragraph" w:customStyle="1" w:styleId="TOCTitle">
    <w:name w:val="TOC Title"/>
    <w:basedOn w:val="Normal"/>
    <w:rsid w:val="007366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36611"/>
    <w:pPr>
      <w:jc w:val="center"/>
    </w:pPr>
    <w:rPr>
      <w:rFonts w:ascii="Times New Roman Bold" w:hAnsi="Times New Roman Bold"/>
      <w:b/>
      <w:bCs/>
      <w:caps/>
      <w:szCs w:val="22"/>
    </w:rPr>
  </w:style>
  <w:style w:type="character" w:styleId="Hyperlink">
    <w:name w:val="Hyperlink"/>
    <w:rsid w:val="00736611"/>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uiPriority w:val="99"/>
    <w:rsid w:val="00B66F56"/>
    <w:rPr>
      <w:sz w:val="16"/>
      <w:szCs w:val="16"/>
    </w:rPr>
  </w:style>
  <w:style w:type="paragraph" w:styleId="CommentText">
    <w:name w:val="annotation text"/>
    <w:basedOn w:val="Normal"/>
    <w:link w:val="CommentTextChar"/>
    <w:uiPriority w:val="99"/>
    <w:rsid w:val="00B66F56"/>
    <w:rPr>
      <w:sz w:val="20"/>
    </w:rPr>
  </w:style>
  <w:style w:type="character" w:customStyle="1" w:styleId="CommentTextChar">
    <w:name w:val="Comment Text Char"/>
    <w:basedOn w:val="DefaultParagraphFont"/>
    <w:link w:val="CommentText"/>
    <w:uiPriority w:val="99"/>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99"/>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973BC6"/>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customStyle="1" w:styleId="Default">
    <w:name w:val="Default"/>
    <w:rsid w:val="00362E1F"/>
    <w:pPr>
      <w:autoSpaceDE w:val="0"/>
      <w:autoSpaceDN w:val="0"/>
      <w:adjustRightInd w:val="0"/>
    </w:pPr>
    <w:rPr>
      <w:color w:val="000000"/>
      <w:sz w:val="24"/>
      <w:szCs w:val="24"/>
    </w:rPr>
  </w:style>
  <w:style w:type="character" w:customStyle="1" w:styleId="Normal1">
    <w:name w:val="Normal1"/>
    <w:rsid w:val="008B79FF"/>
    <w:rPr>
      <w:rFonts w:ascii="Times New Roman" w:hAnsi="Times New Roman"/>
      <w:noProof w:val="0"/>
      <w:sz w:val="20"/>
      <w:lang w:val="en-US"/>
    </w:rPr>
  </w:style>
  <w:style w:type="paragraph" w:styleId="Revision">
    <w:name w:val="Revision"/>
    <w:hidden/>
    <w:uiPriority w:val="99"/>
    <w:semiHidden/>
    <w:rsid w:val="00415C83"/>
    <w:rPr>
      <w:snapToGrid w:val="0"/>
      <w:kern w:val="28"/>
      <w:sz w:val="22"/>
    </w:rPr>
  </w:style>
  <w:style w:type="paragraph" w:styleId="NormalWeb">
    <w:name w:val="Normal (Web)"/>
    <w:basedOn w:val="Normal"/>
    <w:uiPriority w:val="99"/>
    <w:semiHidden/>
    <w:unhideWhenUsed/>
    <w:rsid w:val="005D0A6A"/>
    <w:pPr>
      <w:widowControl/>
    </w:pPr>
    <w:rPr>
      <w:rFonts w:eastAsiaTheme="minorHAnsi"/>
      <w:snapToGrid/>
      <w:kern w:val="0"/>
      <w:sz w:val="24"/>
      <w:szCs w:val="24"/>
    </w:rPr>
  </w:style>
  <w:style w:type="character" w:customStyle="1" w:styleId="FootnoteTextChar1">
    <w:name w:val="Footnote Text Char1"/>
    <w:aliases w:val="Footnote Text Char Char Char,Footnote Text Char3 Char Char Char Char,Footnote Text Char2 Char Char Char Char Char,Footnote Text Char Char Char1 Char Char Char Char Char"/>
    <w:rsid w:val="00DE2E8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15384"/>
    <w:rPr>
      <w:rFonts w:ascii="Times New Roman Bold" w:hAnsi="Times New Roman Bold"/>
      <w:b/>
      <w:caps/>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311120"/>
    <w:rPr>
      <w:lang w:val="en-US" w:eastAsia="en-US"/>
    </w:rPr>
  </w:style>
  <w:style w:type="character" w:customStyle="1" w:styleId="FootnoteCharacters">
    <w:name w:val="Footnote Characters"/>
    <w:rsid w:val="00311120"/>
    <w:rPr>
      <w:vertAlign w:val="superscript"/>
    </w:rPr>
  </w:style>
  <w:style w:type="character" w:customStyle="1" w:styleId="StyleTimesNewRomanBold11ptBold">
    <w:name w:val="Style Times New Roman Bold 11 pt Bold"/>
    <w:rsid w:val="00E020AF"/>
    <w:rPr>
      <w:rFonts w:hAnsi="Times New Roman Bold"/>
      <w:b/>
      <w:caps/>
      <w:sz w:val="22"/>
    </w:rPr>
  </w:style>
  <w:style w:type="paragraph" w:customStyle="1" w:styleId="DWTNorm">
    <w:name w:val="DWTNorm"/>
    <w:basedOn w:val="Normal"/>
    <w:qFormat/>
    <w:rsid w:val="00955622"/>
    <w:pPr>
      <w:widowControl/>
      <w:spacing w:after="240"/>
      <w:ind w:firstLine="720"/>
    </w:pPr>
    <w:rPr>
      <w:snapToGrid/>
      <w:kern w:val="0"/>
      <w:sz w:val="24"/>
    </w:rPr>
  </w:style>
  <w:style w:type="table" w:styleId="TableGrid">
    <w:name w:val="Table Grid"/>
    <w:basedOn w:val="TableNormal"/>
    <w:rsid w:val="00955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qFormat="1"/>
    <w:lsdException w:name="annotation text" w:uiPriority="99"/>
    <w:lsdException w:name="caption" w:qFormat="1"/>
    <w:lsdException w:name="footnote reference"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in Text" w:uiPriority="99"/>
    <w:lsdException w:name="Normal (Web)"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6611"/>
    <w:pPr>
      <w:widowControl w:val="0"/>
    </w:pPr>
    <w:rPr>
      <w:snapToGrid w:val="0"/>
      <w:kern w:val="28"/>
      <w:sz w:val="22"/>
    </w:rPr>
  </w:style>
  <w:style w:type="paragraph" w:styleId="Heading1">
    <w:name w:val="heading 1"/>
    <w:basedOn w:val="Normal"/>
    <w:next w:val="ParaNum"/>
    <w:link w:val="Heading1Char"/>
    <w:qFormat/>
    <w:rsid w:val="00736611"/>
    <w:pPr>
      <w:keepNext/>
      <w:numPr>
        <w:numId w:val="2"/>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link w:val="Heading2Char"/>
    <w:autoRedefine/>
    <w:qFormat/>
    <w:rsid w:val="00736611"/>
    <w:pPr>
      <w:keepNext/>
      <w:numPr>
        <w:ilvl w:val="1"/>
        <w:numId w:val="2"/>
      </w:numPr>
      <w:spacing w:after="120"/>
      <w:outlineLvl w:val="1"/>
    </w:pPr>
    <w:rPr>
      <w:b/>
    </w:rPr>
  </w:style>
  <w:style w:type="paragraph" w:styleId="Heading3">
    <w:name w:val="heading 3"/>
    <w:basedOn w:val="Normal"/>
    <w:next w:val="ParaNum"/>
    <w:qFormat/>
    <w:rsid w:val="00736611"/>
    <w:pPr>
      <w:keepNext/>
      <w:numPr>
        <w:ilvl w:val="2"/>
        <w:numId w:val="2"/>
      </w:numPr>
      <w:tabs>
        <w:tab w:val="left" w:pos="2160"/>
      </w:tabs>
      <w:spacing w:after="120"/>
      <w:outlineLvl w:val="2"/>
    </w:pPr>
    <w:rPr>
      <w:b/>
    </w:rPr>
  </w:style>
  <w:style w:type="paragraph" w:styleId="Heading4">
    <w:name w:val="heading 4"/>
    <w:aliases w:val="Heading 4 Char2,Heading 4 Char1 Char,Heading 4 Char Char Char,Heading 4 Char Char1,Heading 4 Char1,Heading 4 Char Char"/>
    <w:basedOn w:val="Normal"/>
    <w:next w:val="ParaNum"/>
    <w:qFormat/>
    <w:rsid w:val="00736611"/>
    <w:pPr>
      <w:keepNext/>
      <w:numPr>
        <w:ilvl w:val="3"/>
        <w:numId w:val="2"/>
      </w:numPr>
      <w:tabs>
        <w:tab w:val="left" w:pos="2880"/>
      </w:tabs>
      <w:spacing w:after="120"/>
      <w:outlineLvl w:val="3"/>
    </w:pPr>
    <w:rPr>
      <w:b/>
    </w:rPr>
  </w:style>
  <w:style w:type="paragraph" w:styleId="Heading5">
    <w:name w:val="heading 5"/>
    <w:basedOn w:val="Normal"/>
    <w:next w:val="ParaNum"/>
    <w:qFormat/>
    <w:rsid w:val="00736611"/>
    <w:pPr>
      <w:keepNext/>
      <w:numPr>
        <w:ilvl w:val="4"/>
        <w:numId w:val="2"/>
      </w:numPr>
      <w:tabs>
        <w:tab w:val="left" w:pos="3600"/>
      </w:tabs>
      <w:suppressAutoHyphens/>
      <w:spacing w:after="120"/>
      <w:outlineLvl w:val="4"/>
    </w:pPr>
    <w:rPr>
      <w:b/>
    </w:rPr>
  </w:style>
  <w:style w:type="paragraph" w:styleId="Heading6">
    <w:name w:val="heading 6"/>
    <w:aliases w:val="h6"/>
    <w:basedOn w:val="Normal"/>
    <w:next w:val="ParaNum"/>
    <w:qFormat/>
    <w:rsid w:val="00736611"/>
    <w:pPr>
      <w:numPr>
        <w:ilvl w:val="5"/>
        <w:numId w:val="2"/>
      </w:numPr>
      <w:tabs>
        <w:tab w:val="left" w:pos="4320"/>
      </w:tabs>
      <w:spacing w:after="120"/>
      <w:outlineLvl w:val="5"/>
    </w:pPr>
    <w:rPr>
      <w:b/>
    </w:rPr>
  </w:style>
  <w:style w:type="paragraph" w:styleId="Heading7">
    <w:name w:val="heading 7"/>
    <w:basedOn w:val="Normal"/>
    <w:next w:val="ParaNum"/>
    <w:qFormat/>
    <w:rsid w:val="00736611"/>
    <w:pPr>
      <w:numPr>
        <w:ilvl w:val="6"/>
        <w:numId w:val="2"/>
      </w:numPr>
      <w:tabs>
        <w:tab w:val="left" w:pos="5040"/>
      </w:tabs>
      <w:spacing w:after="120"/>
      <w:ind w:left="5040" w:hanging="720"/>
      <w:outlineLvl w:val="6"/>
    </w:pPr>
    <w:rPr>
      <w:b/>
    </w:rPr>
  </w:style>
  <w:style w:type="paragraph" w:styleId="Heading8">
    <w:name w:val="heading 8"/>
    <w:basedOn w:val="Normal"/>
    <w:next w:val="ParaNum"/>
    <w:qFormat/>
    <w:rsid w:val="00736611"/>
    <w:pPr>
      <w:numPr>
        <w:ilvl w:val="7"/>
        <w:numId w:val="2"/>
      </w:numPr>
      <w:tabs>
        <w:tab w:val="clear" w:pos="5400"/>
        <w:tab w:val="left" w:pos="5760"/>
      </w:tabs>
      <w:spacing w:after="120"/>
      <w:ind w:left="5760" w:hanging="720"/>
      <w:outlineLvl w:val="7"/>
    </w:pPr>
    <w:rPr>
      <w:b/>
    </w:rPr>
  </w:style>
  <w:style w:type="paragraph" w:styleId="Heading9">
    <w:name w:val="heading 9"/>
    <w:aliases w:val="Topic,table,t,9,Heading 9.table,Titre 9"/>
    <w:basedOn w:val="Normal"/>
    <w:next w:val="ParaNum"/>
    <w:qFormat/>
    <w:rsid w:val="00736611"/>
    <w:pPr>
      <w:numPr>
        <w:ilvl w:val="8"/>
        <w:numId w:val="2"/>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rsid w:val="00736611"/>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736611"/>
  </w:style>
  <w:style w:type="paragraph" w:customStyle="1" w:styleId="ParaNum">
    <w:name w:val="ParaNum"/>
    <w:basedOn w:val="Normal"/>
    <w:link w:val="ParaNumChar"/>
    <w:rsid w:val="00736611"/>
    <w:pPr>
      <w:numPr>
        <w:numId w:val="1"/>
      </w:numPr>
      <w:tabs>
        <w:tab w:val="clear" w:pos="1080"/>
        <w:tab w:val="num" w:pos="1440"/>
      </w:tabs>
      <w:spacing w:after="120"/>
    </w:pPr>
  </w:style>
  <w:style w:type="paragraph" w:styleId="EndnoteText">
    <w:name w:val="endnote text"/>
    <w:basedOn w:val="Normal"/>
    <w:semiHidden/>
    <w:rsid w:val="00736611"/>
    <w:rPr>
      <w:sz w:val="20"/>
    </w:rPr>
  </w:style>
  <w:style w:type="character" w:styleId="EndnoteReference">
    <w:name w:val="endnote reference"/>
    <w:semiHidden/>
    <w:rsid w:val="00736611"/>
    <w:rPr>
      <w:vertAlign w:val="superscript"/>
    </w:rPr>
  </w:style>
  <w:style w:type="paragraph" w:styleId="FootnoteText">
    <w:name w:val="footnote text"/>
    <w:aliases w:val="Footnote Text Char2 Char,Footnote Text Char3 Char Char,Footnote Text Char2 Char Char Char,Footnote Text Char Char Char1 Char Char Char,Footnote Text Char1 Char1 Char Char Char,Footnote Text Char Char Char2 Char Char,fn,f,ALTS FOOTNOTE"/>
    <w:link w:val="FootnoteTextChar"/>
    <w:rsid w:val="00736611"/>
    <w:pPr>
      <w:spacing w:after="120"/>
    </w:pPr>
  </w:style>
  <w:style w:type="character" w:styleId="FootnoteReference">
    <w:name w:val="footnote reference"/>
    <w:aliases w:val="Style 124,Appel note de bas de p,Style 12,(NECG) Footnote Reference,o,fr,Style 3,Style 17,FR,Style 13,Footnote Reference/,Style 6,Style 7,Style 4,Footnote Reference1,Style 34,Style 9,Style 20,callout"/>
    <w:rsid w:val="00736611"/>
    <w:rPr>
      <w:rFonts w:ascii="Times New Roman" w:hAnsi="Times New Roman"/>
      <w:dstrike w:val="0"/>
      <w:color w:val="auto"/>
      <w:sz w:val="20"/>
      <w:vertAlign w:val="superscript"/>
    </w:rPr>
  </w:style>
  <w:style w:type="paragraph" w:styleId="TOC1">
    <w:name w:val="toc 1"/>
    <w:basedOn w:val="Normal"/>
    <w:next w:val="Normal"/>
    <w:rsid w:val="00736611"/>
    <w:pPr>
      <w:tabs>
        <w:tab w:val="left" w:pos="360"/>
        <w:tab w:val="right" w:leader="dot" w:pos="9360"/>
      </w:tabs>
      <w:suppressAutoHyphens/>
      <w:ind w:left="360" w:right="720" w:hanging="360"/>
    </w:pPr>
    <w:rPr>
      <w:caps/>
      <w:noProof/>
    </w:rPr>
  </w:style>
  <w:style w:type="paragraph" w:styleId="TOC2">
    <w:name w:val="toc 2"/>
    <w:basedOn w:val="Normal"/>
    <w:next w:val="Normal"/>
    <w:rsid w:val="00736611"/>
    <w:pPr>
      <w:tabs>
        <w:tab w:val="left" w:pos="720"/>
        <w:tab w:val="right" w:leader="dot" w:pos="9360"/>
      </w:tabs>
      <w:suppressAutoHyphens/>
      <w:ind w:left="720" w:right="720" w:hanging="360"/>
    </w:pPr>
    <w:rPr>
      <w:noProof/>
    </w:rPr>
  </w:style>
  <w:style w:type="paragraph" w:styleId="TOC3">
    <w:name w:val="toc 3"/>
    <w:basedOn w:val="Normal"/>
    <w:next w:val="Normal"/>
    <w:rsid w:val="00736611"/>
    <w:pPr>
      <w:tabs>
        <w:tab w:val="left" w:pos="1080"/>
        <w:tab w:val="right" w:leader="dot" w:pos="9360"/>
      </w:tabs>
      <w:suppressAutoHyphens/>
      <w:ind w:left="1080" w:right="720" w:hanging="360"/>
    </w:pPr>
    <w:rPr>
      <w:noProof/>
    </w:rPr>
  </w:style>
  <w:style w:type="paragraph" w:styleId="TOC4">
    <w:name w:val="toc 4"/>
    <w:basedOn w:val="Normal"/>
    <w:next w:val="Normal"/>
    <w:autoRedefine/>
    <w:rsid w:val="00736611"/>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rsid w:val="00736611"/>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rsid w:val="00736611"/>
    <w:pPr>
      <w:tabs>
        <w:tab w:val="left" w:pos="2160"/>
        <w:tab w:val="right" w:leader="dot" w:pos="9360"/>
      </w:tabs>
      <w:suppressAutoHyphens/>
      <w:ind w:left="2160" w:hanging="360"/>
    </w:pPr>
    <w:rPr>
      <w:noProof/>
    </w:rPr>
  </w:style>
  <w:style w:type="paragraph" w:styleId="TOC7">
    <w:name w:val="toc 7"/>
    <w:basedOn w:val="Normal"/>
    <w:next w:val="Normal"/>
    <w:autoRedefine/>
    <w:semiHidden/>
    <w:rsid w:val="00736611"/>
    <w:pPr>
      <w:tabs>
        <w:tab w:val="left" w:pos="2520"/>
        <w:tab w:val="right" w:leader="dot" w:pos="9360"/>
      </w:tabs>
      <w:suppressAutoHyphens/>
      <w:ind w:left="2520" w:hanging="360"/>
    </w:pPr>
    <w:rPr>
      <w:noProof/>
    </w:rPr>
  </w:style>
  <w:style w:type="paragraph" w:styleId="TOC8">
    <w:name w:val="toc 8"/>
    <w:basedOn w:val="Normal"/>
    <w:next w:val="Normal"/>
    <w:autoRedefine/>
    <w:semiHidden/>
    <w:rsid w:val="00736611"/>
    <w:pPr>
      <w:tabs>
        <w:tab w:val="left" w:pos="2880"/>
        <w:tab w:val="right" w:leader="dot" w:pos="9360"/>
      </w:tabs>
      <w:suppressAutoHyphens/>
      <w:ind w:left="2880" w:hanging="360"/>
    </w:pPr>
    <w:rPr>
      <w:noProof/>
    </w:rPr>
  </w:style>
  <w:style w:type="paragraph" w:styleId="TOC9">
    <w:name w:val="toc 9"/>
    <w:basedOn w:val="Normal"/>
    <w:next w:val="Normal"/>
    <w:autoRedefine/>
    <w:semiHidden/>
    <w:rsid w:val="00736611"/>
    <w:pPr>
      <w:tabs>
        <w:tab w:val="left" w:pos="3240"/>
        <w:tab w:val="right" w:leader="dot" w:pos="9360"/>
      </w:tabs>
      <w:suppressAutoHyphens/>
      <w:ind w:left="3240" w:hanging="360"/>
    </w:pPr>
    <w:rPr>
      <w:noProof/>
    </w:rPr>
  </w:style>
  <w:style w:type="paragraph" w:styleId="TOAHeading">
    <w:name w:val="toa heading"/>
    <w:basedOn w:val="Normal"/>
    <w:next w:val="Normal"/>
    <w:semiHidden/>
    <w:rsid w:val="00736611"/>
    <w:pPr>
      <w:tabs>
        <w:tab w:val="right" w:pos="9360"/>
      </w:tabs>
      <w:suppressAutoHyphens/>
    </w:pPr>
  </w:style>
  <w:style w:type="character" w:customStyle="1" w:styleId="EquationCaption">
    <w:name w:val="_Equation Caption"/>
    <w:rsid w:val="00736611"/>
  </w:style>
  <w:style w:type="paragraph" w:styleId="Header">
    <w:name w:val="header"/>
    <w:basedOn w:val="Normal"/>
    <w:link w:val="HeaderChar"/>
    <w:autoRedefine/>
    <w:rsid w:val="00736611"/>
    <w:pPr>
      <w:tabs>
        <w:tab w:val="center" w:pos="4680"/>
        <w:tab w:val="right" w:pos="9360"/>
      </w:tabs>
    </w:pPr>
    <w:rPr>
      <w:b/>
    </w:rPr>
  </w:style>
  <w:style w:type="paragraph" w:styleId="Footer">
    <w:name w:val="footer"/>
    <w:basedOn w:val="Normal"/>
    <w:rsid w:val="00736611"/>
    <w:pPr>
      <w:tabs>
        <w:tab w:val="center" w:pos="4320"/>
        <w:tab w:val="right" w:pos="8640"/>
      </w:tabs>
    </w:pPr>
  </w:style>
  <w:style w:type="character" w:styleId="PageNumber">
    <w:name w:val="page number"/>
    <w:basedOn w:val="DefaultParagraphFont"/>
    <w:rsid w:val="00736611"/>
  </w:style>
  <w:style w:type="paragraph" w:styleId="BlockText">
    <w:name w:val="Block Text"/>
    <w:basedOn w:val="Normal"/>
    <w:rsid w:val="00736611"/>
    <w:pPr>
      <w:spacing w:after="240"/>
      <w:ind w:left="1440" w:right="1440"/>
    </w:pPr>
  </w:style>
  <w:style w:type="paragraph" w:customStyle="1" w:styleId="Paratitle">
    <w:name w:val="Para title"/>
    <w:basedOn w:val="Normal"/>
    <w:rsid w:val="00736611"/>
    <w:pPr>
      <w:tabs>
        <w:tab w:val="center" w:pos="9270"/>
      </w:tabs>
      <w:spacing w:after="240"/>
    </w:pPr>
    <w:rPr>
      <w:spacing w:val="-2"/>
    </w:rPr>
  </w:style>
  <w:style w:type="paragraph" w:customStyle="1" w:styleId="Bullet">
    <w:name w:val="Bullet"/>
    <w:basedOn w:val="Normal"/>
    <w:rsid w:val="00736611"/>
    <w:pPr>
      <w:tabs>
        <w:tab w:val="left" w:pos="2160"/>
      </w:tabs>
      <w:spacing w:after="220"/>
      <w:ind w:left="2160" w:hanging="720"/>
    </w:pPr>
  </w:style>
  <w:style w:type="paragraph" w:customStyle="1" w:styleId="TableFormat">
    <w:name w:val="TableFormat"/>
    <w:basedOn w:val="Bullet"/>
    <w:rsid w:val="00736611"/>
    <w:pPr>
      <w:tabs>
        <w:tab w:val="clear" w:pos="2160"/>
        <w:tab w:val="left" w:pos="5040"/>
      </w:tabs>
      <w:ind w:left="5040" w:hanging="3600"/>
    </w:pPr>
  </w:style>
  <w:style w:type="paragraph" w:customStyle="1" w:styleId="TOCTitle">
    <w:name w:val="TOC Title"/>
    <w:basedOn w:val="Normal"/>
    <w:rsid w:val="00736611"/>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736611"/>
    <w:pPr>
      <w:jc w:val="center"/>
    </w:pPr>
    <w:rPr>
      <w:rFonts w:ascii="Times New Roman Bold" w:hAnsi="Times New Roman Bold"/>
      <w:b/>
      <w:bCs/>
      <w:caps/>
      <w:szCs w:val="22"/>
    </w:rPr>
  </w:style>
  <w:style w:type="character" w:styleId="Hyperlink">
    <w:name w:val="Hyperlink"/>
    <w:rsid w:val="00736611"/>
    <w:rPr>
      <w:color w:val="0000FF"/>
      <w:u w:val="single"/>
    </w:rPr>
  </w:style>
  <w:style w:type="paragraph" w:styleId="TOCHeading">
    <w:name w:val="TOC Heading"/>
    <w:basedOn w:val="Heading1"/>
    <w:next w:val="Normal"/>
    <w:uiPriority w:val="39"/>
    <w:semiHidden/>
    <w:unhideWhenUsed/>
    <w:qFormat/>
    <w:rsid w:val="002475A2"/>
    <w:pPr>
      <w:keepLines/>
      <w:widowControl/>
      <w:numPr>
        <w:numId w:val="0"/>
      </w:numPr>
      <w:tabs>
        <w:tab w:val="left" w:pos="720"/>
      </w:tabs>
      <w:suppressAutoHyphens w:val="0"/>
      <w:spacing w:before="480" w:after="0" w:line="276" w:lineRule="auto"/>
      <w:outlineLvl w:val="9"/>
    </w:pPr>
    <w:rPr>
      <w:rFonts w:ascii="Cambria" w:eastAsia="MS Gothic" w:hAnsi="Cambria"/>
      <w:bCs/>
      <w:caps w:val="0"/>
      <w:snapToGrid/>
      <w:color w:val="365F91"/>
      <w:kern w:val="0"/>
      <w:sz w:val="28"/>
      <w:szCs w:val="28"/>
      <w:lang w:eastAsia="ja-JP"/>
    </w:rPr>
  </w:style>
  <w:style w:type="character" w:customStyle="1" w:styleId="FootnoteTextChar">
    <w:name w:val="Footnote Text Char"/>
    <w:aliases w:val="Footnote Text Char2 Char Char,Footnote Text Char3 Char Char Char,Footnote Text Char2 Char Char Char Char,Footnote Text Char Char Char1 Char Char Char Char,Footnote Text Char1 Char1 Char Char Char Char,fn Char,f Char,ALTS FOOTNOTE Char"/>
    <w:basedOn w:val="DefaultParagraphFont"/>
    <w:link w:val="FootnoteText"/>
    <w:locked/>
    <w:rsid w:val="006B723C"/>
  </w:style>
  <w:style w:type="character" w:customStyle="1" w:styleId="ParaNumChar">
    <w:name w:val="ParaNum Char"/>
    <w:link w:val="ParaNum"/>
    <w:locked/>
    <w:rsid w:val="00FD4EF8"/>
    <w:rPr>
      <w:snapToGrid w:val="0"/>
      <w:kern w:val="28"/>
      <w:sz w:val="22"/>
    </w:rPr>
  </w:style>
  <w:style w:type="character" w:styleId="CommentReference">
    <w:name w:val="annotation reference"/>
    <w:basedOn w:val="DefaultParagraphFont"/>
    <w:uiPriority w:val="99"/>
    <w:rsid w:val="00B66F56"/>
    <w:rPr>
      <w:sz w:val="16"/>
      <w:szCs w:val="16"/>
    </w:rPr>
  </w:style>
  <w:style w:type="paragraph" w:styleId="CommentText">
    <w:name w:val="annotation text"/>
    <w:basedOn w:val="Normal"/>
    <w:link w:val="CommentTextChar"/>
    <w:uiPriority w:val="99"/>
    <w:rsid w:val="00B66F56"/>
    <w:rPr>
      <w:sz w:val="20"/>
    </w:rPr>
  </w:style>
  <w:style w:type="character" w:customStyle="1" w:styleId="CommentTextChar">
    <w:name w:val="Comment Text Char"/>
    <w:basedOn w:val="DefaultParagraphFont"/>
    <w:link w:val="CommentText"/>
    <w:uiPriority w:val="99"/>
    <w:rsid w:val="00B66F56"/>
    <w:rPr>
      <w:snapToGrid w:val="0"/>
      <w:kern w:val="28"/>
    </w:rPr>
  </w:style>
  <w:style w:type="paragraph" w:styleId="CommentSubject">
    <w:name w:val="annotation subject"/>
    <w:basedOn w:val="CommentText"/>
    <w:next w:val="CommentText"/>
    <w:link w:val="CommentSubjectChar"/>
    <w:rsid w:val="00B66F56"/>
    <w:rPr>
      <w:b/>
      <w:bCs/>
    </w:rPr>
  </w:style>
  <w:style w:type="character" w:customStyle="1" w:styleId="CommentSubjectChar">
    <w:name w:val="Comment Subject Char"/>
    <w:basedOn w:val="CommentTextChar"/>
    <w:link w:val="CommentSubject"/>
    <w:rsid w:val="00B66F56"/>
    <w:rPr>
      <w:b/>
      <w:bCs/>
      <w:snapToGrid w:val="0"/>
      <w:kern w:val="28"/>
    </w:rPr>
  </w:style>
  <w:style w:type="paragraph" w:styleId="BalloonText">
    <w:name w:val="Balloon Text"/>
    <w:basedOn w:val="Normal"/>
    <w:link w:val="BalloonTextChar"/>
    <w:rsid w:val="00B66F56"/>
    <w:rPr>
      <w:rFonts w:ascii="Tahoma" w:hAnsi="Tahoma" w:cs="Tahoma"/>
      <w:sz w:val="16"/>
      <w:szCs w:val="16"/>
    </w:rPr>
  </w:style>
  <w:style w:type="character" w:customStyle="1" w:styleId="BalloonTextChar">
    <w:name w:val="Balloon Text Char"/>
    <w:basedOn w:val="DefaultParagraphFont"/>
    <w:link w:val="BalloonText"/>
    <w:rsid w:val="00B66F56"/>
    <w:rPr>
      <w:rFonts w:ascii="Tahoma" w:hAnsi="Tahoma" w:cs="Tahoma"/>
      <w:snapToGrid w:val="0"/>
      <w:kern w:val="28"/>
      <w:sz w:val="16"/>
      <w:szCs w:val="16"/>
    </w:rPr>
  </w:style>
  <w:style w:type="paragraph" w:styleId="ListParagraph">
    <w:name w:val="List Paragraph"/>
    <w:basedOn w:val="Normal"/>
    <w:uiPriority w:val="99"/>
    <w:qFormat/>
    <w:rsid w:val="008361D9"/>
    <w:pPr>
      <w:ind w:left="720"/>
      <w:contextualSpacing/>
    </w:pPr>
  </w:style>
  <w:style w:type="paragraph" w:styleId="PlainText">
    <w:name w:val="Plain Text"/>
    <w:basedOn w:val="Normal"/>
    <w:link w:val="PlainTextChar"/>
    <w:uiPriority w:val="99"/>
    <w:unhideWhenUsed/>
    <w:rsid w:val="00555C0B"/>
    <w:pPr>
      <w:widowControl/>
    </w:pPr>
    <w:rPr>
      <w:rFonts w:ascii="Calibri" w:eastAsiaTheme="minorHAnsi" w:hAnsi="Calibri" w:cstheme="minorBidi"/>
      <w:snapToGrid/>
      <w:kern w:val="0"/>
      <w:szCs w:val="21"/>
    </w:rPr>
  </w:style>
  <w:style w:type="character" w:customStyle="1" w:styleId="PlainTextChar">
    <w:name w:val="Plain Text Char"/>
    <w:basedOn w:val="DefaultParagraphFont"/>
    <w:link w:val="PlainText"/>
    <w:uiPriority w:val="99"/>
    <w:rsid w:val="00555C0B"/>
    <w:rPr>
      <w:rFonts w:ascii="Calibri" w:eastAsiaTheme="minorHAnsi" w:hAnsi="Calibri" w:cstheme="minorBidi"/>
      <w:sz w:val="22"/>
      <w:szCs w:val="21"/>
    </w:rPr>
  </w:style>
  <w:style w:type="character" w:customStyle="1" w:styleId="StyleFootnoteReferenceofrAppelnotedebasdepStyle12NECG">
    <w:name w:val="Style Footnote ReferenceofrAppel note de bas de pStyle 12(NECG..."/>
    <w:rsid w:val="00555C0B"/>
    <w:rPr>
      <w:rFonts w:ascii="Times New Roman" w:hAnsi="Times New Roman"/>
      <w:color w:val="000000"/>
      <w:sz w:val="22"/>
      <w:vertAlign w:val="superscript"/>
    </w:rPr>
  </w:style>
  <w:style w:type="character" w:customStyle="1" w:styleId="HeaderChar">
    <w:name w:val="Header Char"/>
    <w:link w:val="Header"/>
    <w:locked/>
    <w:rsid w:val="00973BC6"/>
    <w:rPr>
      <w:b/>
      <w:snapToGrid w:val="0"/>
      <w:kern w:val="28"/>
      <w:sz w:val="22"/>
    </w:rPr>
  </w:style>
  <w:style w:type="paragraph" w:customStyle="1" w:styleId="StyleParaNumTimesNewRoman11pt">
    <w:name w:val="Style ParaNum + Times New Roman 11 pt"/>
    <w:basedOn w:val="ParaNum"/>
    <w:link w:val="StyleParaNumTimesNewRoman11ptChar"/>
    <w:autoRedefine/>
    <w:rsid w:val="00A712F4"/>
    <w:pPr>
      <w:widowControl/>
      <w:numPr>
        <w:numId w:val="0"/>
      </w:numPr>
      <w:tabs>
        <w:tab w:val="num" w:pos="360"/>
        <w:tab w:val="left" w:pos="1440"/>
      </w:tabs>
      <w:ind w:left="360" w:hanging="360"/>
    </w:pPr>
    <w:rPr>
      <w:snapToGrid/>
    </w:rPr>
  </w:style>
  <w:style w:type="character" w:customStyle="1" w:styleId="StyleParaNumTimesNewRoman11ptChar">
    <w:name w:val="Style ParaNum + Times New Roman 11 pt Char"/>
    <w:link w:val="StyleParaNumTimesNewRoman11pt"/>
    <w:locked/>
    <w:rsid w:val="00A712F4"/>
    <w:rPr>
      <w:kern w:val="28"/>
      <w:sz w:val="22"/>
    </w:rPr>
  </w:style>
  <w:style w:type="character" w:customStyle="1" w:styleId="Heading2Char">
    <w:name w:val="Heading 2 Char"/>
    <w:link w:val="Heading2"/>
    <w:locked/>
    <w:rsid w:val="000670C6"/>
    <w:rPr>
      <w:b/>
      <w:snapToGrid w:val="0"/>
      <w:kern w:val="28"/>
      <w:sz w:val="22"/>
    </w:rPr>
  </w:style>
  <w:style w:type="character" w:styleId="FollowedHyperlink">
    <w:name w:val="FollowedHyperlink"/>
    <w:basedOn w:val="DefaultParagraphFont"/>
    <w:rsid w:val="009F2552"/>
    <w:rPr>
      <w:color w:val="800080" w:themeColor="followedHyperlink"/>
      <w:u w:val="single"/>
    </w:rPr>
  </w:style>
  <w:style w:type="paragraph" w:customStyle="1" w:styleId="Default">
    <w:name w:val="Default"/>
    <w:rsid w:val="00362E1F"/>
    <w:pPr>
      <w:autoSpaceDE w:val="0"/>
      <w:autoSpaceDN w:val="0"/>
      <w:adjustRightInd w:val="0"/>
    </w:pPr>
    <w:rPr>
      <w:color w:val="000000"/>
      <w:sz w:val="24"/>
      <w:szCs w:val="24"/>
    </w:rPr>
  </w:style>
  <w:style w:type="character" w:customStyle="1" w:styleId="Normal1">
    <w:name w:val="Normal1"/>
    <w:rsid w:val="008B79FF"/>
    <w:rPr>
      <w:rFonts w:ascii="Times New Roman" w:hAnsi="Times New Roman"/>
      <w:noProof w:val="0"/>
      <w:sz w:val="20"/>
      <w:lang w:val="en-US"/>
    </w:rPr>
  </w:style>
  <w:style w:type="paragraph" w:styleId="Revision">
    <w:name w:val="Revision"/>
    <w:hidden/>
    <w:uiPriority w:val="99"/>
    <w:semiHidden/>
    <w:rsid w:val="00415C83"/>
    <w:rPr>
      <w:snapToGrid w:val="0"/>
      <w:kern w:val="28"/>
      <w:sz w:val="22"/>
    </w:rPr>
  </w:style>
  <w:style w:type="paragraph" w:styleId="NormalWeb">
    <w:name w:val="Normal (Web)"/>
    <w:basedOn w:val="Normal"/>
    <w:uiPriority w:val="99"/>
    <w:semiHidden/>
    <w:unhideWhenUsed/>
    <w:rsid w:val="005D0A6A"/>
    <w:pPr>
      <w:widowControl/>
    </w:pPr>
    <w:rPr>
      <w:rFonts w:eastAsiaTheme="minorHAnsi"/>
      <w:snapToGrid/>
      <w:kern w:val="0"/>
      <w:sz w:val="24"/>
      <w:szCs w:val="24"/>
    </w:rPr>
  </w:style>
  <w:style w:type="character" w:customStyle="1" w:styleId="FootnoteTextChar1">
    <w:name w:val="Footnote Text Char1"/>
    <w:aliases w:val="Footnote Text Char Char Char,Footnote Text Char3 Char Char Char Char,Footnote Text Char2 Char Char Char Char Char,Footnote Text Char Char Char1 Char Char Char Char Char"/>
    <w:rsid w:val="00DE2E88"/>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615384"/>
    <w:rPr>
      <w:rFonts w:ascii="Times New Roman Bold" w:hAnsi="Times New Roman Bold"/>
      <w:b/>
      <w:caps/>
      <w:snapToGrid w:val="0"/>
      <w:kern w:val="28"/>
      <w:sz w:val="22"/>
    </w:rPr>
  </w:style>
  <w:style w:type="character" w:customStyle="1" w:styleId="FootnoteTextCharChar1">
    <w:name w:val="Footnote Text Char Char1"/>
    <w:aliases w:val="Footnote Text Char2 Char2 Char,Footnote Text Char Char1 Char Char,Footnote Text Char2 Char2 Char Char Char,Footnote Text Char Char1 Char Char Char Char,Footnote Text Char1 Char1 Char Char Char Char Char,fn Char Char"/>
    <w:rsid w:val="00311120"/>
    <w:rPr>
      <w:lang w:val="en-US" w:eastAsia="en-US"/>
    </w:rPr>
  </w:style>
  <w:style w:type="character" w:customStyle="1" w:styleId="FootnoteCharacters">
    <w:name w:val="Footnote Characters"/>
    <w:rsid w:val="00311120"/>
    <w:rPr>
      <w:vertAlign w:val="superscript"/>
    </w:rPr>
  </w:style>
  <w:style w:type="character" w:customStyle="1" w:styleId="StyleTimesNewRomanBold11ptBold">
    <w:name w:val="Style Times New Roman Bold 11 pt Bold"/>
    <w:rsid w:val="00E020AF"/>
    <w:rPr>
      <w:rFonts w:hAnsi="Times New Roman Bold"/>
      <w:b/>
      <w:caps/>
      <w:sz w:val="22"/>
    </w:rPr>
  </w:style>
  <w:style w:type="paragraph" w:customStyle="1" w:styleId="DWTNorm">
    <w:name w:val="DWTNorm"/>
    <w:basedOn w:val="Normal"/>
    <w:qFormat/>
    <w:rsid w:val="00955622"/>
    <w:pPr>
      <w:widowControl/>
      <w:spacing w:after="240"/>
      <w:ind w:firstLine="720"/>
    </w:pPr>
    <w:rPr>
      <w:snapToGrid/>
      <w:kern w:val="0"/>
      <w:sz w:val="24"/>
    </w:rPr>
  </w:style>
  <w:style w:type="table" w:styleId="TableGrid">
    <w:name w:val="Table Grid"/>
    <w:basedOn w:val="TableNormal"/>
    <w:rsid w:val="0095562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291484">
      <w:bodyDiv w:val="1"/>
      <w:marLeft w:val="0"/>
      <w:marRight w:val="0"/>
      <w:marTop w:val="0"/>
      <w:marBottom w:val="0"/>
      <w:divBdr>
        <w:top w:val="none" w:sz="0" w:space="0" w:color="auto"/>
        <w:left w:val="none" w:sz="0" w:space="0" w:color="auto"/>
        <w:bottom w:val="none" w:sz="0" w:space="0" w:color="auto"/>
        <w:right w:val="none" w:sz="0" w:space="0" w:color="auto"/>
      </w:divBdr>
    </w:div>
    <w:div w:id="401491866">
      <w:bodyDiv w:val="1"/>
      <w:marLeft w:val="0"/>
      <w:marRight w:val="0"/>
      <w:marTop w:val="0"/>
      <w:marBottom w:val="0"/>
      <w:divBdr>
        <w:top w:val="none" w:sz="0" w:space="0" w:color="auto"/>
        <w:left w:val="none" w:sz="0" w:space="0" w:color="auto"/>
        <w:bottom w:val="none" w:sz="0" w:space="0" w:color="auto"/>
        <w:right w:val="none" w:sz="0" w:space="0" w:color="auto"/>
      </w:divBdr>
    </w:div>
    <w:div w:id="559436471">
      <w:bodyDiv w:val="1"/>
      <w:marLeft w:val="0"/>
      <w:marRight w:val="0"/>
      <w:marTop w:val="0"/>
      <w:marBottom w:val="0"/>
      <w:divBdr>
        <w:top w:val="none" w:sz="0" w:space="0" w:color="auto"/>
        <w:left w:val="none" w:sz="0" w:space="0" w:color="auto"/>
        <w:bottom w:val="none" w:sz="0" w:space="0" w:color="auto"/>
        <w:right w:val="none" w:sz="0" w:space="0" w:color="auto"/>
      </w:divBdr>
    </w:div>
    <w:div w:id="791940935">
      <w:bodyDiv w:val="1"/>
      <w:marLeft w:val="0"/>
      <w:marRight w:val="0"/>
      <w:marTop w:val="0"/>
      <w:marBottom w:val="0"/>
      <w:divBdr>
        <w:top w:val="none" w:sz="0" w:space="0" w:color="auto"/>
        <w:left w:val="none" w:sz="0" w:space="0" w:color="auto"/>
        <w:bottom w:val="none" w:sz="0" w:space="0" w:color="auto"/>
        <w:right w:val="none" w:sz="0" w:space="0" w:color="auto"/>
      </w:divBdr>
    </w:div>
    <w:div w:id="1478842446">
      <w:bodyDiv w:val="1"/>
      <w:marLeft w:val="0"/>
      <w:marRight w:val="0"/>
      <w:marTop w:val="0"/>
      <w:marBottom w:val="0"/>
      <w:divBdr>
        <w:top w:val="none" w:sz="0" w:space="0" w:color="auto"/>
        <w:left w:val="none" w:sz="0" w:space="0" w:color="auto"/>
        <w:bottom w:val="none" w:sz="0" w:space="0" w:color="auto"/>
        <w:right w:val="none" w:sz="0" w:space="0" w:color="auto"/>
      </w:divBdr>
      <w:divsChild>
        <w:div w:id="994533725">
          <w:marLeft w:val="0"/>
          <w:marRight w:val="0"/>
          <w:marTop w:val="0"/>
          <w:marBottom w:val="0"/>
          <w:divBdr>
            <w:top w:val="none" w:sz="0" w:space="0" w:color="auto"/>
            <w:left w:val="none" w:sz="0" w:space="0" w:color="auto"/>
            <w:bottom w:val="none" w:sz="0" w:space="0" w:color="auto"/>
            <w:right w:val="none" w:sz="0" w:space="0" w:color="auto"/>
          </w:divBdr>
        </w:div>
        <w:div w:id="1307585114">
          <w:marLeft w:val="0"/>
          <w:marRight w:val="0"/>
          <w:marTop w:val="0"/>
          <w:marBottom w:val="0"/>
          <w:divBdr>
            <w:top w:val="none" w:sz="0" w:space="0" w:color="auto"/>
            <w:left w:val="none" w:sz="0" w:space="0" w:color="auto"/>
            <w:bottom w:val="none" w:sz="0" w:space="0" w:color="auto"/>
            <w:right w:val="none" w:sz="0" w:space="0" w:color="auto"/>
          </w:divBdr>
        </w:div>
      </w:divsChild>
    </w:div>
    <w:div w:id="1479230625">
      <w:bodyDiv w:val="1"/>
      <w:marLeft w:val="0"/>
      <w:marRight w:val="0"/>
      <w:marTop w:val="0"/>
      <w:marBottom w:val="0"/>
      <w:divBdr>
        <w:top w:val="none" w:sz="0" w:space="0" w:color="auto"/>
        <w:left w:val="none" w:sz="0" w:space="0" w:color="auto"/>
        <w:bottom w:val="none" w:sz="0" w:space="0" w:color="auto"/>
        <w:right w:val="none" w:sz="0" w:space="0" w:color="auto"/>
      </w:divBdr>
    </w:div>
    <w:div w:id="169164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broadpointinc.com/about-us" TargetMode="External"/><Relationship Id="rId2" Type="http://schemas.openxmlformats.org/officeDocument/2006/relationships/hyperlink" Target="http://www.tampnet.com/gulf-of-mexico" TargetMode="External"/><Relationship Id="rId1" Type="http://schemas.openxmlformats.org/officeDocument/2006/relationships/hyperlink" Target="http://www.sec.gov/Archives/edgar/data/732717/000073271716000147/ye15_10k.htm" TargetMode="External"/><Relationship Id="rId4" Type="http://schemas.openxmlformats.org/officeDocument/2006/relationships/hyperlink" Target="https://ecfsapi.fcc.gov/file/60002112569.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M:\Forms\OS%20Process\Orders%20TOC%20by%20Paragraph.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3</Pages>
  <Words>8381</Words>
  <Characters>47388</Characters>
  <Application>Microsoft Office Word</Application>
  <DocSecurity>0</DocSecurity>
  <Lines>1266</Lines>
  <Paragraphs>675</Paragraphs>
  <ScaleCrop>false</ScaleCrop>
  <HeadingPairs>
    <vt:vector size="2" baseType="variant">
      <vt:variant>
        <vt:lpstr>Title</vt:lpstr>
      </vt:variant>
      <vt:variant>
        <vt:i4>1</vt:i4>
      </vt:variant>
    </vt:vector>
  </HeadingPairs>
  <TitlesOfParts>
    <vt:vector size="1" baseType="lpstr">
      <vt:lpstr>Orders TOC by Paragraph.dot</vt:lpstr>
    </vt:vector>
  </TitlesOfParts>
  <Manager/>
  <Company/>
  <LinksUpToDate>false</LinksUpToDate>
  <CharactersWithSpaces>55277</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2016-07-28T17:05:00Z</cp:lastPrinted>
  <dcterms:created xsi:type="dcterms:W3CDTF">2016-07-28T17:28:00Z</dcterms:created>
  <dcterms:modified xsi:type="dcterms:W3CDTF">2016-07-28T17:28:00Z</dcterms:modified>
  <cp:category> </cp:category>
  <cp:contentStatus> </cp:contentStatus>
</cp:coreProperties>
</file>