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75B8" w14:textId="77777777" w:rsidR="00E9376C" w:rsidRPr="00981F23" w:rsidRDefault="00E9376C">
      <w:pPr>
        <w:jc w:val="center"/>
        <w:rPr>
          <w:b/>
          <w:color w:val="000000" w:themeColor="text1"/>
          <w:szCs w:val="22"/>
        </w:rPr>
      </w:pPr>
      <w:bookmarkStart w:id="0" w:name="_GoBack"/>
      <w:bookmarkEnd w:id="0"/>
      <w:r w:rsidRPr="00981F23">
        <w:rPr>
          <w:b/>
          <w:color w:val="000000" w:themeColor="text1"/>
          <w:szCs w:val="22"/>
        </w:rPr>
        <w:t>Before the</w:t>
      </w:r>
    </w:p>
    <w:p w14:paraId="1486C78C"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11A20613"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5555F391" w14:textId="77777777" w:rsidTr="00500F04">
        <w:tc>
          <w:tcPr>
            <w:tcW w:w="4518" w:type="dxa"/>
          </w:tcPr>
          <w:p w14:paraId="0FCFD3EF" w14:textId="77777777" w:rsidR="00E9376C" w:rsidRPr="00981F23" w:rsidRDefault="00E9376C">
            <w:pPr>
              <w:tabs>
                <w:tab w:val="center" w:pos="4680"/>
              </w:tabs>
              <w:suppressAutoHyphens/>
              <w:rPr>
                <w:color w:val="000000" w:themeColor="text1"/>
                <w:spacing w:val="-2"/>
                <w:szCs w:val="22"/>
              </w:rPr>
            </w:pPr>
          </w:p>
          <w:p w14:paraId="330220D0"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73B18CBF" w14:textId="77777777" w:rsidR="00E9376C" w:rsidRPr="00981F23" w:rsidRDefault="00E9376C">
            <w:pPr>
              <w:tabs>
                <w:tab w:val="center" w:pos="4680"/>
              </w:tabs>
              <w:suppressAutoHyphens/>
              <w:rPr>
                <w:color w:val="000000" w:themeColor="text1"/>
                <w:spacing w:val="-2"/>
                <w:szCs w:val="22"/>
              </w:rPr>
            </w:pPr>
          </w:p>
          <w:p w14:paraId="7D717CA2" w14:textId="77777777" w:rsidR="00E9376C" w:rsidRPr="00981F23" w:rsidRDefault="00232BF1">
            <w:pPr>
              <w:tabs>
                <w:tab w:val="center" w:pos="4680"/>
              </w:tabs>
              <w:suppressAutoHyphens/>
              <w:rPr>
                <w:color w:val="000000" w:themeColor="text1"/>
                <w:spacing w:val="-2"/>
                <w:szCs w:val="22"/>
              </w:rPr>
            </w:pPr>
            <w:r>
              <w:rPr>
                <w:color w:val="000000" w:themeColor="text1"/>
                <w:spacing w:val="-2"/>
                <w:szCs w:val="22"/>
              </w:rPr>
              <w:t xml:space="preserve">David </w:t>
            </w:r>
            <w:r w:rsidR="00A703FD">
              <w:rPr>
                <w:color w:val="000000" w:themeColor="text1"/>
                <w:spacing w:val="-2"/>
                <w:szCs w:val="22"/>
              </w:rPr>
              <w:t xml:space="preserve">J. </w:t>
            </w:r>
            <w:r>
              <w:rPr>
                <w:color w:val="000000" w:themeColor="text1"/>
                <w:spacing w:val="-2"/>
                <w:szCs w:val="22"/>
              </w:rPr>
              <w:t>Tolassi</w:t>
            </w:r>
          </w:p>
          <w:p w14:paraId="05C75FCC" w14:textId="3C292B90" w:rsidR="00E9376C" w:rsidRDefault="00D85E60">
            <w:pPr>
              <w:tabs>
                <w:tab w:val="center" w:pos="4680"/>
              </w:tabs>
              <w:suppressAutoHyphens/>
              <w:rPr>
                <w:color w:val="000000" w:themeColor="text1"/>
                <w:spacing w:val="-2"/>
                <w:szCs w:val="22"/>
              </w:rPr>
            </w:pPr>
            <w:r>
              <w:rPr>
                <w:color w:val="000000" w:themeColor="text1"/>
                <w:spacing w:val="-2"/>
                <w:szCs w:val="22"/>
              </w:rPr>
              <w:t xml:space="preserve">Licensee of </w:t>
            </w:r>
            <w:r w:rsidR="00232BF1">
              <w:rPr>
                <w:color w:val="000000" w:themeColor="text1"/>
                <w:spacing w:val="-2"/>
                <w:szCs w:val="22"/>
              </w:rPr>
              <w:t xml:space="preserve">Amateur </w:t>
            </w:r>
            <w:r>
              <w:rPr>
                <w:color w:val="000000" w:themeColor="text1"/>
                <w:spacing w:val="-2"/>
                <w:szCs w:val="22"/>
              </w:rPr>
              <w:t>Station</w:t>
            </w:r>
            <w:r w:rsidR="00232BF1">
              <w:rPr>
                <w:color w:val="000000" w:themeColor="text1"/>
                <w:spacing w:val="-2"/>
                <w:szCs w:val="22"/>
              </w:rPr>
              <w:t xml:space="preserve"> W4BHV</w:t>
            </w:r>
          </w:p>
          <w:p w14:paraId="4CB2BBD9" w14:textId="06939E89" w:rsidR="00232BF1" w:rsidRPr="00981F23" w:rsidRDefault="00232BF1">
            <w:pPr>
              <w:tabs>
                <w:tab w:val="center" w:pos="4680"/>
              </w:tabs>
              <w:suppressAutoHyphens/>
              <w:rPr>
                <w:color w:val="000000" w:themeColor="text1"/>
                <w:spacing w:val="-2"/>
                <w:szCs w:val="22"/>
              </w:rPr>
            </w:pPr>
            <w:r>
              <w:rPr>
                <w:color w:val="000000" w:themeColor="text1"/>
                <w:spacing w:val="-2"/>
                <w:szCs w:val="22"/>
              </w:rPr>
              <w:t>Ring</w:t>
            </w:r>
            <w:r w:rsidR="00462436">
              <w:rPr>
                <w:color w:val="000000" w:themeColor="text1"/>
                <w:spacing w:val="-2"/>
                <w:szCs w:val="22"/>
              </w:rPr>
              <w:t>g</w:t>
            </w:r>
            <w:r>
              <w:rPr>
                <w:color w:val="000000" w:themeColor="text1"/>
                <w:spacing w:val="-2"/>
                <w:szCs w:val="22"/>
              </w:rPr>
              <w:t xml:space="preserve">old, GA </w:t>
            </w:r>
          </w:p>
        </w:tc>
        <w:tc>
          <w:tcPr>
            <w:tcW w:w="630" w:type="dxa"/>
          </w:tcPr>
          <w:p w14:paraId="7FDD4A25" w14:textId="77777777" w:rsidR="00E9376C" w:rsidRPr="00981F23" w:rsidRDefault="00E9376C">
            <w:pPr>
              <w:tabs>
                <w:tab w:val="center" w:pos="4680"/>
              </w:tabs>
              <w:suppressAutoHyphens/>
              <w:rPr>
                <w:b/>
                <w:color w:val="000000" w:themeColor="text1"/>
                <w:spacing w:val="-2"/>
                <w:szCs w:val="22"/>
              </w:rPr>
            </w:pPr>
          </w:p>
          <w:p w14:paraId="6772773C"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2D551423"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33F2464D"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07FCBAA"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1B534D6"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4FB8EE27"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0495241D" w14:textId="77777777" w:rsidR="00E9376C" w:rsidRPr="00981F23" w:rsidRDefault="00E9376C">
            <w:pPr>
              <w:tabs>
                <w:tab w:val="center" w:pos="4680"/>
              </w:tabs>
              <w:suppressAutoHyphens/>
              <w:rPr>
                <w:color w:val="000000" w:themeColor="text1"/>
                <w:spacing w:val="-2"/>
                <w:szCs w:val="22"/>
              </w:rPr>
            </w:pPr>
          </w:p>
          <w:p w14:paraId="68972D1F" w14:textId="77777777" w:rsidR="00242FE3" w:rsidRDefault="00E9376C">
            <w:pPr>
              <w:rPr>
                <w:color w:val="000000" w:themeColor="text1"/>
                <w:spacing w:val="-2"/>
                <w:szCs w:val="22"/>
              </w:rPr>
            </w:pPr>
            <w:r w:rsidRPr="00981F23">
              <w:rPr>
                <w:color w:val="000000" w:themeColor="text1"/>
                <w:spacing w:val="-2"/>
                <w:szCs w:val="22"/>
              </w:rPr>
              <w:t xml:space="preserve">                </w:t>
            </w:r>
          </w:p>
          <w:p w14:paraId="0AAAEE22" w14:textId="77777777" w:rsidR="00242FE3" w:rsidRDefault="00242FE3">
            <w:pPr>
              <w:rPr>
                <w:color w:val="000000" w:themeColor="text1"/>
                <w:spacing w:val="-2"/>
                <w:szCs w:val="22"/>
              </w:rPr>
            </w:pPr>
          </w:p>
          <w:p w14:paraId="5A7E4918" w14:textId="0A3D95AE" w:rsidR="00242FE3" w:rsidRPr="00981F23" w:rsidRDefault="009F6998"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File No.:  </w:t>
            </w:r>
            <w:r>
              <w:rPr>
                <w:color w:val="000000" w:themeColor="text1"/>
                <w:spacing w:val="-2"/>
                <w:szCs w:val="22"/>
              </w:rPr>
              <w:t>EB-FIELDSCR-15-00019567</w:t>
            </w:r>
          </w:p>
          <w:p w14:paraId="39C70725" w14:textId="77777777" w:rsidR="00242FE3" w:rsidRDefault="009F6998"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NAL/Acct. No.</w:t>
            </w:r>
            <w:r w:rsidR="009D265E" w:rsidRPr="00981F23">
              <w:rPr>
                <w:color w:val="000000" w:themeColor="text1"/>
                <w:spacing w:val="-2"/>
                <w:szCs w:val="22"/>
              </w:rPr>
              <w:t>:</w:t>
            </w:r>
            <w:r w:rsidR="00A569CE" w:rsidRPr="00981F23">
              <w:rPr>
                <w:color w:val="000000" w:themeColor="text1"/>
                <w:spacing w:val="-2"/>
                <w:szCs w:val="22"/>
              </w:rPr>
              <w:t xml:space="preserve">  </w:t>
            </w:r>
            <w:r>
              <w:rPr>
                <w:color w:val="000000" w:themeColor="text1"/>
                <w:spacing w:val="-2"/>
                <w:szCs w:val="22"/>
              </w:rPr>
              <w:t>201532480001</w:t>
            </w:r>
          </w:p>
          <w:p w14:paraId="2369DFB9" w14:textId="77777777" w:rsidR="00E9376C" w:rsidRPr="00981F23" w:rsidRDefault="009F6998"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FRN:  </w:t>
            </w:r>
            <w:r w:rsidR="00A703FD" w:rsidRPr="00B82F3B">
              <w:rPr>
                <w:color w:val="000000"/>
              </w:rPr>
              <w:t>0009319138</w:t>
            </w:r>
          </w:p>
          <w:p w14:paraId="2FB88869" w14:textId="77777777" w:rsidR="00E9376C" w:rsidRPr="00981F23" w:rsidRDefault="00E9376C" w:rsidP="009E08F3">
            <w:pPr>
              <w:rPr>
                <w:color w:val="000000" w:themeColor="text1"/>
                <w:szCs w:val="22"/>
              </w:rPr>
            </w:pPr>
            <w:r w:rsidRPr="00981F23">
              <w:rPr>
                <w:color w:val="000000" w:themeColor="text1"/>
                <w:spacing w:val="-2"/>
                <w:szCs w:val="22"/>
              </w:rPr>
              <w:t xml:space="preserve">             </w:t>
            </w:r>
          </w:p>
        </w:tc>
      </w:tr>
    </w:tbl>
    <w:p w14:paraId="5D6DF032" w14:textId="43FBD097" w:rsidR="00E9376C" w:rsidRPr="00981F23" w:rsidRDefault="00E9376C" w:rsidP="00863418">
      <w:pPr>
        <w:pStyle w:val="StyleBoldCentered"/>
        <w:widowControl/>
        <w:rPr>
          <w:rFonts w:ascii="Times New Roman" w:hAnsi="Times New Roman"/>
          <w:color w:val="000000" w:themeColor="text1"/>
        </w:rPr>
      </w:pPr>
      <w:r w:rsidRPr="00981F23">
        <w:rPr>
          <w:rFonts w:ascii="Times New Roman" w:hAnsi="Times New Roman"/>
          <w:color w:val="000000" w:themeColor="text1"/>
        </w:rPr>
        <w:t>FORFEITURE</w:t>
      </w:r>
      <w:r w:rsidR="00E9676B">
        <w:rPr>
          <w:rFonts w:ascii="Times New Roman" w:hAnsi="Times New Roman"/>
          <w:color w:val="000000" w:themeColor="text1"/>
        </w:rPr>
        <w:t xml:space="preserve"> ORDER</w:t>
      </w:r>
    </w:p>
    <w:p w14:paraId="5DA484EE" w14:textId="77777777" w:rsidR="00E9376C" w:rsidRPr="00981F23" w:rsidRDefault="00E9376C">
      <w:pPr>
        <w:pStyle w:val="BodyText"/>
        <w:tabs>
          <w:tab w:val="left" w:pos="4680"/>
        </w:tabs>
        <w:jc w:val="center"/>
        <w:rPr>
          <w:color w:val="000000" w:themeColor="text1"/>
          <w:sz w:val="22"/>
          <w:szCs w:val="22"/>
          <w:u w:val="none"/>
        </w:rPr>
      </w:pPr>
    </w:p>
    <w:p w14:paraId="0B8C8557" w14:textId="497FC2EA"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0A2577" w:rsidRPr="000A2577">
        <w:rPr>
          <w:b/>
          <w:spacing w:val="-2"/>
          <w:szCs w:val="22"/>
        </w:rPr>
        <w:t xml:space="preserve">July </w:t>
      </w:r>
      <w:r w:rsidR="00A26E78">
        <w:rPr>
          <w:b/>
          <w:spacing w:val="-2"/>
          <w:szCs w:val="22"/>
        </w:rPr>
        <w:t>29,</w:t>
      </w:r>
      <w:r w:rsidR="000A2577" w:rsidRPr="000A2577">
        <w:rPr>
          <w:b/>
          <w:spacing w:val="-2"/>
          <w:szCs w:val="22"/>
        </w:rPr>
        <w:t xml:space="preserve"> 201</w:t>
      </w:r>
      <w:r w:rsidR="00E9676B">
        <w:rPr>
          <w:b/>
          <w:spacing w:val="-2"/>
          <w:szCs w:val="22"/>
        </w:rPr>
        <w:t>6</w:t>
      </w:r>
      <w:r w:rsidRPr="00037DB0">
        <w:rPr>
          <w:b/>
          <w:spacing w:val="-2"/>
          <w:szCs w:val="22"/>
        </w:rPr>
        <w:tab/>
        <w:t xml:space="preserve">Released:  </w:t>
      </w:r>
      <w:r w:rsidR="000A2577">
        <w:rPr>
          <w:b/>
          <w:spacing w:val="-2"/>
          <w:szCs w:val="22"/>
        </w:rPr>
        <w:t xml:space="preserve">July </w:t>
      </w:r>
      <w:r w:rsidR="00A26E78">
        <w:rPr>
          <w:b/>
          <w:spacing w:val="-2"/>
          <w:szCs w:val="22"/>
        </w:rPr>
        <w:t>29,</w:t>
      </w:r>
      <w:r w:rsidR="000A2577">
        <w:rPr>
          <w:b/>
          <w:spacing w:val="-2"/>
          <w:szCs w:val="22"/>
        </w:rPr>
        <w:t xml:space="preserve"> 201</w:t>
      </w:r>
      <w:r w:rsidR="00E9676B">
        <w:rPr>
          <w:b/>
          <w:spacing w:val="-2"/>
          <w:szCs w:val="22"/>
        </w:rPr>
        <w:t>6</w:t>
      </w:r>
    </w:p>
    <w:p w14:paraId="28E41D25" w14:textId="77777777" w:rsidR="00E9376C" w:rsidRPr="00981F23" w:rsidRDefault="00E9376C" w:rsidP="009645E5">
      <w:pPr>
        <w:pStyle w:val="BodyText"/>
        <w:tabs>
          <w:tab w:val="left" w:pos="4680"/>
        </w:tabs>
        <w:jc w:val="center"/>
        <w:rPr>
          <w:color w:val="000000" w:themeColor="text1"/>
          <w:sz w:val="22"/>
          <w:szCs w:val="22"/>
          <w:u w:val="none"/>
        </w:rPr>
      </w:pPr>
    </w:p>
    <w:p w14:paraId="523ED34E" w14:textId="5D2A0C22" w:rsidR="00CE5F1E" w:rsidRPr="006D73F2" w:rsidRDefault="00CE5F1E" w:rsidP="00B82F3B">
      <w:pPr>
        <w:tabs>
          <w:tab w:val="left" w:pos="720"/>
          <w:tab w:val="left" w:pos="5760"/>
        </w:tabs>
        <w:suppressAutoHyphens/>
        <w:spacing w:after="120"/>
        <w:jc w:val="both"/>
        <w:rPr>
          <w:spacing w:val="-2"/>
          <w:szCs w:val="22"/>
        </w:rPr>
      </w:pPr>
      <w:r w:rsidRPr="006D73F2">
        <w:rPr>
          <w:spacing w:val="-2"/>
          <w:szCs w:val="22"/>
        </w:rPr>
        <w:t xml:space="preserve">By the </w:t>
      </w:r>
      <w:r w:rsidR="008B29C3">
        <w:rPr>
          <w:spacing w:val="-2"/>
          <w:szCs w:val="22"/>
        </w:rPr>
        <w:t xml:space="preserve">Regional </w:t>
      </w:r>
      <w:r w:rsidR="00232BF1">
        <w:rPr>
          <w:spacing w:val="-2"/>
          <w:szCs w:val="22"/>
        </w:rPr>
        <w:t>Director, Region</w:t>
      </w:r>
      <w:r w:rsidR="008B29C3">
        <w:rPr>
          <w:spacing w:val="-2"/>
          <w:szCs w:val="22"/>
        </w:rPr>
        <w:t xml:space="preserve"> 2</w:t>
      </w:r>
      <w:r w:rsidR="00232BF1">
        <w:rPr>
          <w:spacing w:val="-2"/>
          <w:szCs w:val="22"/>
        </w:rPr>
        <w:t>, Enforcement Bureau</w:t>
      </w:r>
      <w:r w:rsidRPr="006D73F2">
        <w:rPr>
          <w:spacing w:val="-2"/>
          <w:szCs w:val="22"/>
        </w:rPr>
        <w:t>:</w:t>
      </w:r>
    </w:p>
    <w:p w14:paraId="4F3D4063" w14:textId="77777777" w:rsidR="00E9376C" w:rsidRPr="00981F23" w:rsidRDefault="00E9376C" w:rsidP="00D85E60">
      <w:pPr>
        <w:pStyle w:val="Heading1"/>
        <w:rPr>
          <w:color w:val="000000" w:themeColor="text1"/>
        </w:rPr>
      </w:pPr>
      <w:r w:rsidRPr="00981F23">
        <w:rPr>
          <w:color w:val="000000" w:themeColor="text1"/>
        </w:rPr>
        <w:t>INTRODUCTION</w:t>
      </w:r>
    </w:p>
    <w:p w14:paraId="6B04DFB1" w14:textId="77777777" w:rsidR="007D75A6" w:rsidRPr="007D75A6" w:rsidRDefault="00E9376C" w:rsidP="007D75A6">
      <w:pPr>
        <w:pStyle w:val="ParaNum"/>
        <w:rPr>
          <w:spacing w:val="-2"/>
        </w:rPr>
      </w:pPr>
      <w:r w:rsidRPr="00272D8B">
        <w:rPr>
          <w:spacing w:val="-2"/>
        </w:rPr>
        <w:t xml:space="preserve">We </w:t>
      </w:r>
      <w:r w:rsidR="008B29C3">
        <w:rPr>
          <w:spacing w:val="-2"/>
        </w:rPr>
        <w:t xml:space="preserve">impose </w:t>
      </w:r>
      <w:r w:rsidRPr="00272D8B">
        <w:rPr>
          <w:spacing w:val="-2"/>
        </w:rPr>
        <w:t>a penalty of $</w:t>
      </w:r>
      <w:r w:rsidR="00232BF1" w:rsidRPr="00272D8B">
        <w:rPr>
          <w:spacing w:val="-2"/>
        </w:rPr>
        <w:t>1,000</w:t>
      </w:r>
      <w:r w:rsidRPr="00272D8B">
        <w:rPr>
          <w:spacing w:val="-2"/>
        </w:rPr>
        <w:t xml:space="preserve"> against</w:t>
      </w:r>
      <w:r w:rsidR="00232BF1" w:rsidRPr="00272D8B">
        <w:rPr>
          <w:spacing w:val="-2"/>
        </w:rPr>
        <w:t xml:space="preserve"> </w:t>
      </w:r>
      <w:r w:rsidR="009547E5">
        <w:rPr>
          <w:spacing w:val="-2"/>
        </w:rPr>
        <w:t xml:space="preserve">amateur radio station operator </w:t>
      </w:r>
      <w:r w:rsidR="00232BF1" w:rsidRPr="00272D8B">
        <w:rPr>
          <w:spacing w:val="-2"/>
        </w:rPr>
        <w:t xml:space="preserve">David </w:t>
      </w:r>
      <w:r w:rsidR="00A703FD" w:rsidRPr="00272D8B">
        <w:rPr>
          <w:spacing w:val="-2"/>
        </w:rPr>
        <w:t xml:space="preserve">J. </w:t>
      </w:r>
      <w:r w:rsidR="009547E5" w:rsidRPr="00272D8B">
        <w:rPr>
          <w:spacing w:val="-2"/>
        </w:rPr>
        <w:t xml:space="preserve">Tolassi </w:t>
      </w:r>
      <w:r w:rsidR="00232BF1" w:rsidRPr="00272D8B">
        <w:rPr>
          <w:spacing w:val="-2"/>
        </w:rPr>
        <w:t>for failing to transmit his assigned call sign in the Amate</w:t>
      </w:r>
      <w:r w:rsidR="00CE1DAF" w:rsidRPr="00272D8B">
        <w:rPr>
          <w:spacing w:val="-2"/>
        </w:rPr>
        <w:t>ur Radio Service</w:t>
      </w:r>
      <w:r w:rsidR="00C2021D" w:rsidRPr="009547E5">
        <w:rPr>
          <w:spacing w:val="-2"/>
        </w:rPr>
        <w:t>.</w:t>
      </w:r>
      <w:r w:rsidR="00C2021D" w:rsidRPr="00272D8B">
        <w:rPr>
          <w:spacing w:val="-2"/>
        </w:rPr>
        <w:t xml:space="preserve">  </w:t>
      </w:r>
      <w:r w:rsidR="008B29C3">
        <w:rPr>
          <w:spacing w:val="-2"/>
        </w:rPr>
        <w:t>Failure to transmit call sign information undermines the purpose of the</w:t>
      </w:r>
      <w:r w:rsidR="00B24396">
        <w:rPr>
          <w:spacing w:val="-2"/>
        </w:rPr>
        <w:t xml:space="preserve"> Amateur Radio Service by preventing licensed users from identifying a transmission’s source.  </w:t>
      </w:r>
      <w:r w:rsidR="008B29C3">
        <w:rPr>
          <w:spacing w:val="-2"/>
        </w:rPr>
        <w:t xml:space="preserve"> </w:t>
      </w:r>
      <w:r w:rsidR="00B24396">
        <w:rPr>
          <w:spacing w:val="-2"/>
        </w:rPr>
        <w:t xml:space="preserve">Mr. Tolassi does not deny that he </w:t>
      </w:r>
      <w:r w:rsidR="00AC1057">
        <w:rPr>
          <w:spacing w:val="-2"/>
        </w:rPr>
        <w:t xml:space="preserve">transmitted on 14.313 MHz on the date in question, but argues that his comments were within the 10 minute window mandated by the rules.  </w:t>
      </w:r>
      <w:r w:rsidR="00B96125">
        <w:rPr>
          <w:spacing w:val="-2"/>
        </w:rPr>
        <w:t xml:space="preserve">  Mr. Tolassi also requests cancellation </w:t>
      </w:r>
      <w:r w:rsidR="00AC1057">
        <w:rPr>
          <w:spacing w:val="-2"/>
        </w:rPr>
        <w:t xml:space="preserve">of the </w:t>
      </w:r>
      <w:r w:rsidR="00AC1057">
        <w:rPr>
          <w:i/>
          <w:spacing w:val="-2"/>
        </w:rPr>
        <w:t xml:space="preserve">NAL </w:t>
      </w:r>
      <w:r w:rsidR="00B96125">
        <w:rPr>
          <w:spacing w:val="-2"/>
        </w:rPr>
        <w:t>and substitution of a Warning Letter based upon the fact that similarly situated amateur operators have received multiple warning</w:t>
      </w:r>
      <w:r w:rsidR="00AC1057">
        <w:rPr>
          <w:spacing w:val="-2"/>
        </w:rPr>
        <w:t>s</w:t>
      </w:r>
      <w:r w:rsidR="00B96125">
        <w:rPr>
          <w:spacing w:val="-2"/>
        </w:rPr>
        <w:t xml:space="preserve"> befor</w:t>
      </w:r>
      <w:r w:rsidR="006E67FA">
        <w:rPr>
          <w:spacing w:val="-2"/>
        </w:rPr>
        <w:t>e being issued a fine.  Considering the entire record and the factors discussed below, we find no reason to cancel, withdraw or reduce the proposed penalty, and we therefore assess the $1,000 forfeiture the Enforcement Bureau (Bureau) previously proposed</w:t>
      </w:r>
      <w:r w:rsidR="009547E5">
        <w:rPr>
          <w:spacing w:val="-2"/>
          <w:szCs w:val="22"/>
        </w:rPr>
        <w:t>.</w:t>
      </w:r>
    </w:p>
    <w:p w14:paraId="546347CD" w14:textId="72F261D9" w:rsidR="007D75A6" w:rsidRPr="007D75A6" w:rsidRDefault="007D75A6" w:rsidP="007D75A6">
      <w:pPr>
        <w:pStyle w:val="Heading1"/>
      </w:pPr>
      <w:r>
        <w:t>BACKGROUND</w:t>
      </w:r>
    </w:p>
    <w:p w14:paraId="25BD5758" w14:textId="5DB39741" w:rsidR="00881769" w:rsidRPr="007D75A6" w:rsidRDefault="006E67FA" w:rsidP="007D75A6">
      <w:pPr>
        <w:pStyle w:val="ParaNum"/>
        <w:rPr>
          <w:spacing w:val="-2"/>
        </w:rPr>
      </w:pPr>
      <w:r w:rsidRPr="007D75A6">
        <w:rPr>
          <w:spacing w:val="-2"/>
        </w:rPr>
        <w:t>On June 24, 2015, agents from the Bureau’s Atlanta Office (Atlanta Office) used mobile direction finding techniques to locate the source of a signal on 14.313 MHz to Mr. Tolassi’s residence.</w:t>
      </w:r>
      <w:r>
        <w:rPr>
          <w:rStyle w:val="FootnoteReference"/>
          <w:spacing w:val="-2"/>
        </w:rPr>
        <w:footnoteReference w:id="2"/>
      </w:r>
      <w:r w:rsidRPr="007D75A6">
        <w:rPr>
          <w:spacing w:val="-2"/>
        </w:rPr>
        <w:t xml:space="preserve">  On July 22, 2015, the Bureau issued the </w:t>
      </w:r>
      <w:r w:rsidRPr="007D75A6">
        <w:rPr>
          <w:i/>
          <w:spacing w:val="-2"/>
        </w:rPr>
        <w:t>NAL</w:t>
      </w:r>
      <w:r w:rsidRPr="007D75A6">
        <w:rPr>
          <w:spacing w:val="-2"/>
        </w:rPr>
        <w:t xml:space="preserve"> </w:t>
      </w:r>
      <w:r w:rsidR="00A87460" w:rsidRPr="007D75A6">
        <w:rPr>
          <w:spacing w:val="-2"/>
        </w:rPr>
        <w:t>proposing a $1,000 for</w:t>
      </w:r>
      <w:r w:rsidRPr="007D75A6">
        <w:rPr>
          <w:spacing w:val="-2"/>
        </w:rPr>
        <w:t>feiture against Mr. Tolassi for his apparent violation of Section 97.119(a) of the Commission’s rules (Rules).</w:t>
      </w:r>
      <w:r>
        <w:rPr>
          <w:rStyle w:val="FootnoteReference"/>
          <w:spacing w:val="-2"/>
        </w:rPr>
        <w:footnoteReference w:id="3"/>
      </w:r>
      <w:r w:rsidRPr="007D75A6">
        <w:rPr>
          <w:spacing w:val="-2"/>
        </w:rPr>
        <w:t xml:space="preserve">  </w:t>
      </w:r>
      <w:r w:rsidR="008353ED" w:rsidRPr="007D75A6">
        <w:rPr>
          <w:spacing w:val="-2"/>
        </w:rPr>
        <w:t xml:space="preserve">On July 27, 2015, Mr. Tolassi filed a response to the </w:t>
      </w:r>
      <w:r w:rsidR="008353ED" w:rsidRPr="007D75A6">
        <w:rPr>
          <w:i/>
          <w:spacing w:val="-2"/>
        </w:rPr>
        <w:t>NAL.</w:t>
      </w:r>
      <w:r w:rsidR="008353ED">
        <w:rPr>
          <w:rStyle w:val="FootnoteReference"/>
          <w:i/>
          <w:spacing w:val="-2"/>
        </w:rPr>
        <w:footnoteReference w:id="4"/>
      </w:r>
      <w:r w:rsidR="008353ED" w:rsidRPr="007D75A6">
        <w:rPr>
          <w:spacing w:val="-2"/>
        </w:rPr>
        <w:t xml:space="preserve">  </w:t>
      </w:r>
      <w:r w:rsidR="00AC1057" w:rsidRPr="007D75A6">
        <w:rPr>
          <w:spacing w:val="-2"/>
        </w:rPr>
        <w:t xml:space="preserve">In his </w:t>
      </w:r>
      <w:r w:rsidR="00AC1057" w:rsidRPr="007D75A6">
        <w:rPr>
          <w:i/>
          <w:spacing w:val="-2"/>
        </w:rPr>
        <w:t>NAL Response</w:t>
      </w:r>
      <w:r w:rsidR="00AC1057" w:rsidRPr="007D75A6">
        <w:rPr>
          <w:spacing w:val="-2"/>
        </w:rPr>
        <w:t xml:space="preserve">, Mr. Tolassi argues that the </w:t>
      </w:r>
      <w:r w:rsidR="00AC1057" w:rsidRPr="007D75A6">
        <w:rPr>
          <w:i/>
          <w:spacing w:val="-2"/>
        </w:rPr>
        <w:t xml:space="preserve">NAL </w:t>
      </w:r>
      <w:r w:rsidR="00AC1057" w:rsidRPr="007D75A6">
        <w:rPr>
          <w:spacing w:val="-2"/>
        </w:rPr>
        <w:t>should be cancelled because any comments he made on 14.313 MHz on the date in question were within the 10 minute window prescribed by the Commission’s rules.</w:t>
      </w:r>
      <w:r w:rsidR="00AC1057">
        <w:rPr>
          <w:rStyle w:val="FootnoteReference"/>
          <w:spacing w:val="-2"/>
        </w:rPr>
        <w:footnoteReference w:id="5"/>
      </w:r>
      <w:r w:rsidR="00AC1057" w:rsidRPr="007D75A6">
        <w:rPr>
          <w:spacing w:val="-2"/>
        </w:rPr>
        <w:t xml:space="preserve">  Mr. Tolassi also contends that the </w:t>
      </w:r>
      <w:r w:rsidR="00AC1057" w:rsidRPr="007D75A6">
        <w:rPr>
          <w:i/>
          <w:spacing w:val="-2"/>
        </w:rPr>
        <w:t xml:space="preserve">NAL </w:t>
      </w:r>
      <w:r w:rsidR="00AC1057" w:rsidRPr="007D75A6">
        <w:rPr>
          <w:spacing w:val="-2"/>
        </w:rPr>
        <w:t xml:space="preserve">should be reduced or cancelled because other amateurs have received </w:t>
      </w:r>
      <w:r w:rsidR="00F92D95">
        <w:rPr>
          <w:spacing w:val="-2"/>
        </w:rPr>
        <w:t xml:space="preserve">non-monetary </w:t>
      </w:r>
      <w:r w:rsidR="00AC1057" w:rsidRPr="007D75A6">
        <w:rPr>
          <w:spacing w:val="-2"/>
        </w:rPr>
        <w:t>warning letters for more serious infractions</w:t>
      </w:r>
      <w:r w:rsidR="00F92D95">
        <w:rPr>
          <w:spacing w:val="-2"/>
        </w:rPr>
        <w:t>.</w:t>
      </w:r>
      <w:r w:rsidR="00AC1057" w:rsidRPr="007D75A6">
        <w:rPr>
          <w:spacing w:val="-2"/>
        </w:rPr>
        <w:t xml:space="preserve">  Mr. Tolassi requests that the Commission issue him a Warning Letter rather than the </w:t>
      </w:r>
      <w:r w:rsidR="00AC1057" w:rsidRPr="007D75A6">
        <w:rPr>
          <w:i/>
          <w:spacing w:val="-2"/>
        </w:rPr>
        <w:t>NAL</w:t>
      </w:r>
      <w:r w:rsidR="00F92D95">
        <w:rPr>
          <w:spacing w:val="-2"/>
        </w:rPr>
        <w:t xml:space="preserve"> for his violation</w:t>
      </w:r>
      <w:r w:rsidR="00AC1057" w:rsidRPr="007D75A6">
        <w:rPr>
          <w:i/>
          <w:spacing w:val="-2"/>
        </w:rPr>
        <w:t>.</w:t>
      </w:r>
    </w:p>
    <w:p w14:paraId="6BCC95D2" w14:textId="77777777" w:rsidR="00E9376C" w:rsidRPr="00981F23" w:rsidRDefault="00E9376C" w:rsidP="00D85E60">
      <w:pPr>
        <w:pStyle w:val="Heading1"/>
        <w:rPr>
          <w:color w:val="000000" w:themeColor="text1"/>
        </w:rPr>
      </w:pPr>
      <w:r w:rsidRPr="00981F23">
        <w:rPr>
          <w:color w:val="000000" w:themeColor="text1"/>
        </w:rPr>
        <w:t>DISCUSSION</w:t>
      </w:r>
    </w:p>
    <w:p w14:paraId="33F20E86" w14:textId="2D1E7B6C" w:rsidR="00722FB2" w:rsidRPr="00C72066" w:rsidRDefault="00AC1057" w:rsidP="00D85E60">
      <w:pPr>
        <w:pStyle w:val="ParaNum"/>
        <w:rPr>
          <w:spacing w:val="-2"/>
        </w:rPr>
      </w:pPr>
      <w:r>
        <w:rPr>
          <w:spacing w:val="-2"/>
        </w:rPr>
        <w:t xml:space="preserve">The Bureau proposed a forfeiture in this case in </w:t>
      </w:r>
      <w:r w:rsidR="00722FB2">
        <w:rPr>
          <w:spacing w:val="-3"/>
          <w:szCs w:val="22"/>
        </w:rPr>
        <w:t xml:space="preserve">in accordance with </w:t>
      </w:r>
      <w:r w:rsidR="00722FB2" w:rsidRPr="00E34AAE">
        <w:rPr>
          <w:spacing w:val="-3"/>
          <w:szCs w:val="22"/>
        </w:rPr>
        <w:t xml:space="preserve">Section 503(b) of the </w:t>
      </w:r>
      <w:r w:rsidR="00722FB2">
        <w:rPr>
          <w:spacing w:val="-3"/>
          <w:szCs w:val="22"/>
        </w:rPr>
        <w:t>Act,</w:t>
      </w:r>
      <w:r w:rsidR="00722FB2">
        <w:rPr>
          <w:rStyle w:val="FootnoteReference"/>
          <w:spacing w:val="-3"/>
          <w:szCs w:val="22"/>
        </w:rPr>
        <w:footnoteReference w:id="6"/>
      </w:r>
      <w:r w:rsidR="00722FB2">
        <w:rPr>
          <w:spacing w:val="-3"/>
          <w:szCs w:val="22"/>
        </w:rPr>
        <w:t xml:space="preserve"> Section 1.80 of the Rules,</w:t>
      </w:r>
      <w:r w:rsidR="00722FB2">
        <w:rPr>
          <w:rStyle w:val="FootnoteReference"/>
          <w:spacing w:val="-3"/>
          <w:szCs w:val="22"/>
        </w:rPr>
        <w:footnoteReference w:id="7"/>
      </w:r>
      <w:r w:rsidR="00722FB2">
        <w:rPr>
          <w:spacing w:val="-3"/>
          <w:szCs w:val="22"/>
        </w:rPr>
        <w:t xml:space="preserve"> and the Commission’s </w:t>
      </w:r>
      <w:r w:rsidR="00722FB2">
        <w:rPr>
          <w:i/>
          <w:spacing w:val="-3"/>
          <w:szCs w:val="22"/>
        </w:rPr>
        <w:t>Forfeiture Policy Statement</w:t>
      </w:r>
      <w:r w:rsidR="00722FB2" w:rsidRPr="00A12D37">
        <w:rPr>
          <w:color w:val="000000"/>
          <w:spacing w:val="-3"/>
          <w:szCs w:val="22"/>
        </w:rPr>
        <w:t>.</w:t>
      </w:r>
      <w:r w:rsidR="00722FB2">
        <w:rPr>
          <w:rStyle w:val="FootnoteReference"/>
          <w:color w:val="000000"/>
          <w:spacing w:val="-3"/>
          <w:szCs w:val="22"/>
        </w:rPr>
        <w:footnoteReference w:id="8"/>
      </w:r>
      <w:r w:rsidR="00722FB2" w:rsidRPr="00A12D37">
        <w:rPr>
          <w:color w:val="000000"/>
          <w:spacing w:val="-3"/>
          <w:szCs w:val="22"/>
        </w:rPr>
        <w:t xml:space="preserve">  </w:t>
      </w:r>
      <w:r w:rsidR="00722FB2">
        <w:rPr>
          <w:color w:val="000000"/>
          <w:spacing w:val="-3"/>
          <w:szCs w:val="22"/>
        </w:rPr>
        <w:t xml:space="preserve">When we </w:t>
      </w:r>
      <w:r w:rsidR="00722FB2" w:rsidRPr="00195ECB">
        <w:rPr>
          <w:spacing w:val="-2"/>
          <w:szCs w:val="22"/>
        </w:rPr>
        <w:t xml:space="preserve">assess </w:t>
      </w:r>
      <w:r w:rsidR="00722FB2">
        <w:rPr>
          <w:spacing w:val="-2"/>
          <w:szCs w:val="22"/>
        </w:rPr>
        <w:lastRenderedPageBreak/>
        <w:t xml:space="preserve">forfeitures, Section 503(b)(2)(E) requires that we </w:t>
      </w:r>
      <w:r w:rsidR="00722FB2" w:rsidRPr="00195ECB">
        <w:rPr>
          <w:spacing w:val="-2"/>
          <w:szCs w:val="22"/>
        </w:rPr>
        <w:t xml:space="preserve">take into account the </w:t>
      </w:r>
      <w:r w:rsidR="00722FB2">
        <w:rPr>
          <w:spacing w:val="-2"/>
          <w:szCs w:val="22"/>
        </w:rPr>
        <w:t>“</w:t>
      </w:r>
      <w:r w:rsidR="00722FB2" w:rsidRPr="00195ECB">
        <w:rPr>
          <w:spacing w:val="-2"/>
          <w:szCs w:val="22"/>
        </w:rPr>
        <w:t>nature, circumstances, extent, and gravity of the violations, and with respect to the violator, the degree of culpability, any history of prior offenses, ability to pay, and other such matters as justice may require.</w:t>
      </w:r>
      <w:r w:rsidR="00722FB2">
        <w:rPr>
          <w:spacing w:val="-2"/>
          <w:szCs w:val="22"/>
        </w:rPr>
        <w:t>”</w:t>
      </w:r>
      <w:r w:rsidR="00722FB2" w:rsidRPr="00E34AAE">
        <w:rPr>
          <w:rStyle w:val="FootnoteReference"/>
          <w:spacing w:val="-2"/>
          <w:szCs w:val="22"/>
        </w:rPr>
        <w:footnoteReference w:id="9"/>
      </w:r>
      <w:r w:rsidR="00722FB2">
        <w:rPr>
          <w:spacing w:val="-2"/>
          <w:szCs w:val="22"/>
        </w:rPr>
        <w:t xml:space="preserve">  As discussed below, we have fully considered Mr. Tolassi’s </w:t>
      </w:r>
      <w:r w:rsidR="00722FB2">
        <w:rPr>
          <w:i/>
          <w:spacing w:val="-2"/>
          <w:szCs w:val="22"/>
        </w:rPr>
        <w:t>NAL Response</w:t>
      </w:r>
      <w:r w:rsidR="00722FB2">
        <w:rPr>
          <w:spacing w:val="-2"/>
          <w:szCs w:val="22"/>
        </w:rPr>
        <w:t xml:space="preserve">, but find none of the arguments persuasive.  We therefore affirm the $1,000 forfeiture proposed in the </w:t>
      </w:r>
      <w:r w:rsidR="00722FB2">
        <w:rPr>
          <w:i/>
          <w:spacing w:val="-2"/>
          <w:szCs w:val="22"/>
        </w:rPr>
        <w:t>NAL.</w:t>
      </w:r>
    </w:p>
    <w:p w14:paraId="28A3C53C" w14:textId="2CE173EB" w:rsidR="00C72066" w:rsidRDefault="00C72066" w:rsidP="00C72066">
      <w:pPr>
        <w:pStyle w:val="Heading2"/>
        <w:tabs>
          <w:tab w:val="clear" w:pos="1440"/>
        </w:tabs>
        <w:autoSpaceDE w:val="0"/>
        <w:autoSpaceDN w:val="0"/>
        <w:adjustRightInd w:val="0"/>
        <w:rPr>
          <w:szCs w:val="22"/>
        </w:rPr>
      </w:pPr>
      <w:r>
        <w:rPr>
          <w:szCs w:val="22"/>
        </w:rPr>
        <w:t>The Bureau Established that Mr. Tolassi Failed to Identify</w:t>
      </w:r>
    </w:p>
    <w:p w14:paraId="46CA6C33" w14:textId="4A8A658D" w:rsidR="00B60981" w:rsidRPr="00B60981" w:rsidRDefault="00C72066" w:rsidP="00B60981">
      <w:pPr>
        <w:pStyle w:val="ParaNum"/>
        <w:rPr>
          <w:spacing w:val="-2"/>
        </w:rPr>
      </w:pPr>
      <w:r>
        <w:rPr>
          <w:spacing w:val="-2"/>
        </w:rPr>
        <w:t>Mr. Tolassi maintains that while he did transmit on 14.313 MHz on the date in question, he does not “remember” the content of his transmission and asserts that any comments from his station were within the “window” of 10 minutes due to his “conversation with another ham.”</w:t>
      </w:r>
      <w:r>
        <w:rPr>
          <w:rStyle w:val="FootnoteReference"/>
          <w:spacing w:val="-2"/>
        </w:rPr>
        <w:footnoteReference w:id="10"/>
      </w:r>
      <w:r>
        <w:rPr>
          <w:spacing w:val="-2"/>
        </w:rPr>
        <w:t xml:space="preserve">  We disagree.  Agents from the Atlanta Office performed close-in direction finding and positively confirmed the source of the transmissions as the address of record for Mr. Tolassi’s amateur station W4BHV.  The agents monitored the transmissions from Mr. Tolassi’s station for approximately 15 minutes and heard him transmit without transmitting his assigned call sign</w:t>
      </w:r>
      <w:r w:rsidR="00FD46EB">
        <w:rPr>
          <w:spacing w:val="-2"/>
        </w:rPr>
        <w:t xml:space="preserve"> during that time</w:t>
      </w:r>
      <w:r>
        <w:rPr>
          <w:spacing w:val="-2"/>
        </w:rPr>
        <w:t>.  Further, Mr. Tolassi acknowledges that he received a prior warning from the Commission regarding failure to transmit his assigned call sign.</w:t>
      </w:r>
      <w:r>
        <w:rPr>
          <w:rStyle w:val="FootnoteReference"/>
          <w:spacing w:val="-2"/>
        </w:rPr>
        <w:footnoteReference w:id="11"/>
      </w:r>
      <w:r>
        <w:rPr>
          <w:spacing w:val="-2"/>
        </w:rPr>
        <w:t xml:space="preserve">   </w:t>
      </w:r>
      <w:r w:rsidR="00594A9D">
        <w:rPr>
          <w:spacing w:val="-2"/>
        </w:rPr>
        <w:t>Mr. Tolassi had been warned in writing by the Bureau that his failure to properly identify violated the Act and Rules.</w:t>
      </w:r>
      <w:r w:rsidR="00594A9D">
        <w:rPr>
          <w:rStyle w:val="FootnoteReference"/>
          <w:spacing w:val="-2"/>
        </w:rPr>
        <w:footnoteReference w:id="12"/>
      </w:r>
      <w:r w:rsidR="00594A9D">
        <w:rPr>
          <w:spacing w:val="-2"/>
        </w:rPr>
        <w:t xml:space="preserve">  </w:t>
      </w:r>
      <w:r w:rsidR="00110BA6">
        <w:rPr>
          <w:spacing w:val="-2"/>
        </w:rPr>
        <w:t xml:space="preserve">As a result, we affirm the </w:t>
      </w:r>
      <w:r w:rsidR="00110BA6">
        <w:rPr>
          <w:i/>
          <w:spacing w:val="-2"/>
        </w:rPr>
        <w:t xml:space="preserve">NAL’s </w:t>
      </w:r>
      <w:r w:rsidR="00110BA6">
        <w:rPr>
          <w:spacing w:val="-2"/>
        </w:rPr>
        <w:t>finding that Mr. Tolassi failed to properly identify his station.</w:t>
      </w:r>
      <w:r w:rsidR="00110BA6">
        <w:rPr>
          <w:rStyle w:val="FootnoteReference"/>
          <w:spacing w:val="-2"/>
        </w:rPr>
        <w:footnoteReference w:id="13"/>
      </w:r>
    </w:p>
    <w:p w14:paraId="71E16295" w14:textId="4DBE8E2D" w:rsidR="00B60981" w:rsidRDefault="00F92D95" w:rsidP="00B60981">
      <w:pPr>
        <w:pStyle w:val="Heading2"/>
        <w:tabs>
          <w:tab w:val="clear" w:pos="1440"/>
        </w:tabs>
        <w:autoSpaceDE w:val="0"/>
        <w:autoSpaceDN w:val="0"/>
        <w:adjustRightInd w:val="0"/>
        <w:jc w:val="both"/>
        <w:rPr>
          <w:szCs w:val="22"/>
        </w:rPr>
      </w:pPr>
      <w:r>
        <w:rPr>
          <w:szCs w:val="22"/>
        </w:rPr>
        <w:t>The Proposed Forfeiture is Fully Consistent with Commission Precedent</w:t>
      </w:r>
    </w:p>
    <w:p w14:paraId="5EA5C8FA" w14:textId="701118A6" w:rsidR="00B60981" w:rsidRPr="007D75A6" w:rsidRDefault="00FD46EB" w:rsidP="00B60981">
      <w:pPr>
        <w:pStyle w:val="ParaNum"/>
      </w:pPr>
      <w:r>
        <w:rPr>
          <w:spacing w:val="-2"/>
          <w:szCs w:val="22"/>
        </w:rPr>
        <w:t xml:space="preserve">Mr. Tolassi </w:t>
      </w:r>
      <w:r w:rsidR="00B60981">
        <w:rPr>
          <w:spacing w:val="-2"/>
          <w:szCs w:val="22"/>
        </w:rPr>
        <w:t>also seeks a cancellation of the proposed forfeiture based</w:t>
      </w:r>
      <w:r w:rsidR="00F92D95">
        <w:rPr>
          <w:spacing w:val="-2"/>
          <w:szCs w:val="22"/>
        </w:rPr>
        <w:t xml:space="preserve"> on his argument that other amateur</w:t>
      </w:r>
      <w:r w:rsidR="003054B8">
        <w:rPr>
          <w:spacing w:val="-2"/>
          <w:szCs w:val="22"/>
        </w:rPr>
        <w:t>s</w:t>
      </w:r>
      <w:r w:rsidR="00F92D95">
        <w:rPr>
          <w:spacing w:val="-2"/>
          <w:szCs w:val="22"/>
        </w:rPr>
        <w:t xml:space="preserve"> w</w:t>
      </w:r>
      <w:r w:rsidR="003054B8">
        <w:rPr>
          <w:spacing w:val="-2"/>
          <w:szCs w:val="22"/>
        </w:rPr>
        <w:t>ere</w:t>
      </w:r>
      <w:r w:rsidR="00F92D95">
        <w:rPr>
          <w:spacing w:val="-2"/>
          <w:szCs w:val="22"/>
        </w:rPr>
        <w:t xml:space="preserve"> given</w:t>
      </w:r>
      <w:r w:rsidR="003054B8">
        <w:rPr>
          <w:spacing w:val="-2"/>
          <w:szCs w:val="22"/>
        </w:rPr>
        <w:t xml:space="preserve"> warnings before being issued</w:t>
      </w:r>
      <w:r w:rsidR="00F92D95">
        <w:rPr>
          <w:spacing w:val="-2"/>
          <w:szCs w:val="22"/>
        </w:rPr>
        <w:t xml:space="preserve"> fine</w:t>
      </w:r>
      <w:r w:rsidR="003054B8">
        <w:rPr>
          <w:spacing w:val="-2"/>
          <w:szCs w:val="22"/>
        </w:rPr>
        <w:t>s</w:t>
      </w:r>
      <w:r w:rsidR="000E0F36">
        <w:rPr>
          <w:spacing w:val="-2"/>
          <w:szCs w:val="22"/>
        </w:rPr>
        <w:t xml:space="preserve"> and that </w:t>
      </w:r>
      <w:r w:rsidR="003054B8">
        <w:rPr>
          <w:spacing w:val="-2"/>
          <w:szCs w:val="22"/>
        </w:rPr>
        <w:t xml:space="preserve">their </w:t>
      </w:r>
      <w:r w:rsidR="000E0F36">
        <w:rPr>
          <w:spacing w:val="-2"/>
          <w:szCs w:val="22"/>
        </w:rPr>
        <w:t>actions were more egregious than Mr. Tolassi’s failure to identify</w:t>
      </w:r>
      <w:r w:rsidR="00F92D95">
        <w:rPr>
          <w:spacing w:val="-2"/>
          <w:szCs w:val="22"/>
        </w:rPr>
        <w:t>.</w:t>
      </w:r>
      <w:r w:rsidR="00F92D95">
        <w:rPr>
          <w:rStyle w:val="FootnoteReference"/>
          <w:spacing w:val="-2"/>
          <w:szCs w:val="22"/>
        </w:rPr>
        <w:footnoteReference w:id="14"/>
      </w:r>
      <w:r w:rsidR="00B60981">
        <w:rPr>
          <w:spacing w:val="-2"/>
          <w:szCs w:val="22"/>
        </w:rPr>
        <w:t xml:space="preserve">  </w:t>
      </w:r>
      <w:r w:rsidR="00B12C1D">
        <w:rPr>
          <w:spacing w:val="-2"/>
          <w:szCs w:val="22"/>
        </w:rPr>
        <w:t xml:space="preserve">Mr. Tolassi is incorrect in his assertion that he has been treated differently </w:t>
      </w:r>
      <w:r w:rsidR="00E0590C">
        <w:rPr>
          <w:spacing w:val="-2"/>
          <w:szCs w:val="22"/>
        </w:rPr>
        <w:t>from</w:t>
      </w:r>
      <w:r w:rsidR="00B12C1D">
        <w:rPr>
          <w:spacing w:val="-2"/>
          <w:szCs w:val="22"/>
        </w:rPr>
        <w:t xml:space="preserve"> </w:t>
      </w:r>
      <w:r w:rsidR="00960A99">
        <w:rPr>
          <w:spacing w:val="-2"/>
          <w:szCs w:val="22"/>
        </w:rPr>
        <w:t>similarly situated applicants</w:t>
      </w:r>
      <w:r w:rsidR="003054B8">
        <w:rPr>
          <w:spacing w:val="-2"/>
          <w:szCs w:val="22"/>
        </w:rPr>
        <w:t>.</w:t>
      </w:r>
      <w:r w:rsidR="00960A99">
        <w:rPr>
          <w:spacing w:val="-2"/>
          <w:szCs w:val="22"/>
        </w:rPr>
        <w:t xml:space="preserve"> </w:t>
      </w:r>
      <w:r w:rsidR="003054B8">
        <w:rPr>
          <w:spacing w:val="-2"/>
          <w:szCs w:val="22"/>
        </w:rPr>
        <w:t xml:space="preserve"> </w:t>
      </w:r>
      <w:r w:rsidR="00E0590C">
        <w:rPr>
          <w:spacing w:val="-2"/>
          <w:szCs w:val="22"/>
        </w:rPr>
        <w:t xml:space="preserve">In August of 2014, Mr. Tolassi received a </w:t>
      </w:r>
      <w:r w:rsidR="003054B8">
        <w:rPr>
          <w:spacing w:val="-2"/>
          <w:szCs w:val="22"/>
        </w:rPr>
        <w:t xml:space="preserve">written </w:t>
      </w:r>
      <w:r w:rsidR="00E0590C">
        <w:rPr>
          <w:spacing w:val="-2"/>
          <w:szCs w:val="22"/>
        </w:rPr>
        <w:t>warning from the Commission for violating Section 97.119(a) of the Commission’s rules</w:t>
      </w:r>
      <w:r w:rsidR="003054B8">
        <w:rPr>
          <w:spacing w:val="-2"/>
          <w:szCs w:val="22"/>
        </w:rPr>
        <w:t xml:space="preserve"> wherein he was advised that if operation of this type reoccurred he could be subject to a monetary forfeiture</w:t>
      </w:r>
      <w:r w:rsidR="00E0590C">
        <w:rPr>
          <w:spacing w:val="-2"/>
          <w:szCs w:val="22"/>
        </w:rPr>
        <w:t>.</w:t>
      </w:r>
      <w:r w:rsidR="00F14BD1">
        <w:rPr>
          <w:rStyle w:val="FootnoteReference"/>
          <w:spacing w:val="-2"/>
          <w:szCs w:val="22"/>
        </w:rPr>
        <w:footnoteReference w:id="15"/>
      </w:r>
      <w:r w:rsidR="00240532">
        <w:rPr>
          <w:spacing w:val="-2"/>
          <w:szCs w:val="22"/>
        </w:rPr>
        <w:t xml:space="preserve">  </w:t>
      </w:r>
      <w:r w:rsidR="005520C2">
        <w:rPr>
          <w:spacing w:val="-2"/>
          <w:szCs w:val="22"/>
        </w:rPr>
        <w:t xml:space="preserve">After receipt of this warning, </w:t>
      </w:r>
      <w:r w:rsidR="00240532">
        <w:rPr>
          <w:spacing w:val="-2"/>
          <w:szCs w:val="22"/>
        </w:rPr>
        <w:t xml:space="preserve">Mr. Tolassi </w:t>
      </w:r>
      <w:r w:rsidR="005520C2">
        <w:rPr>
          <w:spacing w:val="-2"/>
          <w:szCs w:val="22"/>
        </w:rPr>
        <w:t xml:space="preserve">again </w:t>
      </w:r>
      <w:r w:rsidR="00240532">
        <w:rPr>
          <w:spacing w:val="-2"/>
          <w:szCs w:val="22"/>
        </w:rPr>
        <w:t>violate</w:t>
      </w:r>
      <w:r w:rsidR="005520C2">
        <w:rPr>
          <w:spacing w:val="-2"/>
          <w:szCs w:val="22"/>
        </w:rPr>
        <w:t>d</w:t>
      </w:r>
      <w:r w:rsidR="00240532">
        <w:rPr>
          <w:spacing w:val="-2"/>
          <w:szCs w:val="22"/>
        </w:rPr>
        <w:t xml:space="preserve"> th</w:t>
      </w:r>
      <w:r w:rsidR="005520C2">
        <w:rPr>
          <w:spacing w:val="-2"/>
          <w:szCs w:val="22"/>
        </w:rPr>
        <w:t>e</w:t>
      </w:r>
      <w:r w:rsidR="00240532">
        <w:rPr>
          <w:spacing w:val="-2"/>
          <w:szCs w:val="22"/>
        </w:rPr>
        <w:t xml:space="preserve"> same rule.  Indeed, t</w:t>
      </w:r>
      <w:r w:rsidR="00E0590C">
        <w:rPr>
          <w:spacing w:val="-2"/>
          <w:szCs w:val="22"/>
        </w:rPr>
        <w:t>he Bureau firmly established that, on June 24, 2015, Mr. Tolassi failed to properly identify within the 10 minutes prescribed by Section 97.119(a) of the Commission’s rules.</w:t>
      </w:r>
      <w:r w:rsidR="00E0590C">
        <w:rPr>
          <w:rStyle w:val="FootnoteReference"/>
          <w:spacing w:val="-2"/>
          <w:szCs w:val="22"/>
        </w:rPr>
        <w:footnoteReference w:id="16"/>
      </w:r>
      <w:r w:rsidR="00E0590C">
        <w:rPr>
          <w:spacing w:val="-2"/>
          <w:szCs w:val="22"/>
        </w:rPr>
        <w:t xml:space="preserve"> </w:t>
      </w:r>
      <w:r w:rsidR="003054B8">
        <w:rPr>
          <w:spacing w:val="-2"/>
          <w:szCs w:val="22"/>
        </w:rPr>
        <w:t>Furthermore,</w:t>
      </w:r>
      <w:r w:rsidR="00B12C1D">
        <w:rPr>
          <w:spacing w:val="-2"/>
          <w:szCs w:val="22"/>
        </w:rPr>
        <w:t xml:space="preserve"> </w:t>
      </w:r>
      <w:r w:rsidR="003054B8">
        <w:rPr>
          <w:spacing w:val="-2"/>
          <w:szCs w:val="22"/>
        </w:rPr>
        <w:t xml:space="preserve">as the cases referenced in his </w:t>
      </w:r>
      <w:r w:rsidR="003054B8">
        <w:rPr>
          <w:i/>
          <w:spacing w:val="-2"/>
          <w:szCs w:val="22"/>
        </w:rPr>
        <w:t xml:space="preserve">NAL </w:t>
      </w:r>
      <w:r w:rsidR="003054B8" w:rsidRPr="000E0F36">
        <w:rPr>
          <w:i/>
          <w:spacing w:val="-2"/>
          <w:szCs w:val="22"/>
        </w:rPr>
        <w:t>Response</w:t>
      </w:r>
      <w:r w:rsidR="003054B8">
        <w:rPr>
          <w:spacing w:val="-2"/>
          <w:szCs w:val="22"/>
        </w:rPr>
        <w:t xml:space="preserve"> </w:t>
      </w:r>
      <w:r w:rsidR="008F37E3">
        <w:rPr>
          <w:spacing w:val="-2"/>
          <w:szCs w:val="22"/>
        </w:rPr>
        <w:t>clearly demonstrate,</w:t>
      </w:r>
      <w:r w:rsidR="003054B8">
        <w:rPr>
          <w:spacing w:val="-2"/>
          <w:szCs w:val="22"/>
        </w:rPr>
        <w:t xml:space="preserve"> the Commission has consistently interpreted Section 97.119(a) in this context.</w:t>
      </w:r>
      <w:r w:rsidR="003054B8">
        <w:rPr>
          <w:rStyle w:val="FootnoteReference"/>
          <w:spacing w:val="-2"/>
          <w:szCs w:val="22"/>
        </w:rPr>
        <w:footnoteReference w:id="17"/>
      </w:r>
      <w:r w:rsidR="003054B8">
        <w:rPr>
          <w:spacing w:val="-2"/>
          <w:szCs w:val="22"/>
        </w:rPr>
        <w:t xml:space="preserve">   </w:t>
      </w:r>
      <w:r w:rsidR="00D87C9B" w:rsidRPr="000E0F36">
        <w:rPr>
          <w:spacing w:val="-2"/>
          <w:szCs w:val="22"/>
        </w:rPr>
        <w:t>Therefore</w:t>
      </w:r>
      <w:r w:rsidR="00D87C9B">
        <w:rPr>
          <w:spacing w:val="-2"/>
          <w:szCs w:val="22"/>
        </w:rPr>
        <w:t xml:space="preserve"> w</w:t>
      </w:r>
      <w:r w:rsidR="00CC1BDB">
        <w:rPr>
          <w:spacing w:val="-2"/>
          <w:szCs w:val="22"/>
        </w:rPr>
        <w:t xml:space="preserve">e find that the $1,000 forfeiture issued was an appropriate sanction for </w:t>
      </w:r>
      <w:r w:rsidR="00A812F4">
        <w:rPr>
          <w:spacing w:val="-2"/>
          <w:szCs w:val="22"/>
        </w:rPr>
        <w:t xml:space="preserve">Mr. </w:t>
      </w:r>
      <w:r w:rsidR="00CC1BDB">
        <w:rPr>
          <w:spacing w:val="-2"/>
          <w:szCs w:val="22"/>
        </w:rPr>
        <w:t xml:space="preserve">Tolassi’s violation and is fully consistent with </w:t>
      </w:r>
      <w:r w:rsidR="00CC1BDB">
        <w:rPr>
          <w:spacing w:val="-2"/>
          <w:szCs w:val="22"/>
        </w:rPr>
        <w:lastRenderedPageBreak/>
        <w:t>prior forfeitures for similar violations.</w:t>
      </w:r>
      <w:r w:rsidR="00CC1BDB">
        <w:rPr>
          <w:rStyle w:val="FootnoteReference"/>
          <w:spacing w:val="-2"/>
          <w:szCs w:val="22"/>
        </w:rPr>
        <w:footnoteReference w:id="18"/>
      </w:r>
      <w:r w:rsidR="00CC1BDB">
        <w:rPr>
          <w:spacing w:val="-2"/>
          <w:szCs w:val="22"/>
        </w:rPr>
        <w:t xml:space="preserve">  </w:t>
      </w:r>
    </w:p>
    <w:p w14:paraId="3C7099D6" w14:textId="1BE852C4" w:rsidR="00B60981" w:rsidRPr="007D75A6" w:rsidRDefault="001C1679" w:rsidP="00A010C4">
      <w:pPr>
        <w:pStyle w:val="ParaNum"/>
        <w:widowControl/>
        <w:rPr>
          <w:rFonts w:ascii="Times New Roman Bold" w:hAnsi="Times New Roman Bold"/>
          <w:b/>
          <w:caps/>
          <w:color w:val="000000" w:themeColor="text1"/>
        </w:rPr>
      </w:pPr>
      <w:r>
        <w:rPr>
          <w:spacing w:val="-2"/>
          <w:szCs w:val="22"/>
        </w:rPr>
        <w:t xml:space="preserve">Based </w:t>
      </w:r>
      <w:r w:rsidR="007D75A6" w:rsidRPr="007D75A6">
        <w:rPr>
          <w:spacing w:val="-2"/>
          <w:szCs w:val="22"/>
        </w:rPr>
        <w:t xml:space="preserve">on the record before us and in light of the applicable statutory factors, we conclude that Mr. </w:t>
      </w:r>
      <w:r>
        <w:rPr>
          <w:spacing w:val="-2"/>
          <w:szCs w:val="22"/>
        </w:rPr>
        <w:t xml:space="preserve">Tolassi </w:t>
      </w:r>
      <w:r w:rsidR="007D75A6" w:rsidRPr="007D75A6">
        <w:rPr>
          <w:spacing w:val="-2"/>
          <w:szCs w:val="22"/>
        </w:rPr>
        <w:t xml:space="preserve">willfully violated </w:t>
      </w:r>
      <w:r>
        <w:rPr>
          <w:spacing w:val="-2"/>
          <w:szCs w:val="22"/>
        </w:rPr>
        <w:t>Section</w:t>
      </w:r>
      <w:r w:rsidR="007D75A6" w:rsidRPr="007D75A6">
        <w:rPr>
          <w:spacing w:val="-2"/>
          <w:szCs w:val="22"/>
        </w:rPr>
        <w:t xml:space="preserve"> and 97.119(a) of the Rules by failing to transmit his assigned call sign.</w:t>
      </w:r>
      <w:r w:rsidR="007D75A6">
        <w:rPr>
          <w:rStyle w:val="FootnoteReference"/>
          <w:spacing w:val="-2"/>
          <w:szCs w:val="22"/>
        </w:rPr>
        <w:footnoteReference w:id="19"/>
      </w:r>
      <w:r w:rsidR="007D75A6" w:rsidRPr="007D75A6">
        <w:rPr>
          <w:spacing w:val="-2"/>
          <w:szCs w:val="22"/>
        </w:rPr>
        <w:t xml:space="preserve">   We further find after considering the entire record and the factors listed above, that Mr. </w:t>
      </w:r>
      <w:r>
        <w:rPr>
          <w:spacing w:val="-2"/>
          <w:szCs w:val="22"/>
        </w:rPr>
        <w:t xml:space="preserve">Tolassi </w:t>
      </w:r>
      <w:r w:rsidR="007D75A6" w:rsidRPr="007D75A6">
        <w:rPr>
          <w:spacing w:val="-2"/>
          <w:szCs w:val="22"/>
        </w:rPr>
        <w:t>is liable for a forfeiture in the amount of $</w:t>
      </w:r>
      <w:r>
        <w:rPr>
          <w:spacing w:val="-2"/>
          <w:szCs w:val="22"/>
        </w:rPr>
        <w:t>1</w:t>
      </w:r>
      <w:r w:rsidR="007D75A6" w:rsidRPr="007D75A6">
        <w:rPr>
          <w:spacing w:val="-2"/>
          <w:szCs w:val="22"/>
        </w:rPr>
        <w:t>,000</w:t>
      </w:r>
    </w:p>
    <w:p w14:paraId="7D3EE7C1" w14:textId="77777777" w:rsidR="00E9376C" w:rsidRPr="00981F23" w:rsidRDefault="00E9376C" w:rsidP="00D85E60">
      <w:pPr>
        <w:pStyle w:val="Heading1"/>
        <w:rPr>
          <w:color w:val="000000" w:themeColor="text1"/>
          <w:spacing w:val="-2"/>
        </w:rPr>
      </w:pPr>
      <w:r w:rsidRPr="00981F23">
        <w:rPr>
          <w:color w:val="000000" w:themeColor="text1"/>
        </w:rPr>
        <w:t>ORDERING CLAUSES</w:t>
      </w:r>
    </w:p>
    <w:p w14:paraId="714DE04E" w14:textId="5D942367" w:rsidR="00E9376C" w:rsidRPr="00981F23" w:rsidRDefault="00E9376C" w:rsidP="00D85E60">
      <w:pPr>
        <w:pStyle w:val="ParaNum"/>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20"/>
      </w:r>
      <w:r w:rsidRPr="00981F23">
        <w:t xml:space="preserve"> and Sections 1.80 of the</w:t>
      </w:r>
      <w:r w:rsidR="003A3B45">
        <w:t xml:space="preserve"> R</w:t>
      </w:r>
      <w:r w:rsidRPr="00981F23">
        <w:t>ules,</w:t>
      </w:r>
      <w:r w:rsidRPr="00981F23">
        <w:rPr>
          <w:vertAlign w:val="superscript"/>
        </w:rPr>
        <w:footnoteReference w:id="21"/>
      </w:r>
      <w:r w:rsidRPr="00981F23">
        <w:t xml:space="preserve"> </w:t>
      </w:r>
      <w:r w:rsidR="00A703FD">
        <w:t>David J. Tolassi</w:t>
      </w:r>
      <w:r w:rsidRPr="00981F23">
        <w:t xml:space="preserve"> is </w:t>
      </w:r>
      <w:r w:rsidRPr="00981F23">
        <w:rPr>
          <w:b/>
        </w:rPr>
        <w:t>LIABIL</w:t>
      </w:r>
      <w:r w:rsidR="001C1679">
        <w:rPr>
          <w:b/>
        </w:rPr>
        <w:t>E</w:t>
      </w:r>
      <w:r w:rsidRPr="00981F23">
        <w:rPr>
          <w:b/>
        </w:rPr>
        <w:t xml:space="preserve"> FOR A </w:t>
      </w:r>
      <w:r w:rsidR="001C1679">
        <w:rPr>
          <w:b/>
        </w:rPr>
        <w:t xml:space="preserve">MONETARY </w:t>
      </w:r>
      <w:r w:rsidRPr="00981F23">
        <w:rPr>
          <w:b/>
        </w:rPr>
        <w:t>FORFEITURE</w:t>
      </w:r>
      <w:r w:rsidRPr="00981F23">
        <w:t xml:space="preserve"> in the amount of </w:t>
      </w:r>
      <w:r w:rsidR="00A703FD">
        <w:t>one thousand dollars</w:t>
      </w:r>
      <w:r w:rsidRPr="00981F23">
        <w:t xml:space="preserve"> ($</w:t>
      </w:r>
      <w:r w:rsidR="00A703FD">
        <w:t>1,000</w:t>
      </w:r>
      <w:r w:rsidR="00A0350D" w:rsidRPr="00981F23">
        <w:t>)</w:t>
      </w:r>
      <w:r w:rsidRPr="00981F23">
        <w:t xml:space="preserve"> for repeated violations of Section </w:t>
      </w:r>
      <w:r w:rsidR="00A703FD">
        <w:t>97.119(a) of the Rules.</w:t>
      </w:r>
      <w:r w:rsidRPr="00981F23">
        <w:rPr>
          <w:vertAlign w:val="superscript"/>
        </w:rPr>
        <w:footnoteReference w:id="22"/>
      </w:r>
    </w:p>
    <w:p w14:paraId="171F1205" w14:textId="67606ED7" w:rsidR="001C1679" w:rsidRPr="001C1679" w:rsidRDefault="001C1679" w:rsidP="001C1679">
      <w:pPr>
        <w:pStyle w:val="ParaNum"/>
        <w:rPr>
          <w:spacing w:val="-2"/>
        </w:rPr>
      </w:pPr>
      <w:r w:rsidRPr="00F46D1F">
        <w:t>Payment of the forfeiture shall be made in the manner provided for in Section 1.80 of the Rules within thirty (30) calendar days after the release of this Forfeiture Order.</w:t>
      </w:r>
      <w:r w:rsidRPr="00F46D1F">
        <w:rPr>
          <w:rStyle w:val="FootnoteReference"/>
          <w:szCs w:val="22"/>
        </w:rPr>
        <w:footnoteReference w:id="23"/>
      </w:r>
      <w:r w:rsidRPr="00F46D1F">
        <w:t xml:space="preserve">  If the forfeiture is not paid within the period specified, the case may be referred to the U.S. Department of Justice for enforcement of the forfeiture pursuant to Section 504(a) of the Act.</w:t>
      </w:r>
      <w:r w:rsidRPr="00F46D1F">
        <w:rPr>
          <w:rStyle w:val="FootnoteReference"/>
          <w:szCs w:val="22"/>
        </w:rPr>
        <w:footnoteReference w:id="24"/>
      </w:r>
      <w:r w:rsidRPr="00F46D1F">
        <w:t xml:space="preserve">  </w:t>
      </w:r>
    </w:p>
    <w:p w14:paraId="2F5CEB4C" w14:textId="77777777" w:rsidR="00E9376C" w:rsidRPr="00981F23" w:rsidRDefault="00E9376C" w:rsidP="00D85E60">
      <w:pPr>
        <w:pStyle w:val="ParaNum"/>
        <w:rPr>
          <w:spacing w:val="-2"/>
        </w:rPr>
      </w:pPr>
      <w:r w:rsidRPr="00981F23">
        <w:t xml:space="preserve">Payment of the forfeiture must be made by check or similar instrument, wire transfer, or credit card, and must include the NAL/Account Number and FRN referenced above.  </w:t>
      </w:r>
      <w:r w:rsidR="00C44D5C">
        <w:t>David J. Tolassi</w:t>
      </w:r>
      <w:r w:rsidR="00CF750C" w:rsidRPr="00981F23">
        <w:t xml:space="preserve"> </w:t>
      </w:r>
      <w:r w:rsidRPr="00981F23">
        <w:t xml:space="preserve">shall send electronic notification of payment to </w:t>
      </w:r>
      <w:r w:rsidR="00C44D5C" w:rsidRPr="00C44D5C">
        <w:rPr>
          <w:color w:val="000000" w:themeColor="text1"/>
          <w:szCs w:val="22"/>
        </w:rPr>
        <w:t xml:space="preserve">SCR-Response@fcc.gov </w:t>
      </w:r>
      <w:r w:rsidRPr="00981F23">
        <w:t>on the date said payment is made.  Regardless of the form of payment, a completed FCC Form 159 (Remittance Advice) must be submitted.</w:t>
      </w:r>
      <w:r w:rsidRPr="00981F23">
        <w:rPr>
          <w:vertAlign w:val="superscript"/>
        </w:rPr>
        <w:footnoteReference w:id="25"/>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1ABB9A47" w14:textId="77777777" w:rsidR="00E9376C" w:rsidRPr="00981F23" w:rsidRDefault="00E9376C" w:rsidP="00D85E60">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2A1A5D34" w14:textId="77777777" w:rsidR="00E9376C" w:rsidRPr="00981F23" w:rsidRDefault="00E9376C" w:rsidP="00D85E60">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0764B56" w14:textId="77777777" w:rsidR="00E9376C" w:rsidRPr="00981F23" w:rsidRDefault="00E9376C" w:rsidP="00D85E60">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5350BF7" w14:textId="77777777" w:rsidR="00E9376C" w:rsidRPr="00981F23" w:rsidRDefault="00E9376C" w:rsidP="00D85E60">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6"/>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31A7FAFF" w14:textId="77777777" w:rsidR="00E9376C" w:rsidRPr="00981F23" w:rsidRDefault="00E9376C" w:rsidP="00D85E60">
      <w:pPr>
        <w:pStyle w:val="ParaNum"/>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C44D5C">
        <w:t>David J. Tolassi at his address of record</w:t>
      </w:r>
      <w:r w:rsidRPr="00981F23">
        <w:t>.</w:t>
      </w:r>
    </w:p>
    <w:p w14:paraId="1454E913" w14:textId="77777777" w:rsidR="007C3A62" w:rsidRPr="00981F23" w:rsidRDefault="007C3A62" w:rsidP="007C3A62">
      <w:pPr>
        <w:rPr>
          <w:color w:val="000000" w:themeColor="text1"/>
        </w:rPr>
      </w:pPr>
    </w:p>
    <w:p w14:paraId="187E289D"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3AE8D70B" w14:textId="77777777" w:rsidR="00F60397" w:rsidRPr="00981F23" w:rsidRDefault="00F60397" w:rsidP="00BD75A3">
      <w:pPr>
        <w:rPr>
          <w:color w:val="000000" w:themeColor="text1"/>
        </w:rPr>
      </w:pPr>
    </w:p>
    <w:p w14:paraId="118E89D4" w14:textId="77777777" w:rsidR="00F60397" w:rsidRPr="00981F23" w:rsidRDefault="00F60397" w:rsidP="00BD75A3">
      <w:pPr>
        <w:rPr>
          <w:color w:val="000000" w:themeColor="text1"/>
        </w:rPr>
      </w:pPr>
    </w:p>
    <w:p w14:paraId="244A52C6" w14:textId="77777777" w:rsidR="00F60397" w:rsidRPr="00981F23" w:rsidRDefault="00F60397" w:rsidP="00BD75A3">
      <w:pPr>
        <w:rPr>
          <w:color w:val="000000" w:themeColor="text1"/>
        </w:rPr>
      </w:pPr>
    </w:p>
    <w:p w14:paraId="525637B7" w14:textId="77777777" w:rsidR="009547E5" w:rsidRDefault="009547E5" w:rsidP="009547E5">
      <w:pPr>
        <w:rPr>
          <w:color w:val="000000" w:themeColor="text1"/>
        </w:rPr>
      </w:pPr>
    </w:p>
    <w:p w14:paraId="50A453C0" w14:textId="7E057C48" w:rsidR="00C44D5C" w:rsidRPr="00B82F3B" w:rsidRDefault="009547E5" w:rsidP="00B82F3B">
      <w:r>
        <w:rPr>
          <w:color w:val="000000" w:themeColor="text1"/>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r w:rsidR="001C1679">
        <w:rPr>
          <w:color w:val="000000"/>
          <w:spacing w:val="-2"/>
          <w:szCs w:val="22"/>
        </w:rPr>
        <w:t>Ronald Ramage</w:t>
      </w:r>
    </w:p>
    <w:p w14:paraId="4B2DD8A5" w14:textId="7CC0A2BC" w:rsidR="00C44D5C" w:rsidRPr="002A6118" w:rsidRDefault="00C44D5C" w:rsidP="00C44D5C">
      <w:pPr>
        <w:tabs>
          <w:tab w:val="left" w:pos="0"/>
          <w:tab w:val="num" w:pos="1440"/>
        </w:tabs>
        <w:suppressAutoHyphens/>
        <w:spacing w:line="240" w:lineRule="atLeast"/>
        <w:jc w:val="both"/>
        <w:rPr>
          <w:color w:val="000000"/>
          <w:spacing w:val="-2"/>
          <w:szCs w:val="22"/>
        </w:rPr>
      </w:pPr>
      <w:r w:rsidRPr="002A6118">
        <w:rPr>
          <w:color w:val="000000"/>
          <w:spacing w:val="-2"/>
          <w:szCs w:val="22"/>
        </w:rPr>
        <w:tab/>
      </w:r>
      <w:r w:rsidRPr="002A6118">
        <w:rPr>
          <w:color w:val="000000"/>
          <w:spacing w:val="-2"/>
          <w:szCs w:val="22"/>
        </w:rPr>
        <w:tab/>
      </w:r>
      <w:r w:rsidRPr="002A6118">
        <w:rPr>
          <w:color w:val="000000"/>
          <w:spacing w:val="-2"/>
          <w:szCs w:val="22"/>
        </w:rPr>
        <w:tab/>
      </w:r>
      <w:r w:rsidRPr="002A6118">
        <w:rPr>
          <w:color w:val="000000"/>
          <w:spacing w:val="-2"/>
          <w:szCs w:val="22"/>
        </w:rPr>
        <w:tab/>
      </w:r>
      <w:r w:rsidRPr="002A6118">
        <w:rPr>
          <w:color w:val="000000"/>
          <w:spacing w:val="-2"/>
          <w:szCs w:val="22"/>
        </w:rPr>
        <w:tab/>
      </w:r>
      <w:r w:rsidR="001C1679">
        <w:rPr>
          <w:color w:val="000000"/>
          <w:spacing w:val="-2"/>
          <w:szCs w:val="22"/>
        </w:rPr>
        <w:t xml:space="preserve">Regional </w:t>
      </w:r>
      <w:r w:rsidRPr="002A6118">
        <w:rPr>
          <w:color w:val="000000"/>
          <w:spacing w:val="-2"/>
          <w:szCs w:val="22"/>
        </w:rPr>
        <w:t>Director</w:t>
      </w:r>
    </w:p>
    <w:p w14:paraId="1655A416" w14:textId="41D26ADE" w:rsidR="00C44D5C" w:rsidRPr="002A6118" w:rsidRDefault="00C44D5C" w:rsidP="00C44D5C">
      <w:pPr>
        <w:tabs>
          <w:tab w:val="left" w:pos="0"/>
          <w:tab w:val="num" w:pos="1440"/>
        </w:tabs>
        <w:suppressAutoHyphens/>
        <w:spacing w:line="240" w:lineRule="atLeast"/>
        <w:jc w:val="both"/>
        <w:rPr>
          <w:color w:val="000000"/>
          <w:spacing w:val="-2"/>
          <w:szCs w:val="22"/>
        </w:rPr>
      </w:pPr>
      <w:r w:rsidRPr="002A6118">
        <w:rPr>
          <w:color w:val="000000"/>
          <w:spacing w:val="-2"/>
          <w:szCs w:val="22"/>
        </w:rPr>
        <w:tab/>
      </w:r>
      <w:r w:rsidRPr="002A6118">
        <w:rPr>
          <w:color w:val="000000"/>
          <w:spacing w:val="-2"/>
          <w:szCs w:val="22"/>
        </w:rPr>
        <w:tab/>
      </w:r>
      <w:r w:rsidRPr="002A6118">
        <w:rPr>
          <w:color w:val="000000"/>
          <w:spacing w:val="-2"/>
          <w:szCs w:val="22"/>
        </w:rPr>
        <w:tab/>
      </w:r>
      <w:r w:rsidRPr="002A6118">
        <w:rPr>
          <w:color w:val="000000"/>
          <w:spacing w:val="-2"/>
          <w:szCs w:val="22"/>
        </w:rPr>
        <w:tab/>
      </w:r>
      <w:r w:rsidRPr="002A6118">
        <w:rPr>
          <w:color w:val="000000"/>
          <w:spacing w:val="-2"/>
          <w:szCs w:val="22"/>
        </w:rPr>
        <w:tab/>
        <w:t>Region</w:t>
      </w:r>
      <w:r w:rsidR="001C1679">
        <w:rPr>
          <w:color w:val="000000"/>
          <w:spacing w:val="-2"/>
          <w:szCs w:val="22"/>
        </w:rPr>
        <w:t xml:space="preserve"> 2</w:t>
      </w:r>
    </w:p>
    <w:p w14:paraId="6E84956A" w14:textId="77777777" w:rsidR="00C44D5C" w:rsidRDefault="00C44D5C" w:rsidP="00C44D5C">
      <w:pPr>
        <w:tabs>
          <w:tab w:val="left" w:pos="0"/>
          <w:tab w:val="num" w:pos="1440"/>
        </w:tabs>
        <w:suppressAutoHyphens/>
        <w:spacing w:line="240" w:lineRule="atLeast"/>
        <w:jc w:val="both"/>
      </w:pPr>
      <w:r>
        <w:rPr>
          <w:spacing w:val="-2"/>
          <w:szCs w:val="22"/>
        </w:rPr>
        <w:tab/>
      </w:r>
      <w:r>
        <w:rPr>
          <w:spacing w:val="-2"/>
          <w:szCs w:val="22"/>
        </w:rPr>
        <w:tab/>
      </w:r>
      <w:r>
        <w:rPr>
          <w:spacing w:val="-2"/>
          <w:szCs w:val="22"/>
        </w:rPr>
        <w:tab/>
      </w:r>
      <w:r>
        <w:rPr>
          <w:spacing w:val="-2"/>
          <w:szCs w:val="22"/>
        </w:rPr>
        <w:tab/>
      </w:r>
      <w:r>
        <w:rPr>
          <w:spacing w:val="-2"/>
          <w:szCs w:val="22"/>
        </w:rPr>
        <w:tab/>
        <w:t>Enforcement Bureau</w:t>
      </w:r>
    </w:p>
    <w:sectPr w:rsidR="00C44D5C"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C8E4E" w14:textId="77777777" w:rsidR="009B69F5" w:rsidRDefault="009B69F5">
      <w:r>
        <w:separator/>
      </w:r>
    </w:p>
  </w:endnote>
  <w:endnote w:type="continuationSeparator" w:id="0">
    <w:p w14:paraId="2838CC88" w14:textId="77777777" w:rsidR="009B69F5" w:rsidRDefault="009B69F5">
      <w:r>
        <w:continuationSeparator/>
      </w:r>
    </w:p>
  </w:endnote>
  <w:endnote w:type="continuationNotice" w:id="1">
    <w:p w14:paraId="16E079F5" w14:textId="77777777" w:rsidR="009B69F5" w:rsidRDefault="009B6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1054"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275569"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7E9A"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7365E2">
      <w:rPr>
        <w:rStyle w:val="PageNumber"/>
        <w:noProof/>
        <w:szCs w:val="22"/>
      </w:rPr>
      <w:t>2</w:t>
    </w:r>
    <w:r w:rsidRPr="00575313">
      <w:rPr>
        <w:rStyle w:val="PageNumber"/>
        <w:szCs w:val="22"/>
      </w:rPr>
      <w:fldChar w:fldCharType="end"/>
    </w:r>
  </w:p>
  <w:p w14:paraId="17FD9E5C" w14:textId="77777777" w:rsidR="000A633B" w:rsidRPr="00EF1757" w:rsidRDefault="000A633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E121" w14:textId="77777777"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62FF3" w14:textId="77777777" w:rsidR="009B69F5" w:rsidRDefault="009B69F5">
      <w:r>
        <w:separator/>
      </w:r>
    </w:p>
  </w:footnote>
  <w:footnote w:type="continuationSeparator" w:id="0">
    <w:p w14:paraId="69AB5B7A" w14:textId="77777777" w:rsidR="009B69F5" w:rsidRDefault="009B69F5" w:rsidP="00F60397">
      <w:r w:rsidRPr="00F60397">
        <w:rPr>
          <w:sz w:val="20"/>
        </w:rPr>
        <w:t>(Continued from previous page…)</w:t>
      </w:r>
      <w:r>
        <w:rPr>
          <w:sz w:val="20"/>
        </w:rPr>
        <w:t xml:space="preserve"> </w:t>
      </w:r>
      <w:r>
        <w:separator/>
      </w:r>
    </w:p>
  </w:footnote>
  <w:footnote w:type="continuationNotice" w:id="1">
    <w:p w14:paraId="7452B61D" w14:textId="77777777" w:rsidR="009B69F5" w:rsidRPr="00F60397" w:rsidRDefault="009B69F5" w:rsidP="00AE54D6">
      <w:pPr>
        <w:jc w:val="right"/>
        <w:rPr>
          <w:sz w:val="20"/>
        </w:rPr>
      </w:pPr>
      <w:r w:rsidRPr="00F60397">
        <w:rPr>
          <w:sz w:val="20"/>
        </w:rPr>
        <w:t>(continued…)</w:t>
      </w:r>
    </w:p>
  </w:footnote>
  <w:footnote w:id="2">
    <w:p w14:paraId="758C81D2" w14:textId="59D61A21" w:rsidR="006E67FA" w:rsidRPr="006E67FA" w:rsidRDefault="006E67FA">
      <w:pPr>
        <w:pStyle w:val="FootnoteText"/>
      </w:pPr>
      <w:r>
        <w:rPr>
          <w:rStyle w:val="FootnoteReference"/>
        </w:rPr>
        <w:footnoteRef/>
      </w:r>
      <w:r>
        <w:t xml:space="preserve"> </w:t>
      </w:r>
      <w:r>
        <w:rPr>
          <w:i/>
        </w:rPr>
        <w:t>David Tolassi</w:t>
      </w:r>
      <w:r>
        <w:t>, Notice of Appar</w:t>
      </w:r>
      <w:r w:rsidR="00FD46EB">
        <w:t>ent Liability for Forfeiture, 30</w:t>
      </w:r>
      <w:r>
        <w:t xml:space="preserve"> FCC Rcd </w:t>
      </w:r>
      <w:r w:rsidR="00CC1BDB">
        <w:t>7350</w:t>
      </w:r>
      <w:r>
        <w:t xml:space="preserve"> (Enf. Bur. 2015) (</w:t>
      </w:r>
      <w:r>
        <w:rPr>
          <w:i/>
        </w:rPr>
        <w:t>NAL</w:t>
      </w:r>
      <w:r>
        <w:t xml:space="preserve">).  The </w:t>
      </w:r>
      <w:r>
        <w:rPr>
          <w:i/>
        </w:rPr>
        <w:t>NAL</w:t>
      </w:r>
      <w:r>
        <w:t xml:space="preserve"> includes a more complete discussion of the facts and history and is incorporated herein by reference.  </w:t>
      </w:r>
    </w:p>
  </w:footnote>
  <w:footnote w:id="3">
    <w:p w14:paraId="02B65F62" w14:textId="03F2B57F" w:rsidR="006E67FA" w:rsidRDefault="006E67FA">
      <w:pPr>
        <w:pStyle w:val="FootnoteText"/>
      </w:pPr>
      <w:r>
        <w:rPr>
          <w:rStyle w:val="FootnoteReference"/>
        </w:rPr>
        <w:footnoteRef/>
      </w:r>
      <w:r>
        <w:t xml:space="preserve"> </w:t>
      </w:r>
      <w:r>
        <w:rPr>
          <w:i/>
        </w:rPr>
        <w:t xml:space="preserve">Id. </w:t>
      </w:r>
      <w:r>
        <w:t xml:space="preserve">at </w:t>
      </w:r>
      <w:r w:rsidR="00CC1BDB">
        <w:t>7352</w:t>
      </w:r>
      <w:r>
        <w:t>, para. 7</w:t>
      </w:r>
      <w:r w:rsidR="00CC1BDB">
        <w:t>;</w:t>
      </w:r>
      <w:r>
        <w:t xml:space="preserve"> C.F.R. § 97.119(a).</w:t>
      </w:r>
    </w:p>
  </w:footnote>
  <w:footnote w:id="4">
    <w:p w14:paraId="11DE26AB" w14:textId="51389D2D" w:rsidR="008353ED" w:rsidRPr="008353ED" w:rsidRDefault="008353ED">
      <w:pPr>
        <w:pStyle w:val="FootnoteText"/>
      </w:pPr>
      <w:r>
        <w:rPr>
          <w:rStyle w:val="FootnoteReference"/>
        </w:rPr>
        <w:footnoteRef/>
      </w:r>
      <w:r>
        <w:t xml:space="preserve"> Response to Notice of Apparent Liability for Fo</w:t>
      </w:r>
      <w:r w:rsidR="00CC1BDB">
        <w:t>r</w:t>
      </w:r>
      <w:r>
        <w:t>feiture by David J. Tolassi (July 27, 2015)(</w:t>
      </w:r>
      <w:r>
        <w:rPr>
          <w:i/>
        </w:rPr>
        <w:t>NAL Response</w:t>
      </w:r>
      <w:r>
        <w:t>).</w:t>
      </w:r>
    </w:p>
  </w:footnote>
  <w:footnote w:id="5">
    <w:p w14:paraId="53F674E1" w14:textId="5AF345E3" w:rsidR="00AC1057" w:rsidRPr="00AC1057" w:rsidRDefault="00AC1057">
      <w:pPr>
        <w:pStyle w:val="FootnoteText"/>
      </w:pPr>
      <w:r>
        <w:rPr>
          <w:rStyle w:val="FootnoteReference"/>
        </w:rPr>
        <w:footnoteRef/>
      </w:r>
      <w:r>
        <w:t xml:space="preserve">  </w:t>
      </w:r>
      <w:r>
        <w:rPr>
          <w:i/>
        </w:rPr>
        <w:t>Id.</w:t>
      </w:r>
      <w:r>
        <w:t xml:space="preserve"> at 1.</w:t>
      </w:r>
    </w:p>
  </w:footnote>
  <w:footnote w:id="6">
    <w:p w14:paraId="47399E65" w14:textId="77777777" w:rsidR="00722FB2" w:rsidRDefault="00722FB2" w:rsidP="00722FB2">
      <w:pPr>
        <w:pStyle w:val="FootnoteText"/>
      </w:pPr>
      <w:r>
        <w:rPr>
          <w:rStyle w:val="FootnoteReference"/>
        </w:rPr>
        <w:footnoteRef/>
      </w:r>
      <w:r>
        <w:t xml:space="preserve"> 47 U.S.C. § 503(b).</w:t>
      </w:r>
    </w:p>
  </w:footnote>
  <w:footnote w:id="7">
    <w:p w14:paraId="087E6DEC" w14:textId="77777777" w:rsidR="00722FB2" w:rsidRDefault="00722FB2" w:rsidP="00722FB2">
      <w:pPr>
        <w:pStyle w:val="FootnoteText"/>
      </w:pPr>
      <w:r>
        <w:rPr>
          <w:rStyle w:val="FootnoteReference"/>
        </w:rPr>
        <w:footnoteRef/>
      </w:r>
      <w:r>
        <w:t xml:space="preserve"> 47 C.F.R. § 1.80.</w:t>
      </w:r>
    </w:p>
  </w:footnote>
  <w:footnote w:id="8">
    <w:p w14:paraId="754BB96B" w14:textId="77777777" w:rsidR="00722FB2" w:rsidRDefault="00722FB2" w:rsidP="00722FB2">
      <w:pPr>
        <w:pStyle w:val="FootnoteText"/>
      </w:pPr>
      <w:r>
        <w:rPr>
          <w:rStyle w:val="FootnoteReference"/>
        </w:rPr>
        <w:footnoteRef/>
      </w:r>
      <w:r>
        <w:t xml:space="preserve"> </w:t>
      </w:r>
      <w:r w:rsidRPr="00225173">
        <w:rPr>
          <w:i/>
        </w:rPr>
        <w:t>The Commission’s Forfeiture Policy Statement and Amendment of Section 1.80 of the Rules to Incorporate the Forfeiture Guidelines</w:t>
      </w:r>
      <w:r w:rsidRPr="00225173">
        <w:t>, Report and Order, 12 FCC Rcd 17087 (1997) (</w:t>
      </w:r>
      <w:r w:rsidRPr="00225173">
        <w:rPr>
          <w:i/>
        </w:rPr>
        <w:t>Forfeiture Policy Statement</w:t>
      </w:r>
      <w:r w:rsidRPr="00225173">
        <w:t xml:space="preserve">), </w:t>
      </w:r>
      <w:r w:rsidRPr="00225173">
        <w:rPr>
          <w:i/>
        </w:rPr>
        <w:t>recons. denied</w:t>
      </w:r>
      <w:r w:rsidRPr="00225173">
        <w:t>, 15 FCC Rcd 303 (1999)</w:t>
      </w:r>
      <w:r>
        <w:t>.</w:t>
      </w:r>
    </w:p>
  </w:footnote>
  <w:footnote w:id="9">
    <w:p w14:paraId="75153108" w14:textId="77777777" w:rsidR="00722FB2" w:rsidRPr="00225173" w:rsidRDefault="00722FB2" w:rsidP="00722FB2">
      <w:pPr>
        <w:pStyle w:val="FootnoteText"/>
      </w:pPr>
      <w:r w:rsidRPr="00225173">
        <w:rPr>
          <w:rStyle w:val="FootnoteReference"/>
        </w:rPr>
        <w:footnoteRef/>
      </w:r>
      <w:r w:rsidRPr="00225173">
        <w:t xml:space="preserve"> 47 U.S.C. § 503(b)(2)(E).</w:t>
      </w:r>
    </w:p>
  </w:footnote>
  <w:footnote w:id="10">
    <w:p w14:paraId="651734EA" w14:textId="4C2A3269" w:rsidR="00C72066" w:rsidRPr="00C72066" w:rsidRDefault="00C72066">
      <w:pPr>
        <w:pStyle w:val="FootnoteText"/>
      </w:pPr>
      <w:r>
        <w:rPr>
          <w:rStyle w:val="FootnoteReference"/>
        </w:rPr>
        <w:footnoteRef/>
      </w:r>
      <w:r>
        <w:t xml:space="preserve"> </w:t>
      </w:r>
      <w:r>
        <w:rPr>
          <w:i/>
        </w:rPr>
        <w:t>NAL Response</w:t>
      </w:r>
      <w:r>
        <w:t xml:space="preserve"> at 1.</w:t>
      </w:r>
    </w:p>
  </w:footnote>
  <w:footnote w:id="11">
    <w:p w14:paraId="0A0F8732" w14:textId="7941C001" w:rsidR="00C72066" w:rsidRPr="00C72066" w:rsidRDefault="00C72066">
      <w:pPr>
        <w:pStyle w:val="FootnoteText"/>
        <w:rPr>
          <w:i/>
        </w:rPr>
      </w:pPr>
      <w:r>
        <w:rPr>
          <w:rStyle w:val="FootnoteReference"/>
        </w:rPr>
        <w:footnoteRef/>
      </w:r>
      <w:r>
        <w:t xml:space="preserve"> </w:t>
      </w:r>
      <w:r>
        <w:rPr>
          <w:i/>
        </w:rPr>
        <w:t>Id.</w:t>
      </w:r>
    </w:p>
  </w:footnote>
  <w:footnote w:id="12">
    <w:p w14:paraId="2530755C" w14:textId="1019AB78" w:rsidR="00594A9D" w:rsidRDefault="00594A9D">
      <w:pPr>
        <w:pStyle w:val="FootnoteText"/>
      </w:pPr>
      <w:r>
        <w:rPr>
          <w:rStyle w:val="FootnoteReference"/>
        </w:rPr>
        <w:footnoteRef/>
      </w:r>
      <w:r>
        <w:t xml:space="preserve"> Letter to David J. Tolassi, Amateur Radio Licensee W4BVH, from Laura L. Smith, Special Counsel, Enfor</w:t>
      </w:r>
      <w:r w:rsidR="00FD46EB">
        <w:t>c</w:t>
      </w:r>
      <w:r>
        <w:t>ement Bureau (Aug. 11, 2014)</w:t>
      </w:r>
      <w:r w:rsidR="00E0590C">
        <w:t>(Warning Letter)</w:t>
      </w:r>
      <w:r>
        <w:t>.</w:t>
      </w:r>
    </w:p>
  </w:footnote>
  <w:footnote w:id="13">
    <w:p w14:paraId="15AC926B" w14:textId="4917F058" w:rsidR="00110BA6" w:rsidRPr="00110BA6" w:rsidRDefault="00110BA6">
      <w:pPr>
        <w:pStyle w:val="FootnoteText"/>
      </w:pPr>
      <w:r>
        <w:rPr>
          <w:rStyle w:val="FootnoteReference"/>
        </w:rPr>
        <w:footnoteRef/>
      </w:r>
      <w:r>
        <w:t xml:space="preserve"> </w:t>
      </w:r>
      <w:r>
        <w:rPr>
          <w:i/>
        </w:rPr>
        <w:t>NAL</w:t>
      </w:r>
      <w:r>
        <w:t xml:space="preserve">, </w:t>
      </w:r>
      <w:r w:rsidR="00CC1BDB">
        <w:t>30</w:t>
      </w:r>
      <w:r>
        <w:t xml:space="preserve"> FCC Rcd at </w:t>
      </w:r>
      <w:r w:rsidR="00CC1BDB">
        <w:t>7350</w:t>
      </w:r>
      <w:r>
        <w:t>, par</w:t>
      </w:r>
      <w:r w:rsidR="00CC1BDB">
        <w:t>a</w:t>
      </w:r>
      <w:r>
        <w:t>.4.</w:t>
      </w:r>
    </w:p>
  </w:footnote>
  <w:footnote w:id="14">
    <w:p w14:paraId="71AB64C1" w14:textId="6C555796" w:rsidR="00F92D95" w:rsidRPr="00F92D95" w:rsidRDefault="00F92D95">
      <w:pPr>
        <w:pStyle w:val="FootnoteText"/>
      </w:pPr>
      <w:r>
        <w:rPr>
          <w:rStyle w:val="FootnoteReference"/>
        </w:rPr>
        <w:footnoteRef/>
      </w:r>
      <w:r>
        <w:t xml:space="preserve"> </w:t>
      </w:r>
      <w:r>
        <w:rPr>
          <w:i/>
        </w:rPr>
        <w:t xml:space="preserve"> NAL Response</w:t>
      </w:r>
      <w:r>
        <w:t xml:space="preserve"> at 1.</w:t>
      </w:r>
    </w:p>
  </w:footnote>
  <w:footnote w:id="15">
    <w:p w14:paraId="3068BD5C" w14:textId="10025762" w:rsidR="00F14BD1" w:rsidRPr="00F14BD1" w:rsidRDefault="00F14BD1">
      <w:pPr>
        <w:pStyle w:val="FootnoteText"/>
      </w:pPr>
      <w:r>
        <w:rPr>
          <w:rStyle w:val="FootnoteReference"/>
        </w:rPr>
        <w:footnoteRef/>
      </w:r>
      <w:r>
        <w:t xml:space="preserve"> </w:t>
      </w:r>
      <w:r>
        <w:rPr>
          <w:i/>
        </w:rPr>
        <w:t xml:space="preserve">See generally </w:t>
      </w:r>
      <w:r>
        <w:t>Warning Letter.</w:t>
      </w:r>
    </w:p>
  </w:footnote>
  <w:footnote w:id="16">
    <w:p w14:paraId="0AEF382E" w14:textId="77777777" w:rsidR="00E0590C" w:rsidRDefault="00E0590C" w:rsidP="00E0590C">
      <w:pPr>
        <w:pStyle w:val="FootnoteText"/>
      </w:pPr>
      <w:r>
        <w:rPr>
          <w:rStyle w:val="FootnoteReference"/>
        </w:rPr>
        <w:footnoteRef/>
      </w:r>
      <w:r>
        <w:t xml:space="preserve">  47 C.F.R. § 97.119(a).</w:t>
      </w:r>
    </w:p>
  </w:footnote>
  <w:footnote w:id="17">
    <w:p w14:paraId="3B0B5C2C" w14:textId="5DB1A513" w:rsidR="003054B8" w:rsidRPr="008F37E3" w:rsidRDefault="003054B8" w:rsidP="003054B8">
      <w:pPr>
        <w:pStyle w:val="FootnoteText"/>
      </w:pPr>
      <w:r>
        <w:rPr>
          <w:rStyle w:val="FootnoteReference"/>
        </w:rPr>
        <w:footnoteRef/>
      </w:r>
      <w:r>
        <w:t xml:space="preserve"> </w:t>
      </w:r>
      <w:r>
        <w:rPr>
          <w:i/>
        </w:rPr>
        <w:t xml:space="preserve">See </w:t>
      </w:r>
      <w:r w:rsidR="008F37E3">
        <w:rPr>
          <w:i/>
        </w:rPr>
        <w:t>Brian Crow</w:t>
      </w:r>
      <w:r w:rsidR="008F37E3">
        <w:t xml:space="preserve">, Forfeiture Order, 30 FCC Rcd 168 (Enf. Bur. 2015)($1,000 fine for failure to transmit assigned call sign); </w:t>
      </w:r>
      <w:r>
        <w:rPr>
          <w:i/>
        </w:rPr>
        <w:t xml:space="preserve">Michael Guernsey, </w:t>
      </w:r>
      <w:r>
        <w:t>Forfeiture Order</w:t>
      </w:r>
      <w:r w:rsidR="008F37E3">
        <w:t xml:space="preserve">, 30 FCC Rcd 7354 (Enf. Bur. </w:t>
      </w:r>
      <w:r>
        <w:t>2015) ($1,00</w:t>
      </w:r>
      <w:r w:rsidR="008F37E3">
        <w:t>0 fine for failure to identify).</w:t>
      </w:r>
    </w:p>
  </w:footnote>
  <w:footnote w:id="18">
    <w:p w14:paraId="12CF133E" w14:textId="217F627D" w:rsidR="00CC1BDB" w:rsidRPr="00CC1BDB" w:rsidRDefault="00CC1BDB">
      <w:pPr>
        <w:pStyle w:val="FootnoteText"/>
      </w:pPr>
      <w:r>
        <w:rPr>
          <w:rStyle w:val="FootnoteReference"/>
        </w:rPr>
        <w:footnoteRef/>
      </w:r>
      <w:r>
        <w:t xml:space="preserve"> </w:t>
      </w:r>
      <w:r>
        <w:rPr>
          <w:i/>
        </w:rPr>
        <w:t>See Ronald E. Sauer,</w:t>
      </w:r>
      <w:r>
        <w:t xml:space="preserve"> Forfeiture Order, 19 FCC Rcd 14884 (Enf. Bur. 2004)($1,000 forfeiture for repeated failure to identify amateur station); </w:t>
      </w:r>
      <w:r>
        <w:rPr>
          <w:i/>
        </w:rPr>
        <w:t>Scott E. Kamm,</w:t>
      </w:r>
      <w:r>
        <w:t xml:space="preserve"> Forfeiture Order, 18 FCC Rcd 9379 (Enf. Bur. 2003) (</w:t>
      </w:r>
      <w:r w:rsidR="001C1679">
        <w:t>$1,000 fine for failure to identify).</w:t>
      </w:r>
    </w:p>
  </w:footnote>
  <w:footnote w:id="19">
    <w:p w14:paraId="480A1030" w14:textId="0C0F9460" w:rsidR="007D75A6" w:rsidRDefault="007D75A6" w:rsidP="007D75A6">
      <w:pPr>
        <w:pStyle w:val="FootnoteText"/>
      </w:pPr>
      <w:r>
        <w:rPr>
          <w:rStyle w:val="FootnoteReference"/>
        </w:rPr>
        <w:footnoteRef/>
      </w:r>
      <w:r w:rsidR="001C1679">
        <w:t xml:space="preserve"> </w:t>
      </w:r>
      <w:r>
        <w:t>47 C.F.R § 97.119(a).</w:t>
      </w:r>
    </w:p>
  </w:footnote>
  <w:footnote w:id="20">
    <w:p w14:paraId="4CA5131F"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21">
    <w:p w14:paraId="73DB742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1.80.</w:t>
      </w:r>
    </w:p>
  </w:footnote>
  <w:footnote w:id="22">
    <w:p w14:paraId="4503BCE8"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w:t>
      </w:r>
      <w:r w:rsidR="00A703FD">
        <w:rPr>
          <w:color w:val="000000" w:themeColor="text1"/>
          <w:lang w:val="es-ES"/>
        </w:rPr>
        <w:t>97.119(a)</w:t>
      </w:r>
      <w:r w:rsidRPr="00981F23">
        <w:rPr>
          <w:color w:val="000000" w:themeColor="text1"/>
          <w:lang w:val="es-ES"/>
        </w:rPr>
        <w:t>.</w:t>
      </w:r>
    </w:p>
  </w:footnote>
  <w:footnote w:id="23">
    <w:p w14:paraId="38E455EA" w14:textId="77777777" w:rsidR="001C1679" w:rsidRPr="005F1982" w:rsidRDefault="001C1679" w:rsidP="001C1679">
      <w:pPr>
        <w:pStyle w:val="FootnoteText"/>
      </w:pPr>
      <w:r w:rsidRPr="005F1982">
        <w:rPr>
          <w:rStyle w:val="FootnoteReference"/>
        </w:rPr>
        <w:footnoteRef/>
      </w:r>
      <w:r w:rsidRPr="005F1982">
        <w:t xml:space="preserve"> 47 C.F.R. § 1.80.</w:t>
      </w:r>
    </w:p>
  </w:footnote>
  <w:footnote w:id="24">
    <w:p w14:paraId="2AC0D60A" w14:textId="77777777" w:rsidR="001C1679" w:rsidRPr="005F1982" w:rsidRDefault="001C1679" w:rsidP="001C1679">
      <w:pPr>
        <w:pStyle w:val="FootnoteText"/>
      </w:pPr>
      <w:r w:rsidRPr="005F1982">
        <w:rPr>
          <w:rStyle w:val="FootnoteReference"/>
        </w:rPr>
        <w:footnoteRef/>
      </w:r>
      <w:r w:rsidRPr="005F1982">
        <w:t xml:space="preserve"> 47 U.S.C. § 504(a).</w:t>
      </w:r>
    </w:p>
  </w:footnote>
  <w:footnote w:id="25">
    <w:p w14:paraId="42307D12"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6">
    <w:p w14:paraId="593B05B6" w14:textId="77777777" w:rsidR="00BC1F16" w:rsidRDefault="00BC1F16">
      <w:pPr>
        <w:pStyle w:val="FootnoteText"/>
      </w:pPr>
      <w:r>
        <w:rPr>
          <w:rStyle w:val="FootnoteReference"/>
        </w:rPr>
        <w:footnoteRef/>
      </w:r>
      <w:r>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886A" w14:textId="77777777" w:rsidR="00DC0862" w:rsidRDefault="00DC0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FF33" w14:textId="16B162FD" w:rsidR="000A633B" w:rsidRPr="00F60397" w:rsidRDefault="000A633B" w:rsidP="00F60397">
    <w:pPr>
      <w:tabs>
        <w:tab w:val="center" w:pos="4680"/>
        <w:tab w:val="right" w:pos="9360"/>
      </w:tabs>
    </w:pPr>
    <w:r>
      <w:rPr>
        <w:b/>
        <w:noProof/>
      </w:rPr>
      <mc:AlternateContent>
        <mc:Choice Requires="wps">
          <w:drawing>
            <wp:anchor distT="0" distB="0" distL="114300" distR="114300" simplePos="0" relativeHeight="251661312" behindDoc="1" locked="0" layoutInCell="0" allowOverlap="1" wp14:anchorId="22993E2C" wp14:editId="6BF2E6AA">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FEE6E"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F60397">
      <w:rPr>
        <w:b/>
      </w:rPr>
      <w:tab/>
      <w:t>Federal Communications Commission</w:t>
    </w:r>
    <w:r w:rsidRPr="00F60397">
      <w:rPr>
        <w:b/>
      </w:rPr>
      <w:tab/>
    </w:r>
    <w:r w:rsidR="000A2577">
      <w:rPr>
        <w:b/>
        <w:spacing w:val="-2"/>
      </w:rPr>
      <w:t>DA</w:t>
    </w:r>
    <w:r>
      <w:rPr>
        <w:b/>
        <w:spacing w:val="-2"/>
      </w:rPr>
      <w:t xml:space="preserve"> </w:t>
    </w:r>
    <w:r w:rsidR="000A2577">
      <w:rPr>
        <w:b/>
        <w:spacing w:val="-2"/>
      </w:rPr>
      <w:t>1</w:t>
    </w:r>
    <w:r w:rsidR="00E9676B">
      <w:rPr>
        <w:b/>
        <w:spacing w:val="-2"/>
      </w:rPr>
      <w:t>6</w:t>
    </w:r>
    <w:r w:rsidR="000A2577">
      <w:rPr>
        <w:b/>
        <w:spacing w:val="-2"/>
      </w:rPr>
      <w:t>-</w:t>
    </w:r>
    <w:r w:rsidR="00A26E78">
      <w:rPr>
        <w:b/>
        <w:spacing w:val="-2"/>
      </w:rPr>
      <w:t>858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1570" w14:textId="65E8B8ED" w:rsidR="000A633B" w:rsidRPr="00F60397" w:rsidRDefault="000A633B" w:rsidP="00F60397">
    <w:pPr>
      <w:tabs>
        <w:tab w:val="center" w:pos="4680"/>
        <w:tab w:val="right" w:pos="9360"/>
      </w:tabs>
    </w:pPr>
    <w:r>
      <w:rPr>
        <w:b/>
        <w:noProof/>
      </w:rPr>
      <mc:AlternateContent>
        <mc:Choice Requires="wps">
          <w:drawing>
            <wp:anchor distT="0" distB="0" distL="114300" distR="114300" simplePos="0" relativeHeight="251659264" behindDoc="1" locked="0" layoutInCell="0" allowOverlap="1" wp14:anchorId="485A65E5" wp14:editId="4F03CB05">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778F18"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F60397">
      <w:rPr>
        <w:b/>
      </w:rPr>
      <w:tab/>
      <w:t>Federal Communications Commission</w:t>
    </w:r>
    <w:r w:rsidRPr="00F60397">
      <w:rPr>
        <w:b/>
      </w:rPr>
      <w:tab/>
    </w:r>
    <w:r w:rsidR="00E9676B">
      <w:rPr>
        <w:b/>
        <w:spacing w:val="-2"/>
      </w:rPr>
      <w:t>DA 16</w:t>
    </w:r>
    <w:r w:rsidR="000A2577">
      <w:rPr>
        <w:b/>
        <w:spacing w:val="-2"/>
      </w:rPr>
      <w:t>-</w:t>
    </w:r>
    <w:r w:rsidR="00A26E78">
      <w:rPr>
        <w:b/>
        <w:spacing w:val="-2"/>
      </w:rPr>
      <w:t>858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432817C4"/>
    <w:multiLevelType w:val="singleLevel"/>
    <w:tmpl w:val="061A5C40"/>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9">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1">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0"/>
  </w:num>
  <w:num w:numId="2">
    <w:abstractNumId w:val="28"/>
  </w:num>
  <w:num w:numId="3">
    <w:abstractNumId w:val="27"/>
  </w:num>
  <w:num w:numId="4">
    <w:abstractNumId w:val="31"/>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7"/>
    <w:lvlOverride w:ilvl="0">
      <w:startOverride w:val="1"/>
    </w:lvlOverride>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27"/>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9"/>
  </w:num>
  <w:num w:numId="48">
    <w:abstractNumId w:val="14"/>
  </w:num>
  <w:num w:numId="49">
    <w:abstractNumId w:val="13"/>
  </w:num>
  <w:num w:numId="50">
    <w:abstractNumId w:val="11"/>
  </w:num>
  <w:num w:numId="51">
    <w:abstractNumId w:val="17"/>
  </w:num>
  <w:num w:numId="52">
    <w:abstractNumId w:val="26"/>
  </w:num>
  <w:num w:numId="53">
    <w:abstractNumId w:val="21"/>
  </w:num>
  <w:num w:numId="54">
    <w:abstractNumId w:val="27"/>
  </w:num>
  <w:num w:numId="55">
    <w:abstractNumId w:val="16"/>
  </w:num>
  <w:num w:numId="56">
    <w:abstractNumId w:val="27"/>
  </w:num>
  <w:num w:numId="57">
    <w:abstractNumId w:val="27"/>
  </w:num>
  <w:num w:numId="58">
    <w:abstractNumId w:val="25"/>
  </w:num>
  <w:num w:numId="59">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606"/>
    <w:rsid w:val="00001F91"/>
    <w:rsid w:val="000021A3"/>
    <w:rsid w:val="00006096"/>
    <w:rsid w:val="00006B8F"/>
    <w:rsid w:val="0000715C"/>
    <w:rsid w:val="0001067E"/>
    <w:rsid w:val="00011FC8"/>
    <w:rsid w:val="00012592"/>
    <w:rsid w:val="0001259D"/>
    <w:rsid w:val="000136FB"/>
    <w:rsid w:val="00015D7C"/>
    <w:rsid w:val="00016218"/>
    <w:rsid w:val="00016BFB"/>
    <w:rsid w:val="0001758D"/>
    <w:rsid w:val="000221BE"/>
    <w:rsid w:val="00024160"/>
    <w:rsid w:val="00024D51"/>
    <w:rsid w:val="00026F3F"/>
    <w:rsid w:val="00031191"/>
    <w:rsid w:val="00033A7A"/>
    <w:rsid w:val="00033F34"/>
    <w:rsid w:val="00035B08"/>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7222"/>
    <w:rsid w:val="00083739"/>
    <w:rsid w:val="00084F62"/>
    <w:rsid w:val="0008593B"/>
    <w:rsid w:val="00086C04"/>
    <w:rsid w:val="0008793B"/>
    <w:rsid w:val="000907C9"/>
    <w:rsid w:val="00092A66"/>
    <w:rsid w:val="00092BAB"/>
    <w:rsid w:val="00092BF2"/>
    <w:rsid w:val="000973EC"/>
    <w:rsid w:val="00097E37"/>
    <w:rsid w:val="000A02F1"/>
    <w:rsid w:val="000A0708"/>
    <w:rsid w:val="000A1455"/>
    <w:rsid w:val="000A2104"/>
    <w:rsid w:val="000A2577"/>
    <w:rsid w:val="000A3027"/>
    <w:rsid w:val="000A4B2B"/>
    <w:rsid w:val="000A633B"/>
    <w:rsid w:val="000A65A9"/>
    <w:rsid w:val="000A72EB"/>
    <w:rsid w:val="000A78F3"/>
    <w:rsid w:val="000B5FAA"/>
    <w:rsid w:val="000B6354"/>
    <w:rsid w:val="000B74EE"/>
    <w:rsid w:val="000C03A5"/>
    <w:rsid w:val="000C4417"/>
    <w:rsid w:val="000C6E17"/>
    <w:rsid w:val="000C6E40"/>
    <w:rsid w:val="000D3BEE"/>
    <w:rsid w:val="000D5664"/>
    <w:rsid w:val="000D5CEF"/>
    <w:rsid w:val="000E0BD7"/>
    <w:rsid w:val="000E0F36"/>
    <w:rsid w:val="000E5985"/>
    <w:rsid w:val="000E71A8"/>
    <w:rsid w:val="000F1523"/>
    <w:rsid w:val="000F1FEB"/>
    <w:rsid w:val="000F22A2"/>
    <w:rsid w:val="000F41D6"/>
    <w:rsid w:val="000F438B"/>
    <w:rsid w:val="000F7062"/>
    <w:rsid w:val="000F7572"/>
    <w:rsid w:val="001002A6"/>
    <w:rsid w:val="001056BA"/>
    <w:rsid w:val="00106C96"/>
    <w:rsid w:val="00110261"/>
    <w:rsid w:val="00110BA6"/>
    <w:rsid w:val="00111A21"/>
    <w:rsid w:val="00113784"/>
    <w:rsid w:val="00113BC4"/>
    <w:rsid w:val="00116FE5"/>
    <w:rsid w:val="00122A8F"/>
    <w:rsid w:val="00122B8F"/>
    <w:rsid w:val="00125A79"/>
    <w:rsid w:val="0013283B"/>
    <w:rsid w:val="001336C6"/>
    <w:rsid w:val="0013442B"/>
    <w:rsid w:val="001353CD"/>
    <w:rsid w:val="001374F2"/>
    <w:rsid w:val="001374F8"/>
    <w:rsid w:val="00137BCF"/>
    <w:rsid w:val="001422A3"/>
    <w:rsid w:val="001435D9"/>
    <w:rsid w:val="0014680D"/>
    <w:rsid w:val="00155D7C"/>
    <w:rsid w:val="001564D8"/>
    <w:rsid w:val="001602AA"/>
    <w:rsid w:val="00161B26"/>
    <w:rsid w:val="00162CC6"/>
    <w:rsid w:val="001643B3"/>
    <w:rsid w:val="00172372"/>
    <w:rsid w:val="00172896"/>
    <w:rsid w:val="00175520"/>
    <w:rsid w:val="001765F1"/>
    <w:rsid w:val="001778DD"/>
    <w:rsid w:val="001800A4"/>
    <w:rsid w:val="00180FE4"/>
    <w:rsid w:val="00182136"/>
    <w:rsid w:val="00186025"/>
    <w:rsid w:val="0018718B"/>
    <w:rsid w:val="001910A2"/>
    <w:rsid w:val="00194247"/>
    <w:rsid w:val="00196363"/>
    <w:rsid w:val="001A04AB"/>
    <w:rsid w:val="001A7294"/>
    <w:rsid w:val="001A73D7"/>
    <w:rsid w:val="001B0C82"/>
    <w:rsid w:val="001B1F2B"/>
    <w:rsid w:val="001B7A93"/>
    <w:rsid w:val="001C1679"/>
    <w:rsid w:val="001C3391"/>
    <w:rsid w:val="001C6FD2"/>
    <w:rsid w:val="001C7ACB"/>
    <w:rsid w:val="001C7E3F"/>
    <w:rsid w:val="001D1BD2"/>
    <w:rsid w:val="001D21C7"/>
    <w:rsid w:val="001D2551"/>
    <w:rsid w:val="001D432B"/>
    <w:rsid w:val="001D43E1"/>
    <w:rsid w:val="001E0AD2"/>
    <w:rsid w:val="001E218B"/>
    <w:rsid w:val="001E3C95"/>
    <w:rsid w:val="001E5C37"/>
    <w:rsid w:val="001E621A"/>
    <w:rsid w:val="001F0F03"/>
    <w:rsid w:val="001F1B76"/>
    <w:rsid w:val="001F39AA"/>
    <w:rsid w:val="001F4FEC"/>
    <w:rsid w:val="001F6575"/>
    <w:rsid w:val="001F7A78"/>
    <w:rsid w:val="0020014C"/>
    <w:rsid w:val="002036AA"/>
    <w:rsid w:val="002044D7"/>
    <w:rsid w:val="00204AA0"/>
    <w:rsid w:val="002051C3"/>
    <w:rsid w:val="0020572D"/>
    <w:rsid w:val="00210084"/>
    <w:rsid w:val="002112B7"/>
    <w:rsid w:val="002119D0"/>
    <w:rsid w:val="00211A06"/>
    <w:rsid w:val="0021431B"/>
    <w:rsid w:val="00215996"/>
    <w:rsid w:val="00215F06"/>
    <w:rsid w:val="0022442C"/>
    <w:rsid w:val="00226DB0"/>
    <w:rsid w:val="002302F1"/>
    <w:rsid w:val="00232003"/>
    <w:rsid w:val="00232BF1"/>
    <w:rsid w:val="0023346D"/>
    <w:rsid w:val="002341EF"/>
    <w:rsid w:val="00237E00"/>
    <w:rsid w:val="00240532"/>
    <w:rsid w:val="00242FE3"/>
    <w:rsid w:val="002431CE"/>
    <w:rsid w:val="00246DD3"/>
    <w:rsid w:val="00247671"/>
    <w:rsid w:val="00247B22"/>
    <w:rsid w:val="0025179A"/>
    <w:rsid w:val="00253BA7"/>
    <w:rsid w:val="00254133"/>
    <w:rsid w:val="00255A78"/>
    <w:rsid w:val="00255F9B"/>
    <w:rsid w:val="0025762A"/>
    <w:rsid w:val="00260BE8"/>
    <w:rsid w:val="002617F1"/>
    <w:rsid w:val="002639F4"/>
    <w:rsid w:val="00264929"/>
    <w:rsid w:val="002661C4"/>
    <w:rsid w:val="00271CED"/>
    <w:rsid w:val="00271E9B"/>
    <w:rsid w:val="00272D8B"/>
    <w:rsid w:val="0027444B"/>
    <w:rsid w:val="002754BC"/>
    <w:rsid w:val="00277A4F"/>
    <w:rsid w:val="00282EB3"/>
    <w:rsid w:val="002849B2"/>
    <w:rsid w:val="00285BAA"/>
    <w:rsid w:val="00286303"/>
    <w:rsid w:val="002911F1"/>
    <w:rsid w:val="0029239D"/>
    <w:rsid w:val="0029779F"/>
    <w:rsid w:val="00297E39"/>
    <w:rsid w:val="002A0CA2"/>
    <w:rsid w:val="002A3CC7"/>
    <w:rsid w:val="002A63EC"/>
    <w:rsid w:val="002A7EC5"/>
    <w:rsid w:val="002B1030"/>
    <w:rsid w:val="002B1319"/>
    <w:rsid w:val="002B3B4C"/>
    <w:rsid w:val="002C06AA"/>
    <w:rsid w:val="002C2BE6"/>
    <w:rsid w:val="002C312D"/>
    <w:rsid w:val="002C3A39"/>
    <w:rsid w:val="002C52BE"/>
    <w:rsid w:val="002D27F9"/>
    <w:rsid w:val="002D67E1"/>
    <w:rsid w:val="002D680B"/>
    <w:rsid w:val="002E1356"/>
    <w:rsid w:val="002E4894"/>
    <w:rsid w:val="002E5566"/>
    <w:rsid w:val="002E583E"/>
    <w:rsid w:val="002E79A6"/>
    <w:rsid w:val="002F1BAF"/>
    <w:rsid w:val="002F3CB7"/>
    <w:rsid w:val="002F703E"/>
    <w:rsid w:val="002F7382"/>
    <w:rsid w:val="002F761C"/>
    <w:rsid w:val="002F774A"/>
    <w:rsid w:val="002F7979"/>
    <w:rsid w:val="002F7F02"/>
    <w:rsid w:val="003038CD"/>
    <w:rsid w:val="00304C38"/>
    <w:rsid w:val="003054B8"/>
    <w:rsid w:val="00306D54"/>
    <w:rsid w:val="00313368"/>
    <w:rsid w:val="0031443E"/>
    <w:rsid w:val="003158D5"/>
    <w:rsid w:val="003166ED"/>
    <w:rsid w:val="00322349"/>
    <w:rsid w:val="0032470E"/>
    <w:rsid w:val="00326D27"/>
    <w:rsid w:val="00330752"/>
    <w:rsid w:val="003313D1"/>
    <w:rsid w:val="003338F9"/>
    <w:rsid w:val="003341E5"/>
    <w:rsid w:val="00334450"/>
    <w:rsid w:val="00334897"/>
    <w:rsid w:val="00334B6A"/>
    <w:rsid w:val="0033657D"/>
    <w:rsid w:val="003369FE"/>
    <w:rsid w:val="003378A2"/>
    <w:rsid w:val="00337EC9"/>
    <w:rsid w:val="003406F3"/>
    <w:rsid w:val="00341F54"/>
    <w:rsid w:val="00343CF0"/>
    <w:rsid w:val="00345B92"/>
    <w:rsid w:val="0034725C"/>
    <w:rsid w:val="003479EB"/>
    <w:rsid w:val="00350E1C"/>
    <w:rsid w:val="00351997"/>
    <w:rsid w:val="003540E3"/>
    <w:rsid w:val="00354FD5"/>
    <w:rsid w:val="003614A8"/>
    <w:rsid w:val="00364E03"/>
    <w:rsid w:val="00365439"/>
    <w:rsid w:val="00365C26"/>
    <w:rsid w:val="00370575"/>
    <w:rsid w:val="0037259E"/>
    <w:rsid w:val="00373E08"/>
    <w:rsid w:val="00375EA1"/>
    <w:rsid w:val="003814CE"/>
    <w:rsid w:val="00381549"/>
    <w:rsid w:val="0038376A"/>
    <w:rsid w:val="00384B8B"/>
    <w:rsid w:val="00387B6A"/>
    <w:rsid w:val="00390031"/>
    <w:rsid w:val="00390587"/>
    <w:rsid w:val="003928DB"/>
    <w:rsid w:val="00395E9D"/>
    <w:rsid w:val="003975A7"/>
    <w:rsid w:val="003A01A5"/>
    <w:rsid w:val="003A3B45"/>
    <w:rsid w:val="003A502F"/>
    <w:rsid w:val="003B1761"/>
    <w:rsid w:val="003B1A70"/>
    <w:rsid w:val="003B30EF"/>
    <w:rsid w:val="003B5704"/>
    <w:rsid w:val="003B67C1"/>
    <w:rsid w:val="003B7B5A"/>
    <w:rsid w:val="003C1758"/>
    <w:rsid w:val="003C41A0"/>
    <w:rsid w:val="003C4A20"/>
    <w:rsid w:val="003C50D2"/>
    <w:rsid w:val="003C5824"/>
    <w:rsid w:val="003D3528"/>
    <w:rsid w:val="003D47BD"/>
    <w:rsid w:val="003D66C7"/>
    <w:rsid w:val="003E6415"/>
    <w:rsid w:val="003E78BF"/>
    <w:rsid w:val="003F2994"/>
    <w:rsid w:val="003F2B5A"/>
    <w:rsid w:val="003F2E86"/>
    <w:rsid w:val="003F342B"/>
    <w:rsid w:val="003F541B"/>
    <w:rsid w:val="00400BD1"/>
    <w:rsid w:val="00401498"/>
    <w:rsid w:val="0041264B"/>
    <w:rsid w:val="00413C25"/>
    <w:rsid w:val="00415029"/>
    <w:rsid w:val="004172C6"/>
    <w:rsid w:val="004223B8"/>
    <w:rsid w:val="00422B4E"/>
    <w:rsid w:val="00422D6A"/>
    <w:rsid w:val="00424852"/>
    <w:rsid w:val="00424AF6"/>
    <w:rsid w:val="00424D63"/>
    <w:rsid w:val="00424DE6"/>
    <w:rsid w:val="0042500E"/>
    <w:rsid w:val="00425CFE"/>
    <w:rsid w:val="00427B10"/>
    <w:rsid w:val="00430B7E"/>
    <w:rsid w:val="00433850"/>
    <w:rsid w:val="0043465D"/>
    <w:rsid w:val="00435FED"/>
    <w:rsid w:val="00437D5A"/>
    <w:rsid w:val="004412B4"/>
    <w:rsid w:val="004413D7"/>
    <w:rsid w:val="004428AB"/>
    <w:rsid w:val="00445065"/>
    <w:rsid w:val="004453EA"/>
    <w:rsid w:val="0044579A"/>
    <w:rsid w:val="0044645C"/>
    <w:rsid w:val="00451BB9"/>
    <w:rsid w:val="00451C2B"/>
    <w:rsid w:val="00452E33"/>
    <w:rsid w:val="00453C5F"/>
    <w:rsid w:val="00454880"/>
    <w:rsid w:val="00460EC0"/>
    <w:rsid w:val="00462436"/>
    <w:rsid w:val="0046348E"/>
    <w:rsid w:val="004710E7"/>
    <w:rsid w:val="00471223"/>
    <w:rsid w:val="00472A67"/>
    <w:rsid w:val="0047487B"/>
    <w:rsid w:val="00474D14"/>
    <w:rsid w:val="00475713"/>
    <w:rsid w:val="004863AC"/>
    <w:rsid w:val="00487CDC"/>
    <w:rsid w:val="00491064"/>
    <w:rsid w:val="004914B7"/>
    <w:rsid w:val="00495EF1"/>
    <w:rsid w:val="00496C73"/>
    <w:rsid w:val="004973E2"/>
    <w:rsid w:val="004A2300"/>
    <w:rsid w:val="004B0789"/>
    <w:rsid w:val="004B1EF9"/>
    <w:rsid w:val="004B3DE7"/>
    <w:rsid w:val="004B5076"/>
    <w:rsid w:val="004B5722"/>
    <w:rsid w:val="004B5A79"/>
    <w:rsid w:val="004B6030"/>
    <w:rsid w:val="004B6CE3"/>
    <w:rsid w:val="004B6E9D"/>
    <w:rsid w:val="004C04B0"/>
    <w:rsid w:val="004C1059"/>
    <w:rsid w:val="004C292D"/>
    <w:rsid w:val="004C7877"/>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785"/>
    <w:rsid w:val="005119BA"/>
    <w:rsid w:val="005126EA"/>
    <w:rsid w:val="0051347C"/>
    <w:rsid w:val="005142AD"/>
    <w:rsid w:val="00514A5B"/>
    <w:rsid w:val="00514B32"/>
    <w:rsid w:val="005155B5"/>
    <w:rsid w:val="0051631C"/>
    <w:rsid w:val="00521311"/>
    <w:rsid w:val="0052262B"/>
    <w:rsid w:val="0052272D"/>
    <w:rsid w:val="00522E0F"/>
    <w:rsid w:val="00527DF5"/>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20C2"/>
    <w:rsid w:val="00554736"/>
    <w:rsid w:val="00555BCF"/>
    <w:rsid w:val="00556621"/>
    <w:rsid w:val="00556E17"/>
    <w:rsid w:val="005572E3"/>
    <w:rsid w:val="00560E8B"/>
    <w:rsid w:val="0056323D"/>
    <w:rsid w:val="0056454B"/>
    <w:rsid w:val="00564650"/>
    <w:rsid w:val="00567D61"/>
    <w:rsid w:val="0057007F"/>
    <w:rsid w:val="00570CDA"/>
    <w:rsid w:val="00575313"/>
    <w:rsid w:val="0057714E"/>
    <w:rsid w:val="00577295"/>
    <w:rsid w:val="0057772C"/>
    <w:rsid w:val="005779C9"/>
    <w:rsid w:val="005816FB"/>
    <w:rsid w:val="00583524"/>
    <w:rsid w:val="00584805"/>
    <w:rsid w:val="00585DC5"/>
    <w:rsid w:val="00586F83"/>
    <w:rsid w:val="00587FE4"/>
    <w:rsid w:val="00590221"/>
    <w:rsid w:val="005922F2"/>
    <w:rsid w:val="00593AF2"/>
    <w:rsid w:val="00594A9D"/>
    <w:rsid w:val="00595DC2"/>
    <w:rsid w:val="00596580"/>
    <w:rsid w:val="005A027A"/>
    <w:rsid w:val="005A3373"/>
    <w:rsid w:val="005A7E20"/>
    <w:rsid w:val="005B0002"/>
    <w:rsid w:val="005B1525"/>
    <w:rsid w:val="005B56F7"/>
    <w:rsid w:val="005B73F0"/>
    <w:rsid w:val="005B783E"/>
    <w:rsid w:val="005C314E"/>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F0833"/>
    <w:rsid w:val="005F177D"/>
    <w:rsid w:val="005F4E17"/>
    <w:rsid w:val="005F7236"/>
    <w:rsid w:val="00601C05"/>
    <w:rsid w:val="00602A48"/>
    <w:rsid w:val="00603565"/>
    <w:rsid w:val="00604176"/>
    <w:rsid w:val="006043BA"/>
    <w:rsid w:val="0060454B"/>
    <w:rsid w:val="00605611"/>
    <w:rsid w:val="006065B6"/>
    <w:rsid w:val="00606643"/>
    <w:rsid w:val="00610FDD"/>
    <w:rsid w:val="006133A9"/>
    <w:rsid w:val="00614501"/>
    <w:rsid w:val="00615197"/>
    <w:rsid w:val="00616460"/>
    <w:rsid w:val="00616B9F"/>
    <w:rsid w:val="00617CE3"/>
    <w:rsid w:val="00623AC8"/>
    <w:rsid w:val="00623D18"/>
    <w:rsid w:val="00623FB8"/>
    <w:rsid w:val="006300A4"/>
    <w:rsid w:val="00630C96"/>
    <w:rsid w:val="006332BD"/>
    <w:rsid w:val="00637674"/>
    <w:rsid w:val="00641561"/>
    <w:rsid w:val="00641648"/>
    <w:rsid w:val="006418FA"/>
    <w:rsid w:val="0064199A"/>
    <w:rsid w:val="00641DE6"/>
    <w:rsid w:val="006447ED"/>
    <w:rsid w:val="00644DCE"/>
    <w:rsid w:val="0064676C"/>
    <w:rsid w:val="0064768F"/>
    <w:rsid w:val="00647E1D"/>
    <w:rsid w:val="00647E8E"/>
    <w:rsid w:val="0065280A"/>
    <w:rsid w:val="00652F84"/>
    <w:rsid w:val="00660ADE"/>
    <w:rsid w:val="006623FB"/>
    <w:rsid w:val="00662A3F"/>
    <w:rsid w:val="00665594"/>
    <w:rsid w:val="00666B0A"/>
    <w:rsid w:val="00666CF4"/>
    <w:rsid w:val="0066746E"/>
    <w:rsid w:val="0067016D"/>
    <w:rsid w:val="0067177B"/>
    <w:rsid w:val="006765F1"/>
    <w:rsid w:val="006803FC"/>
    <w:rsid w:val="0068278F"/>
    <w:rsid w:val="00683F10"/>
    <w:rsid w:val="00684DD5"/>
    <w:rsid w:val="00685850"/>
    <w:rsid w:val="00687285"/>
    <w:rsid w:val="00687876"/>
    <w:rsid w:val="00687E51"/>
    <w:rsid w:val="00690134"/>
    <w:rsid w:val="006903C3"/>
    <w:rsid w:val="00690CEF"/>
    <w:rsid w:val="0069163D"/>
    <w:rsid w:val="0069712B"/>
    <w:rsid w:val="006A1849"/>
    <w:rsid w:val="006A3742"/>
    <w:rsid w:val="006A4F86"/>
    <w:rsid w:val="006A7BE3"/>
    <w:rsid w:val="006B037D"/>
    <w:rsid w:val="006B0ABC"/>
    <w:rsid w:val="006B3B51"/>
    <w:rsid w:val="006B3C68"/>
    <w:rsid w:val="006B5691"/>
    <w:rsid w:val="006B5BB2"/>
    <w:rsid w:val="006C16A3"/>
    <w:rsid w:val="006C2C68"/>
    <w:rsid w:val="006C2FC9"/>
    <w:rsid w:val="006C3F1D"/>
    <w:rsid w:val="006D54AE"/>
    <w:rsid w:val="006E22DC"/>
    <w:rsid w:val="006E2E30"/>
    <w:rsid w:val="006E3F36"/>
    <w:rsid w:val="006E4C66"/>
    <w:rsid w:val="006E4D54"/>
    <w:rsid w:val="006E67FA"/>
    <w:rsid w:val="006F1B3B"/>
    <w:rsid w:val="006F44FE"/>
    <w:rsid w:val="006F5B75"/>
    <w:rsid w:val="006F5F9A"/>
    <w:rsid w:val="006F7CFB"/>
    <w:rsid w:val="0070072B"/>
    <w:rsid w:val="00703540"/>
    <w:rsid w:val="00703EFC"/>
    <w:rsid w:val="00705182"/>
    <w:rsid w:val="00705CB9"/>
    <w:rsid w:val="00706255"/>
    <w:rsid w:val="007067C7"/>
    <w:rsid w:val="00706CCD"/>
    <w:rsid w:val="00712EEE"/>
    <w:rsid w:val="007144B3"/>
    <w:rsid w:val="00720558"/>
    <w:rsid w:val="00721795"/>
    <w:rsid w:val="00722503"/>
    <w:rsid w:val="00722FB2"/>
    <w:rsid w:val="00723F01"/>
    <w:rsid w:val="00724437"/>
    <w:rsid w:val="00726FD8"/>
    <w:rsid w:val="00727B22"/>
    <w:rsid w:val="0073075A"/>
    <w:rsid w:val="007327A5"/>
    <w:rsid w:val="007365E2"/>
    <w:rsid w:val="00736AFD"/>
    <w:rsid w:val="00737B49"/>
    <w:rsid w:val="00742779"/>
    <w:rsid w:val="00742889"/>
    <w:rsid w:val="007452AD"/>
    <w:rsid w:val="0074545F"/>
    <w:rsid w:val="00747FFC"/>
    <w:rsid w:val="00752092"/>
    <w:rsid w:val="0075283E"/>
    <w:rsid w:val="0075306C"/>
    <w:rsid w:val="007534DB"/>
    <w:rsid w:val="007541CD"/>
    <w:rsid w:val="00755873"/>
    <w:rsid w:val="00755FE2"/>
    <w:rsid w:val="00764D7C"/>
    <w:rsid w:val="00765361"/>
    <w:rsid w:val="00765D8A"/>
    <w:rsid w:val="00766684"/>
    <w:rsid w:val="00767D0B"/>
    <w:rsid w:val="00771D26"/>
    <w:rsid w:val="00772E30"/>
    <w:rsid w:val="007743C4"/>
    <w:rsid w:val="007755D2"/>
    <w:rsid w:val="007764E8"/>
    <w:rsid w:val="00781FF4"/>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20EE"/>
    <w:rsid w:val="007B3424"/>
    <w:rsid w:val="007B3B86"/>
    <w:rsid w:val="007B4AC3"/>
    <w:rsid w:val="007C0BBA"/>
    <w:rsid w:val="007C0CA0"/>
    <w:rsid w:val="007C1F9C"/>
    <w:rsid w:val="007C2F15"/>
    <w:rsid w:val="007C3A62"/>
    <w:rsid w:val="007C3A92"/>
    <w:rsid w:val="007C446B"/>
    <w:rsid w:val="007C4891"/>
    <w:rsid w:val="007C5141"/>
    <w:rsid w:val="007D4BB3"/>
    <w:rsid w:val="007D7384"/>
    <w:rsid w:val="007D75A6"/>
    <w:rsid w:val="007E3450"/>
    <w:rsid w:val="007E62D6"/>
    <w:rsid w:val="007F1655"/>
    <w:rsid w:val="007F17B2"/>
    <w:rsid w:val="007F4F8B"/>
    <w:rsid w:val="007F683C"/>
    <w:rsid w:val="007F7D64"/>
    <w:rsid w:val="0080023B"/>
    <w:rsid w:val="00801B07"/>
    <w:rsid w:val="00803120"/>
    <w:rsid w:val="00807FED"/>
    <w:rsid w:val="0081222B"/>
    <w:rsid w:val="008127D1"/>
    <w:rsid w:val="00814895"/>
    <w:rsid w:val="008149CC"/>
    <w:rsid w:val="00815415"/>
    <w:rsid w:val="008208EC"/>
    <w:rsid w:val="00820B84"/>
    <w:rsid w:val="00823877"/>
    <w:rsid w:val="00824196"/>
    <w:rsid w:val="00826423"/>
    <w:rsid w:val="0082669E"/>
    <w:rsid w:val="00830755"/>
    <w:rsid w:val="00831FDE"/>
    <w:rsid w:val="00834D3A"/>
    <w:rsid w:val="008353ED"/>
    <w:rsid w:val="00836099"/>
    <w:rsid w:val="00836180"/>
    <w:rsid w:val="0083689A"/>
    <w:rsid w:val="008400AB"/>
    <w:rsid w:val="008422AD"/>
    <w:rsid w:val="0084468E"/>
    <w:rsid w:val="00845BF0"/>
    <w:rsid w:val="00846283"/>
    <w:rsid w:val="0084768E"/>
    <w:rsid w:val="00847FB4"/>
    <w:rsid w:val="0085092B"/>
    <w:rsid w:val="0085593E"/>
    <w:rsid w:val="00855F22"/>
    <w:rsid w:val="008577C9"/>
    <w:rsid w:val="00862439"/>
    <w:rsid w:val="008629F9"/>
    <w:rsid w:val="0086335B"/>
    <w:rsid w:val="00863418"/>
    <w:rsid w:val="008640E1"/>
    <w:rsid w:val="00866E03"/>
    <w:rsid w:val="00872507"/>
    <w:rsid w:val="00874165"/>
    <w:rsid w:val="008743C3"/>
    <w:rsid w:val="00877187"/>
    <w:rsid w:val="0088088D"/>
    <w:rsid w:val="00881769"/>
    <w:rsid w:val="00881D01"/>
    <w:rsid w:val="00882F22"/>
    <w:rsid w:val="00885078"/>
    <w:rsid w:val="00894020"/>
    <w:rsid w:val="00894B8B"/>
    <w:rsid w:val="00896373"/>
    <w:rsid w:val="008A0341"/>
    <w:rsid w:val="008A0F7A"/>
    <w:rsid w:val="008A1CCF"/>
    <w:rsid w:val="008A3AA7"/>
    <w:rsid w:val="008A4054"/>
    <w:rsid w:val="008A7F41"/>
    <w:rsid w:val="008B29C3"/>
    <w:rsid w:val="008B3046"/>
    <w:rsid w:val="008B4BAC"/>
    <w:rsid w:val="008B6878"/>
    <w:rsid w:val="008C037D"/>
    <w:rsid w:val="008C0495"/>
    <w:rsid w:val="008C0524"/>
    <w:rsid w:val="008C10CC"/>
    <w:rsid w:val="008C11DC"/>
    <w:rsid w:val="008C1366"/>
    <w:rsid w:val="008C1A56"/>
    <w:rsid w:val="008C2094"/>
    <w:rsid w:val="008C2499"/>
    <w:rsid w:val="008C24FE"/>
    <w:rsid w:val="008C2B8B"/>
    <w:rsid w:val="008C3DA7"/>
    <w:rsid w:val="008C7EF1"/>
    <w:rsid w:val="008D1D4B"/>
    <w:rsid w:val="008D3CD4"/>
    <w:rsid w:val="008D4952"/>
    <w:rsid w:val="008D6092"/>
    <w:rsid w:val="008E2775"/>
    <w:rsid w:val="008E56D7"/>
    <w:rsid w:val="008E5E76"/>
    <w:rsid w:val="008E7466"/>
    <w:rsid w:val="008F1AD2"/>
    <w:rsid w:val="008F1ED7"/>
    <w:rsid w:val="008F21CC"/>
    <w:rsid w:val="008F37E3"/>
    <w:rsid w:val="008F4015"/>
    <w:rsid w:val="008F6B03"/>
    <w:rsid w:val="008F6B27"/>
    <w:rsid w:val="00900593"/>
    <w:rsid w:val="00901083"/>
    <w:rsid w:val="00904F5B"/>
    <w:rsid w:val="00906BE7"/>
    <w:rsid w:val="009122C7"/>
    <w:rsid w:val="00915801"/>
    <w:rsid w:val="00921F64"/>
    <w:rsid w:val="00922DC6"/>
    <w:rsid w:val="00925FB0"/>
    <w:rsid w:val="00934084"/>
    <w:rsid w:val="00934A65"/>
    <w:rsid w:val="0093611D"/>
    <w:rsid w:val="00941051"/>
    <w:rsid w:val="009420B0"/>
    <w:rsid w:val="00945F4D"/>
    <w:rsid w:val="009466B6"/>
    <w:rsid w:val="0094681D"/>
    <w:rsid w:val="00946EC0"/>
    <w:rsid w:val="009476ED"/>
    <w:rsid w:val="00950220"/>
    <w:rsid w:val="00951DE8"/>
    <w:rsid w:val="00953743"/>
    <w:rsid w:val="009547E5"/>
    <w:rsid w:val="00954FA7"/>
    <w:rsid w:val="0095625E"/>
    <w:rsid w:val="00956595"/>
    <w:rsid w:val="00960A99"/>
    <w:rsid w:val="0096355B"/>
    <w:rsid w:val="009645E5"/>
    <w:rsid w:val="009656E8"/>
    <w:rsid w:val="00966BA9"/>
    <w:rsid w:val="00970E37"/>
    <w:rsid w:val="009752A0"/>
    <w:rsid w:val="00975A85"/>
    <w:rsid w:val="0097654D"/>
    <w:rsid w:val="0097675F"/>
    <w:rsid w:val="009776AB"/>
    <w:rsid w:val="0098034E"/>
    <w:rsid w:val="00981228"/>
    <w:rsid w:val="00981B70"/>
    <w:rsid w:val="00981F23"/>
    <w:rsid w:val="0098205B"/>
    <w:rsid w:val="00982C5A"/>
    <w:rsid w:val="009830F7"/>
    <w:rsid w:val="00983A6A"/>
    <w:rsid w:val="00984CAF"/>
    <w:rsid w:val="00987969"/>
    <w:rsid w:val="00987C33"/>
    <w:rsid w:val="00990B34"/>
    <w:rsid w:val="00991553"/>
    <w:rsid w:val="00991F95"/>
    <w:rsid w:val="00992171"/>
    <w:rsid w:val="009921DB"/>
    <w:rsid w:val="009929C2"/>
    <w:rsid w:val="009941F5"/>
    <w:rsid w:val="0099520D"/>
    <w:rsid w:val="009959C2"/>
    <w:rsid w:val="00997254"/>
    <w:rsid w:val="009A1E45"/>
    <w:rsid w:val="009A1F9B"/>
    <w:rsid w:val="009A2D17"/>
    <w:rsid w:val="009A2F81"/>
    <w:rsid w:val="009A4018"/>
    <w:rsid w:val="009A4C05"/>
    <w:rsid w:val="009A50E3"/>
    <w:rsid w:val="009A7359"/>
    <w:rsid w:val="009B18C6"/>
    <w:rsid w:val="009B69F5"/>
    <w:rsid w:val="009C031C"/>
    <w:rsid w:val="009C276F"/>
    <w:rsid w:val="009C37E4"/>
    <w:rsid w:val="009C42E1"/>
    <w:rsid w:val="009D1055"/>
    <w:rsid w:val="009D265E"/>
    <w:rsid w:val="009D276A"/>
    <w:rsid w:val="009D2ACC"/>
    <w:rsid w:val="009D3ADE"/>
    <w:rsid w:val="009D587C"/>
    <w:rsid w:val="009D701C"/>
    <w:rsid w:val="009D7C9B"/>
    <w:rsid w:val="009E08F3"/>
    <w:rsid w:val="009E0958"/>
    <w:rsid w:val="009E1FC6"/>
    <w:rsid w:val="009E2EF6"/>
    <w:rsid w:val="009E4072"/>
    <w:rsid w:val="009E64A3"/>
    <w:rsid w:val="009E73DC"/>
    <w:rsid w:val="009E76DF"/>
    <w:rsid w:val="009F11C8"/>
    <w:rsid w:val="009F2F9A"/>
    <w:rsid w:val="009F6998"/>
    <w:rsid w:val="009F7B1A"/>
    <w:rsid w:val="00A001BE"/>
    <w:rsid w:val="00A0096E"/>
    <w:rsid w:val="00A026C9"/>
    <w:rsid w:val="00A031CA"/>
    <w:rsid w:val="00A0350D"/>
    <w:rsid w:val="00A03B0D"/>
    <w:rsid w:val="00A0573A"/>
    <w:rsid w:val="00A12292"/>
    <w:rsid w:val="00A13C44"/>
    <w:rsid w:val="00A14137"/>
    <w:rsid w:val="00A14EE4"/>
    <w:rsid w:val="00A15B42"/>
    <w:rsid w:val="00A15BB3"/>
    <w:rsid w:val="00A16D7C"/>
    <w:rsid w:val="00A2192D"/>
    <w:rsid w:val="00A248D1"/>
    <w:rsid w:val="00A26E78"/>
    <w:rsid w:val="00A31120"/>
    <w:rsid w:val="00A31B76"/>
    <w:rsid w:val="00A3692B"/>
    <w:rsid w:val="00A37677"/>
    <w:rsid w:val="00A3775B"/>
    <w:rsid w:val="00A40AED"/>
    <w:rsid w:val="00A4110C"/>
    <w:rsid w:val="00A42F52"/>
    <w:rsid w:val="00A435AA"/>
    <w:rsid w:val="00A435C0"/>
    <w:rsid w:val="00A46411"/>
    <w:rsid w:val="00A50C1B"/>
    <w:rsid w:val="00A53880"/>
    <w:rsid w:val="00A55B84"/>
    <w:rsid w:val="00A56690"/>
    <w:rsid w:val="00A569CE"/>
    <w:rsid w:val="00A60117"/>
    <w:rsid w:val="00A602D6"/>
    <w:rsid w:val="00A60B23"/>
    <w:rsid w:val="00A625BA"/>
    <w:rsid w:val="00A62DF2"/>
    <w:rsid w:val="00A64975"/>
    <w:rsid w:val="00A703FD"/>
    <w:rsid w:val="00A75348"/>
    <w:rsid w:val="00A75550"/>
    <w:rsid w:val="00A7610E"/>
    <w:rsid w:val="00A77F8F"/>
    <w:rsid w:val="00A812F4"/>
    <w:rsid w:val="00A831C4"/>
    <w:rsid w:val="00A85E6C"/>
    <w:rsid w:val="00A85E88"/>
    <w:rsid w:val="00A87460"/>
    <w:rsid w:val="00A87AC2"/>
    <w:rsid w:val="00AA1D69"/>
    <w:rsid w:val="00AA3F96"/>
    <w:rsid w:val="00AA796C"/>
    <w:rsid w:val="00AA7E13"/>
    <w:rsid w:val="00AB1D2C"/>
    <w:rsid w:val="00AB67DE"/>
    <w:rsid w:val="00AB6DA5"/>
    <w:rsid w:val="00AB77C4"/>
    <w:rsid w:val="00AB7987"/>
    <w:rsid w:val="00AB7AB4"/>
    <w:rsid w:val="00AB7C01"/>
    <w:rsid w:val="00AC1057"/>
    <w:rsid w:val="00AC3F50"/>
    <w:rsid w:val="00AC5B1B"/>
    <w:rsid w:val="00AC6480"/>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053F"/>
    <w:rsid w:val="00AF117A"/>
    <w:rsid w:val="00AF1EB6"/>
    <w:rsid w:val="00AF44BB"/>
    <w:rsid w:val="00AF4AE5"/>
    <w:rsid w:val="00AF5168"/>
    <w:rsid w:val="00AF543D"/>
    <w:rsid w:val="00AF6392"/>
    <w:rsid w:val="00AF6F6E"/>
    <w:rsid w:val="00B0320D"/>
    <w:rsid w:val="00B04BF9"/>
    <w:rsid w:val="00B10724"/>
    <w:rsid w:val="00B12C1D"/>
    <w:rsid w:val="00B13100"/>
    <w:rsid w:val="00B156D6"/>
    <w:rsid w:val="00B16B77"/>
    <w:rsid w:val="00B16C61"/>
    <w:rsid w:val="00B1708D"/>
    <w:rsid w:val="00B20040"/>
    <w:rsid w:val="00B21387"/>
    <w:rsid w:val="00B24061"/>
    <w:rsid w:val="00B24396"/>
    <w:rsid w:val="00B24A9A"/>
    <w:rsid w:val="00B27944"/>
    <w:rsid w:val="00B32E45"/>
    <w:rsid w:val="00B33D37"/>
    <w:rsid w:val="00B35874"/>
    <w:rsid w:val="00B44CB9"/>
    <w:rsid w:val="00B46A8D"/>
    <w:rsid w:val="00B47B65"/>
    <w:rsid w:val="00B51E55"/>
    <w:rsid w:val="00B52385"/>
    <w:rsid w:val="00B5247D"/>
    <w:rsid w:val="00B52903"/>
    <w:rsid w:val="00B552EB"/>
    <w:rsid w:val="00B5612A"/>
    <w:rsid w:val="00B57988"/>
    <w:rsid w:val="00B60981"/>
    <w:rsid w:val="00B6139D"/>
    <w:rsid w:val="00B6266B"/>
    <w:rsid w:val="00B63DDB"/>
    <w:rsid w:val="00B64831"/>
    <w:rsid w:val="00B66750"/>
    <w:rsid w:val="00B67DC8"/>
    <w:rsid w:val="00B70FE9"/>
    <w:rsid w:val="00B73AEA"/>
    <w:rsid w:val="00B73BC5"/>
    <w:rsid w:val="00B76783"/>
    <w:rsid w:val="00B76A8F"/>
    <w:rsid w:val="00B76AAB"/>
    <w:rsid w:val="00B81209"/>
    <w:rsid w:val="00B82F3B"/>
    <w:rsid w:val="00B86D7B"/>
    <w:rsid w:val="00B876CE"/>
    <w:rsid w:val="00B937E0"/>
    <w:rsid w:val="00B937E9"/>
    <w:rsid w:val="00B96125"/>
    <w:rsid w:val="00BA00A5"/>
    <w:rsid w:val="00BA129B"/>
    <w:rsid w:val="00BA36F4"/>
    <w:rsid w:val="00BA79C3"/>
    <w:rsid w:val="00BB00EA"/>
    <w:rsid w:val="00BB02AB"/>
    <w:rsid w:val="00BB2173"/>
    <w:rsid w:val="00BB2350"/>
    <w:rsid w:val="00BB2656"/>
    <w:rsid w:val="00BB41A5"/>
    <w:rsid w:val="00BC1F16"/>
    <w:rsid w:val="00BC2102"/>
    <w:rsid w:val="00BC235B"/>
    <w:rsid w:val="00BC32AF"/>
    <w:rsid w:val="00BC4622"/>
    <w:rsid w:val="00BC6994"/>
    <w:rsid w:val="00BD30AC"/>
    <w:rsid w:val="00BD31C6"/>
    <w:rsid w:val="00BD4E1A"/>
    <w:rsid w:val="00BD5746"/>
    <w:rsid w:val="00BD75A3"/>
    <w:rsid w:val="00BE08DF"/>
    <w:rsid w:val="00BE0DF0"/>
    <w:rsid w:val="00BE1E9D"/>
    <w:rsid w:val="00BE71D8"/>
    <w:rsid w:val="00BE7B23"/>
    <w:rsid w:val="00BF1CB0"/>
    <w:rsid w:val="00BF2B2B"/>
    <w:rsid w:val="00BF56EF"/>
    <w:rsid w:val="00BF6FE2"/>
    <w:rsid w:val="00BF7335"/>
    <w:rsid w:val="00C01F37"/>
    <w:rsid w:val="00C04A83"/>
    <w:rsid w:val="00C05334"/>
    <w:rsid w:val="00C05E50"/>
    <w:rsid w:val="00C07E24"/>
    <w:rsid w:val="00C152E5"/>
    <w:rsid w:val="00C2021D"/>
    <w:rsid w:val="00C210E7"/>
    <w:rsid w:val="00C21101"/>
    <w:rsid w:val="00C219A7"/>
    <w:rsid w:val="00C26416"/>
    <w:rsid w:val="00C31528"/>
    <w:rsid w:val="00C32D73"/>
    <w:rsid w:val="00C3593A"/>
    <w:rsid w:val="00C359DC"/>
    <w:rsid w:val="00C366C3"/>
    <w:rsid w:val="00C3752C"/>
    <w:rsid w:val="00C4141E"/>
    <w:rsid w:val="00C44D5C"/>
    <w:rsid w:val="00C46AD6"/>
    <w:rsid w:val="00C50243"/>
    <w:rsid w:val="00C5180F"/>
    <w:rsid w:val="00C52227"/>
    <w:rsid w:val="00C5252B"/>
    <w:rsid w:val="00C52825"/>
    <w:rsid w:val="00C532D4"/>
    <w:rsid w:val="00C535F8"/>
    <w:rsid w:val="00C5604B"/>
    <w:rsid w:val="00C5625D"/>
    <w:rsid w:val="00C56892"/>
    <w:rsid w:val="00C6724A"/>
    <w:rsid w:val="00C67360"/>
    <w:rsid w:val="00C67DCF"/>
    <w:rsid w:val="00C72066"/>
    <w:rsid w:val="00C756EA"/>
    <w:rsid w:val="00C75D98"/>
    <w:rsid w:val="00C855DA"/>
    <w:rsid w:val="00C87338"/>
    <w:rsid w:val="00C9031A"/>
    <w:rsid w:val="00C91870"/>
    <w:rsid w:val="00C92320"/>
    <w:rsid w:val="00C97955"/>
    <w:rsid w:val="00C97BE2"/>
    <w:rsid w:val="00CA19B9"/>
    <w:rsid w:val="00CA22ED"/>
    <w:rsid w:val="00CA3C72"/>
    <w:rsid w:val="00CA3D8B"/>
    <w:rsid w:val="00CA63CC"/>
    <w:rsid w:val="00CA7E59"/>
    <w:rsid w:val="00CB3475"/>
    <w:rsid w:val="00CB3E08"/>
    <w:rsid w:val="00CB5252"/>
    <w:rsid w:val="00CB5917"/>
    <w:rsid w:val="00CB5FB7"/>
    <w:rsid w:val="00CB60F6"/>
    <w:rsid w:val="00CB6313"/>
    <w:rsid w:val="00CC1BDB"/>
    <w:rsid w:val="00CC1EF0"/>
    <w:rsid w:val="00CC2B32"/>
    <w:rsid w:val="00CC7A35"/>
    <w:rsid w:val="00CD1883"/>
    <w:rsid w:val="00CD372F"/>
    <w:rsid w:val="00CD4460"/>
    <w:rsid w:val="00CD4AF9"/>
    <w:rsid w:val="00CE0212"/>
    <w:rsid w:val="00CE1DAF"/>
    <w:rsid w:val="00CE25C4"/>
    <w:rsid w:val="00CE2CD7"/>
    <w:rsid w:val="00CE43FD"/>
    <w:rsid w:val="00CE4637"/>
    <w:rsid w:val="00CE5F1E"/>
    <w:rsid w:val="00CE6C03"/>
    <w:rsid w:val="00CF0B35"/>
    <w:rsid w:val="00CF0C10"/>
    <w:rsid w:val="00CF1512"/>
    <w:rsid w:val="00CF412B"/>
    <w:rsid w:val="00CF750C"/>
    <w:rsid w:val="00CF7F0D"/>
    <w:rsid w:val="00D0158A"/>
    <w:rsid w:val="00D01AD8"/>
    <w:rsid w:val="00D029C5"/>
    <w:rsid w:val="00D0680D"/>
    <w:rsid w:val="00D10070"/>
    <w:rsid w:val="00D20F36"/>
    <w:rsid w:val="00D22FDF"/>
    <w:rsid w:val="00D23390"/>
    <w:rsid w:val="00D2475A"/>
    <w:rsid w:val="00D24E13"/>
    <w:rsid w:val="00D2638A"/>
    <w:rsid w:val="00D31832"/>
    <w:rsid w:val="00D3690C"/>
    <w:rsid w:val="00D40B62"/>
    <w:rsid w:val="00D415D9"/>
    <w:rsid w:val="00D46AD4"/>
    <w:rsid w:val="00D517C2"/>
    <w:rsid w:val="00D522EE"/>
    <w:rsid w:val="00D52DEA"/>
    <w:rsid w:val="00D535BE"/>
    <w:rsid w:val="00D5405B"/>
    <w:rsid w:val="00D5637B"/>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476B"/>
    <w:rsid w:val="00D85DAF"/>
    <w:rsid w:val="00D85E60"/>
    <w:rsid w:val="00D87441"/>
    <w:rsid w:val="00D877AC"/>
    <w:rsid w:val="00D87C9B"/>
    <w:rsid w:val="00D91323"/>
    <w:rsid w:val="00D92CC6"/>
    <w:rsid w:val="00D944AF"/>
    <w:rsid w:val="00D94648"/>
    <w:rsid w:val="00D97661"/>
    <w:rsid w:val="00DA0DE6"/>
    <w:rsid w:val="00DA4CDB"/>
    <w:rsid w:val="00DA4DED"/>
    <w:rsid w:val="00DA7007"/>
    <w:rsid w:val="00DB1253"/>
    <w:rsid w:val="00DC030E"/>
    <w:rsid w:val="00DC0862"/>
    <w:rsid w:val="00DC39C5"/>
    <w:rsid w:val="00DC710C"/>
    <w:rsid w:val="00DD03BA"/>
    <w:rsid w:val="00DD2559"/>
    <w:rsid w:val="00DD26EA"/>
    <w:rsid w:val="00DD400A"/>
    <w:rsid w:val="00DD42E6"/>
    <w:rsid w:val="00DE3BA3"/>
    <w:rsid w:val="00DE7AA2"/>
    <w:rsid w:val="00DF0D42"/>
    <w:rsid w:val="00DF2406"/>
    <w:rsid w:val="00DF270A"/>
    <w:rsid w:val="00DF2A7D"/>
    <w:rsid w:val="00DF3A53"/>
    <w:rsid w:val="00DF55BA"/>
    <w:rsid w:val="00E016A5"/>
    <w:rsid w:val="00E0590C"/>
    <w:rsid w:val="00E06091"/>
    <w:rsid w:val="00E06F13"/>
    <w:rsid w:val="00E06F80"/>
    <w:rsid w:val="00E11EAB"/>
    <w:rsid w:val="00E136C0"/>
    <w:rsid w:val="00E15F9C"/>
    <w:rsid w:val="00E26878"/>
    <w:rsid w:val="00E30369"/>
    <w:rsid w:val="00E30FB0"/>
    <w:rsid w:val="00E315AE"/>
    <w:rsid w:val="00E32BA9"/>
    <w:rsid w:val="00E34768"/>
    <w:rsid w:val="00E35544"/>
    <w:rsid w:val="00E37EAF"/>
    <w:rsid w:val="00E426B8"/>
    <w:rsid w:val="00E43A7C"/>
    <w:rsid w:val="00E4646F"/>
    <w:rsid w:val="00E46843"/>
    <w:rsid w:val="00E50979"/>
    <w:rsid w:val="00E51A4C"/>
    <w:rsid w:val="00E52524"/>
    <w:rsid w:val="00E5273B"/>
    <w:rsid w:val="00E531CF"/>
    <w:rsid w:val="00E56CAD"/>
    <w:rsid w:val="00E62F6B"/>
    <w:rsid w:val="00E64E7E"/>
    <w:rsid w:val="00E65578"/>
    <w:rsid w:val="00E6640C"/>
    <w:rsid w:val="00E66B4B"/>
    <w:rsid w:val="00E70296"/>
    <w:rsid w:val="00E71632"/>
    <w:rsid w:val="00E716A2"/>
    <w:rsid w:val="00E718A9"/>
    <w:rsid w:val="00E72286"/>
    <w:rsid w:val="00E739A8"/>
    <w:rsid w:val="00E73E7E"/>
    <w:rsid w:val="00E779BF"/>
    <w:rsid w:val="00E81DAB"/>
    <w:rsid w:val="00E83C6B"/>
    <w:rsid w:val="00E849F7"/>
    <w:rsid w:val="00E9018D"/>
    <w:rsid w:val="00E919B3"/>
    <w:rsid w:val="00E9376C"/>
    <w:rsid w:val="00E95241"/>
    <w:rsid w:val="00E9542E"/>
    <w:rsid w:val="00E9676B"/>
    <w:rsid w:val="00E97F7E"/>
    <w:rsid w:val="00EA0F47"/>
    <w:rsid w:val="00EA2EEF"/>
    <w:rsid w:val="00EA3659"/>
    <w:rsid w:val="00EA5433"/>
    <w:rsid w:val="00EA6AF9"/>
    <w:rsid w:val="00EB0154"/>
    <w:rsid w:val="00EB02A6"/>
    <w:rsid w:val="00EB1EEC"/>
    <w:rsid w:val="00EB332B"/>
    <w:rsid w:val="00EB48B6"/>
    <w:rsid w:val="00EB5D29"/>
    <w:rsid w:val="00EC0628"/>
    <w:rsid w:val="00EC0B41"/>
    <w:rsid w:val="00EC0F9E"/>
    <w:rsid w:val="00EC18D0"/>
    <w:rsid w:val="00EC477F"/>
    <w:rsid w:val="00EC4EA7"/>
    <w:rsid w:val="00EC7A57"/>
    <w:rsid w:val="00ED064C"/>
    <w:rsid w:val="00ED2556"/>
    <w:rsid w:val="00ED6EB3"/>
    <w:rsid w:val="00EE0059"/>
    <w:rsid w:val="00EE2577"/>
    <w:rsid w:val="00EE342F"/>
    <w:rsid w:val="00EE35AC"/>
    <w:rsid w:val="00EE6164"/>
    <w:rsid w:val="00EF1543"/>
    <w:rsid w:val="00EF1757"/>
    <w:rsid w:val="00EF2F70"/>
    <w:rsid w:val="00EF4852"/>
    <w:rsid w:val="00EF5FA1"/>
    <w:rsid w:val="00F011DE"/>
    <w:rsid w:val="00F013FD"/>
    <w:rsid w:val="00F02FFD"/>
    <w:rsid w:val="00F0324E"/>
    <w:rsid w:val="00F0555E"/>
    <w:rsid w:val="00F06973"/>
    <w:rsid w:val="00F06FEA"/>
    <w:rsid w:val="00F134E3"/>
    <w:rsid w:val="00F13CCB"/>
    <w:rsid w:val="00F14BD1"/>
    <w:rsid w:val="00F20EE9"/>
    <w:rsid w:val="00F2398A"/>
    <w:rsid w:val="00F24332"/>
    <w:rsid w:val="00F3069C"/>
    <w:rsid w:val="00F32F68"/>
    <w:rsid w:val="00F33C53"/>
    <w:rsid w:val="00F377C6"/>
    <w:rsid w:val="00F40CCD"/>
    <w:rsid w:val="00F468EB"/>
    <w:rsid w:val="00F47251"/>
    <w:rsid w:val="00F50713"/>
    <w:rsid w:val="00F60397"/>
    <w:rsid w:val="00F60786"/>
    <w:rsid w:val="00F62647"/>
    <w:rsid w:val="00F64B4A"/>
    <w:rsid w:val="00F65609"/>
    <w:rsid w:val="00F65A9F"/>
    <w:rsid w:val="00F66644"/>
    <w:rsid w:val="00F6681B"/>
    <w:rsid w:val="00F70C81"/>
    <w:rsid w:val="00F7194A"/>
    <w:rsid w:val="00F72C93"/>
    <w:rsid w:val="00F73244"/>
    <w:rsid w:val="00F769AB"/>
    <w:rsid w:val="00F7799C"/>
    <w:rsid w:val="00F80F2C"/>
    <w:rsid w:val="00F813C6"/>
    <w:rsid w:val="00F83505"/>
    <w:rsid w:val="00F85F4C"/>
    <w:rsid w:val="00F876A5"/>
    <w:rsid w:val="00F90659"/>
    <w:rsid w:val="00F92D95"/>
    <w:rsid w:val="00F9689C"/>
    <w:rsid w:val="00F9764A"/>
    <w:rsid w:val="00FA0B93"/>
    <w:rsid w:val="00FA158F"/>
    <w:rsid w:val="00FA1E04"/>
    <w:rsid w:val="00FA3A82"/>
    <w:rsid w:val="00FB4923"/>
    <w:rsid w:val="00FB7DB0"/>
    <w:rsid w:val="00FC4E6A"/>
    <w:rsid w:val="00FC5AE2"/>
    <w:rsid w:val="00FC744E"/>
    <w:rsid w:val="00FC7C47"/>
    <w:rsid w:val="00FD1C11"/>
    <w:rsid w:val="00FD1D43"/>
    <w:rsid w:val="00FD2990"/>
    <w:rsid w:val="00FD46EB"/>
    <w:rsid w:val="00FD5D92"/>
    <w:rsid w:val="00FD71A6"/>
    <w:rsid w:val="00FE31E3"/>
    <w:rsid w:val="00FE3B90"/>
    <w:rsid w:val="00FE59F9"/>
    <w:rsid w:val="00FE6BE5"/>
    <w:rsid w:val="00FF1806"/>
    <w:rsid w:val="00FF28C9"/>
    <w:rsid w:val="00FF338D"/>
    <w:rsid w:val="00FF422D"/>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65E2"/>
    <w:pPr>
      <w:widowControl w:val="0"/>
    </w:pPr>
    <w:rPr>
      <w:snapToGrid w:val="0"/>
      <w:kern w:val="28"/>
      <w:szCs w:val="20"/>
    </w:rPr>
  </w:style>
  <w:style w:type="paragraph" w:styleId="Heading1">
    <w:name w:val="heading 1"/>
    <w:basedOn w:val="Normal"/>
    <w:next w:val="ParaNum"/>
    <w:link w:val="Heading1Char"/>
    <w:qFormat/>
    <w:rsid w:val="007365E2"/>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65E2"/>
    <w:pPr>
      <w:keepNext/>
      <w:numPr>
        <w:ilvl w:val="1"/>
        <w:numId w:val="6"/>
      </w:numPr>
      <w:spacing w:after="120"/>
      <w:outlineLvl w:val="1"/>
    </w:pPr>
    <w:rPr>
      <w:b/>
    </w:rPr>
  </w:style>
  <w:style w:type="paragraph" w:styleId="Heading3">
    <w:name w:val="heading 3"/>
    <w:basedOn w:val="Normal"/>
    <w:next w:val="ParaNum"/>
    <w:link w:val="Heading3Char"/>
    <w:qFormat/>
    <w:rsid w:val="007365E2"/>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7365E2"/>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7365E2"/>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7365E2"/>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7365E2"/>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7365E2"/>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65E2"/>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65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5E2"/>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7365E2"/>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7365E2"/>
    <w:rPr>
      <w:rFonts w:ascii="Times New Roman" w:hAnsi="Times New Roman"/>
      <w:dstrike w:val="0"/>
      <w:color w:val="auto"/>
      <w:sz w:val="20"/>
      <w:vertAlign w:val="superscript"/>
    </w:rPr>
  </w:style>
  <w:style w:type="paragraph" w:styleId="Header">
    <w:name w:val="header"/>
    <w:basedOn w:val="Normal"/>
    <w:link w:val="HeaderChar"/>
    <w:autoRedefine/>
    <w:rsid w:val="007365E2"/>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7365E2"/>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7365E2"/>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7365E2"/>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7365E2"/>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7365E2"/>
    <w:pPr>
      <w:jc w:val="center"/>
    </w:pPr>
    <w:rPr>
      <w:rFonts w:ascii="Times New Roman Bold" w:hAnsi="Times New Roman Bold"/>
      <w:b/>
      <w:bCs/>
      <w:caps/>
      <w:szCs w:val="22"/>
    </w:rPr>
  </w:style>
  <w:style w:type="paragraph" w:styleId="TOAHeading">
    <w:name w:val="toa heading"/>
    <w:basedOn w:val="Normal"/>
    <w:next w:val="Normal"/>
    <w:semiHidden/>
    <w:rsid w:val="007365E2"/>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7365E2"/>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7365E2"/>
    <w:rPr>
      <w:vertAlign w:val="superscript"/>
    </w:rPr>
  </w:style>
  <w:style w:type="paragraph" w:styleId="TOC1">
    <w:name w:val="toc 1"/>
    <w:basedOn w:val="Normal"/>
    <w:next w:val="Normal"/>
    <w:semiHidden/>
    <w:locked/>
    <w:rsid w:val="007365E2"/>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7365E2"/>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7365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7365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7365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7365E2"/>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7365E2"/>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7365E2"/>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7365E2"/>
    <w:pPr>
      <w:tabs>
        <w:tab w:val="left" w:pos="3240"/>
        <w:tab w:val="right" w:leader="dot" w:pos="9360"/>
      </w:tabs>
      <w:suppressAutoHyphens/>
      <w:ind w:left="3240" w:hanging="360"/>
    </w:pPr>
    <w:rPr>
      <w:noProof/>
    </w:rPr>
  </w:style>
  <w:style w:type="character" w:customStyle="1" w:styleId="EquationCaption">
    <w:name w:val="_Equation Caption"/>
    <w:rsid w:val="007365E2"/>
  </w:style>
  <w:style w:type="paragraph" w:styleId="BlockText">
    <w:name w:val="Block Text"/>
    <w:basedOn w:val="Normal"/>
    <w:locked/>
    <w:rsid w:val="007365E2"/>
    <w:pPr>
      <w:spacing w:after="240"/>
      <w:ind w:left="1440" w:right="1440"/>
    </w:pPr>
  </w:style>
  <w:style w:type="paragraph" w:customStyle="1" w:styleId="Paratitle">
    <w:name w:val="Para title"/>
    <w:basedOn w:val="Normal"/>
    <w:rsid w:val="007365E2"/>
    <w:pPr>
      <w:tabs>
        <w:tab w:val="center" w:pos="9270"/>
      </w:tabs>
      <w:spacing w:after="240"/>
    </w:pPr>
    <w:rPr>
      <w:spacing w:val="-2"/>
    </w:rPr>
  </w:style>
  <w:style w:type="paragraph" w:customStyle="1" w:styleId="Bullet">
    <w:name w:val="Bullet"/>
    <w:basedOn w:val="Normal"/>
    <w:rsid w:val="007365E2"/>
    <w:pPr>
      <w:tabs>
        <w:tab w:val="left" w:pos="2160"/>
      </w:tabs>
      <w:spacing w:after="220"/>
      <w:ind w:left="2160" w:hanging="720"/>
    </w:pPr>
  </w:style>
  <w:style w:type="paragraph" w:customStyle="1" w:styleId="TableFormat">
    <w:name w:val="TableFormat"/>
    <w:basedOn w:val="Bullet"/>
    <w:rsid w:val="007365E2"/>
    <w:pPr>
      <w:tabs>
        <w:tab w:val="clear" w:pos="2160"/>
        <w:tab w:val="left" w:pos="5040"/>
      </w:tabs>
      <w:ind w:left="5040" w:hanging="3600"/>
    </w:pPr>
  </w:style>
  <w:style w:type="paragraph" w:customStyle="1" w:styleId="TOCTitle">
    <w:name w:val="TOC Title"/>
    <w:basedOn w:val="Normal"/>
    <w:rsid w:val="007365E2"/>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65E2"/>
    <w:pPr>
      <w:widowControl w:val="0"/>
    </w:pPr>
    <w:rPr>
      <w:snapToGrid w:val="0"/>
      <w:kern w:val="28"/>
      <w:szCs w:val="20"/>
    </w:rPr>
  </w:style>
  <w:style w:type="paragraph" w:styleId="Heading1">
    <w:name w:val="heading 1"/>
    <w:basedOn w:val="Normal"/>
    <w:next w:val="ParaNum"/>
    <w:link w:val="Heading1Char"/>
    <w:qFormat/>
    <w:rsid w:val="007365E2"/>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65E2"/>
    <w:pPr>
      <w:keepNext/>
      <w:numPr>
        <w:ilvl w:val="1"/>
        <w:numId w:val="6"/>
      </w:numPr>
      <w:spacing w:after="120"/>
      <w:outlineLvl w:val="1"/>
    </w:pPr>
    <w:rPr>
      <w:b/>
    </w:rPr>
  </w:style>
  <w:style w:type="paragraph" w:styleId="Heading3">
    <w:name w:val="heading 3"/>
    <w:basedOn w:val="Normal"/>
    <w:next w:val="ParaNum"/>
    <w:link w:val="Heading3Char"/>
    <w:qFormat/>
    <w:rsid w:val="007365E2"/>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7365E2"/>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7365E2"/>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7365E2"/>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7365E2"/>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7365E2"/>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65E2"/>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65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5E2"/>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7365E2"/>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7365E2"/>
    <w:rPr>
      <w:rFonts w:ascii="Times New Roman" w:hAnsi="Times New Roman"/>
      <w:dstrike w:val="0"/>
      <w:color w:val="auto"/>
      <w:sz w:val="20"/>
      <w:vertAlign w:val="superscript"/>
    </w:rPr>
  </w:style>
  <w:style w:type="paragraph" w:styleId="Header">
    <w:name w:val="header"/>
    <w:basedOn w:val="Normal"/>
    <w:link w:val="HeaderChar"/>
    <w:autoRedefine/>
    <w:rsid w:val="007365E2"/>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7365E2"/>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7365E2"/>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7365E2"/>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7365E2"/>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7365E2"/>
    <w:pPr>
      <w:jc w:val="center"/>
    </w:pPr>
    <w:rPr>
      <w:rFonts w:ascii="Times New Roman Bold" w:hAnsi="Times New Roman Bold"/>
      <w:b/>
      <w:bCs/>
      <w:caps/>
      <w:szCs w:val="22"/>
    </w:rPr>
  </w:style>
  <w:style w:type="paragraph" w:styleId="TOAHeading">
    <w:name w:val="toa heading"/>
    <w:basedOn w:val="Normal"/>
    <w:next w:val="Normal"/>
    <w:semiHidden/>
    <w:rsid w:val="007365E2"/>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7365E2"/>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7365E2"/>
    <w:rPr>
      <w:vertAlign w:val="superscript"/>
    </w:rPr>
  </w:style>
  <w:style w:type="paragraph" w:styleId="TOC1">
    <w:name w:val="toc 1"/>
    <w:basedOn w:val="Normal"/>
    <w:next w:val="Normal"/>
    <w:semiHidden/>
    <w:locked/>
    <w:rsid w:val="007365E2"/>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7365E2"/>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7365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7365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7365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7365E2"/>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7365E2"/>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7365E2"/>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7365E2"/>
    <w:pPr>
      <w:tabs>
        <w:tab w:val="left" w:pos="3240"/>
        <w:tab w:val="right" w:leader="dot" w:pos="9360"/>
      </w:tabs>
      <w:suppressAutoHyphens/>
      <w:ind w:left="3240" w:hanging="360"/>
    </w:pPr>
    <w:rPr>
      <w:noProof/>
    </w:rPr>
  </w:style>
  <w:style w:type="character" w:customStyle="1" w:styleId="EquationCaption">
    <w:name w:val="_Equation Caption"/>
    <w:rsid w:val="007365E2"/>
  </w:style>
  <w:style w:type="paragraph" w:styleId="BlockText">
    <w:name w:val="Block Text"/>
    <w:basedOn w:val="Normal"/>
    <w:locked/>
    <w:rsid w:val="007365E2"/>
    <w:pPr>
      <w:spacing w:after="240"/>
      <w:ind w:left="1440" w:right="1440"/>
    </w:pPr>
  </w:style>
  <w:style w:type="paragraph" w:customStyle="1" w:styleId="Paratitle">
    <w:name w:val="Para title"/>
    <w:basedOn w:val="Normal"/>
    <w:rsid w:val="007365E2"/>
    <w:pPr>
      <w:tabs>
        <w:tab w:val="center" w:pos="9270"/>
      </w:tabs>
      <w:spacing w:after="240"/>
    </w:pPr>
    <w:rPr>
      <w:spacing w:val="-2"/>
    </w:rPr>
  </w:style>
  <w:style w:type="paragraph" w:customStyle="1" w:styleId="Bullet">
    <w:name w:val="Bullet"/>
    <w:basedOn w:val="Normal"/>
    <w:rsid w:val="007365E2"/>
    <w:pPr>
      <w:tabs>
        <w:tab w:val="left" w:pos="2160"/>
      </w:tabs>
      <w:spacing w:after="220"/>
      <w:ind w:left="2160" w:hanging="720"/>
    </w:pPr>
  </w:style>
  <w:style w:type="paragraph" w:customStyle="1" w:styleId="TableFormat">
    <w:name w:val="TableFormat"/>
    <w:basedOn w:val="Bullet"/>
    <w:rsid w:val="007365E2"/>
    <w:pPr>
      <w:tabs>
        <w:tab w:val="clear" w:pos="2160"/>
        <w:tab w:val="left" w:pos="5040"/>
      </w:tabs>
      <w:ind w:left="5040" w:hanging="3600"/>
    </w:pPr>
  </w:style>
  <w:style w:type="paragraph" w:customStyle="1" w:styleId="TOCTitle">
    <w:name w:val="TOC Title"/>
    <w:basedOn w:val="Normal"/>
    <w:rsid w:val="007365E2"/>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816874780">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1393</Words>
  <Characters>7412</Characters>
  <Application>Microsoft Office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2016-07-29T12:50:00Z</dcterms:created>
  <dcterms:modified xsi:type="dcterms:W3CDTF">2016-07-29T12:50:00Z</dcterms:modified>
  <cp:category> </cp:category>
  <cp:contentStatus> </cp:contentStatus>
</cp:coreProperties>
</file>