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F623F" w14:textId="77777777" w:rsidR="00F84BCA" w:rsidRPr="00ED5746" w:rsidRDefault="00F84BCA" w:rsidP="00F84BCA">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51FF6240" w14:textId="77777777" w:rsidR="00F84BCA" w:rsidRPr="00ED5746" w:rsidRDefault="00F84BCA" w:rsidP="00F84BCA">
      <w:pPr>
        <w:pStyle w:val="StyleBoldCentered"/>
      </w:pPr>
      <w:r w:rsidRPr="00ED5746">
        <w:t>F</w:t>
      </w:r>
      <w:r w:rsidRPr="00ED5746">
        <w:rPr>
          <w:caps w:val="0"/>
        </w:rPr>
        <w:t>ederal Communications Commission</w:t>
      </w:r>
    </w:p>
    <w:p w14:paraId="51FF6241" w14:textId="77777777" w:rsidR="00F84BCA" w:rsidRPr="00ED5746" w:rsidRDefault="00F84BCA" w:rsidP="00F84BCA">
      <w:pPr>
        <w:pStyle w:val="StyleBoldCentered"/>
      </w:pPr>
      <w:r w:rsidRPr="00ED5746">
        <w:rPr>
          <w:caps w:val="0"/>
        </w:rPr>
        <w:t>Washington, DC 20554</w:t>
      </w:r>
    </w:p>
    <w:p w14:paraId="51FF6242" w14:textId="77777777" w:rsidR="00F84BCA" w:rsidRPr="00ED5746" w:rsidRDefault="00F84BCA" w:rsidP="00F84BCA"/>
    <w:tbl>
      <w:tblPr>
        <w:tblW w:w="9576" w:type="dxa"/>
        <w:tblLayout w:type="fixed"/>
        <w:tblLook w:val="0000" w:firstRow="0" w:lastRow="0" w:firstColumn="0" w:lastColumn="0" w:noHBand="0" w:noVBand="0"/>
      </w:tblPr>
      <w:tblGrid>
        <w:gridCol w:w="4698"/>
        <w:gridCol w:w="630"/>
        <w:gridCol w:w="4248"/>
      </w:tblGrid>
      <w:tr w:rsidR="001A7E49" w:rsidRPr="00D84548" w14:paraId="51FF6256" w14:textId="77777777" w:rsidTr="001A7E49">
        <w:tc>
          <w:tcPr>
            <w:tcW w:w="4698" w:type="dxa"/>
          </w:tcPr>
          <w:p w14:paraId="51FF6243" w14:textId="77777777" w:rsidR="001A7E49" w:rsidRDefault="001A7E49" w:rsidP="001A7E49">
            <w:pPr>
              <w:keepNext/>
              <w:widowControl/>
              <w:rPr>
                <w:szCs w:val="22"/>
              </w:rPr>
            </w:pPr>
            <w:r>
              <w:rPr>
                <w:szCs w:val="22"/>
              </w:rPr>
              <w:t>In the Matter of</w:t>
            </w:r>
          </w:p>
          <w:p w14:paraId="51FF6244" w14:textId="77777777" w:rsidR="001A7E49" w:rsidRPr="00C36AA6" w:rsidRDefault="001A7E49" w:rsidP="001A7E49">
            <w:pPr>
              <w:keepNext/>
              <w:widowControl/>
              <w:rPr>
                <w:szCs w:val="22"/>
              </w:rPr>
            </w:pPr>
          </w:p>
          <w:p w14:paraId="51FF6245" w14:textId="77777777" w:rsidR="008E65E7" w:rsidRPr="008E65E7" w:rsidRDefault="008E65E7" w:rsidP="008E65E7">
            <w:pPr>
              <w:keepNext/>
              <w:widowControl/>
              <w:rPr>
                <w:szCs w:val="22"/>
              </w:rPr>
            </w:pPr>
            <w:r w:rsidRPr="008E65E7">
              <w:rPr>
                <w:szCs w:val="22"/>
              </w:rPr>
              <w:t>SOO LINE CORPORATION</w:t>
            </w:r>
          </w:p>
          <w:p w14:paraId="51FF6246" w14:textId="77777777" w:rsidR="001A7E49" w:rsidRDefault="001A7E49" w:rsidP="001A7E49">
            <w:pPr>
              <w:keepNext/>
              <w:widowControl/>
              <w:rPr>
                <w:szCs w:val="22"/>
              </w:rPr>
            </w:pPr>
          </w:p>
          <w:p w14:paraId="51FF6247" w14:textId="77777777" w:rsidR="004F3612" w:rsidRPr="004F3612" w:rsidRDefault="004F3612" w:rsidP="004F3612">
            <w:pPr>
              <w:autoSpaceDE w:val="0"/>
              <w:autoSpaceDN w:val="0"/>
              <w:adjustRightInd w:val="0"/>
              <w:rPr>
                <w:szCs w:val="22"/>
              </w:rPr>
            </w:pPr>
            <w:r w:rsidRPr="004F3612">
              <w:rPr>
                <w:szCs w:val="22"/>
              </w:rPr>
              <w:t>Parent Company of Various Subsidiary Companies d/b/a Canadian Pacific</w:t>
            </w:r>
          </w:p>
          <w:p w14:paraId="51FF6248" w14:textId="77777777" w:rsidR="004F3612" w:rsidRPr="004F3612" w:rsidRDefault="004F3612" w:rsidP="004F3612">
            <w:pPr>
              <w:autoSpaceDE w:val="0"/>
              <w:autoSpaceDN w:val="0"/>
              <w:adjustRightInd w:val="0"/>
              <w:rPr>
                <w:szCs w:val="22"/>
              </w:rPr>
            </w:pPr>
          </w:p>
          <w:p w14:paraId="51FF6249" w14:textId="77777777" w:rsidR="001A7E49" w:rsidRPr="00D84548" w:rsidRDefault="004F3612" w:rsidP="004F3612">
            <w:pPr>
              <w:autoSpaceDE w:val="0"/>
              <w:autoSpaceDN w:val="0"/>
              <w:adjustRightInd w:val="0"/>
            </w:pPr>
            <w:r w:rsidRPr="004F3612">
              <w:rPr>
                <w:szCs w:val="22"/>
              </w:rPr>
              <w:t>Holding Various Authorizations in the Wireless Radio Services</w:t>
            </w:r>
          </w:p>
        </w:tc>
        <w:tc>
          <w:tcPr>
            <w:tcW w:w="630" w:type="dxa"/>
          </w:tcPr>
          <w:p w14:paraId="51FF624A" w14:textId="77777777" w:rsidR="001A7E49" w:rsidRDefault="001A7E49" w:rsidP="001A7E49">
            <w:pPr>
              <w:keepNext/>
              <w:widowControl/>
              <w:rPr>
                <w:szCs w:val="22"/>
              </w:rPr>
            </w:pPr>
            <w:r>
              <w:rPr>
                <w:szCs w:val="22"/>
              </w:rPr>
              <w:t>)</w:t>
            </w:r>
          </w:p>
          <w:p w14:paraId="51FF624B" w14:textId="77777777" w:rsidR="001A7E49" w:rsidRDefault="001A7E49" w:rsidP="001A7E49">
            <w:pPr>
              <w:keepNext/>
              <w:widowControl/>
              <w:rPr>
                <w:szCs w:val="22"/>
              </w:rPr>
            </w:pPr>
            <w:r>
              <w:rPr>
                <w:szCs w:val="22"/>
              </w:rPr>
              <w:t>)</w:t>
            </w:r>
          </w:p>
          <w:p w14:paraId="51FF624C" w14:textId="77777777" w:rsidR="001A7E49" w:rsidRDefault="001A7E49" w:rsidP="001A7E49">
            <w:pPr>
              <w:keepNext/>
              <w:widowControl/>
              <w:rPr>
                <w:szCs w:val="22"/>
              </w:rPr>
            </w:pPr>
            <w:r>
              <w:rPr>
                <w:szCs w:val="22"/>
              </w:rPr>
              <w:t>)</w:t>
            </w:r>
          </w:p>
          <w:p w14:paraId="51FF624D" w14:textId="77777777" w:rsidR="001A7E49" w:rsidRDefault="001A7E49" w:rsidP="001A7E49">
            <w:pPr>
              <w:keepNext/>
              <w:widowControl/>
              <w:rPr>
                <w:szCs w:val="22"/>
              </w:rPr>
            </w:pPr>
            <w:r>
              <w:rPr>
                <w:szCs w:val="22"/>
              </w:rPr>
              <w:t>)</w:t>
            </w:r>
          </w:p>
          <w:p w14:paraId="51FF624E" w14:textId="77777777" w:rsidR="001A7E49" w:rsidRDefault="001A7E49" w:rsidP="001A7E49">
            <w:pPr>
              <w:keepNext/>
              <w:widowControl/>
              <w:rPr>
                <w:szCs w:val="22"/>
              </w:rPr>
            </w:pPr>
            <w:r>
              <w:rPr>
                <w:szCs w:val="22"/>
              </w:rPr>
              <w:t>)</w:t>
            </w:r>
          </w:p>
          <w:p w14:paraId="51FF624F" w14:textId="77777777" w:rsidR="001A7E49" w:rsidRDefault="001A7E49" w:rsidP="001A7E49">
            <w:pPr>
              <w:keepNext/>
              <w:widowControl/>
              <w:rPr>
                <w:szCs w:val="22"/>
              </w:rPr>
            </w:pPr>
            <w:r>
              <w:rPr>
                <w:szCs w:val="22"/>
              </w:rPr>
              <w:t>)</w:t>
            </w:r>
          </w:p>
          <w:p w14:paraId="51FF6250" w14:textId="77777777" w:rsidR="001A7E49" w:rsidRPr="00D23E19" w:rsidRDefault="001A7E49" w:rsidP="001A7E49">
            <w:pPr>
              <w:tabs>
                <w:tab w:val="center" w:pos="4680"/>
              </w:tabs>
              <w:suppressAutoHyphens/>
              <w:rPr>
                <w:b/>
                <w:spacing w:val="-2"/>
              </w:rPr>
            </w:pPr>
            <w:r>
              <w:rPr>
                <w:szCs w:val="22"/>
              </w:rPr>
              <w:t>)</w:t>
            </w:r>
          </w:p>
        </w:tc>
        <w:tc>
          <w:tcPr>
            <w:tcW w:w="4248" w:type="dxa"/>
          </w:tcPr>
          <w:p w14:paraId="51FF6251" w14:textId="77777777" w:rsidR="001A7E49" w:rsidRPr="00C36AA6" w:rsidRDefault="001A7E49" w:rsidP="001A7E49">
            <w:pPr>
              <w:keepNext/>
              <w:widowControl/>
              <w:rPr>
                <w:szCs w:val="22"/>
              </w:rPr>
            </w:pPr>
          </w:p>
          <w:p w14:paraId="51FF6252" w14:textId="77777777" w:rsidR="001A7E49" w:rsidRPr="00C36AA6" w:rsidRDefault="001A7E49" w:rsidP="001A7E49">
            <w:pPr>
              <w:keepNext/>
              <w:widowControl/>
              <w:rPr>
                <w:szCs w:val="22"/>
              </w:rPr>
            </w:pPr>
          </w:p>
          <w:p w14:paraId="51FF6253" w14:textId="77777777" w:rsidR="001A7E49" w:rsidRPr="00C36AA6" w:rsidRDefault="001A7E49" w:rsidP="001A7E49">
            <w:pPr>
              <w:keepNext/>
              <w:widowControl/>
              <w:rPr>
                <w:szCs w:val="22"/>
              </w:rPr>
            </w:pPr>
            <w:r w:rsidRPr="00C36AA6">
              <w:rPr>
                <w:szCs w:val="22"/>
              </w:rPr>
              <w:t>File No.:  EB-IHD-15-00019370</w:t>
            </w:r>
          </w:p>
          <w:p w14:paraId="51FF6254" w14:textId="3877E49D" w:rsidR="001A7E49" w:rsidRPr="00C36AA6" w:rsidRDefault="001A7E49" w:rsidP="001A7E49">
            <w:pPr>
              <w:keepNext/>
              <w:widowControl/>
              <w:rPr>
                <w:szCs w:val="22"/>
              </w:rPr>
            </w:pPr>
            <w:r w:rsidRPr="00C36AA6">
              <w:rPr>
                <w:szCs w:val="22"/>
              </w:rPr>
              <w:t xml:space="preserve">Acct. No.:  </w:t>
            </w:r>
            <w:r w:rsidR="00721AFF">
              <w:rPr>
                <w:szCs w:val="22"/>
              </w:rPr>
              <w:t>201632080008</w:t>
            </w:r>
          </w:p>
          <w:p w14:paraId="51FF6255" w14:textId="6A8A3399" w:rsidR="001A7E49" w:rsidRPr="00D84548" w:rsidRDefault="001A7E49" w:rsidP="00E7184A">
            <w:pPr>
              <w:tabs>
                <w:tab w:val="center" w:pos="4680"/>
              </w:tabs>
              <w:suppressAutoHyphens/>
              <w:rPr>
                <w:snapToGrid/>
                <w:spacing w:val="-2"/>
              </w:rPr>
            </w:pPr>
            <w:r w:rsidRPr="00C36AA6">
              <w:rPr>
                <w:szCs w:val="22"/>
              </w:rPr>
              <w:t xml:space="preserve">FRN:  </w:t>
            </w:r>
            <w:r w:rsidR="00721AFF">
              <w:rPr>
                <w:szCs w:val="22"/>
              </w:rPr>
              <w:t>0021842406</w:t>
            </w:r>
          </w:p>
        </w:tc>
      </w:tr>
    </w:tbl>
    <w:p w14:paraId="51FF6257" w14:textId="77777777" w:rsidR="00F84BCA" w:rsidRPr="00D84548" w:rsidRDefault="00F84BCA" w:rsidP="00AA4B16">
      <w:pPr>
        <w:jc w:val="center"/>
        <w:outlineLvl w:val="0"/>
        <w:rPr>
          <w:b/>
          <w:szCs w:val="22"/>
        </w:rPr>
      </w:pPr>
      <w:r w:rsidRPr="00D84548">
        <w:rPr>
          <w:b/>
          <w:szCs w:val="22"/>
        </w:rPr>
        <w:t>ORDER</w:t>
      </w:r>
    </w:p>
    <w:p w14:paraId="51FF6258" w14:textId="77777777" w:rsidR="00F84BCA" w:rsidRPr="00D84548" w:rsidRDefault="00F84BCA" w:rsidP="00AA4B16">
      <w:pPr>
        <w:tabs>
          <w:tab w:val="left" w:pos="-720"/>
        </w:tabs>
        <w:suppressAutoHyphens/>
        <w:spacing w:line="227" w:lineRule="auto"/>
        <w:rPr>
          <w:spacing w:val="-2"/>
        </w:rPr>
      </w:pPr>
    </w:p>
    <w:p w14:paraId="51FF6259" w14:textId="40BDF087" w:rsidR="00F84BCA" w:rsidRPr="00D84548" w:rsidRDefault="00F84BCA" w:rsidP="00F84BCA">
      <w:pPr>
        <w:tabs>
          <w:tab w:val="left" w:pos="720"/>
          <w:tab w:val="right" w:pos="9360"/>
        </w:tabs>
        <w:suppressAutoHyphens/>
        <w:spacing w:line="227" w:lineRule="auto"/>
        <w:rPr>
          <w:spacing w:val="-2"/>
        </w:rPr>
      </w:pPr>
      <w:r w:rsidRPr="00D84548">
        <w:rPr>
          <w:b/>
          <w:spacing w:val="-2"/>
        </w:rPr>
        <w:t xml:space="preserve">Adopted:  </w:t>
      </w:r>
      <w:r w:rsidR="0003075B">
        <w:rPr>
          <w:b/>
          <w:spacing w:val="-2"/>
        </w:rPr>
        <w:t>August</w:t>
      </w:r>
      <w:r w:rsidR="001A7E49">
        <w:rPr>
          <w:b/>
          <w:spacing w:val="-2"/>
        </w:rPr>
        <w:t xml:space="preserve"> </w:t>
      </w:r>
      <w:r w:rsidR="00AC69AC">
        <w:rPr>
          <w:b/>
          <w:spacing w:val="-2"/>
        </w:rPr>
        <w:t>15</w:t>
      </w:r>
      <w:r w:rsidR="001A7E49">
        <w:rPr>
          <w:b/>
          <w:spacing w:val="-2"/>
        </w:rPr>
        <w:t>, 2016</w:t>
      </w:r>
      <w:r w:rsidR="00CF77B7" w:rsidRPr="00D84548">
        <w:rPr>
          <w:b/>
          <w:spacing w:val="-2"/>
        </w:rPr>
        <w:t>,</w:t>
      </w:r>
      <w:r w:rsidRPr="00D84548">
        <w:rPr>
          <w:b/>
          <w:spacing w:val="-2"/>
        </w:rPr>
        <w:tab/>
        <w:t xml:space="preserve">Released:  </w:t>
      </w:r>
      <w:r w:rsidR="0098386A">
        <w:rPr>
          <w:b/>
          <w:spacing w:val="-2"/>
        </w:rPr>
        <w:t>August</w:t>
      </w:r>
      <w:r w:rsidR="00CF77B7" w:rsidRPr="00D23E19">
        <w:rPr>
          <w:b/>
          <w:spacing w:val="-2"/>
        </w:rPr>
        <w:t xml:space="preserve">, </w:t>
      </w:r>
      <w:r w:rsidR="00AC69AC">
        <w:rPr>
          <w:b/>
          <w:spacing w:val="-2"/>
        </w:rPr>
        <w:t>15</w:t>
      </w:r>
      <w:r w:rsidR="00CF77B7" w:rsidRPr="00D84548">
        <w:rPr>
          <w:b/>
          <w:spacing w:val="-2"/>
        </w:rPr>
        <w:t xml:space="preserve">, </w:t>
      </w:r>
      <w:r w:rsidRPr="00D84548">
        <w:rPr>
          <w:b/>
          <w:spacing w:val="-2"/>
        </w:rPr>
        <w:t>20</w:t>
      </w:r>
      <w:r w:rsidR="00436629">
        <w:rPr>
          <w:b/>
          <w:spacing w:val="-2"/>
        </w:rPr>
        <w:t>16</w:t>
      </w:r>
    </w:p>
    <w:p w14:paraId="51FF625A" w14:textId="77777777" w:rsidR="00F84BCA" w:rsidRPr="00D84548" w:rsidRDefault="00F84BCA" w:rsidP="00F84BCA"/>
    <w:p w14:paraId="51FF625B" w14:textId="77777777" w:rsidR="00F84BCA" w:rsidRPr="00D84548" w:rsidRDefault="00D42D5D" w:rsidP="00F84BCA">
      <w:pPr>
        <w:rPr>
          <w:spacing w:val="-2"/>
        </w:rPr>
      </w:pPr>
      <w:r w:rsidRPr="00D84548">
        <w:rPr>
          <w:spacing w:val="-2"/>
          <w:szCs w:val="22"/>
        </w:rPr>
        <w:t xml:space="preserve">By the </w:t>
      </w:r>
      <w:r w:rsidR="00F84BCA" w:rsidRPr="00D84548">
        <w:rPr>
          <w:spacing w:val="-2"/>
          <w:szCs w:val="22"/>
        </w:rPr>
        <w:t>Chief</w:t>
      </w:r>
      <w:r w:rsidR="009F384F">
        <w:rPr>
          <w:spacing w:val="-2"/>
          <w:szCs w:val="22"/>
        </w:rPr>
        <w:t>,</w:t>
      </w:r>
      <w:r w:rsidR="00F84BCA" w:rsidRPr="00D84548">
        <w:rPr>
          <w:spacing w:val="-2"/>
          <w:szCs w:val="22"/>
        </w:rPr>
        <w:t xml:space="preserve"> Enforcement Bureau:</w:t>
      </w:r>
    </w:p>
    <w:p w14:paraId="51FF625C" w14:textId="77777777" w:rsidR="00F84BCA" w:rsidRPr="00D84548" w:rsidRDefault="00F84BCA" w:rsidP="00F84BCA"/>
    <w:p w14:paraId="51FF625D" w14:textId="048B9A82" w:rsidR="00F84BCA" w:rsidRPr="00D84548" w:rsidRDefault="00B277A4" w:rsidP="00AA4B16">
      <w:pPr>
        <w:pStyle w:val="ParaNum0"/>
        <w:numPr>
          <w:ilvl w:val="0"/>
          <w:numId w:val="46"/>
        </w:numPr>
        <w:tabs>
          <w:tab w:val="clear" w:pos="1080"/>
        </w:tabs>
        <w:rPr>
          <w:color w:val="000000"/>
          <w:szCs w:val="22"/>
        </w:rPr>
      </w:pPr>
      <w:r w:rsidRPr="00D84548">
        <w:rPr>
          <w:szCs w:val="22"/>
        </w:rPr>
        <w:t>T</w:t>
      </w:r>
      <w:r w:rsidR="00F84BCA" w:rsidRPr="00D84548">
        <w:rPr>
          <w:szCs w:val="22"/>
        </w:rPr>
        <w:t xml:space="preserve">he Enforcement Bureau (Bureau) </w:t>
      </w:r>
      <w:r w:rsidRPr="00D84548">
        <w:rPr>
          <w:szCs w:val="22"/>
        </w:rPr>
        <w:t xml:space="preserve">of the Federal Communications Commission </w:t>
      </w:r>
      <w:r w:rsidR="003B39BD">
        <w:rPr>
          <w:szCs w:val="22"/>
        </w:rPr>
        <w:t xml:space="preserve">(Commission) </w:t>
      </w:r>
      <w:r w:rsidRPr="00D84548">
        <w:rPr>
          <w:szCs w:val="22"/>
        </w:rPr>
        <w:t xml:space="preserve">has </w:t>
      </w:r>
      <w:r w:rsidR="003B39BD">
        <w:rPr>
          <w:szCs w:val="22"/>
        </w:rPr>
        <w:t xml:space="preserve">resolved its investigation into whether </w:t>
      </w:r>
      <w:r w:rsidR="00BC4AA7" w:rsidRPr="00BC4AA7">
        <w:rPr>
          <w:szCs w:val="22"/>
        </w:rPr>
        <w:t xml:space="preserve">Soo Line Corporation </w:t>
      </w:r>
      <w:r w:rsidR="00822D78">
        <w:rPr>
          <w:szCs w:val="22"/>
        </w:rPr>
        <w:t>(</w:t>
      </w:r>
      <w:r w:rsidR="00BC4AA7" w:rsidRPr="00BC4AA7">
        <w:rPr>
          <w:szCs w:val="22"/>
        </w:rPr>
        <w:t>CP</w:t>
      </w:r>
      <w:r w:rsidR="00822D78">
        <w:rPr>
          <w:szCs w:val="22"/>
        </w:rPr>
        <w:t>)</w:t>
      </w:r>
      <w:r w:rsidR="003B39BD">
        <w:rPr>
          <w:szCs w:val="22"/>
        </w:rPr>
        <w:t xml:space="preserve"> acquired wireless radio licenses without Commission approval </w:t>
      </w:r>
      <w:r w:rsidR="00E3116C">
        <w:rPr>
          <w:szCs w:val="22"/>
        </w:rPr>
        <w:t>and constructed, operated</w:t>
      </w:r>
      <w:r w:rsidR="00976208">
        <w:rPr>
          <w:szCs w:val="22"/>
        </w:rPr>
        <w:t>,</w:t>
      </w:r>
      <w:r w:rsidR="00E3116C">
        <w:rPr>
          <w:szCs w:val="22"/>
        </w:rPr>
        <w:t xml:space="preserve"> modified, </w:t>
      </w:r>
      <w:r w:rsidR="00976208">
        <w:rPr>
          <w:szCs w:val="22"/>
        </w:rPr>
        <w:t xml:space="preserve">and </w:t>
      </w:r>
      <w:r w:rsidR="00E3116C">
        <w:rPr>
          <w:szCs w:val="22"/>
        </w:rPr>
        <w:t xml:space="preserve">relocated </w:t>
      </w:r>
      <w:r w:rsidR="00E3116C">
        <w:rPr>
          <w:snapToGrid/>
          <w:kern w:val="0"/>
          <w:szCs w:val="22"/>
        </w:rPr>
        <w:t xml:space="preserve">wireless radio stations absent any Commission authorization.  We take this action </w:t>
      </w:r>
      <w:r w:rsidR="008E0F0D">
        <w:rPr>
          <w:snapToGrid/>
          <w:kern w:val="0"/>
          <w:szCs w:val="22"/>
        </w:rPr>
        <w:t>as part of our obligation to prevent unlicensed radio operations from</w:t>
      </w:r>
      <w:r w:rsidR="008F5313">
        <w:rPr>
          <w:snapToGrid/>
          <w:kern w:val="0"/>
          <w:szCs w:val="22"/>
        </w:rPr>
        <w:t xml:space="preserve"> potentially</w:t>
      </w:r>
      <w:r w:rsidR="00D76295">
        <w:rPr>
          <w:snapToGrid/>
          <w:kern w:val="0"/>
          <w:szCs w:val="22"/>
        </w:rPr>
        <w:t xml:space="preserve"> interfering with licensed </w:t>
      </w:r>
      <w:r w:rsidR="008F5313">
        <w:rPr>
          <w:snapToGrid/>
          <w:kern w:val="0"/>
          <w:szCs w:val="22"/>
        </w:rPr>
        <w:t>radio communications</w:t>
      </w:r>
      <w:r w:rsidR="00252304">
        <w:rPr>
          <w:snapToGrid/>
          <w:kern w:val="0"/>
          <w:szCs w:val="22"/>
        </w:rPr>
        <w:t xml:space="preserve"> in the United States</w:t>
      </w:r>
      <w:r w:rsidR="00465871">
        <w:rPr>
          <w:snapToGrid/>
          <w:kern w:val="0"/>
          <w:szCs w:val="22"/>
        </w:rPr>
        <w:t xml:space="preserve">, </w:t>
      </w:r>
      <w:r w:rsidR="00E008FB">
        <w:rPr>
          <w:snapToGrid/>
          <w:kern w:val="0"/>
          <w:szCs w:val="22"/>
        </w:rPr>
        <w:t>facilitate the efficient administration of wireless radio authorizations</w:t>
      </w:r>
      <w:r w:rsidR="00644BAF">
        <w:rPr>
          <w:snapToGrid/>
          <w:kern w:val="0"/>
          <w:szCs w:val="22"/>
        </w:rPr>
        <w:t>,</w:t>
      </w:r>
      <w:r w:rsidR="008F5313">
        <w:rPr>
          <w:snapToGrid/>
          <w:kern w:val="0"/>
          <w:szCs w:val="22"/>
        </w:rPr>
        <w:t xml:space="preserve"> </w:t>
      </w:r>
      <w:r w:rsidR="00E008FB">
        <w:t xml:space="preserve">and stop the unauthorized transfer of radio authorizations to a potentially </w:t>
      </w:r>
      <w:r w:rsidR="00924F2B">
        <w:t>unqualified</w:t>
      </w:r>
      <w:r w:rsidR="00924F2B">
        <w:rPr>
          <w:snapToGrid/>
          <w:kern w:val="0"/>
          <w:szCs w:val="22"/>
        </w:rPr>
        <w:t xml:space="preserve"> </w:t>
      </w:r>
      <w:r w:rsidR="00924F2B">
        <w:t>party or in a manner that might otherwise be inconsistent with the public interest</w:t>
      </w:r>
      <w:r w:rsidR="00924F2B">
        <w:rPr>
          <w:snapToGrid/>
          <w:kern w:val="0"/>
          <w:szCs w:val="22"/>
        </w:rPr>
        <w:t xml:space="preserve">.  For </w:t>
      </w:r>
      <w:r w:rsidR="00B801B7">
        <w:rPr>
          <w:snapToGrid/>
          <w:kern w:val="0"/>
          <w:szCs w:val="22"/>
        </w:rPr>
        <w:t>a number of</w:t>
      </w:r>
      <w:r w:rsidR="00924F2B">
        <w:rPr>
          <w:snapToGrid/>
          <w:kern w:val="0"/>
          <w:szCs w:val="22"/>
        </w:rPr>
        <w:t xml:space="preserve"> years CP has operated more than a hundred </w:t>
      </w:r>
      <w:r w:rsidR="00924F2B">
        <w:t>unauthorized radio facilities to monitor and support its railroad operations</w:t>
      </w:r>
      <w:r w:rsidR="00924F2B">
        <w:rPr>
          <w:snapToGrid/>
          <w:kern w:val="0"/>
          <w:szCs w:val="22"/>
        </w:rPr>
        <w:t xml:space="preserve">.  </w:t>
      </w:r>
      <w:r w:rsidR="00D76295">
        <w:t>Some of these unauthorized ope</w:t>
      </w:r>
      <w:r w:rsidR="00252304">
        <w:t xml:space="preserve">rations date </w:t>
      </w:r>
      <w:r w:rsidR="00CD4491">
        <w:t xml:space="preserve">back </w:t>
      </w:r>
      <w:r w:rsidR="00616559">
        <w:t>a substantial period of time</w:t>
      </w:r>
      <w:r w:rsidR="00D76295">
        <w:t xml:space="preserve">, </w:t>
      </w:r>
      <w:r w:rsidR="00822D78">
        <w:t>and continued unabated until 2015</w:t>
      </w:r>
      <w:r w:rsidR="00B9371C">
        <w:t xml:space="preserve">.  In addition, CP failed to obtain Commission consent before acquiring ownership and control of </w:t>
      </w:r>
      <w:r w:rsidR="00401F82">
        <w:t xml:space="preserve">more than thirty radio authorizations.  </w:t>
      </w:r>
      <w:r w:rsidR="00184A96" w:rsidRPr="00184A96">
        <w:t>CP acknowledges that the scope and duration of its violations are substantial</w:t>
      </w:r>
      <w:r w:rsidR="00843706">
        <w:t xml:space="preserve">.  </w:t>
      </w:r>
      <w:r w:rsidR="00694BC4">
        <w:t xml:space="preserve">To resolve the Bureau's investigation, the Company will pay a civil penalty of $1,210,000, </w:t>
      </w:r>
      <w:r w:rsidR="00252304">
        <w:t>maintain internal compliance procedures the Company instituted prior to the investigation</w:t>
      </w:r>
      <w:r w:rsidR="0098386A">
        <w:t>,</w:t>
      </w:r>
      <w:r w:rsidR="00252304">
        <w:t xml:space="preserve"> </w:t>
      </w:r>
      <w:r w:rsidR="00694BC4">
        <w:t xml:space="preserve">and implement a three-year compliance plan with additional compliance reporting obligations.  </w:t>
      </w:r>
    </w:p>
    <w:p w14:paraId="51FF625E" w14:textId="77777777" w:rsidR="00B277A4" w:rsidRPr="00D84548" w:rsidRDefault="00F84BCA" w:rsidP="00AA4B16">
      <w:pPr>
        <w:pStyle w:val="ParaNum0"/>
        <w:numPr>
          <w:ilvl w:val="0"/>
          <w:numId w:val="46"/>
        </w:numPr>
        <w:tabs>
          <w:tab w:val="clear" w:pos="1080"/>
          <w:tab w:val="left" w:pos="1440"/>
        </w:tabs>
        <w:rPr>
          <w:szCs w:val="22"/>
        </w:rPr>
      </w:pPr>
      <w:r w:rsidRPr="00D84548">
        <w:rPr>
          <w:szCs w:val="22"/>
        </w:rPr>
        <w:t>After reviewing the terms of the Consent Decree and evaluating the facts before us, we find that the public interest would be served by adopting the Consent Decree and terminating the referenced investigation</w:t>
      </w:r>
      <w:r w:rsidR="00B277A4" w:rsidRPr="00D84548">
        <w:rPr>
          <w:szCs w:val="22"/>
        </w:rPr>
        <w:t xml:space="preserve"> regarding </w:t>
      </w:r>
      <w:r w:rsidR="00731EF0">
        <w:rPr>
          <w:szCs w:val="22"/>
        </w:rPr>
        <w:t>CP’s</w:t>
      </w:r>
      <w:r w:rsidR="00B277A4" w:rsidRPr="00D84548">
        <w:rPr>
          <w:szCs w:val="22"/>
        </w:rPr>
        <w:t xml:space="preserve"> compliance with </w:t>
      </w:r>
      <w:r w:rsidR="00F83785" w:rsidRPr="00F83785">
        <w:rPr>
          <w:szCs w:val="22"/>
        </w:rPr>
        <w:t>Section 310(d) of the Communications Act of 1934, as amended,</w:t>
      </w:r>
      <w:r w:rsidR="00F83785" w:rsidRPr="00F83785">
        <w:rPr>
          <w:szCs w:val="22"/>
          <w:vertAlign w:val="superscript"/>
        </w:rPr>
        <w:footnoteReference w:id="2"/>
      </w:r>
      <w:r w:rsidR="00F83785" w:rsidRPr="00F83785">
        <w:rPr>
          <w:szCs w:val="22"/>
        </w:rPr>
        <w:t xml:space="preserve"> and Section 1.948 of the Commission’s rules,</w:t>
      </w:r>
      <w:r w:rsidR="00F83785" w:rsidRPr="00F83785">
        <w:rPr>
          <w:szCs w:val="22"/>
          <w:vertAlign w:val="superscript"/>
        </w:rPr>
        <w:footnoteReference w:id="3"/>
      </w:r>
      <w:r w:rsidR="00F83785" w:rsidRPr="00F83785">
        <w:rPr>
          <w:szCs w:val="22"/>
        </w:rPr>
        <w:t xml:space="preserve"> pertaining to unauthorized transfers of control and assignments of licenses; and Section 301 of the Act</w:t>
      </w:r>
      <w:r w:rsidR="00F83785" w:rsidRPr="00F83785">
        <w:rPr>
          <w:szCs w:val="22"/>
          <w:vertAlign w:val="superscript"/>
        </w:rPr>
        <w:footnoteReference w:id="4"/>
      </w:r>
      <w:r w:rsidR="00F83785" w:rsidRPr="00F83785">
        <w:rPr>
          <w:szCs w:val="22"/>
        </w:rPr>
        <w:t xml:space="preserve"> and Section 1.903 of the Rules,</w:t>
      </w:r>
      <w:r w:rsidR="00F83785" w:rsidRPr="00F83785">
        <w:rPr>
          <w:szCs w:val="22"/>
          <w:vertAlign w:val="superscript"/>
        </w:rPr>
        <w:footnoteReference w:id="5"/>
      </w:r>
      <w:r w:rsidR="00F83785" w:rsidRPr="00F83785">
        <w:rPr>
          <w:szCs w:val="22"/>
        </w:rPr>
        <w:t xml:space="preserve"> pertaining to unauthorized operation of</w:t>
      </w:r>
      <w:r w:rsidR="00B801B7">
        <w:rPr>
          <w:szCs w:val="22"/>
        </w:rPr>
        <w:t xml:space="preserve"> stations and station equipment</w:t>
      </w:r>
      <w:r w:rsidR="00F83785" w:rsidRPr="00F83785">
        <w:rPr>
          <w:szCs w:val="22"/>
        </w:rPr>
        <w:t>.</w:t>
      </w:r>
    </w:p>
    <w:p w14:paraId="51FF625F" w14:textId="4780778F" w:rsidR="00F84BCA" w:rsidRPr="00D84548" w:rsidRDefault="00357044" w:rsidP="00AA4B16">
      <w:pPr>
        <w:pStyle w:val="ParaNum0"/>
        <w:numPr>
          <w:ilvl w:val="0"/>
          <w:numId w:val="46"/>
        </w:numPr>
        <w:tabs>
          <w:tab w:val="clear" w:pos="1080"/>
          <w:tab w:val="left" w:pos="1440"/>
        </w:tabs>
        <w:rPr>
          <w:szCs w:val="22"/>
        </w:rPr>
      </w:pPr>
      <w:r>
        <w:rPr>
          <w:szCs w:val="22"/>
        </w:rPr>
        <w:t xml:space="preserve">In the absence of material new evidence relating to this matter, we do not set for hearing the question of </w:t>
      </w:r>
      <w:r w:rsidR="00F83785">
        <w:rPr>
          <w:szCs w:val="22"/>
        </w:rPr>
        <w:t>CP</w:t>
      </w:r>
      <w:r>
        <w:rPr>
          <w:szCs w:val="22"/>
        </w:rPr>
        <w:t>’s basic qualifications to hold or obtain an</w:t>
      </w:r>
      <w:r w:rsidR="00F74D07">
        <w:rPr>
          <w:szCs w:val="22"/>
        </w:rPr>
        <w:t>y</w:t>
      </w:r>
      <w:r>
        <w:rPr>
          <w:szCs w:val="22"/>
        </w:rPr>
        <w:t xml:space="preserve"> Commission license or authorization.</w:t>
      </w:r>
      <w:r>
        <w:rPr>
          <w:rStyle w:val="FootnoteReference"/>
          <w:szCs w:val="22"/>
        </w:rPr>
        <w:footnoteReference w:id="6"/>
      </w:r>
    </w:p>
    <w:p w14:paraId="51FF6260" w14:textId="77777777" w:rsidR="00F84BCA" w:rsidRPr="00D84548" w:rsidRDefault="00F84BCA" w:rsidP="00AA4B16">
      <w:pPr>
        <w:pStyle w:val="ParaNum0"/>
        <w:numPr>
          <w:ilvl w:val="0"/>
          <w:numId w:val="46"/>
        </w:numPr>
        <w:tabs>
          <w:tab w:val="clear" w:pos="1080"/>
          <w:tab w:val="left" w:pos="1440"/>
        </w:tabs>
        <w:rPr>
          <w:szCs w:val="22"/>
        </w:rPr>
      </w:pPr>
      <w:r w:rsidRPr="00D84548">
        <w:rPr>
          <w:szCs w:val="22"/>
        </w:rPr>
        <w:lastRenderedPageBreak/>
        <w:t xml:space="preserve">Accordingly, </w:t>
      </w:r>
      <w:r w:rsidRPr="00D84548">
        <w:rPr>
          <w:b/>
          <w:szCs w:val="22"/>
        </w:rPr>
        <w:t xml:space="preserve">IT IS ORDERED </w:t>
      </w:r>
      <w:r w:rsidRPr="00D84548">
        <w:rPr>
          <w:szCs w:val="22"/>
        </w:rPr>
        <w:t>that, pursuant to Section</w:t>
      </w:r>
      <w:r w:rsidR="00B75912" w:rsidRPr="00D84548">
        <w:rPr>
          <w:szCs w:val="22"/>
        </w:rPr>
        <w:t xml:space="preserve"> 4(i</w:t>
      </w:r>
      <w:r w:rsidR="00DA798A">
        <w:rPr>
          <w:szCs w:val="22"/>
        </w:rPr>
        <w:t xml:space="preserve">) </w:t>
      </w:r>
      <w:r w:rsidR="009632A6" w:rsidRPr="00D84548">
        <w:rPr>
          <w:szCs w:val="22"/>
        </w:rPr>
        <w:t>of the Act</w:t>
      </w:r>
      <w:r w:rsidR="009632A6" w:rsidRPr="00D84548">
        <w:rPr>
          <w:rStyle w:val="FootnoteReference"/>
          <w:szCs w:val="22"/>
        </w:rPr>
        <w:footnoteReference w:id="7"/>
      </w:r>
      <w:r w:rsidRPr="00D84548">
        <w:rPr>
          <w:szCs w:val="22"/>
        </w:rPr>
        <w:t xml:space="preserve"> and the authority delegated by Sections 0.1</w:t>
      </w:r>
      <w:r w:rsidR="0051080A" w:rsidRPr="00D84548">
        <w:rPr>
          <w:szCs w:val="22"/>
        </w:rPr>
        <w:t>11 and 0.311 of the R</w:t>
      </w:r>
      <w:r w:rsidR="009632A6" w:rsidRPr="00D84548">
        <w:rPr>
          <w:szCs w:val="22"/>
        </w:rPr>
        <w:t>ules,</w:t>
      </w:r>
      <w:r w:rsidR="009632A6" w:rsidRPr="00D84548">
        <w:rPr>
          <w:rStyle w:val="FootnoteReference"/>
          <w:szCs w:val="22"/>
        </w:rPr>
        <w:footnoteReference w:id="8"/>
      </w:r>
      <w:r w:rsidRPr="00D84548">
        <w:rPr>
          <w:szCs w:val="22"/>
        </w:rPr>
        <w:t xml:space="preserve"> the attached Consent Decree </w:t>
      </w:r>
      <w:r w:rsidRPr="00D84548">
        <w:rPr>
          <w:b/>
          <w:szCs w:val="22"/>
        </w:rPr>
        <w:t>IS ADOPTED</w:t>
      </w:r>
      <w:r w:rsidR="00B87679" w:rsidRPr="00D84548">
        <w:rPr>
          <w:b/>
          <w:szCs w:val="22"/>
        </w:rPr>
        <w:t xml:space="preserve"> </w:t>
      </w:r>
      <w:r w:rsidR="00B87679" w:rsidRPr="00D84548">
        <w:rPr>
          <w:szCs w:val="22"/>
        </w:rPr>
        <w:t xml:space="preserve">and </w:t>
      </w:r>
      <w:r w:rsidR="00433E5E" w:rsidRPr="00D84548">
        <w:rPr>
          <w:szCs w:val="22"/>
        </w:rPr>
        <w:t>its terms incorporated by</w:t>
      </w:r>
      <w:r w:rsidR="00B87679" w:rsidRPr="00D84548">
        <w:rPr>
          <w:szCs w:val="22"/>
        </w:rPr>
        <w:t xml:space="preserve"> reference</w:t>
      </w:r>
      <w:r w:rsidRPr="00D84548">
        <w:rPr>
          <w:szCs w:val="22"/>
        </w:rPr>
        <w:t>.</w:t>
      </w:r>
    </w:p>
    <w:p w14:paraId="62EB9DC5" w14:textId="77777777" w:rsidR="006F2040" w:rsidRPr="006F2040" w:rsidRDefault="00F84BCA" w:rsidP="00AA4B16">
      <w:pPr>
        <w:pStyle w:val="ParaNum0"/>
        <w:numPr>
          <w:ilvl w:val="0"/>
          <w:numId w:val="46"/>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00782791" w:rsidRPr="00D84548">
        <w:rPr>
          <w:b/>
        </w:rPr>
        <w:t xml:space="preserve"> </w:t>
      </w:r>
      <w:r w:rsidR="00DF465C">
        <w:t>in accordance with the terms of the attached Consent Decree</w:t>
      </w:r>
    </w:p>
    <w:p w14:paraId="51FF6261" w14:textId="52B61A9B" w:rsidR="00F84BCA" w:rsidRPr="00D84548" w:rsidRDefault="006F2040" w:rsidP="00AA4B16">
      <w:pPr>
        <w:pStyle w:val="ParaNum0"/>
        <w:numPr>
          <w:ilvl w:val="0"/>
          <w:numId w:val="46"/>
        </w:numPr>
        <w:tabs>
          <w:tab w:val="clear" w:pos="1080"/>
          <w:tab w:val="left" w:pos="1440"/>
        </w:tabs>
        <w:rPr>
          <w:b/>
        </w:rPr>
      </w:pPr>
      <w:r w:rsidRPr="00D84548">
        <w:rPr>
          <w:b/>
        </w:rPr>
        <w:t>IT IS FURTHER ORDERED</w:t>
      </w:r>
      <w:r w:rsidRPr="00D84548">
        <w:t xml:space="preserve"> that a copy of this Order and Consent Decree </w:t>
      </w:r>
      <w:r w:rsidRPr="00981F23">
        <w:rPr>
          <w:color w:val="000000" w:themeColor="text1"/>
          <w:szCs w:val="22"/>
        </w:rPr>
        <w:t xml:space="preserve">shall be sent by first class mail and certified mail, return receipt requested, to </w:t>
      </w:r>
      <w:r>
        <w:rPr>
          <w:color w:val="000000" w:themeColor="text1"/>
          <w:szCs w:val="22"/>
        </w:rPr>
        <w:t xml:space="preserve">William M. Tuttle, </w:t>
      </w:r>
      <w:r w:rsidRPr="00166C77">
        <w:rPr>
          <w:color w:val="000000" w:themeColor="text1"/>
          <w:szCs w:val="22"/>
        </w:rPr>
        <w:t>Vice President Corporate</w:t>
      </w:r>
      <w:r w:rsidRPr="00981F23">
        <w:rPr>
          <w:color w:val="000000" w:themeColor="text1"/>
          <w:szCs w:val="22"/>
        </w:rPr>
        <w:t xml:space="preserve">, </w:t>
      </w:r>
      <w:r>
        <w:rPr>
          <w:color w:val="000000" w:themeColor="text1"/>
          <w:szCs w:val="22"/>
        </w:rPr>
        <w:t>Canadian Pacific</w:t>
      </w:r>
      <w:r w:rsidRPr="00981F23">
        <w:rPr>
          <w:color w:val="000000" w:themeColor="text1"/>
          <w:szCs w:val="22"/>
        </w:rPr>
        <w:t xml:space="preserve">, </w:t>
      </w:r>
      <w:r w:rsidRPr="00FE7D3A">
        <w:rPr>
          <w:bCs/>
        </w:rPr>
        <w:t>7550 Ogden Dale Road S.E.</w:t>
      </w:r>
      <w:r>
        <w:rPr>
          <w:b/>
          <w:bCs/>
        </w:rPr>
        <w:t xml:space="preserve">, </w:t>
      </w:r>
      <w:r w:rsidRPr="00FE7D3A">
        <w:rPr>
          <w:bCs/>
        </w:rPr>
        <w:t>Calgary, AB T2C 4X9</w:t>
      </w:r>
      <w:r w:rsidRPr="00FE7D3A">
        <w:rPr>
          <w:bCs/>
        </w:rPr>
        <w:br/>
        <w:t>Canada</w:t>
      </w:r>
      <w:r>
        <w:rPr>
          <w:color w:val="000000" w:themeColor="text1"/>
          <w:szCs w:val="22"/>
        </w:rPr>
        <w:t>,</w:t>
      </w:r>
      <w:r w:rsidRPr="00981F23">
        <w:rPr>
          <w:color w:val="000000" w:themeColor="text1"/>
          <w:szCs w:val="22"/>
        </w:rPr>
        <w:t xml:space="preserve"> and to </w:t>
      </w:r>
      <w:r>
        <w:rPr>
          <w:color w:val="000000" w:themeColor="text1"/>
          <w:szCs w:val="22"/>
        </w:rPr>
        <w:t>T.J. Litwiler</w:t>
      </w:r>
      <w:r w:rsidRPr="00981F23">
        <w:rPr>
          <w:color w:val="000000" w:themeColor="text1"/>
          <w:szCs w:val="22"/>
        </w:rPr>
        <w:t xml:space="preserve">, Esq., </w:t>
      </w:r>
      <w:r>
        <w:rPr>
          <w:color w:val="000000" w:themeColor="text1"/>
          <w:szCs w:val="22"/>
        </w:rPr>
        <w:t>Fletcher &amp; Sippel, LLC, 29 North Wacker Drive, Chicago, Illinois  60606-2832</w:t>
      </w:r>
      <w:r w:rsidR="00F84BCA" w:rsidRPr="00D84548">
        <w:t>.</w:t>
      </w:r>
    </w:p>
    <w:p w14:paraId="51FF6263" w14:textId="77777777" w:rsidR="00F84BCA" w:rsidRDefault="00F84BCA" w:rsidP="00F84BCA">
      <w:pPr>
        <w:pStyle w:val="ParaNum0"/>
        <w:numPr>
          <w:ilvl w:val="0"/>
          <w:numId w:val="0"/>
        </w:numPr>
        <w:tabs>
          <w:tab w:val="left" w:pos="1440"/>
        </w:tabs>
        <w:spacing w:after="240"/>
        <w:ind w:left="720"/>
        <w:rPr>
          <w:b/>
        </w:rPr>
      </w:pPr>
    </w:p>
    <w:p w14:paraId="51FF6264" w14:textId="77777777" w:rsidR="00F84BCA" w:rsidRPr="00EF505E" w:rsidRDefault="00F84BCA" w:rsidP="00F84BCA">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51FF6265" w14:textId="77777777" w:rsidR="00F84BCA" w:rsidRPr="00EF505E" w:rsidRDefault="00F84BCA" w:rsidP="00F84BCA">
      <w:pPr>
        <w:rPr>
          <w:szCs w:val="22"/>
          <w:lang w:val="fr-FR"/>
        </w:rPr>
      </w:pPr>
    </w:p>
    <w:p w14:paraId="51FF6266" w14:textId="77777777" w:rsidR="00F84BCA" w:rsidRPr="00EF505E" w:rsidRDefault="00F84BCA" w:rsidP="00F84BCA">
      <w:pPr>
        <w:rPr>
          <w:szCs w:val="22"/>
          <w:lang w:val="fr-FR"/>
        </w:rPr>
      </w:pPr>
    </w:p>
    <w:p w14:paraId="51FF6267" w14:textId="77777777" w:rsidR="00F84BCA" w:rsidRPr="00EF505E" w:rsidRDefault="00F84BCA" w:rsidP="00F84BCA">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51FF6268" w14:textId="77777777" w:rsidR="00F84BCA" w:rsidRPr="00EF505E" w:rsidRDefault="00F84BCA" w:rsidP="00F84BCA">
      <w:pPr>
        <w:outlineLvl w:val="0"/>
        <w:rPr>
          <w:szCs w:val="22"/>
          <w:lang w:val="fr-FR"/>
        </w:rPr>
      </w:pPr>
    </w:p>
    <w:p w14:paraId="51FF6269" w14:textId="69DBDCBD" w:rsidR="00F84BCA" w:rsidRPr="00D22774" w:rsidRDefault="00F84BCA" w:rsidP="00F84BCA">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sidRPr="00D22774">
        <w:rPr>
          <w:szCs w:val="22"/>
          <w:lang w:val="fr-FR"/>
        </w:rPr>
        <w:t>Travis LeBlanc</w:t>
      </w:r>
      <w:r w:rsidR="00D84548" w:rsidRPr="00D22774">
        <w:rPr>
          <w:szCs w:val="22"/>
          <w:lang w:val="fr-FR"/>
        </w:rPr>
        <w:t xml:space="preserve"> </w:t>
      </w:r>
    </w:p>
    <w:p w14:paraId="51FF626A" w14:textId="5A29C9B6" w:rsidR="00D84548" w:rsidRDefault="006811F1" w:rsidP="00F84BCA">
      <w:pPr>
        <w:outlineLvl w:val="0"/>
        <w:rPr>
          <w:szCs w:val="22"/>
        </w:rPr>
      </w:pPr>
      <w:r w:rsidRPr="00D22774">
        <w:rPr>
          <w:szCs w:val="22"/>
          <w:lang w:val="fr-FR"/>
        </w:rPr>
        <w:tab/>
      </w:r>
      <w:r w:rsidRPr="00D22774">
        <w:rPr>
          <w:szCs w:val="22"/>
          <w:lang w:val="fr-FR"/>
        </w:rPr>
        <w:tab/>
      </w:r>
      <w:r w:rsidRPr="00D22774">
        <w:rPr>
          <w:szCs w:val="22"/>
          <w:lang w:val="fr-FR"/>
        </w:rPr>
        <w:tab/>
      </w:r>
      <w:r w:rsidRPr="00D22774">
        <w:rPr>
          <w:szCs w:val="22"/>
          <w:lang w:val="fr-FR"/>
        </w:rPr>
        <w:tab/>
      </w:r>
      <w:r w:rsidRPr="00D22774">
        <w:rPr>
          <w:szCs w:val="22"/>
          <w:lang w:val="fr-FR"/>
        </w:rPr>
        <w:tab/>
      </w:r>
      <w:r w:rsidR="00F84BCA" w:rsidRPr="00D22774">
        <w:rPr>
          <w:szCs w:val="22"/>
        </w:rPr>
        <w:t>Chief</w:t>
      </w:r>
      <w:r w:rsidR="00EF1C44" w:rsidRPr="00D22774">
        <w:rPr>
          <w:szCs w:val="22"/>
        </w:rPr>
        <w:t xml:space="preserve"> </w:t>
      </w:r>
    </w:p>
    <w:p w14:paraId="51FF626B" w14:textId="77777777" w:rsidR="00F84BCA" w:rsidRDefault="00F84BCA" w:rsidP="00D23E19">
      <w:pPr>
        <w:ind w:left="2880" w:firstLine="720"/>
        <w:outlineLvl w:val="0"/>
        <w:rPr>
          <w:szCs w:val="22"/>
        </w:rPr>
      </w:pPr>
      <w:r>
        <w:rPr>
          <w:szCs w:val="22"/>
        </w:rPr>
        <w:t>Enforcement Bureau</w:t>
      </w:r>
    </w:p>
    <w:p w14:paraId="47E23EC6" w14:textId="77777777" w:rsidR="00D22774" w:rsidRDefault="00D22774" w:rsidP="00CF77B7">
      <w:pPr>
        <w:rPr>
          <w:szCs w:val="22"/>
        </w:rPr>
        <w:sectPr w:rsidR="00D22774" w:rsidSect="00AA4B1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95" w:right="1440" w:bottom="720" w:left="1440" w:header="720" w:footer="720" w:gutter="0"/>
          <w:pgNumType w:start="1"/>
          <w:cols w:space="720"/>
          <w:noEndnote/>
          <w:docGrid w:linePitch="299"/>
        </w:sectPr>
      </w:pPr>
    </w:p>
    <w:p w14:paraId="66160B57" w14:textId="77777777" w:rsidR="00D22774" w:rsidRDefault="00D22774" w:rsidP="00D22774">
      <w:pPr>
        <w:widowControl/>
        <w:jc w:val="center"/>
        <w:rPr>
          <w:b/>
        </w:rPr>
      </w:pPr>
      <w:r>
        <w:rPr>
          <w:b/>
        </w:rPr>
        <w:lastRenderedPageBreak/>
        <w:t>Before the</w:t>
      </w:r>
    </w:p>
    <w:p w14:paraId="76BDE5AA" w14:textId="77777777" w:rsidR="00D22774" w:rsidRDefault="00D22774" w:rsidP="00D22774">
      <w:pPr>
        <w:widowControl/>
        <w:jc w:val="center"/>
        <w:rPr>
          <w:b/>
        </w:rPr>
      </w:pPr>
      <w:r>
        <w:rPr>
          <w:b/>
        </w:rPr>
        <w:t>Federal Communications Commission</w:t>
      </w:r>
    </w:p>
    <w:p w14:paraId="6E209B86" w14:textId="77777777" w:rsidR="00D22774" w:rsidRDefault="00D22774" w:rsidP="00D22774">
      <w:pPr>
        <w:widowControl/>
        <w:jc w:val="center"/>
        <w:rPr>
          <w:b/>
        </w:rPr>
      </w:pPr>
      <w:r>
        <w:rPr>
          <w:b/>
        </w:rPr>
        <w:t>Washington, DC 20554</w:t>
      </w:r>
    </w:p>
    <w:p w14:paraId="73FB4BC1" w14:textId="77777777" w:rsidR="00D22774" w:rsidRDefault="00D22774" w:rsidP="00D22774">
      <w:pPr>
        <w:widowControl/>
        <w:rPr>
          <w:szCs w:val="22"/>
        </w:rPr>
      </w:pPr>
    </w:p>
    <w:tbl>
      <w:tblPr>
        <w:tblW w:w="13146" w:type="dxa"/>
        <w:tblLook w:val="0000" w:firstRow="0" w:lastRow="0" w:firstColumn="0" w:lastColumn="0" w:noHBand="0" w:noVBand="0"/>
      </w:tblPr>
      <w:tblGrid>
        <w:gridCol w:w="4698"/>
        <w:gridCol w:w="720"/>
        <w:gridCol w:w="3768"/>
        <w:gridCol w:w="192"/>
        <w:gridCol w:w="3576"/>
        <w:gridCol w:w="192"/>
      </w:tblGrid>
      <w:tr w:rsidR="00D22774" w:rsidRPr="00C36AA6" w14:paraId="6B1EB7AE" w14:textId="77777777" w:rsidTr="00C502A8">
        <w:trPr>
          <w:trHeight w:val="1856"/>
        </w:trPr>
        <w:tc>
          <w:tcPr>
            <w:tcW w:w="4698" w:type="dxa"/>
          </w:tcPr>
          <w:p w14:paraId="0A96107F" w14:textId="77777777" w:rsidR="00D22774" w:rsidRDefault="00D22774" w:rsidP="00C502A8">
            <w:pPr>
              <w:keepNext/>
              <w:widowControl/>
              <w:rPr>
                <w:szCs w:val="22"/>
              </w:rPr>
            </w:pPr>
            <w:r>
              <w:rPr>
                <w:szCs w:val="22"/>
              </w:rPr>
              <w:t>In the Matter of</w:t>
            </w:r>
          </w:p>
          <w:p w14:paraId="3A038279" w14:textId="77777777" w:rsidR="00D22774" w:rsidRPr="00C36AA6" w:rsidRDefault="00D22774" w:rsidP="00C502A8">
            <w:pPr>
              <w:keepNext/>
              <w:widowControl/>
              <w:rPr>
                <w:szCs w:val="22"/>
              </w:rPr>
            </w:pPr>
          </w:p>
          <w:p w14:paraId="33B1277C" w14:textId="77777777" w:rsidR="00D22774" w:rsidRPr="00C36AA6" w:rsidRDefault="00D22774" w:rsidP="00C502A8">
            <w:pPr>
              <w:keepNext/>
              <w:widowControl/>
              <w:rPr>
                <w:szCs w:val="22"/>
              </w:rPr>
            </w:pPr>
            <w:r>
              <w:rPr>
                <w:szCs w:val="22"/>
              </w:rPr>
              <w:t>SOO LINE CORPORATION</w:t>
            </w:r>
          </w:p>
          <w:p w14:paraId="2E449D7C" w14:textId="77777777" w:rsidR="00D22774" w:rsidRDefault="00D22774" w:rsidP="00C502A8">
            <w:pPr>
              <w:keepNext/>
              <w:widowControl/>
              <w:rPr>
                <w:szCs w:val="22"/>
              </w:rPr>
            </w:pPr>
          </w:p>
          <w:p w14:paraId="195A64EF" w14:textId="77777777" w:rsidR="00D22774" w:rsidRDefault="00D22774" w:rsidP="00C502A8">
            <w:pPr>
              <w:keepNext/>
              <w:widowControl/>
              <w:rPr>
                <w:szCs w:val="22"/>
              </w:rPr>
            </w:pPr>
            <w:r>
              <w:rPr>
                <w:szCs w:val="22"/>
              </w:rPr>
              <w:t>Parent Company of Various Subsidiary Companies d/b/a Canadian Pacific</w:t>
            </w:r>
          </w:p>
          <w:p w14:paraId="3BDED1DB" w14:textId="77777777" w:rsidR="00D22774" w:rsidRDefault="00D22774" w:rsidP="00C502A8">
            <w:pPr>
              <w:keepNext/>
              <w:widowControl/>
              <w:rPr>
                <w:szCs w:val="22"/>
              </w:rPr>
            </w:pPr>
          </w:p>
          <w:p w14:paraId="6E259EC4" w14:textId="77777777" w:rsidR="00D22774" w:rsidRDefault="00D22774" w:rsidP="00C502A8">
            <w:pPr>
              <w:keepNext/>
              <w:widowControl/>
              <w:rPr>
                <w:szCs w:val="22"/>
              </w:rPr>
            </w:pPr>
            <w:r>
              <w:rPr>
                <w:szCs w:val="22"/>
              </w:rPr>
              <w:t>Holding Various Authorizations in the Wireless Radio Services</w:t>
            </w:r>
            <w:r w:rsidDel="00634367">
              <w:rPr>
                <w:szCs w:val="22"/>
              </w:rPr>
              <w:t xml:space="preserve"> </w:t>
            </w:r>
          </w:p>
        </w:tc>
        <w:tc>
          <w:tcPr>
            <w:tcW w:w="720" w:type="dxa"/>
          </w:tcPr>
          <w:p w14:paraId="3448A7BC" w14:textId="77777777" w:rsidR="00D22774" w:rsidRDefault="00D22774" w:rsidP="00C502A8">
            <w:pPr>
              <w:keepNext/>
              <w:widowControl/>
              <w:rPr>
                <w:szCs w:val="22"/>
              </w:rPr>
            </w:pPr>
            <w:r>
              <w:rPr>
                <w:szCs w:val="22"/>
              </w:rPr>
              <w:t>)</w:t>
            </w:r>
          </w:p>
          <w:p w14:paraId="6257ABBD" w14:textId="77777777" w:rsidR="00D22774" w:rsidRDefault="00D22774" w:rsidP="00C502A8">
            <w:pPr>
              <w:keepNext/>
              <w:widowControl/>
              <w:rPr>
                <w:szCs w:val="22"/>
              </w:rPr>
            </w:pPr>
            <w:r>
              <w:rPr>
                <w:szCs w:val="22"/>
              </w:rPr>
              <w:t>)</w:t>
            </w:r>
          </w:p>
          <w:p w14:paraId="586466B2" w14:textId="77777777" w:rsidR="00D22774" w:rsidRDefault="00D22774" w:rsidP="00C502A8">
            <w:pPr>
              <w:keepNext/>
              <w:widowControl/>
              <w:rPr>
                <w:szCs w:val="22"/>
              </w:rPr>
            </w:pPr>
            <w:r>
              <w:rPr>
                <w:szCs w:val="22"/>
              </w:rPr>
              <w:t>)</w:t>
            </w:r>
          </w:p>
          <w:p w14:paraId="1EC4B03B" w14:textId="77777777" w:rsidR="00D22774" w:rsidRDefault="00D22774" w:rsidP="00C502A8">
            <w:pPr>
              <w:keepNext/>
              <w:widowControl/>
              <w:rPr>
                <w:szCs w:val="22"/>
              </w:rPr>
            </w:pPr>
            <w:r>
              <w:rPr>
                <w:szCs w:val="22"/>
              </w:rPr>
              <w:t>)</w:t>
            </w:r>
          </w:p>
          <w:p w14:paraId="7AA97AAE" w14:textId="77777777" w:rsidR="00D22774" w:rsidRDefault="00D22774" w:rsidP="00C502A8">
            <w:pPr>
              <w:keepNext/>
              <w:widowControl/>
              <w:rPr>
                <w:szCs w:val="22"/>
              </w:rPr>
            </w:pPr>
            <w:r>
              <w:rPr>
                <w:szCs w:val="22"/>
              </w:rPr>
              <w:t>)</w:t>
            </w:r>
          </w:p>
          <w:p w14:paraId="52D46EB4" w14:textId="77777777" w:rsidR="00D22774" w:rsidRDefault="00D22774" w:rsidP="00C502A8">
            <w:pPr>
              <w:keepNext/>
              <w:widowControl/>
              <w:rPr>
                <w:szCs w:val="22"/>
              </w:rPr>
            </w:pPr>
            <w:r>
              <w:rPr>
                <w:szCs w:val="22"/>
              </w:rPr>
              <w:t>)</w:t>
            </w:r>
          </w:p>
          <w:p w14:paraId="3AA7D538" w14:textId="77777777" w:rsidR="00D22774" w:rsidRPr="00C36AA6" w:rsidRDefault="00D22774" w:rsidP="00C502A8">
            <w:pPr>
              <w:keepNext/>
              <w:widowControl/>
              <w:rPr>
                <w:szCs w:val="22"/>
              </w:rPr>
            </w:pPr>
            <w:r>
              <w:rPr>
                <w:szCs w:val="22"/>
              </w:rPr>
              <w:t>)</w:t>
            </w:r>
          </w:p>
        </w:tc>
        <w:tc>
          <w:tcPr>
            <w:tcW w:w="3960" w:type="dxa"/>
            <w:gridSpan w:val="2"/>
          </w:tcPr>
          <w:p w14:paraId="53AB996A" w14:textId="77777777" w:rsidR="00D22774" w:rsidRPr="00C36AA6" w:rsidRDefault="00D22774" w:rsidP="00C502A8">
            <w:pPr>
              <w:keepNext/>
              <w:widowControl/>
              <w:rPr>
                <w:szCs w:val="22"/>
              </w:rPr>
            </w:pPr>
          </w:p>
          <w:p w14:paraId="792949B3" w14:textId="77777777" w:rsidR="00D22774" w:rsidRPr="00C36AA6" w:rsidRDefault="00D22774" w:rsidP="00C502A8">
            <w:pPr>
              <w:keepNext/>
              <w:widowControl/>
              <w:rPr>
                <w:szCs w:val="22"/>
              </w:rPr>
            </w:pPr>
          </w:p>
          <w:p w14:paraId="3FFD6232" w14:textId="77777777" w:rsidR="00D22774" w:rsidRPr="00C36AA6" w:rsidRDefault="00D22774" w:rsidP="00C502A8">
            <w:pPr>
              <w:keepNext/>
              <w:widowControl/>
              <w:rPr>
                <w:szCs w:val="22"/>
              </w:rPr>
            </w:pPr>
            <w:r w:rsidRPr="00C36AA6">
              <w:rPr>
                <w:szCs w:val="22"/>
              </w:rPr>
              <w:t>File No.:  EB-IHD-15-00019370</w:t>
            </w:r>
          </w:p>
          <w:p w14:paraId="76ACEFE7" w14:textId="77777777" w:rsidR="00D22774" w:rsidRPr="00C36AA6" w:rsidRDefault="00D22774" w:rsidP="00C502A8">
            <w:pPr>
              <w:keepNext/>
              <w:widowControl/>
              <w:rPr>
                <w:szCs w:val="22"/>
              </w:rPr>
            </w:pPr>
            <w:r w:rsidRPr="00C36AA6">
              <w:rPr>
                <w:szCs w:val="22"/>
              </w:rPr>
              <w:t xml:space="preserve">Acct. No.:  </w:t>
            </w:r>
            <w:r w:rsidRPr="00C15FF2">
              <w:rPr>
                <w:szCs w:val="22"/>
              </w:rPr>
              <w:t>201632080008</w:t>
            </w:r>
          </w:p>
          <w:p w14:paraId="637C65A8" w14:textId="77777777" w:rsidR="00D22774" w:rsidRPr="00C36AA6" w:rsidRDefault="00D22774" w:rsidP="00C502A8">
            <w:pPr>
              <w:keepNext/>
              <w:widowControl/>
              <w:rPr>
                <w:szCs w:val="22"/>
              </w:rPr>
            </w:pPr>
            <w:r w:rsidRPr="00C36AA6">
              <w:rPr>
                <w:szCs w:val="22"/>
              </w:rPr>
              <w:t xml:space="preserve">FRN:  </w:t>
            </w:r>
            <w:r>
              <w:rPr>
                <w:szCs w:val="22"/>
              </w:rPr>
              <w:t>0021842406</w:t>
            </w:r>
          </w:p>
        </w:tc>
        <w:tc>
          <w:tcPr>
            <w:tcW w:w="3768" w:type="dxa"/>
            <w:gridSpan w:val="2"/>
          </w:tcPr>
          <w:p w14:paraId="3654B7DF" w14:textId="77777777" w:rsidR="00D22774" w:rsidRDefault="00D22774" w:rsidP="00C502A8">
            <w:pPr>
              <w:keepNext/>
              <w:widowControl/>
              <w:rPr>
                <w:szCs w:val="22"/>
              </w:rPr>
            </w:pPr>
          </w:p>
        </w:tc>
      </w:tr>
      <w:tr w:rsidR="00D22774" w14:paraId="0DA57D3B" w14:textId="77777777" w:rsidTr="00C502A8">
        <w:trPr>
          <w:gridAfter w:val="1"/>
          <w:wAfter w:w="192" w:type="dxa"/>
          <w:trHeight w:val="90"/>
        </w:trPr>
        <w:tc>
          <w:tcPr>
            <w:tcW w:w="4698" w:type="dxa"/>
          </w:tcPr>
          <w:p w14:paraId="14798DF7" w14:textId="77777777" w:rsidR="00D22774" w:rsidRDefault="00D22774" w:rsidP="00C502A8">
            <w:pPr>
              <w:keepNext/>
              <w:widowControl/>
              <w:rPr>
                <w:szCs w:val="22"/>
              </w:rPr>
            </w:pPr>
          </w:p>
        </w:tc>
        <w:tc>
          <w:tcPr>
            <w:tcW w:w="720" w:type="dxa"/>
          </w:tcPr>
          <w:p w14:paraId="16480B09" w14:textId="77777777" w:rsidR="00D22774" w:rsidRDefault="00D22774" w:rsidP="00C502A8">
            <w:pPr>
              <w:keepNext/>
              <w:widowControl/>
              <w:rPr>
                <w:szCs w:val="22"/>
              </w:rPr>
            </w:pPr>
          </w:p>
        </w:tc>
        <w:tc>
          <w:tcPr>
            <w:tcW w:w="3768" w:type="dxa"/>
          </w:tcPr>
          <w:p w14:paraId="64DC04A0" w14:textId="77777777" w:rsidR="00D22774" w:rsidRDefault="00D22774" w:rsidP="00C502A8">
            <w:pPr>
              <w:keepNext/>
              <w:widowControl/>
              <w:rPr>
                <w:spacing w:val="-2"/>
                <w:szCs w:val="22"/>
                <w:lang w:val="es-ES"/>
              </w:rPr>
            </w:pPr>
          </w:p>
        </w:tc>
        <w:tc>
          <w:tcPr>
            <w:tcW w:w="3768" w:type="dxa"/>
            <w:gridSpan w:val="2"/>
          </w:tcPr>
          <w:p w14:paraId="67AA5C58" w14:textId="77777777" w:rsidR="00D22774" w:rsidRDefault="00D22774" w:rsidP="00C502A8">
            <w:pPr>
              <w:widowControl/>
              <w:ind w:left="-108" w:firstLine="108"/>
              <w:rPr>
                <w:spacing w:val="-2"/>
                <w:szCs w:val="22"/>
                <w:lang w:val="es-ES"/>
              </w:rPr>
            </w:pPr>
          </w:p>
        </w:tc>
      </w:tr>
    </w:tbl>
    <w:p w14:paraId="20C1EB12" w14:textId="77777777" w:rsidR="00D22774" w:rsidRDefault="00D22774" w:rsidP="00D22774">
      <w:pPr>
        <w:keepNext/>
        <w:widowControl/>
        <w:jc w:val="center"/>
        <w:rPr>
          <w:b/>
          <w:szCs w:val="22"/>
        </w:rPr>
      </w:pPr>
      <w:r>
        <w:rPr>
          <w:b/>
          <w:szCs w:val="22"/>
        </w:rPr>
        <w:t>CONSENT DECREE</w:t>
      </w:r>
    </w:p>
    <w:p w14:paraId="4A63D294" w14:textId="77777777" w:rsidR="00D22774" w:rsidRDefault="00D22774" w:rsidP="00D22774">
      <w:pPr>
        <w:keepNext/>
        <w:widowControl/>
        <w:jc w:val="center"/>
        <w:rPr>
          <w:szCs w:val="22"/>
        </w:rPr>
      </w:pPr>
    </w:p>
    <w:p w14:paraId="729244B7" w14:textId="77777777" w:rsidR="00D22774" w:rsidRPr="007E2226" w:rsidRDefault="00D22774" w:rsidP="00D22774">
      <w:pPr>
        <w:pStyle w:val="ParaNum0"/>
        <w:widowControl/>
        <w:rPr>
          <w:szCs w:val="22"/>
        </w:rPr>
      </w:pPr>
      <w:r>
        <w:t xml:space="preserve">The </w:t>
      </w:r>
      <w:r w:rsidRPr="00C8604F">
        <w:t>Enforcement</w:t>
      </w:r>
      <w:r>
        <w:rPr>
          <w:bCs/>
        </w:rPr>
        <w:t xml:space="preserve"> Bureau </w:t>
      </w:r>
      <w:r>
        <w:t>of the Federal Communications Commission and Soo Line Corporation (</w:t>
      </w:r>
      <w:r w:rsidRPr="00777DF4">
        <w:t>CP</w:t>
      </w:r>
      <w:r>
        <w:t>), by their authorized representatives, hereby enter into this Consent Decree for the purpose of terminating the Enforcement Bureau’s i</w:t>
      </w:r>
      <w:r w:rsidRPr="007E2226">
        <w:rPr>
          <w:bCs/>
        </w:rPr>
        <w:t>nvestigation</w:t>
      </w:r>
      <w:r>
        <w:t xml:space="preserve"> into whether the Company’s subsidiaries violated Section 310(d) </w:t>
      </w:r>
      <w:r w:rsidRPr="00F854AF">
        <w:t>of the Communications Act o</w:t>
      </w:r>
      <w:r>
        <w:t>f 1934, as amended,</w:t>
      </w:r>
      <w:r>
        <w:rPr>
          <w:rStyle w:val="FootnoteReference"/>
        </w:rPr>
        <w:footnoteReference w:id="9"/>
      </w:r>
      <w:r>
        <w:t xml:space="preserve"> and Section 1.948 of the Commission’s rules,</w:t>
      </w:r>
      <w:r>
        <w:rPr>
          <w:rStyle w:val="FootnoteReference"/>
        </w:rPr>
        <w:footnoteReference w:id="10"/>
      </w:r>
      <w:r>
        <w:t xml:space="preserve"> pertaining to unauthorized transfers of control and assignments of licenses in connection with the acquisition of two American railroad lines that held authorizations for wireless radio services; and Section 301 of the Act</w:t>
      </w:r>
      <w:r>
        <w:rPr>
          <w:rStyle w:val="FootnoteReference"/>
        </w:rPr>
        <w:footnoteReference w:id="11"/>
      </w:r>
      <w:r>
        <w:t xml:space="preserve"> and Section 1.903 of the Rules,</w:t>
      </w:r>
      <w:r>
        <w:rPr>
          <w:rStyle w:val="FootnoteReference"/>
        </w:rPr>
        <w:footnoteReference w:id="12"/>
      </w:r>
      <w:r>
        <w:t xml:space="preserve"> pertaining to unauthorized operation of stations and station equipment. </w:t>
      </w:r>
      <w:bookmarkStart w:id="1" w:name="SR;878"/>
      <w:bookmarkStart w:id="2" w:name="SearchTerm"/>
      <w:bookmarkEnd w:id="1"/>
      <w:bookmarkEnd w:id="2"/>
    </w:p>
    <w:p w14:paraId="70630F39" w14:textId="77777777" w:rsidR="00D22774" w:rsidRPr="000E0878" w:rsidRDefault="00D22774" w:rsidP="00D22774">
      <w:pPr>
        <w:pStyle w:val="Heading1"/>
      </w:pPr>
      <w:r w:rsidRPr="000E0878">
        <w:t>DEFINITIONS</w:t>
      </w:r>
    </w:p>
    <w:p w14:paraId="234BE988" w14:textId="77777777" w:rsidR="00D22774" w:rsidRPr="00657280" w:rsidRDefault="00D22774" w:rsidP="00D22774">
      <w:pPr>
        <w:pStyle w:val="ParaNum0"/>
        <w:rPr>
          <w:szCs w:val="22"/>
        </w:rPr>
      </w:pPr>
      <w:r>
        <w:t>For the purposes of this Consent Decree, the following definitions shall apply:</w:t>
      </w:r>
    </w:p>
    <w:p w14:paraId="324AC892" w14:textId="77777777" w:rsidR="00D22774" w:rsidRDefault="00D22774" w:rsidP="00D22774">
      <w:pPr>
        <w:widowControl/>
        <w:numPr>
          <w:ilvl w:val="0"/>
          <w:numId w:val="47"/>
        </w:numPr>
        <w:tabs>
          <w:tab w:val="clear" w:pos="3960"/>
          <w:tab w:val="left" w:pos="720"/>
          <w:tab w:val="left" w:pos="1440"/>
        </w:tabs>
        <w:spacing w:after="120"/>
        <w:ind w:left="1872"/>
        <w:rPr>
          <w:szCs w:val="22"/>
        </w:rPr>
      </w:pPr>
      <w:r>
        <w:rPr>
          <w:szCs w:val="22"/>
        </w:rPr>
        <w:t xml:space="preserve">“Act” means the Communications Act of 1934, as amended, 47 U.S.C. § 151 </w:t>
      </w:r>
      <w:r w:rsidRPr="000D61E5">
        <w:rPr>
          <w:i/>
          <w:szCs w:val="22"/>
        </w:rPr>
        <w:t>et seq</w:t>
      </w:r>
      <w:r w:rsidRPr="00D63DDE">
        <w:rPr>
          <w:szCs w:val="22"/>
        </w:rPr>
        <w:t>.</w:t>
      </w:r>
    </w:p>
    <w:p w14:paraId="79FD4B6C" w14:textId="77777777" w:rsidR="00D22774" w:rsidRDefault="00D22774" w:rsidP="00D22774">
      <w:pPr>
        <w:widowControl/>
        <w:numPr>
          <w:ilvl w:val="0"/>
          <w:numId w:val="47"/>
        </w:numPr>
        <w:tabs>
          <w:tab w:val="clear" w:pos="3960"/>
          <w:tab w:val="left" w:pos="720"/>
          <w:tab w:val="left" w:pos="1440"/>
        </w:tabs>
        <w:spacing w:after="120"/>
        <w:ind w:left="1872"/>
        <w:rPr>
          <w:szCs w:val="22"/>
        </w:rPr>
      </w:pPr>
      <w:r>
        <w:rPr>
          <w:szCs w:val="22"/>
        </w:rPr>
        <w:t xml:space="preserve">“Adopting Order” means </w:t>
      </w:r>
      <w:r>
        <w:t>an</w:t>
      </w:r>
      <w:r>
        <w:rPr>
          <w:szCs w:val="22"/>
        </w:rPr>
        <w:t xml:space="preserve"> Order of the Bureau adopting the terms of this Consent Decree without change, addition, deletion, or modification.</w:t>
      </w:r>
    </w:p>
    <w:p w14:paraId="05436BE5" w14:textId="77777777" w:rsidR="00D22774" w:rsidRDefault="00D22774" w:rsidP="00D22774">
      <w:pPr>
        <w:widowControl/>
        <w:numPr>
          <w:ilvl w:val="0"/>
          <w:numId w:val="47"/>
        </w:numPr>
        <w:tabs>
          <w:tab w:val="clear" w:pos="3960"/>
          <w:tab w:val="left" w:pos="720"/>
          <w:tab w:val="left" w:pos="1440"/>
        </w:tabs>
        <w:spacing w:after="120"/>
        <w:ind w:left="1872"/>
        <w:rPr>
          <w:szCs w:val="22"/>
        </w:rPr>
      </w:pPr>
      <w:r>
        <w:rPr>
          <w:szCs w:val="22"/>
        </w:rPr>
        <w:t>“Bureau” means the Enforcement Bureau of the Federal Communications Commission.</w:t>
      </w:r>
    </w:p>
    <w:p w14:paraId="068ED4D6" w14:textId="77777777" w:rsidR="00D22774" w:rsidRDefault="00D22774" w:rsidP="00D22774">
      <w:pPr>
        <w:widowControl/>
        <w:numPr>
          <w:ilvl w:val="0"/>
          <w:numId w:val="47"/>
        </w:numPr>
        <w:tabs>
          <w:tab w:val="clear" w:pos="3960"/>
          <w:tab w:val="left" w:pos="720"/>
          <w:tab w:val="left" w:pos="1440"/>
        </w:tabs>
        <w:spacing w:after="120"/>
        <w:ind w:left="1872"/>
        <w:rPr>
          <w:szCs w:val="22"/>
        </w:rPr>
      </w:pPr>
      <w:r w:rsidDel="00414639">
        <w:rPr>
          <w:szCs w:val="22"/>
        </w:rPr>
        <w:t xml:space="preserve"> </w:t>
      </w:r>
      <w:r>
        <w:rPr>
          <w:szCs w:val="22"/>
        </w:rPr>
        <w:t xml:space="preserve">“Commission” and “FCC” mean the Federal Communications Commission and all of its bureaus and offices.  </w:t>
      </w:r>
    </w:p>
    <w:p w14:paraId="3087C267" w14:textId="77777777" w:rsidR="00D22774" w:rsidRPr="00B53A06" w:rsidRDefault="00D22774" w:rsidP="00D22774">
      <w:pPr>
        <w:widowControl/>
        <w:numPr>
          <w:ilvl w:val="0"/>
          <w:numId w:val="47"/>
        </w:numPr>
        <w:tabs>
          <w:tab w:val="clear" w:pos="3960"/>
          <w:tab w:val="left" w:pos="720"/>
          <w:tab w:val="left" w:pos="1440"/>
        </w:tabs>
        <w:spacing w:after="120"/>
        <w:ind w:left="1872"/>
        <w:rPr>
          <w:szCs w:val="22"/>
        </w:rPr>
      </w:pPr>
      <w:r>
        <w:t>“Communications Laws” means, collectively, the Act, the Rules, and the published and promulgated orders and decisions of the Commission to which CP is subject by virtue of its business activities, including but not limited to the wireless radio service Rules.</w:t>
      </w:r>
    </w:p>
    <w:p w14:paraId="6339A6C8" w14:textId="77777777" w:rsidR="00D22774" w:rsidRDefault="00D22774" w:rsidP="00D22774">
      <w:pPr>
        <w:widowControl/>
        <w:numPr>
          <w:ilvl w:val="0"/>
          <w:numId w:val="47"/>
        </w:numPr>
        <w:tabs>
          <w:tab w:val="clear" w:pos="3960"/>
          <w:tab w:val="left" w:pos="720"/>
          <w:tab w:val="left" w:pos="1440"/>
        </w:tabs>
        <w:spacing w:after="120"/>
        <w:ind w:left="1872"/>
        <w:rPr>
          <w:szCs w:val="22"/>
        </w:rPr>
      </w:pPr>
      <w:r>
        <w:t xml:space="preserve">“CP” or “Company” means Soo Line Corporation, its U.S. subsidiaries, </w:t>
      </w:r>
      <w:r w:rsidRPr="009564A2">
        <w:t xml:space="preserve">affiliates, </w:t>
      </w:r>
      <w:r w:rsidRPr="009564A2">
        <w:rPr>
          <w:bCs/>
        </w:rPr>
        <w:t>predecessors-in-interest</w:t>
      </w:r>
      <w:r>
        <w:rPr>
          <w:bCs/>
        </w:rPr>
        <w:t>,</w:t>
      </w:r>
      <w:r w:rsidRPr="009564A2">
        <w:rPr>
          <w:bCs/>
        </w:rPr>
        <w:t xml:space="preserve"> and successors-in-interest</w:t>
      </w:r>
      <w:r>
        <w:rPr>
          <w:bCs/>
        </w:rPr>
        <w:t>, and, where relevant, its indirect, intermediate parent Canadian Pacific Railway Company</w:t>
      </w:r>
      <w:r w:rsidRPr="009564A2">
        <w:rPr>
          <w:bCs/>
        </w:rPr>
        <w:t>.</w:t>
      </w:r>
    </w:p>
    <w:p w14:paraId="35C03DCB" w14:textId="77777777" w:rsidR="00D22774" w:rsidRDefault="00D22774" w:rsidP="00D22774">
      <w:pPr>
        <w:widowControl/>
        <w:numPr>
          <w:ilvl w:val="0"/>
          <w:numId w:val="47"/>
        </w:numPr>
        <w:tabs>
          <w:tab w:val="clear" w:pos="3960"/>
          <w:tab w:val="left" w:pos="720"/>
          <w:tab w:val="left" w:pos="1440"/>
        </w:tabs>
        <w:spacing w:after="120"/>
        <w:ind w:left="1872"/>
        <w:rPr>
          <w:szCs w:val="22"/>
        </w:rPr>
      </w:pPr>
      <w:r w:rsidRPr="00253D0E">
        <w:rPr>
          <w:szCs w:val="22"/>
        </w:rPr>
        <w:t xml:space="preserve">“Compliance Plan” means the </w:t>
      </w:r>
      <w:r w:rsidRPr="00463EFE">
        <w:rPr>
          <w:szCs w:val="22"/>
        </w:rPr>
        <w:t xml:space="preserve">compliance obligations, program, and procedures described in this Consent Decree at paragraph </w:t>
      </w:r>
      <w:r>
        <w:t>14</w:t>
      </w:r>
      <w:r w:rsidRPr="00463EFE">
        <w:t>.</w:t>
      </w:r>
      <w:r w:rsidRPr="00253D0E">
        <w:rPr>
          <w:szCs w:val="22"/>
        </w:rPr>
        <w:t xml:space="preserve">  </w:t>
      </w:r>
    </w:p>
    <w:p w14:paraId="2B0F673E" w14:textId="77777777" w:rsidR="00D22774" w:rsidRDefault="00D22774" w:rsidP="00D22774">
      <w:pPr>
        <w:widowControl/>
        <w:numPr>
          <w:ilvl w:val="0"/>
          <w:numId w:val="47"/>
        </w:numPr>
        <w:tabs>
          <w:tab w:val="clear" w:pos="3960"/>
          <w:tab w:val="left" w:pos="720"/>
          <w:tab w:val="left" w:pos="1440"/>
        </w:tabs>
        <w:spacing w:after="120"/>
        <w:ind w:left="1872"/>
        <w:rPr>
          <w:szCs w:val="22"/>
        </w:rPr>
      </w:pPr>
      <w:r w:rsidRPr="00253D0E">
        <w:rPr>
          <w:szCs w:val="22"/>
        </w:rPr>
        <w:t xml:space="preserve">“Covered Employees” means all employees and agents of </w:t>
      </w:r>
      <w:r>
        <w:t>the Company</w:t>
      </w:r>
      <w:r w:rsidRPr="00253D0E">
        <w:rPr>
          <w:szCs w:val="22"/>
        </w:rPr>
        <w:t xml:space="preserve"> who perform, supervise, oversee, or manage the performance of duties that relate to </w:t>
      </w:r>
      <w:r>
        <w:rPr>
          <w:szCs w:val="22"/>
        </w:rPr>
        <w:t xml:space="preserve">CP’s </w:t>
      </w:r>
      <w:r w:rsidRPr="00253D0E">
        <w:rPr>
          <w:szCs w:val="22"/>
        </w:rPr>
        <w:t xml:space="preserve">responsibilities under </w:t>
      </w:r>
      <w:r w:rsidRPr="00FC23F2">
        <w:t xml:space="preserve">the </w:t>
      </w:r>
      <w:r>
        <w:t xml:space="preserve">Communications Laws, including </w:t>
      </w:r>
      <w:r w:rsidRPr="00B436B7">
        <w:t>Sections 310(d) and 30</w:t>
      </w:r>
      <w:r>
        <w:t xml:space="preserve">1 </w:t>
      </w:r>
      <w:r w:rsidRPr="00B436B7">
        <w:t xml:space="preserve">of the Act, and Sections 1.948 and </w:t>
      </w:r>
      <w:r>
        <w:t>1.903 of the Rules</w:t>
      </w:r>
      <w:r w:rsidRPr="00253D0E">
        <w:rPr>
          <w:szCs w:val="22"/>
        </w:rPr>
        <w:t>.</w:t>
      </w:r>
    </w:p>
    <w:p w14:paraId="08F88ED7" w14:textId="77777777" w:rsidR="00D22774" w:rsidRDefault="00D22774" w:rsidP="00D22774">
      <w:pPr>
        <w:widowControl/>
        <w:numPr>
          <w:ilvl w:val="0"/>
          <w:numId w:val="47"/>
        </w:numPr>
        <w:tabs>
          <w:tab w:val="clear" w:pos="3960"/>
          <w:tab w:val="left" w:pos="720"/>
          <w:tab w:val="left" w:pos="1440"/>
        </w:tabs>
        <w:spacing w:after="120"/>
        <w:ind w:left="1872"/>
        <w:rPr>
          <w:szCs w:val="22"/>
        </w:rPr>
      </w:pPr>
      <w:r>
        <w:rPr>
          <w:szCs w:val="22"/>
        </w:rPr>
        <w:t xml:space="preserve"> “Effective Date” means the date by which the Bureau and CP have signed the Consent Decree.  </w:t>
      </w:r>
    </w:p>
    <w:p w14:paraId="428C955D" w14:textId="77777777" w:rsidR="00D22774" w:rsidRPr="00261425" w:rsidRDefault="00D22774" w:rsidP="00D22774">
      <w:pPr>
        <w:widowControl/>
        <w:numPr>
          <w:ilvl w:val="0"/>
          <w:numId w:val="47"/>
        </w:numPr>
        <w:tabs>
          <w:tab w:val="clear" w:pos="3960"/>
          <w:tab w:val="left" w:pos="720"/>
          <w:tab w:val="left" w:pos="1440"/>
          <w:tab w:val="num" w:pos="1800"/>
        </w:tabs>
        <w:spacing w:after="120"/>
        <w:ind w:left="1872"/>
        <w:rPr>
          <w:szCs w:val="22"/>
        </w:rPr>
      </w:pPr>
      <w:r>
        <w:rPr>
          <w:color w:val="000000"/>
          <w:szCs w:val="22"/>
        </w:rPr>
        <w:t>“</w:t>
      </w:r>
      <w:r>
        <w:rPr>
          <w:szCs w:val="22"/>
        </w:rPr>
        <w:t xml:space="preserve">Investigation” means the investigation commenced by the Bureau in File No. </w:t>
      </w:r>
      <w:r>
        <w:rPr>
          <w:spacing w:val="-2"/>
          <w:szCs w:val="22"/>
          <w:lang w:val="es-ES"/>
        </w:rPr>
        <w:t>EB-IHD-</w:t>
      </w:r>
      <w:r w:rsidRPr="005656DE">
        <w:rPr>
          <w:spacing w:val="-2"/>
          <w:szCs w:val="22"/>
          <w:lang w:val="es-ES"/>
        </w:rPr>
        <w:t>15-00019370</w:t>
      </w:r>
      <w:r>
        <w:rPr>
          <w:spacing w:val="-2"/>
          <w:szCs w:val="22"/>
          <w:lang w:val="es-ES"/>
        </w:rPr>
        <w:t xml:space="preserve"> regarding whether CP violated  </w:t>
      </w:r>
      <w:r>
        <w:rPr>
          <w:szCs w:val="22"/>
        </w:rPr>
        <w:t xml:space="preserve">provisions of the Communication Laws relating to unauthorized transfer and operations of stations and station equipment. </w:t>
      </w:r>
      <w:r>
        <w:rPr>
          <w:b/>
          <w:szCs w:val="22"/>
        </w:rPr>
        <w:t xml:space="preserve"> </w:t>
      </w:r>
    </w:p>
    <w:p w14:paraId="264AE0A9" w14:textId="77777777" w:rsidR="00D22774" w:rsidRDefault="00D22774" w:rsidP="00D22774">
      <w:pPr>
        <w:widowControl/>
        <w:numPr>
          <w:ilvl w:val="0"/>
          <w:numId w:val="47"/>
        </w:numPr>
        <w:tabs>
          <w:tab w:val="clear" w:pos="3960"/>
          <w:tab w:val="left" w:pos="720"/>
          <w:tab w:val="left" w:pos="1440"/>
          <w:tab w:val="num" w:pos="1800"/>
        </w:tabs>
        <w:spacing w:after="120"/>
        <w:ind w:left="1872"/>
        <w:rPr>
          <w:szCs w:val="22"/>
        </w:rPr>
      </w:pPr>
      <w:r w:rsidRPr="00147F5B">
        <w:rPr>
          <w:szCs w:val="22"/>
        </w:rPr>
        <w:t xml:space="preserve">“Operating Procedures” means the standard, internal operating procedures and compliance policies established by </w:t>
      </w:r>
      <w:r>
        <w:rPr>
          <w:szCs w:val="22"/>
        </w:rPr>
        <w:t xml:space="preserve">CP </w:t>
      </w:r>
      <w:r w:rsidRPr="00147F5B">
        <w:rPr>
          <w:szCs w:val="22"/>
        </w:rPr>
        <w:t xml:space="preserve">to implement the Compliance Plan.  </w:t>
      </w:r>
    </w:p>
    <w:p w14:paraId="21997F00" w14:textId="77777777" w:rsidR="00D22774" w:rsidRDefault="00D22774" w:rsidP="00D22774">
      <w:pPr>
        <w:widowControl/>
        <w:numPr>
          <w:ilvl w:val="0"/>
          <w:numId w:val="47"/>
        </w:numPr>
        <w:tabs>
          <w:tab w:val="clear" w:pos="3960"/>
          <w:tab w:val="left" w:pos="720"/>
          <w:tab w:val="left" w:pos="1440"/>
        </w:tabs>
        <w:spacing w:after="120"/>
        <w:ind w:left="1872"/>
        <w:rPr>
          <w:szCs w:val="22"/>
        </w:rPr>
      </w:pPr>
      <w:r>
        <w:rPr>
          <w:szCs w:val="22"/>
        </w:rPr>
        <w:t xml:space="preserve">“Parties” means CP and the Bureau, each of which is a “Party.” </w:t>
      </w:r>
    </w:p>
    <w:p w14:paraId="18A9E10B" w14:textId="77777777" w:rsidR="00D22774" w:rsidRDefault="00D22774" w:rsidP="00D22774">
      <w:pPr>
        <w:widowControl/>
        <w:numPr>
          <w:ilvl w:val="0"/>
          <w:numId w:val="47"/>
        </w:numPr>
        <w:tabs>
          <w:tab w:val="clear" w:pos="3960"/>
          <w:tab w:val="left" w:pos="720"/>
          <w:tab w:val="left" w:pos="1440"/>
        </w:tabs>
        <w:spacing w:after="120"/>
        <w:ind w:left="1872"/>
        <w:rPr>
          <w:szCs w:val="22"/>
        </w:rPr>
      </w:pPr>
      <w:r>
        <w:rPr>
          <w:szCs w:val="22"/>
        </w:rPr>
        <w:t>“Rules” means the Commission’s regulations found in Title 47 of the Code of Federal Regulations.</w:t>
      </w:r>
    </w:p>
    <w:p w14:paraId="482B25C2" w14:textId="77777777" w:rsidR="00D22774" w:rsidRPr="00444250" w:rsidRDefault="00D22774" w:rsidP="00D22774">
      <w:pPr>
        <w:widowControl/>
        <w:numPr>
          <w:ilvl w:val="0"/>
          <w:numId w:val="47"/>
        </w:numPr>
        <w:tabs>
          <w:tab w:val="clear" w:pos="3960"/>
          <w:tab w:val="left" w:pos="720"/>
          <w:tab w:val="left" w:pos="1440"/>
        </w:tabs>
        <w:spacing w:after="120"/>
        <w:ind w:left="1872"/>
        <w:rPr>
          <w:szCs w:val="22"/>
        </w:rPr>
      </w:pPr>
      <w:r>
        <w:rPr>
          <w:szCs w:val="22"/>
        </w:rPr>
        <w:t>“Unauthorized Transfer and Operations</w:t>
      </w:r>
      <w:r w:rsidRPr="00B12D22">
        <w:rPr>
          <w:szCs w:val="22"/>
        </w:rPr>
        <w:t xml:space="preserve"> Rules” means </w:t>
      </w:r>
      <w:r w:rsidRPr="00535E0A">
        <w:rPr>
          <w:szCs w:val="22"/>
        </w:rPr>
        <w:t>Section 310(d) of the Communications Act of 1934, as amended,</w:t>
      </w:r>
      <w:r w:rsidRPr="00535E0A">
        <w:rPr>
          <w:szCs w:val="22"/>
          <w:vertAlign w:val="superscript"/>
        </w:rPr>
        <w:footnoteReference w:id="13"/>
      </w:r>
      <w:r w:rsidRPr="00535E0A">
        <w:rPr>
          <w:szCs w:val="22"/>
        </w:rPr>
        <w:t xml:space="preserve"> and Section 1.948 of the Commission’s rules,</w:t>
      </w:r>
      <w:r w:rsidRPr="00535E0A">
        <w:rPr>
          <w:szCs w:val="22"/>
          <w:vertAlign w:val="superscript"/>
        </w:rPr>
        <w:footnoteReference w:id="14"/>
      </w:r>
      <w:r w:rsidRPr="00535E0A">
        <w:rPr>
          <w:szCs w:val="22"/>
        </w:rPr>
        <w:t xml:space="preserve"> pertaining to unauthorized transfers of control and assignments of licenses; and Section 301 of the Act</w:t>
      </w:r>
      <w:r w:rsidRPr="00535E0A">
        <w:rPr>
          <w:szCs w:val="22"/>
          <w:vertAlign w:val="superscript"/>
        </w:rPr>
        <w:footnoteReference w:id="15"/>
      </w:r>
      <w:r w:rsidRPr="00535E0A">
        <w:rPr>
          <w:szCs w:val="22"/>
        </w:rPr>
        <w:t xml:space="preserve"> and Section 1.903 of the Rules,</w:t>
      </w:r>
      <w:r w:rsidRPr="00535E0A">
        <w:rPr>
          <w:szCs w:val="22"/>
          <w:vertAlign w:val="superscript"/>
        </w:rPr>
        <w:footnoteReference w:id="16"/>
      </w:r>
      <w:r w:rsidRPr="00535E0A">
        <w:rPr>
          <w:szCs w:val="22"/>
        </w:rPr>
        <w:t xml:space="preserve"> </w:t>
      </w:r>
      <w:r w:rsidRPr="00B12D22">
        <w:rPr>
          <w:szCs w:val="22"/>
        </w:rPr>
        <w:t xml:space="preserve"> and other provisions of the Act, the Rules, and Commission orders related to </w:t>
      </w:r>
      <w:r>
        <w:rPr>
          <w:szCs w:val="22"/>
        </w:rPr>
        <w:t xml:space="preserve">the wireless radio services. </w:t>
      </w:r>
    </w:p>
    <w:p w14:paraId="3A54573F" w14:textId="77777777" w:rsidR="00D22774" w:rsidRDefault="00D22774" w:rsidP="00D22774">
      <w:pPr>
        <w:pStyle w:val="Heading1"/>
      </w:pPr>
      <w:r>
        <w:t>BACKGROUND</w:t>
      </w:r>
    </w:p>
    <w:p w14:paraId="50A3E893" w14:textId="77777777" w:rsidR="00D22774" w:rsidRPr="007333AC" w:rsidRDefault="00D22774" w:rsidP="00D22774">
      <w:pPr>
        <w:pStyle w:val="ParaNum0"/>
        <w:rPr>
          <w:rStyle w:val="bestsection"/>
          <w:szCs w:val="22"/>
        </w:rPr>
      </w:pPr>
      <w:bookmarkStart w:id="3" w:name="SR;860"/>
      <w:bookmarkStart w:id="4" w:name="SR;861"/>
      <w:bookmarkEnd w:id="3"/>
      <w:bookmarkEnd w:id="4"/>
      <w:r w:rsidRPr="007333AC">
        <w:t>Section 310(d) of the Act states that “[n]o construction permit or station license, or any rights thereunder, shall be transferred, assigned, or disposed of in any manner, voluntarily or involuntarily, directly or indirectly, or by transfer of control of any corporation holding such permit or license, to any person except upon application to the Commission and upon finding by the Commission that the public interest, convenience, and necessity will be served thereby.”</w:t>
      </w:r>
      <w:r w:rsidRPr="00271BCF">
        <w:rPr>
          <w:rStyle w:val="FootnoteReference"/>
          <w:szCs w:val="22"/>
        </w:rPr>
        <w:footnoteReference w:id="17"/>
      </w:r>
      <w:r w:rsidRPr="007333AC">
        <w:t xml:space="preserve">  Section 1.948 of the Rules similarly requires Commission consent prior to a transfer of control or assignment of license.</w:t>
      </w:r>
      <w:r w:rsidRPr="00F864AC">
        <w:rPr>
          <w:rStyle w:val="FootnoteReference"/>
        </w:rPr>
        <w:footnoteReference w:id="18"/>
      </w:r>
      <w:r w:rsidRPr="007333AC">
        <w:t xml:space="preserve">  </w:t>
      </w:r>
      <w:r w:rsidRPr="007333AC">
        <w:rPr>
          <w:rStyle w:val="bestsection"/>
          <w:szCs w:val="22"/>
        </w:rPr>
        <w:t xml:space="preserve">In addition, Section 301 of the Act and Section 1.903(a) of the Rules prohibit the use or </w:t>
      </w:r>
      <w:bookmarkStart w:id="5" w:name="SR;823"/>
      <w:bookmarkEnd w:id="5"/>
      <w:r w:rsidRPr="007333AC">
        <w:rPr>
          <w:rStyle w:val="searchterm"/>
          <w:szCs w:val="22"/>
        </w:rPr>
        <w:t>operation</w:t>
      </w:r>
      <w:r w:rsidRPr="007333AC">
        <w:rPr>
          <w:rStyle w:val="bestsection"/>
          <w:szCs w:val="22"/>
        </w:rPr>
        <w:t xml:space="preserve"> of any radio transmitting equipment within the United States, except under and in accordance with the Act and with a Commission-granted authorization.</w:t>
      </w:r>
      <w:bookmarkStart w:id="6" w:name="FN[FN14]"/>
      <w:bookmarkEnd w:id="6"/>
      <w:r w:rsidRPr="00F864AC">
        <w:rPr>
          <w:rStyle w:val="FootnoteReference"/>
        </w:rPr>
        <w:footnoteReference w:id="19"/>
      </w:r>
      <w:r w:rsidRPr="007333AC">
        <w:rPr>
          <w:rStyle w:val="bestsection"/>
          <w:szCs w:val="22"/>
        </w:rPr>
        <w:t xml:space="preserve">    </w:t>
      </w:r>
    </w:p>
    <w:p w14:paraId="3B1E1D54" w14:textId="6A79B74B" w:rsidR="00D22774" w:rsidRPr="00D61E19" w:rsidRDefault="00D22774" w:rsidP="00D22774">
      <w:pPr>
        <w:pStyle w:val="ParaNum0"/>
        <w:rPr>
          <w:szCs w:val="22"/>
        </w:rPr>
      </w:pPr>
      <w:r>
        <w:t xml:space="preserve">Canadian Pacific Railway Company (CPR) </w:t>
      </w:r>
      <w:r w:rsidRPr="00790C63">
        <w:t>is a major North American rail carrier</w:t>
      </w:r>
      <w:r>
        <w:t xml:space="preserve">, headquartered in </w:t>
      </w:r>
      <w:r w:rsidRPr="00F477DF">
        <w:t>Calgary, Alberta</w:t>
      </w:r>
      <w:r>
        <w:t>,</w:t>
      </w:r>
      <w:r w:rsidRPr="00790C63">
        <w:t xml:space="preserve"> </w:t>
      </w:r>
      <w:r>
        <w:t xml:space="preserve">which, </w:t>
      </w:r>
      <w:r w:rsidRPr="00790C63">
        <w:t xml:space="preserve">with </w:t>
      </w:r>
      <w:r>
        <w:t xml:space="preserve">its U.S. subsidiaries, operates </w:t>
      </w:r>
      <w:r w:rsidRPr="00790C63">
        <w:t>approximatel</w:t>
      </w:r>
      <w:r>
        <w:t>y 14,000 route miles of track</w:t>
      </w:r>
      <w:r w:rsidRPr="00790C63">
        <w:t xml:space="preserve"> across Canada and the upper Midwestern and northeastern United States.  </w:t>
      </w:r>
      <w:r>
        <w:t>O</w:t>
      </w:r>
      <w:r w:rsidRPr="00F477DF">
        <w:t xml:space="preserve">riginally built between 1881 and 1885, </w:t>
      </w:r>
      <w:r>
        <w:t>it</w:t>
      </w:r>
      <w:r w:rsidRPr="00F477DF">
        <w:t xml:space="preserve"> was Canada's first </w:t>
      </w:r>
      <w:r w:rsidRPr="006F2040">
        <w:t>transcontinental railway</w:t>
      </w:r>
      <w:r w:rsidRPr="008F7840">
        <w:t>.</w:t>
      </w:r>
      <w:r w:rsidRPr="008F7840">
        <w:rPr>
          <w:rStyle w:val="FootnoteReference"/>
        </w:rPr>
        <w:footnoteReference w:id="20"/>
      </w:r>
      <w:r w:rsidRPr="008F7840">
        <w:t xml:space="preserve"> </w:t>
      </w:r>
      <w:r w:rsidRPr="00790C63">
        <w:t>The parent holding company, Canadian Pacific Railway Limited</w:t>
      </w:r>
      <w:r>
        <w:t xml:space="preserve"> (CPRL)</w:t>
      </w:r>
      <w:r w:rsidRPr="00790C63">
        <w:t>, is a publicly-traded Canadian company whose stock is listed on the Toronto and New York stock exchanges</w:t>
      </w:r>
      <w:r>
        <w:t xml:space="preserve">.  CPRL controls CPR, a Canadian company which conducts rail operations in Canada.  CPRL </w:t>
      </w:r>
      <w:r>
        <w:rPr>
          <w:szCs w:val="22"/>
        </w:rPr>
        <w:t xml:space="preserve">also </w:t>
      </w:r>
      <w:r w:rsidRPr="007C207F">
        <w:rPr>
          <w:szCs w:val="22"/>
        </w:rPr>
        <w:t xml:space="preserve">controls (through </w:t>
      </w:r>
      <w:r>
        <w:rPr>
          <w:szCs w:val="22"/>
        </w:rPr>
        <w:t xml:space="preserve">CPR and </w:t>
      </w:r>
      <w:r w:rsidRPr="007C207F">
        <w:rPr>
          <w:szCs w:val="22"/>
        </w:rPr>
        <w:t>several wholly-owned intermediate holding compa</w:t>
      </w:r>
      <w:r>
        <w:rPr>
          <w:szCs w:val="22"/>
        </w:rPr>
        <w:t>nies) Soo Line Corporation</w:t>
      </w:r>
      <w:r w:rsidRPr="007C207F">
        <w:rPr>
          <w:szCs w:val="22"/>
        </w:rPr>
        <w:t xml:space="preserve">, which is the holding company for CP's </w:t>
      </w:r>
      <w:r>
        <w:rPr>
          <w:szCs w:val="22"/>
        </w:rPr>
        <w:t xml:space="preserve">three </w:t>
      </w:r>
      <w:r w:rsidRPr="007C207F">
        <w:rPr>
          <w:szCs w:val="22"/>
        </w:rPr>
        <w:t>U</w:t>
      </w:r>
      <w:r>
        <w:rPr>
          <w:szCs w:val="22"/>
        </w:rPr>
        <w:t>.S. rail operating subsidiaries</w:t>
      </w:r>
      <w:r w:rsidRPr="00D61E19">
        <w:rPr>
          <w:szCs w:val="22"/>
        </w:rPr>
        <w:t>: Soo Line Rail</w:t>
      </w:r>
      <w:r>
        <w:rPr>
          <w:szCs w:val="22"/>
        </w:rPr>
        <w:t xml:space="preserve">road Company (Soo), Dakota, Minnesota </w:t>
      </w:r>
      <w:r w:rsidRPr="00D61E19">
        <w:rPr>
          <w:szCs w:val="22"/>
        </w:rPr>
        <w:t>&amp; Eastern Railroad Corporation</w:t>
      </w:r>
      <w:r>
        <w:rPr>
          <w:szCs w:val="22"/>
        </w:rPr>
        <w:t xml:space="preserve"> (DM&amp;E),</w:t>
      </w:r>
      <w:r w:rsidRPr="00D61E19">
        <w:rPr>
          <w:szCs w:val="22"/>
        </w:rPr>
        <w:t xml:space="preserve"> and Delaware </w:t>
      </w:r>
      <w:r>
        <w:rPr>
          <w:szCs w:val="22"/>
        </w:rPr>
        <w:t>&amp; Hudson Railway Company, Inc. (D&amp;H).</w:t>
      </w:r>
      <w:r>
        <w:rPr>
          <w:rStyle w:val="FootnoteReference"/>
          <w:szCs w:val="22"/>
        </w:rPr>
        <w:footnoteReference w:id="21"/>
      </w:r>
      <w:r>
        <w:rPr>
          <w:szCs w:val="22"/>
        </w:rPr>
        <w:t xml:space="preserve">  For railroad regulatory purposes, those three subsidiaries report to the U.S. Surface Transportation Board on a consolidated basis under the Soo Line Corporation name.</w:t>
      </w:r>
      <w:r>
        <w:rPr>
          <w:rStyle w:val="FootnoteReference"/>
          <w:szCs w:val="22"/>
        </w:rPr>
        <w:footnoteReference w:id="22"/>
      </w:r>
      <w:r>
        <w:rPr>
          <w:szCs w:val="22"/>
        </w:rPr>
        <w:t xml:space="preserve"> </w:t>
      </w:r>
    </w:p>
    <w:p w14:paraId="0D57F5C3" w14:textId="77777777" w:rsidR="00D22774" w:rsidRPr="00CF67B5" w:rsidRDefault="00D22774" w:rsidP="00D22774">
      <w:pPr>
        <w:pStyle w:val="ParaNum0"/>
        <w:widowControl/>
        <w:autoSpaceDE w:val="0"/>
        <w:autoSpaceDN w:val="0"/>
        <w:adjustRightInd w:val="0"/>
        <w:rPr>
          <w:rFonts w:eastAsiaTheme="minorHAnsi"/>
          <w:snapToGrid/>
          <w:kern w:val="0"/>
          <w:szCs w:val="22"/>
        </w:rPr>
      </w:pPr>
      <w:r w:rsidRPr="00460AC1">
        <w:rPr>
          <w:rFonts w:eastAsiaTheme="minorHAnsi"/>
          <w:snapToGrid/>
          <w:kern w:val="0"/>
          <w:szCs w:val="22"/>
        </w:rPr>
        <w:t xml:space="preserve">On October 30, 2008, </w:t>
      </w:r>
      <w:r w:rsidRPr="00460AC1">
        <w:rPr>
          <w:rFonts w:eastAsia="Calibri"/>
        </w:rPr>
        <w:t>t</w:t>
      </w:r>
      <w:r>
        <w:rPr>
          <w:rFonts w:eastAsia="Calibri"/>
        </w:rPr>
        <w:t>he C</w:t>
      </w:r>
      <w:r w:rsidRPr="00460AC1">
        <w:rPr>
          <w:rFonts w:eastAsia="Calibri"/>
        </w:rPr>
        <w:t xml:space="preserve">ompany acquired two American railroad lines: </w:t>
      </w:r>
      <w:r>
        <w:rPr>
          <w:rFonts w:eastAsia="Calibri"/>
        </w:rPr>
        <w:t>DM&amp;E</w:t>
      </w:r>
      <w:r w:rsidRPr="00C0681C">
        <w:rPr>
          <w:rFonts w:eastAsia="Calibri"/>
        </w:rPr>
        <w:t xml:space="preserve"> </w:t>
      </w:r>
      <w:r w:rsidRPr="006F2D16">
        <w:rPr>
          <w:rFonts w:eastAsiaTheme="minorHAnsi"/>
          <w:snapToGrid/>
          <w:kern w:val="0"/>
          <w:szCs w:val="22"/>
        </w:rPr>
        <w:t>and Iowa, Chicago &amp; Eastern Railroad Corporation</w:t>
      </w:r>
      <w:r>
        <w:rPr>
          <w:rFonts w:eastAsiaTheme="minorHAnsi"/>
          <w:snapToGrid/>
          <w:kern w:val="0"/>
          <w:szCs w:val="22"/>
        </w:rPr>
        <w:t xml:space="preserve"> (IC&amp;E),</w:t>
      </w:r>
      <w:r w:rsidRPr="00460AC1">
        <w:rPr>
          <w:rFonts w:eastAsiaTheme="minorHAnsi"/>
          <w:snapToGrid/>
          <w:kern w:val="0"/>
          <w:szCs w:val="22"/>
        </w:rPr>
        <w:t xml:space="preserve"> a wholly owned indirect subsidiary of </w:t>
      </w:r>
      <w:r w:rsidRPr="0056586B">
        <w:rPr>
          <w:rFonts w:eastAsiaTheme="minorHAnsi"/>
          <w:snapToGrid/>
          <w:kern w:val="0"/>
          <w:szCs w:val="22"/>
        </w:rPr>
        <w:t>DM&amp;E</w:t>
      </w:r>
      <w:r w:rsidRPr="00460AC1">
        <w:rPr>
          <w:rFonts w:eastAsiaTheme="minorHAnsi"/>
          <w:snapToGrid/>
          <w:kern w:val="0"/>
          <w:szCs w:val="22"/>
        </w:rPr>
        <w:t xml:space="preserve">, </w:t>
      </w:r>
      <w:r>
        <w:rPr>
          <w:rFonts w:eastAsia="Calibri"/>
        </w:rPr>
        <w:t>both of which held FCC authorizations in the wireless radio services.</w:t>
      </w:r>
      <w:r>
        <w:rPr>
          <w:rStyle w:val="FootnoteReference"/>
          <w:rFonts w:eastAsia="Calibri"/>
        </w:rPr>
        <w:footnoteReference w:id="23"/>
      </w:r>
      <w:r>
        <w:rPr>
          <w:rFonts w:eastAsia="Calibri"/>
        </w:rPr>
        <w:t xml:space="preserve">  </w:t>
      </w:r>
      <w:r w:rsidRPr="00217F22">
        <w:rPr>
          <w:rFonts w:eastAsia="Calibri"/>
        </w:rPr>
        <w:t xml:space="preserve">Radio transmitting </w:t>
      </w:r>
      <w:r>
        <w:rPr>
          <w:rFonts w:eastAsia="Calibri"/>
        </w:rPr>
        <w:t>devices</w:t>
      </w:r>
      <w:r w:rsidRPr="00217F22">
        <w:rPr>
          <w:rFonts w:eastAsia="Calibri"/>
        </w:rPr>
        <w:t xml:space="preserve"> </w:t>
      </w:r>
      <w:r>
        <w:rPr>
          <w:rFonts w:eastAsia="Calibri"/>
        </w:rPr>
        <w:t>are</w:t>
      </w:r>
      <w:r w:rsidRPr="00217F22">
        <w:rPr>
          <w:rFonts w:eastAsia="Calibri"/>
        </w:rPr>
        <w:t xml:space="preserve"> widely used in the railroad industry </w:t>
      </w:r>
      <w:r>
        <w:rPr>
          <w:rFonts w:eastAsia="Calibri"/>
        </w:rPr>
        <w:t xml:space="preserve">for </w:t>
      </w:r>
      <w:r w:rsidRPr="00217F22">
        <w:rPr>
          <w:rFonts w:eastAsia="Calibri"/>
        </w:rPr>
        <w:t>voice and data</w:t>
      </w:r>
      <w:r>
        <w:rPr>
          <w:rFonts w:eastAsia="Calibri"/>
        </w:rPr>
        <w:t xml:space="preserve"> transmissions</w:t>
      </w:r>
      <w:r w:rsidRPr="00217F22">
        <w:rPr>
          <w:rFonts w:eastAsia="Calibri"/>
        </w:rPr>
        <w:t xml:space="preserve"> related to the safe operation of freight and passenger trains</w:t>
      </w:r>
      <w:r>
        <w:rPr>
          <w:rFonts w:eastAsia="Calibri"/>
        </w:rPr>
        <w:t xml:space="preserve">. </w:t>
      </w:r>
      <w:r w:rsidRPr="00CF67B5">
        <w:rPr>
          <w:rFonts w:eastAsia="Calibri"/>
        </w:rPr>
        <w:t xml:space="preserve"> </w:t>
      </w:r>
      <w:r>
        <w:rPr>
          <w:rFonts w:eastAsia="Calibri"/>
        </w:rPr>
        <w:t xml:space="preserve">In </w:t>
      </w:r>
      <w:r w:rsidRPr="00460AC1">
        <w:rPr>
          <w:rFonts w:eastAsia="Calibri"/>
        </w:rPr>
        <w:t>2015, CP discovered that in the course of these transactions</w:t>
      </w:r>
      <w:r>
        <w:rPr>
          <w:rFonts w:eastAsia="Calibri"/>
        </w:rPr>
        <w:t>,</w:t>
      </w:r>
      <w:r w:rsidRPr="00460AC1">
        <w:rPr>
          <w:rFonts w:eastAsia="Calibri"/>
        </w:rPr>
        <w:t xml:space="preserve"> it had acquired control of various wireless radio devices utilized by these smaller railroads in the wireless radio services without prior Commission consent.</w:t>
      </w:r>
      <w:r>
        <w:rPr>
          <w:rStyle w:val="FootnoteReference"/>
          <w:rFonts w:eastAsiaTheme="minorHAnsi"/>
          <w:snapToGrid/>
          <w:kern w:val="0"/>
          <w:szCs w:val="22"/>
        </w:rPr>
        <w:footnoteReference w:id="24"/>
      </w:r>
      <w:r>
        <w:rPr>
          <w:rFonts w:eastAsiaTheme="minorHAnsi"/>
          <w:snapToGrid/>
          <w:kern w:val="0"/>
          <w:szCs w:val="22"/>
        </w:rPr>
        <w:t xml:space="preserve">  </w:t>
      </w:r>
      <w:r>
        <w:rPr>
          <w:rFonts w:eastAsia="Calibri"/>
        </w:rPr>
        <w:t xml:space="preserve">The Company commenced a comprehensive internal audit of all of its FCC authorizations, and voluntarily </w:t>
      </w:r>
      <w:r w:rsidRPr="00676566">
        <w:rPr>
          <w:rFonts w:eastAsia="Calibri"/>
        </w:rPr>
        <w:t xml:space="preserve">disclosed its </w:t>
      </w:r>
      <w:r>
        <w:rPr>
          <w:rFonts w:eastAsia="Calibri"/>
        </w:rPr>
        <w:t xml:space="preserve">violations </w:t>
      </w:r>
      <w:r w:rsidRPr="00676566">
        <w:rPr>
          <w:rFonts w:eastAsia="Calibri"/>
        </w:rPr>
        <w:t>to the Commission.</w:t>
      </w:r>
      <w:r w:rsidRPr="00676566">
        <w:rPr>
          <w:rStyle w:val="FootnoteReference"/>
          <w:rFonts w:eastAsia="Calibri"/>
        </w:rPr>
        <w:footnoteReference w:id="25"/>
      </w:r>
      <w:r w:rsidRPr="00676566">
        <w:rPr>
          <w:rFonts w:eastAsia="Calibri"/>
        </w:rPr>
        <w:t xml:space="preserve">  The Bureau </w:t>
      </w:r>
      <w:r>
        <w:rPr>
          <w:rFonts w:eastAsia="Calibri"/>
        </w:rPr>
        <w:t xml:space="preserve">then </w:t>
      </w:r>
      <w:r w:rsidRPr="00676566">
        <w:rPr>
          <w:rFonts w:eastAsia="Calibri"/>
        </w:rPr>
        <w:t>commenced its Investigation of</w:t>
      </w:r>
      <w:r>
        <w:rPr>
          <w:rFonts w:eastAsia="Calibri"/>
        </w:rPr>
        <w:t xml:space="preserve"> CP’s compliance with applicable provisions of the Act and Rules related to the transfer and operation of wireless radio services authorized by the FCC</w:t>
      </w:r>
      <w:r w:rsidRPr="00460AC1">
        <w:rPr>
          <w:rFonts w:eastAsiaTheme="minorHAnsi"/>
          <w:snapToGrid/>
          <w:kern w:val="0"/>
          <w:szCs w:val="22"/>
        </w:rPr>
        <w:t>.</w:t>
      </w:r>
      <w:r w:rsidRPr="00460AC1">
        <w:rPr>
          <w:rFonts w:eastAsia="Calibri"/>
        </w:rPr>
        <w:t xml:space="preserve"> </w:t>
      </w:r>
    </w:p>
    <w:p w14:paraId="027BEFF1" w14:textId="77777777" w:rsidR="00D22774" w:rsidRPr="00916869" w:rsidRDefault="00D22774" w:rsidP="00D22774">
      <w:pPr>
        <w:pStyle w:val="ParaNum0"/>
        <w:widowControl/>
        <w:rPr>
          <w:rFonts w:eastAsia="Calibri"/>
        </w:rPr>
      </w:pPr>
      <w:r>
        <w:rPr>
          <w:rFonts w:eastAsia="Calibri"/>
        </w:rPr>
        <w:t xml:space="preserve">The Investigation revealed that CP </w:t>
      </w:r>
      <w:r w:rsidRPr="00E46C15">
        <w:rPr>
          <w:rFonts w:eastAsia="Calibri"/>
        </w:rPr>
        <w:t xml:space="preserve">consummated </w:t>
      </w:r>
      <w:r w:rsidRPr="000847C9">
        <w:rPr>
          <w:rFonts w:eastAsia="Calibri"/>
        </w:rPr>
        <w:t xml:space="preserve">two substantial and one </w:t>
      </w:r>
      <w:r w:rsidRPr="000847C9">
        <w:rPr>
          <w:rFonts w:eastAsia="Calibri"/>
          <w:i/>
        </w:rPr>
        <w:t xml:space="preserve">pro forma </w:t>
      </w:r>
      <w:r w:rsidRPr="000847C9">
        <w:rPr>
          <w:rFonts w:eastAsia="Calibri"/>
        </w:rPr>
        <w:t>transactions,</w:t>
      </w:r>
      <w:r w:rsidRPr="000847C9">
        <w:rPr>
          <w:rStyle w:val="FootnoteReference"/>
          <w:rFonts w:eastAsia="Calibri"/>
        </w:rPr>
        <w:footnoteReference w:id="26"/>
      </w:r>
      <w:r w:rsidRPr="00E46C15">
        <w:rPr>
          <w:rFonts w:eastAsia="Calibri"/>
        </w:rPr>
        <w:t xml:space="preserve"> </w:t>
      </w:r>
      <w:r>
        <w:rPr>
          <w:rFonts w:eastAsia="Calibri"/>
        </w:rPr>
        <w:t xml:space="preserve">involving more than thirty wireless radio licenses, without having obtained prior Commission </w:t>
      </w:r>
      <w:r w:rsidRPr="007948E3">
        <w:rPr>
          <w:rFonts w:eastAsia="Calibri"/>
        </w:rPr>
        <w:t>consent</w:t>
      </w:r>
      <w:r>
        <w:rPr>
          <w:rFonts w:eastAsia="Calibri"/>
        </w:rPr>
        <w:t>.</w:t>
      </w:r>
      <w:r>
        <w:rPr>
          <w:rStyle w:val="FootnoteReference"/>
          <w:rFonts w:eastAsia="Calibri"/>
          <w:szCs w:val="22"/>
        </w:rPr>
        <w:footnoteReference w:id="27"/>
      </w:r>
      <w:r>
        <w:rPr>
          <w:rFonts w:eastAsia="Calibri"/>
        </w:rPr>
        <w:t xml:space="preserve"> </w:t>
      </w:r>
      <w:r w:rsidRPr="00E46C15">
        <w:rPr>
          <w:rFonts w:eastAsia="Calibri"/>
        </w:rPr>
        <w:t xml:space="preserve"> </w:t>
      </w:r>
      <w:r w:rsidRPr="00175E17">
        <w:rPr>
          <w:rFonts w:eastAsia="Calibri"/>
        </w:rPr>
        <w:t xml:space="preserve">The </w:t>
      </w:r>
      <w:r>
        <w:rPr>
          <w:rFonts w:eastAsia="Calibri"/>
        </w:rPr>
        <w:t xml:space="preserve">substantial </w:t>
      </w:r>
      <w:r w:rsidRPr="00175E17">
        <w:rPr>
          <w:rFonts w:eastAsia="Calibri"/>
        </w:rPr>
        <w:t>unauthorized trans</w:t>
      </w:r>
      <w:r>
        <w:rPr>
          <w:rFonts w:eastAsia="Calibri"/>
        </w:rPr>
        <w:t xml:space="preserve">actions dated back to 2008, and </w:t>
      </w:r>
      <w:r w:rsidRPr="00C85FE4">
        <w:rPr>
          <w:rFonts w:eastAsiaTheme="minorHAnsi"/>
          <w:snapToGrid/>
          <w:kern w:val="0"/>
          <w:szCs w:val="22"/>
        </w:rPr>
        <w:t>a</w:t>
      </w:r>
      <w:r>
        <w:rPr>
          <w:rFonts w:eastAsiaTheme="minorHAnsi"/>
          <w:snapToGrid/>
          <w:kern w:val="0"/>
          <w:szCs w:val="22"/>
        </w:rPr>
        <w:t xml:space="preserve"> further</w:t>
      </w:r>
      <w:r w:rsidRPr="00C85FE4">
        <w:rPr>
          <w:rFonts w:eastAsiaTheme="minorHAnsi"/>
          <w:snapToGrid/>
          <w:kern w:val="0"/>
          <w:szCs w:val="22"/>
        </w:rPr>
        <w:t xml:space="preserve"> </w:t>
      </w:r>
      <w:r w:rsidRPr="00C85FE4">
        <w:rPr>
          <w:rFonts w:eastAsiaTheme="minorHAnsi"/>
          <w:i/>
          <w:iCs/>
          <w:snapToGrid/>
          <w:kern w:val="0"/>
          <w:szCs w:val="22"/>
        </w:rPr>
        <w:t>pro forma</w:t>
      </w:r>
      <w:r>
        <w:rPr>
          <w:rFonts w:eastAsiaTheme="minorHAnsi"/>
          <w:i/>
          <w:iCs/>
          <w:snapToGrid/>
          <w:kern w:val="0"/>
          <w:szCs w:val="22"/>
        </w:rPr>
        <w:t xml:space="preserve"> </w:t>
      </w:r>
      <w:r w:rsidRPr="00C85FE4">
        <w:rPr>
          <w:rFonts w:eastAsiaTheme="minorHAnsi"/>
          <w:snapToGrid/>
          <w:kern w:val="0"/>
          <w:szCs w:val="22"/>
        </w:rPr>
        <w:t>transaction</w:t>
      </w:r>
      <w:r>
        <w:rPr>
          <w:rFonts w:eastAsiaTheme="minorHAnsi"/>
          <w:snapToGrid/>
          <w:kern w:val="0"/>
          <w:szCs w:val="22"/>
        </w:rPr>
        <w:t xml:space="preserve"> occurred t</w:t>
      </w:r>
      <w:r w:rsidRPr="00E36F0F">
        <w:rPr>
          <w:rFonts w:eastAsiaTheme="minorHAnsi"/>
          <w:snapToGrid/>
          <w:kern w:val="0"/>
          <w:szCs w:val="22"/>
        </w:rPr>
        <w:t xml:space="preserve">wo months after CP acquired control of </w:t>
      </w:r>
      <w:r>
        <w:rPr>
          <w:rFonts w:eastAsiaTheme="minorHAnsi"/>
          <w:snapToGrid/>
          <w:kern w:val="0"/>
          <w:szCs w:val="22"/>
        </w:rPr>
        <w:t>the railroads.</w:t>
      </w:r>
      <w:r>
        <w:rPr>
          <w:rStyle w:val="FootnoteReference"/>
          <w:rFonts w:eastAsiaTheme="minorHAnsi"/>
          <w:snapToGrid/>
          <w:kern w:val="0"/>
          <w:szCs w:val="22"/>
        </w:rPr>
        <w:footnoteReference w:id="28"/>
      </w:r>
      <w:r w:rsidRPr="00E36F0F">
        <w:rPr>
          <w:rFonts w:eastAsiaTheme="minorHAnsi"/>
          <w:snapToGrid/>
          <w:kern w:val="0"/>
          <w:szCs w:val="22"/>
        </w:rPr>
        <w:t xml:space="preserve"> </w:t>
      </w:r>
      <w:r>
        <w:rPr>
          <w:rFonts w:eastAsiaTheme="minorHAnsi"/>
          <w:snapToGrid/>
          <w:kern w:val="0"/>
          <w:szCs w:val="22"/>
        </w:rPr>
        <w:t xml:space="preserve"> </w:t>
      </w:r>
      <w:r w:rsidRPr="007729C6">
        <w:rPr>
          <w:rFonts w:eastAsiaTheme="minorHAnsi"/>
          <w:snapToGrid/>
          <w:kern w:val="0"/>
          <w:szCs w:val="22"/>
        </w:rPr>
        <w:t>Both DM&amp;E and IC&amp;E were FCC licensees, and no transfer of control authority was sought from the FC</w:t>
      </w:r>
      <w:r>
        <w:rPr>
          <w:rFonts w:eastAsiaTheme="minorHAnsi"/>
          <w:snapToGrid/>
          <w:kern w:val="0"/>
          <w:szCs w:val="22"/>
        </w:rPr>
        <w:t>C at the time of the substantial</w:t>
      </w:r>
      <w:r w:rsidRPr="007729C6">
        <w:rPr>
          <w:rFonts w:eastAsiaTheme="minorHAnsi"/>
          <w:snapToGrid/>
          <w:kern w:val="0"/>
          <w:szCs w:val="22"/>
        </w:rPr>
        <w:t xml:space="preserve"> October 30, 2008 transaction</w:t>
      </w:r>
      <w:r>
        <w:rPr>
          <w:rFonts w:eastAsiaTheme="minorHAnsi"/>
          <w:snapToGrid/>
          <w:kern w:val="0"/>
          <w:szCs w:val="22"/>
        </w:rPr>
        <w:t xml:space="preserve">, or the subsequent </w:t>
      </w:r>
      <w:r w:rsidRPr="005E6EBF">
        <w:rPr>
          <w:rFonts w:eastAsiaTheme="minorHAnsi"/>
          <w:i/>
          <w:snapToGrid/>
          <w:kern w:val="0"/>
          <w:szCs w:val="22"/>
        </w:rPr>
        <w:t>pro forma</w:t>
      </w:r>
      <w:r>
        <w:rPr>
          <w:rFonts w:eastAsiaTheme="minorHAnsi"/>
          <w:snapToGrid/>
          <w:kern w:val="0"/>
          <w:szCs w:val="22"/>
        </w:rPr>
        <w:t xml:space="preserve"> transaction</w:t>
      </w:r>
      <w:r w:rsidRPr="007729C6">
        <w:rPr>
          <w:rFonts w:eastAsiaTheme="minorHAnsi"/>
          <w:snapToGrid/>
          <w:kern w:val="0"/>
          <w:szCs w:val="22"/>
        </w:rPr>
        <w:t>.</w:t>
      </w:r>
      <w:r>
        <w:rPr>
          <w:rStyle w:val="FootnoteReference"/>
          <w:rFonts w:eastAsiaTheme="minorHAnsi"/>
          <w:snapToGrid/>
          <w:kern w:val="0"/>
          <w:szCs w:val="22"/>
        </w:rPr>
        <w:footnoteReference w:id="29"/>
      </w:r>
      <w:r>
        <w:rPr>
          <w:rFonts w:eastAsia="Calibri"/>
        </w:rPr>
        <w:t xml:space="preserve">  </w:t>
      </w:r>
      <w:r w:rsidRPr="006C6E19">
        <w:rPr>
          <w:rFonts w:eastAsia="Calibri"/>
        </w:rPr>
        <w:t>The Inv</w:t>
      </w:r>
      <w:r>
        <w:rPr>
          <w:rFonts w:eastAsia="Calibri"/>
        </w:rPr>
        <w:t>estigation also revealed that CP</w:t>
      </w:r>
      <w:r w:rsidRPr="006C6E19">
        <w:rPr>
          <w:rFonts w:eastAsia="Calibri"/>
        </w:rPr>
        <w:t xml:space="preserve"> had constructed, relocated, modified, and/or operated </w:t>
      </w:r>
      <w:r>
        <w:rPr>
          <w:rFonts w:eastAsia="Calibri"/>
        </w:rPr>
        <w:t>more than a</w:t>
      </w:r>
      <w:r w:rsidRPr="006C6E19">
        <w:rPr>
          <w:rFonts w:eastAsia="Calibri"/>
        </w:rPr>
        <w:t xml:space="preserve"> hundred wireless facilities without approval from the FCC.</w:t>
      </w:r>
      <w:r w:rsidRPr="006C6E19">
        <w:rPr>
          <w:rFonts w:eastAsia="Calibri"/>
          <w:vertAlign w:val="superscript"/>
        </w:rPr>
        <w:footnoteReference w:id="30"/>
      </w:r>
      <w:r w:rsidRPr="006C6E19">
        <w:rPr>
          <w:rFonts w:eastAsia="Calibri"/>
        </w:rPr>
        <w:t xml:space="preserve">  </w:t>
      </w:r>
      <w:r w:rsidRPr="00175E17">
        <w:rPr>
          <w:rFonts w:eastAsia="Calibri"/>
        </w:rPr>
        <w:t xml:space="preserve">The earliest of the unauthorized </w:t>
      </w:r>
      <w:r>
        <w:rPr>
          <w:rFonts w:eastAsia="Calibri"/>
        </w:rPr>
        <w:t xml:space="preserve">radio operations dated back to 1979.  </w:t>
      </w:r>
      <w:r w:rsidRPr="0000082E">
        <w:rPr>
          <w:rFonts w:eastAsia="Calibri"/>
        </w:rPr>
        <w:t xml:space="preserve">All of the </w:t>
      </w:r>
      <w:r>
        <w:rPr>
          <w:rFonts w:eastAsia="Calibri"/>
        </w:rPr>
        <w:t xml:space="preserve">unauthorized operations continued unabated until 2015, </w:t>
      </w:r>
      <w:r w:rsidRPr="0000082E">
        <w:rPr>
          <w:rFonts w:eastAsia="Calibri"/>
        </w:rPr>
        <w:t>when the Commission’s Wireless Tele</w:t>
      </w:r>
      <w:r>
        <w:rPr>
          <w:rFonts w:eastAsia="Calibri"/>
        </w:rPr>
        <w:t>communications Bureau granted CP</w:t>
      </w:r>
      <w:r w:rsidRPr="0000082E">
        <w:rPr>
          <w:rFonts w:eastAsia="Calibri"/>
        </w:rPr>
        <w:t xml:space="preserve">’s multiple </w:t>
      </w:r>
      <w:r>
        <w:rPr>
          <w:rFonts w:eastAsia="Calibri"/>
        </w:rPr>
        <w:t xml:space="preserve">applications </w:t>
      </w:r>
      <w:r w:rsidRPr="0000082E">
        <w:rPr>
          <w:rFonts w:eastAsia="Calibri"/>
        </w:rPr>
        <w:t xml:space="preserve">for remedial </w:t>
      </w:r>
      <w:r>
        <w:rPr>
          <w:rFonts w:eastAsia="Calibri"/>
        </w:rPr>
        <w:t>authorization</w:t>
      </w:r>
      <w:r w:rsidRPr="0000082E">
        <w:rPr>
          <w:rFonts w:eastAsia="Calibri"/>
        </w:rPr>
        <w:t>.</w:t>
      </w:r>
      <w:r>
        <w:rPr>
          <w:rStyle w:val="FootnoteReference"/>
          <w:rFonts w:eastAsia="Calibri"/>
        </w:rPr>
        <w:footnoteReference w:id="31"/>
      </w:r>
      <w:r w:rsidRPr="0000684F">
        <w:rPr>
          <w:rFonts w:eastAsia="Calibri"/>
        </w:rPr>
        <w:t xml:space="preserve"> </w:t>
      </w:r>
      <w:r w:rsidRPr="00916869">
        <w:rPr>
          <w:rFonts w:eastAsia="Calibri"/>
        </w:rPr>
        <w:t xml:space="preserve">  </w:t>
      </w:r>
    </w:p>
    <w:p w14:paraId="67B0A992" w14:textId="77777777" w:rsidR="00D22774" w:rsidRPr="008B475E" w:rsidRDefault="00D22774" w:rsidP="00D22774">
      <w:pPr>
        <w:pStyle w:val="ParaNum0"/>
      </w:pPr>
      <w:r>
        <w:t>The Investigation did not reveal any evidence of complaints about interference from CP’s unauthorized operations, and the Company indicates that the radio facilities it constructed, relocated, modified, and operated without Commission authorization were at all times intended to enhance the safety of its rail system.</w:t>
      </w:r>
      <w:r w:rsidRPr="003A496F">
        <w:rPr>
          <w:sz w:val="20"/>
          <w:vertAlign w:val="superscript"/>
        </w:rPr>
        <w:footnoteReference w:id="32"/>
      </w:r>
      <w:r w:rsidRPr="001445A6">
        <w:t xml:space="preserve"> </w:t>
      </w:r>
      <w:r>
        <w:t xml:space="preserve"> CP reported its violations upon discovery, and the Company acknowledges that the scope and duration of its noncompliance was substantial.  To resolve the Bureau’s Investigation, the Parties now enter this Consent Decree to ensure CP’s future compliance with all applicable Communications Laws. </w:t>
      </w:r>
    </w:p>
    <w:p w14:paraId="7F6628A5" w14:textId="77777777" w:rsidR="00D22774" w:rsidRDefault="00D22774" w:rsidP="00D22774">
      <w:pPr>
        <w:pStyle w:val="Heading1"/>
        <w:widowControl/>
      </w:pPr>
      <w:r>
        <w:t>TERMS OF AGREEMENT</w:t>
      </w:r>
    </w:p>
    <w:p w14:paraId="0D323449" w14:textId="77777777" w:rsidR="00D22774" w:rsidRPr="0014487A" w:rsidRDefault="00D22774" w:rsidP="00D22774">
      <w:pPr>
        <w:pStyle w:val="ParaNum0"/>
        <w:rPr>
          <w:szCs w:val="22"/>
        </w:rPr>
      </w:pPr>
      <w:r w:rsidRPr="0014487A">
        <w:rPr>
          <w:b/>
          <w:u w:val="single"/>
        </w:rPr>
        <w:t>Adopting Order</w:t>
      </w:r>
      <w:r w:rsidRPr="0014487A">
        <w:rPr>
          <w:b/>
        </w:rPr>
        <w:t xml:space="preserve">.  </w:t>
      </w:r>
      <w:r>
        <w:t>The provisions of this Consent Decree shall be incorporated by the Bureau in an Adopting Order.</w:t>
      </w:r>
      <w:r w:rsidRPr="0014487A">
        <w:rPr>
          <w:b/>
          <w:u w:val="single"/>
        </w:rPr>
        <w:t xml:space="preserve"> </w:t>
      </w:r>
    </w:p>
    <w:p w14:paraId="5A0C8F30" w14:textId="77777777" w:rsidR="00D22774" w:rsidRDefault="00D22774" w:rsidP="00D22774">
      <w:pPr>
        <w:pStyle w:val="ParaNum0"/>
      </w:pPr>
      <w:r>
        <w:rPr>
          <w:b/>
          <w:u w:val="single"/>
        </w:rPr>
        <w:t>Jurisdictio</w:t>
      </w:r>
      <w:r w:rsidRPr="005E7DD6">
        <w:rPr>
          <w:b/>
          <w:u w:val="single"/>
        </w:rPr>
        <w:t>n</w:t>
      </w:r>
      <w:r w:rsidRPr="005E7DD6">
        <w:rPr>
          <w:b/>
        </w:rPr>
        <w:t>.</w:t>
      </w:r>
      <w:r>
        <w:t xml:space="preserve">  The Company agrees that the </w:t>
      </w:r>
      <w:r>
        <w:rPr>
          <w:bCs/>
        </w:rPr>
        <w:t>Bureau</w:t>
      </w:r>
      <w:r>
        <w:t xml:space="preserve"> has jurisdiction over it and the matters contained in this Consent Decree and that the Bureau has the authority to enter into and adopt this Consent Decree.</w:t>
      </w:r>
    </w:p>
    <w:p w14:paraId="2EDE06E5" w14:textId="77777777" w:rsidR="00D22774" w:rsidRPr="00725497" w:rsidRDefault="00D22774" w:rsidP="00D22774">
      <w:pPr>
        <w:pStyle w:val="ParaNum0"/>
        <w:rPr>
          <w:szCs w:val="22"/>
        </w:rPr>
      </w:pPr>
      <w:r w:rsidRPr="00725497">
        <w:rPr>
          <w:b/>
          <w:u w:val="single"/>
        </w:rPr>
        <w:t>Effective Date</w:t>
      </w:r>
      <w:r w:rsidRPr="00725497">
        <w:rPr>
          <w:b/>
        </w:rPr>
        <w:t xml:space="preserve">.  </w:t>
      </w:r>
      <w:r>
        <w:t xml:space="preserve">The Parties agree that this Consent Decree shall become effective on the Effective Date as defined herein.  As of the Effective Date, the Parties agree that this Consent Decree shall have the same force and effect as any other order of the Commission.  </w:t>
      </w:r>
    </w:p>
    <w:p w14:paraId="16BB4C98" w14:textId="77777777" w:rsidR="00D22774" w:rsidRPr="00725497" w:rsidRDefault="00D22774" w:rsidP="00D22774">
      <w:pPr>
        <w:pStyle w:val="ParaNum0"/>
        <w:rPr>
          <w:szCs w:val="22"/>
        </w:rPr>
      </w:pPr>
      <w:r w:rsidRPr="00725497">
        <w:rPr>
          <w:b/>
          <w:szCs w:val="22"/>
          <w:u w:val="single"/>
        </w:rPr>
        <w:t>Termination of Investigation</w:t>
      </w:r>
      <w:r w:rsidRPr="00725497">
        <w:rPr>
          <w:b/>
          <w:szCs w:val="22"/>
        </w:rPr>
        <w:t xml:space="preserve">.  </w:t>
      </w:r>
      <w:r>
        <w:t>In express reliance on the covenants and representations in this Consent Decree and to avoid further expenditure of public resources, the Bureau agrees to terminate the Investigation.  In consideration for the termination of the Investigation, the Company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the Company concerning the matters that were the subject of the Investigation.</w:t>
      </w:r>
      <w:r>
        <w:rPr>
          <w:rStyle w:val="FootnoteReference"/>
        </w:rPr>
        <w:footnoteReference w:id="33"/>
      </w:r>
      <w:r>
        <w:t xml:space="preserve">  </w:t>
      </w:r>
      <w:r w:rsidRPr="00725497">
        <w:rPr>
          <w:szCs w:val="22"/>
        </w:rPr>
        <w:t xml:space="preserve">The Bureau also agrees that, in the absence of new material evidence, it will not use the facts developed in the Investigation through the Effective Date, or the existence of this Consent Decree, to institute on its own motion any proceeding, formal or informal, or </w:t>
      </w:r>
      <w:r>
        <w:rPr>
          <w:szCs w:val="22"/>
        </w:rPr>
        <w:t xml:space="preserve">to set for hearing the question of </w:t>
      </w:r>
      <w:r w:rsidRPr="00725497">
        <w:rPr>
          <w:szCs w:val="22"/>
        </w:rPr>
        <w:t>the Company</w:t>
      </w:r>
      <w:r>
        <w:rPr>
          <w:szCs w:val="22"/>
        </w:rPr>
        <w:t>’s</w:t>
      </w:r>
      <w:r w:rsidRPr="00725497">
        <w:rPr>
          <w:szCs w:val="22"/>
        </w:rPr>
        <w:t xml:space="preserve"> basic qualifications</w:t>
      </w:r>
      <w:r>
        <w:rPr>
          <w:szCs w:val="22"/>
        </w:rPr>
        <w:t xml:space="preserve"> </w:t>
      </w:r>
      <w:r w:rsidRPr="00725497">
        <w:rPr>
          <w:szCs w:val="22"/>
        </w:rPr>
        <w:t>to be a Commission licensee or hold Commission licenses or authorizations.</w:t>
      </w:r>
      <w:r>
        <w:rPr>
          <w:rStyle w:val="FootnoteReference"/>
          <w:szCs w:val="22"/>
        </w:rPr>
        <w:footnoteReference w:id="34"/>
      </w:r>
    </w:p>
    <w:p w14:paraId="2A762F0C" w14:textId="77777777" w:rsidR="00D22774" w:rsidRDefault="00D22774" w:rsidP="00D22774">
      <w:pPr>
        <w:pStyle w:val="ParaNum0"/>
      </w:pPr>
      <w:r>
        <w:rPr>
          <w:b/>
          <w:u w:val="single"/>
        </w:rPr>
        <w:t>Admission of Liability</w:t>
      </w:r>
      <w:r w:rsidRPr="00DA601E">
        <w:rPr>
          <w:b/>
        </w:rPr>
        <w:t>.</w:t>
      </w:r>
      <w:r>
        <w:t xml:space="preserve">  CP admits, solely for </w:t>
      </w:r>
      <w:r w:rsidRPr="00463EFE">
        <w:t>the purpose of this Consent Decree and for Commission civil enforcement purposes, and in express reliance on</w:t>
      </w:r>
      <w:r>
        <w:t xml:space="preserve"> the provisions of paragraph 11</w:t>
      </w:r>
      <w:r w:rsidRPr="00686747">
        <w:t xml:space="preserve"> </w:t>
      </w:r>
      <w:r w:rsidRPr="00463EFE">
        <w:t>herein, that its a</w:t>
      </w:r>
      <w:r>
        <w:t>ctions described in paragraphs 4 through 7</w:t>
      </w:r>
      <w:r w:rsidRPr="00463EFE">
        <w:t xml:space="preserve"> of this Consent Decree</w:t>
      </w:r>
      <w:r>
        <w:rPr>
          <w:b/>
        </w:rPr>
        <w:t xml:space="preserve"> </w:t>
      </w:r>
      <w:r>
        <w:t xml:space="preserve">violated Sections 310(d) and 301 of the Act, and Sections 1.948 and 1.903 of the Rules.  </w:t>
      </w:r>
    </w:p>
    <w:p w14:paraId="12F7B24F" w14:textId="77777777" w:rsidR="00D22774" w:rsidRPr="0071796F" w:rsidRDefault="00D22774" w:rsidP="00D22774">
      <w:pPr>
        <w:pStyle w:val="ParaNum0"/>
        <w:rPr>
          <w:szCs w:val="22"/>
        </w:rPr>
      </w:pPr>
      <w:r w:rsidRPr="00443909">
        <w:rPr>
          <w:b/>
          <w:u w:val="single"/>
        </w:rPr>
        <w:t>Compliance Officer</w:t>
      </w:r>
      <w:r w:rsidRPr="00686890">
        <w:rPr>
          <w:b/>
        </w:rPr>
        <w:t>.</w:t>
      </w:r>
      <w:r w:rsidRPr="00D510A9">
        <w:t xml:space="preserve">  Within </w:t>
      </w:r>
      <w:r>
        <w:t>thirty</w:t>
      </w:r>
      <w:r w:rsidRPr="00D510A9">
        <w:t xml:space="preserve"> (</w:t>
      </w:r>
      <w:r>
        <w:t>30</w:t>
      </w:r>
      <w:r w:rsidRPr="00D510A9">
        <w:t xml:space="preserve">) calendar days </w:t>
      </w:r>
      <w:r>
        <w:t xml:space="preserve">after </w:t>
      </w:r>
      <w:r w:rsidRPr="00D510A9">
        <w:t xml:space="preserve">the Effective Date, </w:t>
      </w:r>
      <w:r>
        <w:t xml:space="preserve">to the extent it has not already done so under its current compliance procedures, the Company </w:t>
      </w:r>
      <w:r w:rsidRPr="00D510A9">
        <w:t xml:space="preserve">shall designate a senior corporate manager with the requisite corporate and organizational authority to serve as </w:t>
      </w:r>
      <w:r>
        <w:t xml:space="preserve">a </w:t>
      </w:r>
      <w:r w:rsidRPr="00D510A9">
        <w:t xml:space="preserve">Compliance Officer </w:t>
      </w:r>
      <w:r w:rsidRPr="00D510A9">
        <w:rPr>
          <w:szCs w:val="22"/>
        </w:rPr>
        <w:t xml:space="preserve">and to discharge the duties set forth below.  </w:t>
      </w:r>
      <w:r w:rsidRPr="00683BCC">
        <w:t xml:space="preserve">The </w:t>
      </w:r>
      <w:r>
        <w:t xml:space="preserve">person designated as the </w:t>
      </w:r>
      <w:r w:rsidRPr="00683BCC">
        <w:t xml:space="preserve">Compliance Officer shall </w:t>
      </w:r>
      <w:r>
        <w:t xml:space="preserve">be responsible for developing, implementing, and administering the Compliance Plan and ensuring that the Company complies with the terms and conditions of the Compliance Plan and this Consent Decree.  </w:t>
      </w:r>
      <w:r w:rsidRPr="0071796F">
        <w:rPr>
          <w:szCs w:val="22"/>
        </w:rPr>
        <w:t xml:space="preserve">In addition to the general knowledge of the Communications Laws necessary to discharge his/her duties under this Consent Decree, the Compliance Officer shall have specific knowledge of </w:t>
      </w:r>
      <w:r w:rsidRPr="00B436B7">
        <w:t>Sections 310(d) and 30</w:t>
      </w:r>
      <w:r>
        <w:t xml:space="preserve">1 </w:t>
      </w:r>
      <w:r w:rsidRPr="00B436B7">
        <w:t xml:space="preserve">of the Act, and Sections 1.948 and </w:t>
      </w:r>
      <w:r>
        <w:t xml:space="preserve">1.903 of the Rules </w:t>
      </w:r>
      <w:r w:rsidRPr="0071796F">
        <w:rPr>
          <w:szCs w:val="22"/>
        </w:rPr>
        <w:t xml:space="preserve">prior to assuming his/her duties. </w:t>
      </w:r>
    </w:p>
    <w:p w14:paraId="43803719" w14:textId="77777777" w:rsidR="00D22774" w:rsidRPr="00D510A9" w:rsidRDefault="00D22774" w:rsidP="00D22774">
      <w:pPr>
        <w:pStyle w:val="ParaNum0"/>
        <w:rPr>
          <w:szCs w:val="22"/>
        </w:rPr>
      </w:pPr>
      <w:r>
        <w:rPr>
          <w:b/>
          <w:u w:val="single"/>
        </w:rPr>
        <w:t xml:space="preserve">Compliance </w:t>
      </w:r>
      <w:r w:rsidRPr="001A23C5">
        <w:rPr>
          <w:b/>
          <w:u w:val="single"/>
        </w:rPr>
        <w:t>Plan</w:t>
      </w:r>
      <w:r w:rsidRPr="001A23C5">
        <w:rPr>
          <w:b/>
        </w:rPr>
        <w:t>.</w:t>
      </w:r>
      <w:r>
        <w:t xml:space="preserve">  </w:t>
      </w:r>
      <w:r w:rsidRPr="00EA2918">
        <w:t>The Bureau recognizes that on May 16, 2014, the Company implemented, and has sin</w:t>
      </w:r>
      <w:r>
        <w:t>ce maintained, comprehensive c</w:t>
      </w:r>
      <w:r w:rsidRPr="00EA2918">
        <w:t xml:space="preserve">ompliance </w:t>
      </w:r>
      <w:r>
        <w:t>procedures</w:t>
      </w:r>
      <w:r w:rsidRPr="00EA2918">
        <w:t>, under which it has engaged in compliance reporting to the FCC.</w:t>
      </w:r>
      <w:r w:rsidRPr="00EA2918">
        <w:rPr>
          <w:rStyle w:val="FootnoteReference"/>
        </w:rPr>
        <w:footnoteReference w:id="35"/>
      </w:r>
      <w:r w:rsidRPr="00EA2918">
        <w:t xml:space="preserve">  For purposes of settling the matters set forth herein, the Company agrees that it shall con</w:t>
      </w:r>
      <w:r>
        <w:t>tinue to maintain its existing c</w:t>
      </w:r>
      <w:r w:rsidRPr="00EA2918">
        <w:t xml:space="preserve">ompliance </w:t>
      </w:r>
      <w:r>
        <w:t>procedures</w:t>
      </w:r>
      <w:r w:rsidRPr="00EA2918">
        <w:t>.</w:t>
      </w:r>
      <w:r>
        <w:t xml:space="preserve">  In addition, within ninety (90) calendar days after the Effective Date,</w:t>
      </w:r>
      <w:r w:rsidRPr="004F127D">
        <w:t xml:space="preserve"> </w:t>
      </w:r>
      <w:r>
        <w:t xml:space="preserve">the Company shall </w:t>
      </w:r>
      <w:r w:rsidRPr="004F127D">
        <w:t xml:space="preserve">develop and implement </w:t>
      </w:r>
      <w:r>
        <w:t>the measures described below,</w:t>
      </w:r>
      <w:r w:rsidRPr="004F127D">
        <w:t xml:space="preserve"> </w:t>
      </w:r>
      <w:r>
        <w:t xml:space="preserve">if not already in place, to </w:t>
      </w:r>
      <w:r w:rsidRPr="004F127D">
        <w:t>ensure future compliance with the Communications Laws</w:t>
      </w:r>
      <w:r>
        <w:t xml:space="preserve"> and with the terms and conditions of this Consent Decree.</w:t>
      </w:r>
      <w:r w:rsidRPr="004F127D">
        <w:t xml:space="preserve">  </w:t>
      </w:r>
      <w:r>
        <w:t>With respect to</w:t>
      </w:r>
      <w:r w:rsidRPr="00C15C97">
        <w:t xml:space="preserve"> Sections 310(d) and 301 of the Act and Sections 1.948 and 1.903 of the Rules, </w:t>
      </w:r>
      <w:r>
        <w:t xml:space="preserve">the Company will implement, at a minimum, </w:t>
      </w:r>
      <w:r w:rsidRPr="004F127D">
        <w:rPr>
          <w:szCs w:val="22"/>
        </w:rPr>
        <w:t>the following</w:t>
      </w:r>
      <w:r>
        <w:rPr>
          <w:szCs w:val="22"/>
        </w:rPr>
        <w:t xml:space="preserve"> procedures</w:t>
      </w:r>
      <w:r w:rsidRPr="00D510A9">
        <w:t>:</w:t>
      </w:r>
    </w:p>
    <w:p w14:paraId="28CE8EFA" w14:textId="77777777" w:rsidR="00D22774" w:rsidRPr="00EB3D7E" w:rsidRDefault="00D22774" w:rsidP="00D22774">
      <w:pPr>
        <w:widowControl/>
        <w:numPr>
          <w:ilvl w:val="0"/>
          <w:numId w:val="48"/>
        </w:numPr>
        <w:tabs>
          <w:tab w:val="clear" w:pos="1872"/>
          <w:tab w:val="left" w:pos="720"/>
        </w:tabs>
        <w:spacing w:after="120"/>
        <w:ind w:left="1890"/>
        <w:rPr>
          <w:szCs w:val="22"/>
        </w:rPr>
      </w:pPr>
      <w:r w:rsidRPr="00503112">
        <w:rPr>
          <w:b/>
          <w:szCs w:val="22"/>
          <w:u w:val="single"/>
        </w:rPr>
        <w:t>Operating Procedure</w:t>
      </w:r>
      <w:r w:rsidRPr="005E7DD6">
        <w:rPr>
          <w:b/>
          <w:szCs w:val="22"/>
          <w:u w:val="single"/>
        </w:rPr>
        <w:t>s</w:t>
      </w:r>
      <w:r w:rsidRPr="005E7DD6">
        <w:rPr>
          <w:b/>
          <w:szCs w:val="22"/>
        </w:rPr>
        <w:t xml:space="preserve">.  </w:t>
      </w:r>
      <w:r w:rsidRPr="00503112">
        <w:rPr>
          <w:szCs w:val="22"/>
        </w:rPr>
        <w:t xml:space="preserve">Within </w:t>
      </w:r>
      <w:r>
        <w:rPr>
          <w:szCs w:val="22"/>
        </w:rPr>
        <w:t xml:space="preserve">sixty (60) </w:t>
      </w:r>
      <w:r w:rsidRPr="00503112">
        <w:rPr>
          <w:szCs w:val="22"/>
        </w:rPr>
        <w:t xml:space="preserve">calendar days after the Effective Date, </w:t>
      </w:r>
      <w:r>
        <w:t>the Company</w:t>
      </w:r>
      <w:r w:rsidRPr="00503112">
        <w:rPr>
          <w:szCs w:val="22"/>
        </w:rPr>
        <w:t xml:space="preserve"> shall establish Operating Procedures that all Covered Employees shall follow to help ensure </w:t>
      </w:r>
      <w:r>
        <w:t>the Company’s</w:t>
      </w:r>
      <w:r w:rsidRPr="00503112">
        <w:rPr>
          <w:szCs w:val="22"/>
        </w:rPr>
        <w:t xml:space="preserve"> compliance</w:t>
      </w:r>
      <w:r>
        <w:rPr>
          <w:szCs w:val="22"/>
        </w:rPr>
        <w:t xml:space="preserve"> with</w:t>
      </w:r>
      <w:r w:rsidRPr="00503112">
        <w:rPr>
          <w:szCs w:val="22"/>
        </w:rPr>
        <w:t xml:space="preserve"> </w:t>
      </w:r>
      <w:r w:rsidRPr="005421E6">
        <w:rPr>
          <w:szCs w:val="22"/>
        </w:rPr>
        <w:t>Sections 310(d) and 301 of the Act and Sections 1.948 and 1.903 of the Rules</w:t>
      </w:r>
      <w:r w:rsidRPr="00503112">
        <w:rPr>
          <w:szCs w:val="22"/>
        </w:rPr>
        <w:t xml:space="preserve">.  </w:t>
      </w:r>
      <w:r w:rsidRPr="00A348AD">
        <w:rPr>
          <w:szCs w:val="22"/>
        </w:rPr>
        <w:t>The Company</w:t>
      </w:r>
      <w:r>
        <w:rPr>
          <w:szCs w:val="22"/>
        </w:rPr>
        <w:t>’s Operating Procedures</w:t>
      </w:r>
      <w:r w:rsidRPr="00A348AD">
        <w:rPr>
          <w:szCs w:val="22"/>
        </w:rPr>
        <w:t xml:space="preserve"> shall include internal procedures and policies specifically des</w:t>
      </w:r>
      <w:r>
        <w:rPr>
          <w:szCs w:val="22"/>
        </w:rPr>
        <w:t>igned to ensure that the Company</w:t>
      </w:r>
      <w:r w:rsidRPr="00A348AD">
        <w:rPr>
          <w:szCs w:val="22"/>
        </w:rPr>
        <w:t xml:space="preserve"> </w:t>
      </w:r>
      <w:r>
        <w:rPr>
          <w:szCs w:val="22"/>
        </w:rPr>
        <w:t>complies</w:t>
      </w:r>
      <w:r w:rsidRPr="00A348AD">
        <w:rPr>
          <w:szCs w:val="22"/>
        </w:rPr>
        <w:t xml:space="preserve"> with </w:t>
      </w:r>
      <w:r>
        <w:t>S</w:t>
      </w:r>
      <w:r w:rsidRPr="00F854AF">
        <w:t>ection</w:t>
      </w:r>
      <w:r>
        <w:t>s 310(d)</w:t>
      </w:r>
      <w:r w:rsidRPr="00F854AF">
        <w:t xml:space="preserve"> </w:t>
      </w:r>
      <w:r>
        <w:t xml:space="preserve">and 301 </w:t>
      </w:r>
      <w:r w:rsidRPr="00F854AF">
        <w:t xml:space="preserve">of </w:t>
      </w:r>
      <w:r>
        <w:t xml:space="preserve">the </w:t>
      </w:r>
      <w:r w:rsidRPr="00F854AF">
        <w:t>Act</w:t>
      </w:r>
      <w:r>
        <w:t xml:space="preserve"> and Sections 1.948 and 1.903 of the Rules</w:t>
      </w:r>
      <w:r w:rsidRPr="00A348AD">
        <w:rPr>
          <w:szCs w:val="22"/>
        </w:rPr>
        <w:t>.</w:t>
      </w:r>
      <w:r>
        <w:t xml:space="preserve"> </w:t>
      </w:r>
      <w:r>
        <w:rPr>
          <w:szCs w:val="22"/>
        </w:rPr>
        <w:t xml:space="preserve"> </w:t>
      </w:r>
      <w:r>
        <w:t xml:space="preserve">The Company </w:t>
      </w:r>
      <w:r>
        <w:rPr>
          <w:szCs w:val="22"/>
        </w:rPr>
        <w:t xml:space="preserve">shall also develop a Compliance Checklist that describes the steps that a Covered Employee must follow to ensure compliance with </w:t>
      </w:r>
      <w:r>
        <w:t>S</w:t>
      </w:r>
      <w:r w:rsidRPr="00F854AF">
        <w:t>ection</w:t>
      </w:r>
      <w:r>
        <w:t>s 310(d)</w:t>
      </w:r>
      <w:r w:rsidRPr="00F854AF">
        <w:t xml:space="preserve"> </w:t>
      </w:r>
      <w:r>
        <w:t xml:space="preserve">and 301 </w:t>
      </w:r>
      <w:r w:rsidRPr="00F854AF">
        <w:t>of</w:t>
      </w:r>
      <w:r>
        <w:t xml:space="preserve"> the</w:t>
      </w:r>
      <w:r w:rsidRPr="00F854AF">
        <w:t xml:space="preserve"> Act</w:t>
      </w:r>
      <w:r>
        <w:t xml:space="preserve"> and Sections 1.948 and 1.903 of the Rules</w:t>
      </w:r>
      <w:r>
        <w:rPr>
          <w:szCs w:val="22"/>
        </w:rPr>
        <w:t>.</w:t>
      </w:r>
    </w:p>
    <w:p w14:paraId="174FDEF2" w14:textId="77777777" w:rsidR="00D22774" w:rsidRPr="008F5028" w:rsidRDefault="00D22774" w:rsidP="00D22774">
      <w:pPr>
        <w:widowControl/>
        <w:numPr>
          <w:ilvl w:val="0"/>
          <w:numId w:val="48"/>
        </w:numPr>
        <w:tabs>
          <w:tab w:val="left" w:pos="720"/>
        </w:tabs>
        <w:spacing w:after="120"/>
        <w:ind w:left="1890"/>
        <w:rPr>
          <w:szCs w:val="22"/>
        </w:rPr>
      </w:pPr>
      <w:r w:rsidRPr="008F5028">
        <w:rPr>
          <w:b/>
          <w:szCs w:val="22"/>
          <w:u w:val="single"/>
        </w:rPr>
        <w:t>Compliance Manua</w:t>
      </w:r>
      <w:r w:rsidRPr="00915A2E">
        <w:rPr>
          <w:b/>
          <w:szCs w:val="22"/>
          <w:u w:val="single"/>
        </w:rPr>
        <w:t>l</w:t>
      </w:r>
      <w:r w:rsidRPr="00915A2E">
        <w:rPr>
          <w:b/>
          <w:szCs w:val="22"/>
        </w:rPr>
        <w:t xml:space="preserve">.  </w:t>
      </w:r>
      <w:r w:rsidRPr="00915A2E">
        <w:rPr>
          <w:szCs w:val="22"/>
        </w:rPr>
        <w:t xml:space="preserve">Within </w:t>
      </w:r>
      <w:r>
        <w:rPr>
          <w:szCs w:val="22"/>
        </w:rPr>
        <w:t xml:space="preserve">ninety (90) </w:t>
      </w:r>
      <w:r w:rsidRPr="00915A2E">
        <w:rPr>
          <w:szCs w:val="22"/>
        </w:rPr>
        <w:t>calendar days after the Effective Date, the Compliance Officer shall develop and distribute a Compliance Manual to all Covered Employees</w:t>
      </w:r>
      <w:r>
        <w:rPr>
          <w:szCs w:val="22"/>
        </w:rPr>
        <w:t xml:space="preserve">.  </w:t>
      </w:r>
      <w:r w:rsidRPr="0008609B">
        <w:rPr>
          <w:szCs w:val="22"/>
        </w:rPr>
        <w:t>The Compliance Manual shall explain the Communications Laws that apply to the Compan</w:t>
      </w:r>
      <w:r>
        <w:rPr>
          <w:szCs w:val="22"/>
        </w:rPr>
        <w:t>y</w:t>
      </w:r>
      <w:r w:rsidRPr="0008609B">
        <w:rPr>
          <w:szCs w:val="22"/>
        </w:rPr>
        <w:t>, including</w:t>
      </w:r>
      <w:r>
        <w:rPr>
          <w:szCs w:val="22"/>
        </w:rPr>
        <w:t xml:space="preserve"> Sections 310(d) and 301 of the Act and Sections 1.948 and 1.903 of the Rules, and </w:t>
      </w:r>
      <w:r w:rsidRPr="008F5028">
        <w:rPr>
          <w:szCs w:val="22"/>
        </w:rPr>
        <w:t xml:space="preserve">set forth the Operating Procedures that Covered Employees shall follow to help ensure </w:t>
      </w:r>
      <w:r w:rsidRPr="00A1428C">
        <w:rPr>
          <w:szCs w:val="22"/>
        </w:rPr>
        <w:t>t</w:t>
      </w:r>
      <w:r w:rsidRPr="00907167">
        <w:rPr>
          <w:szCs w:val="22"/>
        </w:rPr>
        <w:t>he Compan</w:t>
      </w:r>
      <w:r>
        <w:rPr>
          <w:szCs w:val="22"/>
        </w:rPr>
        <w:t>y</w:t>
      </w:r>
      <w:r w:rsidRPr="008F5028">
        <w:rPr>
          <w:szCs w:val="22"/>
        </w:rPr>
        <w:t>’</w:t>
      </w:r>
      <w:r>
        <w:rPr>
          <w:szCs w:val="22"/>
        </w:rPr>
        <w:t>s</w:t>
      </w:r>
      <w:r w:rsidRPr="008F5028">
        <w:rPr>
          <w:szCs w:val="22"/>
        </w:rPr>
        <w:t xml:space="preserve"> compliance with </w:t>
      </w:r>
      <w:r>
        <w:t>S</w:t>
      </w:r>
      <w:r w:rsidRPr="00F854AF">
        <w:t>ection</w:t>
      </w:r>
      <w:r>
        <w:t>s 310(d)</w:t>
      </w:r>
      <w:r w:rsidRPr="00F854AF">
        <w:t xml:space="preserve"> </w:t>
      </w:r>
      <w:r>
        <w:t xml:space="preserve">and 301 </w:t>
      </w:r>
      <w:r w:rsidRPr="00F854AF">
        <w:t>of</w:t>
      </w:r>
      <w:r>
        <w:t xml:space="preserve"> the</w:t>
      </w:r>
      <w:r w:rsidRPr="00F854AF">
        <w:t xml:space="preserve"> Act</w:t>
      </w:r>
      <w:r>
        <w:t xml:space="preserve"> and Sections 1.948 and 1.903 of the Rules</w:t>
      </w:r>
      <w:r>
        <w:rPr>
          <w:szCs w:val="22"/>
        </w:rPr>
        <w:t>.  T</w:t>
      </w:r>
      <w:r w:rsidRPr="008F5028">
        <w:rPr>
          <w:szCs w:val="22"/>
        </w:rPr>
        <w:t>he Compan</w:t>
      </w:r>
      <w:r>
        <w:rPr>
          <w:szCs w:val="22"/>
        </w:rPr>
        <w:t>y</w:t>
      </w:r>
      <w:r w:rsidRPr="008F5028">
        <w:rPr>
          <w:szCs w:val="22"/>
        </w:rPr>
        <w:t xml:space="preserve"> shall </w:t>
      </w:r>
      <w:r>
        <w:rPr>
          <w:szCs w:val="22"/>
        </w:rPr>
        <w:t xml:space="preserve">periodically </w:t>
      </w:r>
      <w:r w:rsidRPr="008F5028">
        <w:rPr>
          <w:szCs w:val="22"/>
        </w:rPr>
        <w:t>review and revise the Compliance Manual as necessary to ensure that the information set forth therein remains current and accurate.  The Compan</w:t>
      </w:r>
      <w:r>
        <w:rPr>
          <w:szCs w:val="22"/>
        </w:rPr>
        <w:t>y</w:t>
      </w:r>
      <w:r w:rsidRPr="008F5028">
        <w:rPr>
          <w:szCs w:val="22"/>
        </w:rPr>
        <w:t xml:space="preserve"> shall distribute any revisions to the Compliance Manual promptly to</w:t>
      </w:r>
      <w:r>
        <w:rPr>
          <w:szCs w:val="22"/>
        </w:rPr>
        <w:t xml:space="preserve"> all</w:t>
      </w:r>
      <w:r w:rsidRPr="008F5028">
        <w:rPr>
          <w:szCs w:val="22"/>
        </w:rPr>
        <w:t xml:space="preserve"> Covered Employees.  </w:t>
      </w:r>
    </w:p>
    <w:p w14:paraId="6E28A062" w14:textId="77777777" w:rsidR="00D22774" w:rsidRDefault="00D22774" w:rsidP="00D22774">
      <w:pPr>
        <w:widowControl/>
        <w:numPr>
          <w:ilvl w:val="0"/>
          <w:numId w:val="48"/>
        </w:numPr>
        <w:tabs>
          <w:tab w:val="left" w:pos="720"/>
        </w:tabs>
        <w:spacing w:after="120"/>
        <w:ind w:left="1890"/>
        <w:rPr>
          <w:szCs w:val="22"/>
        </w:rPr>
      </w:pPr>
      <w:r w:rsidRPr="00EB3D7E">
        <w:rPr>
          <w:b/>
          <w:szCs w:val="22"/>
          <w:u w:val="single"/>
        </w:rPr>
        <w:t>Compliance Training Progra</w:t>
      </w:r>
      <w:r w:rsidRPr="001A23C5">
        <w:rPr>
          <w:b/>
          <w:szCs w:val="22"/>
          <w:u w:val="single"/>
        </w:rPr>
        <w:t>m</w:t>
      </w:r>
      <w:r w:rsidRPr="001A23C5">
        <w:rPr>
          <w:b/>
          <w:szCs w:val="22"/>
        </w:rPr>
        <w:t>.</w:t>
      </w:r>
      <w:r w:rsidRPr="00EB3D7E">
        <w:rPr>
          <w:szCs w:val="22"/>
        </w:rPr>
        <w:t xml:space="preserve">  </w:t>
      </w:r>
      <w:r>
        <w:t>The Company</w:t>
      </w:r>
      <w:r w:rsidRPr="00EB3D7E">
        <w:rPr>
          <w:szCs w:val="22"/>
        </w:rPr>
        <w:t xml:space="preserve"> shall establish and </w:t>
      </w:r>
      <w:r>
        <w:rPr>
          <w:szCs w:val="22"/>
        </w:rPr>
        <w:t xml:space="preserve">implement </w:t>
      </w:r>
      <w:r w:rsidRPr="00EB3D7E">
        <w:rPr>
          <w:szCs w:val="22"/>
        </w:rPr>
        <w:t xml:space="preserve">a </w:t>
      </w:r>
      <w:r>
        <w:rPr>
          <w:szCs w:val="22"/>
        </w:rPr>
        <w:t>Compliance Training P</w:t>
      </w:r>
      <w:r w:rsidRPr="00EB3D7E">
        <w:rPr>
          <w:szCs w:val="22"/>
        </w:rPr>
        <w:t>rogram on compliance with the Communications Laws</w:t>
      </w:r>
      <w:r>
        <w:rPr>
          <w:szCs w:val="22"/>
        </w:rPr>
        <w:t xml:space="preserve">, including </w:t>
      </w:r>
      <w:r>
        <w:t>S</w:t>
      </w:r>
      <w:r w:rsidRPr="00F854AF">
        <w:t>ection</w:t>
      </w:r>
      <w:r>
        <w:t>s 310(d)</w:t>
      </w:r>
      <w:r w:rsidRPr="00F854AF">
        <w:t xml:space="preserve"> </w:t>
      </w:r>
      <w:r>
        <w:t xml:space="preserve">and 301 </w:t>
      </w:r>
      <w:r w:rsidRPr="00F854AF">
        <w:t>of</w:t>
      </w:r>
      <w:r>
        <w:t xml:space="preserve"> the</w:t>
      </w:r>
      <w:r w:rsidRPr="00F854AF">
        <w:t xml:space="preserve"> Act</w:t>
      </w:r>
      <w:r>
        <w:t xml:space="preserve"> and Sections 1.948 and 1.903 of the Rules</w:t>
      </w:r>
      <w:r>
        <w:rPr>
          <w:szCs w:val="22"/>
        </w:rPr>
        <w:t>, and the Operating Procedures.</w:t>
      </w:r>
      <w:r w:rsidRPr="00EB3D7E">
        <w:rPr>
          <w:szCs w:val="22"/>
        </w:rPr>
        <w:t xml:space="preserve">  As part of the Compliance Training Program, Covered Employees shall be advised of </w:t>
      </w:r>
      <w:r>
        <w:t>the Company’s</w:t>
      </w:r>
      <w:r w:rsidRPr="00EB3D7E">
        <w:rPr>
          <w:szCs w:val="22"/>
        </w:rPr>
        <w:t xml:space="preserve"> obligation to report any noncompliance with </w:t>
      </w:r>
      <w:r>
        <w:t>S</w:t>
      </w:r>
      <w:r w:rsidRPr="00F854AF">
        <w:t>ection</w:t>
      </w:r>
      <w:r>
        <w:t>s 310(d)</w:t>
      </w:r>
      <w:r w:rsidRPr="00F854AF">
        <w:t xml:space="preserve"> </w:t>
      </w:r>
      <w:r>
        <w:t xml:space="preserve">and 301 </w:t>
      </w:r>
      <w:r w:rsidRPr="00F854AF">
        <w:t xml:space="preserve">of </w:t>
      </w:r>
      <w:r>
        <w:t xml:space="preserve">the </w:t>
      </w:r>
      <w:r w:rsidRPr="00F854AF">
        <w:t>Act</w:t>
      </w:r>
      <w:r>
        <w:t xml:space="preserve"> and Sections 1.948 and 1.903 of the Rules</w:t>
      </w:r>
      <w:r w:rsidRPr="00EB3D7E">
        <w:rPr>
          <w:szCs w:val="22"/>
        </w:rPr>
        <w:t xml:space="preserve"> under</w:t>
      </w:r>
      <w:r w:rsidRPr="001B76EB">
        <w:rPr>
          <w:b/>
          <w:szCs w:val="22"/>
        </w:rPr>
        <w:t xml:space="preserve"> </w:t>
      </w:r>
      <w:r w:rsidRPr="00463EFE">
        <w:rPr>
          <w:szCs w:val="22"/>
        </w:rPr>
        <w:t>paragraph</w:t>
      </w:r>
      <w:r w:rsidRPr="00463EFE">
        <w:rPr>
          <w:b/>
          <w:szCs w:val="22"/>
        </w:rPr>
        <w:t xml:space="preserve"> </w:t>
      </w:r>
      <w:r>
        <w:rPr>
          <w:szCs w:val="22"/>
        </w:rPr>
        <w:t>15</w:t>
      </w:r>
      <w:r w:rsidRPr="00463EFE">
        <w:rPr>
          <w:szCs w:val="22"/>
        </w:rPr>
        <w:t xml:space="preserve"> of</w:t>
      </w:r>
      <w:r w:rsidRPr="00EB3D7E">
        <w:rPr>
          <w:szCs w:val="22"/>
        </w:rPr>
        <w:t xml:space="preserve"> this Consent Decree and shall be instructed on how to disclose noncompliance to the Compliance Officer.  All Covered Employees shall be trained pursuant to the Compliance Training Program within </w:t>
      </w:r>
      <w:r>
        <w:rPr>
          <w:szCs w:val="22"/>
        </w:rPr>
        <w:t xml:space="preserve">one hundred twenty (120) </w:t>
      </w:r>
      <w:r w:rsidRPr="00EB3D7E">
        <w:rPr>
          <w:szCs w:val="22"/>
        </w:rPr>
        <w:t>calendar days after the Effective Date</w:t>
      </w:r>
      <w:r>
        <w:rPr>
          <w:szCs w:val="22"/>
        </w:rPr>
        <w:t xml:space="preserve"> except that</w:t>
      </w:r>
      <w:r>
        <w:rPr>
          <w:b/>
          <w:szCs w:val="22"/>
        </w:rPr>
        <w:t xml:space="preserve"> </w:t>
      </w:r>
      <w:r>
        <w:rPr>
          <w:szCs w:val="22"/>
        </w:rPr>
        <w:t>a</w:t>
      </w:r>
      <w:r w:rsidRPr="00EB3D7E">
        <w:rPr>
          <w:szCs w:val="22"/>
        </w:rPr>
        <w:t xml:space="preserve">ny person who becomes a Covered Employee at any time </w:t>
      </w:r>
      <w:r>
        <w:rPr>
          <w:szCs w:val="22"/>
        </w:rPr>
        <w:t xml:space="preserve">after the initial Compliance Training Program </w:t>
      </w:r>
      <w:r w:rsidRPr="00EB3D7E">
        <w:rPr>
          <w:szCs w:val="22"/>
        </w:rPr>
        <w:t xml:space="preserve">shall be trained within </w:t>
      </w:r>
      <w:r>
        <w:rPr>
          <w:szCs w:val="22"/>
        </w:rPr>
        <w:t xml:space="preserve">thirty (30) </w:t>
      </w:r>
      <w:r w:rsidRPr="00EB3D7E">
        <w:rPr>
          <w:szCs w:val="22"/>
        </w:rPr>
        <w:t xml:space="preserve">calendar days after the date such person becomes a Covered Employee.  </w:t>
      </w:r>
      <w:r>
        <w:t>The Company</w:t>
      </w:r>
      <w:r>
        <w:rPr>
          <w:szCs w:val="22"/>
        </w:rPr>
        <w:t xml:space="preserve"> shall repeat </w:t>
      </w:r>
      <w:r w:rsidRPr="00EB3D7E">
        <w:rPr>
          <w:szCs w:val="22"/>
        </w:rPr>
        <w:t>compliance training on an annual basis</w:t>
      </w:r>
      <w:r>
        <w:rPr>
          <w:szCs w:val="22"/>
        </w:rPr>
        <w:t xml:space="preserve">, and </w:t>
      </w:r>
      <w:r w:rsidRPr="00EB3D7E">
        <w:rPr>
          <w:szCs w:val="22"/>
        </w:rPr>
        <w:t xml:space="preserve">shall </w:t>
      </w:r>
      <w:r>
        <w:rPr>
          <w:szCs w:val="22"/>
        </w:rPr>
        <w:t xml:space="preserve">periodically </w:t>
      </w:r>
      <w:r w:rsidRPr="00EB3D7E">
        <w:rPr>
          <w:szCs w:val="22"/>
        </w:rPr>
        <w:t xml:space="preserve">review and revise the Compliance Training Program as necessary to ensure that it </w:t>
      </w:r>
      <w:r w:rsidRPr="00145E55">
        <w:rPr>
          <w:szCs w:val="22"/>
        </w:rPr>
        <w:t xml:space="preserve">remains current and complete and to enhance its effectiveness. </w:t>
      </w:r>
    </w:p>
    <w:p w14:paraId="279DD1D4" w14:textId="31ACA6EC" w:rsidR="00D22774" w:rsidRPr="00160CBE" w:rsidRDefault="00D22774" w:rsidP="00D22774">
      <w:pPr>
        <w:pStyle w:val="ParaNum0"/>
      </w:pPr>
      <w:r w:rsidRPr="00160CBE">
        <w:rPr>
          <w:b/>
          <w:u w:val="single"/>
        </w:rPr>
        <w:t>Reporting Noncompliance</w:t>
      </w:r>
      <w:r w:rsidRPr="001A23C5">
        <w:rPr>
          <w:b/>
        </w:rPr>
        <w:t>.</w:t>
      </w:r>
      <w:r w:rsidRPr="00160CBE">
        <w:t xml:space="preserve">  </w:t>
      </w:r>
      <w:r>
        <w:t>The Company</w:t>
      </w:r>
      <w:r w:rsidRPr="00160CBE">
        <w:t xml:space="preserve"> shall report any noncompliance with </w:t>
      </w:r>
      <w:r>
        <w:t>S</w:t>
      </w:r>
      <w:r w:rsidRPr="00F854AF">
        <w:t>ection</w:t>
      </w:r>
      <w:r>
        <w:t>s 310(d)</w:t>
      </w:r>
      <w:r w:rsidRPr="00F854AF">
        <w:t xml:space="preserve"> </w:t>
      </w:r>
      <w:r>
        <w:t xml:space="preserve">and 301 </w:t>
      </w:r>
      <w:r w:rsidRPr="00F854AF">
        <w:t xml:space="preserve">of </w:t>
      </w:r>
      <w:r>
        <w:t xml:space="preserve">the </w:t>
      </w:r>
      <w:r w:rsidRPr="00F854AF">
        <w:t>Act</w:t>
      </w:r>
      <w:r>
        <w:t xml:space="preserve"> and Sections 1.948 and 1.903 of the Rules</w:t>
      </w:r>
      <w:r w:rsidRPr="00160CBE">
        <w:t xml:space="preserve"> and with the terms and conditions of this Consent Decree within fifteen (15) calendar days after discovery of such noncompliance.  Such reports shall include a detailed explanation of</w:t>
      </w:r>
      <w:r>
        <w:t xml:space="preserve">: </w:t>
      </w:r>
      <w:r w:rsidRPr="00160CBE">
        <w:t xml:space="preserve"> (i) each instance of noncompliance; (ii) the steps that </w:t>
      </w:r>
      <w:r>
        <w:t>the Company</w:t>
      </w:r>
      <w:r w:rsidRPr="00160CBE">
        <w:t xml:space="preserve"> ha</w:t>
      </w:r>
      <w:r>
        <w:t>s</w:t>
      </w:r>
      <w:r w:rsidRPr="00160CBE">
        <w:t xml:space="preserve"> taken or will take to remedy such noncompliance; (iii) the schedule on which such remedial </w:t>
      </w:r>
      <w:r>
        <w:t xml:space="preserve">actions will be taken; and (iv) </w:t>
      </w:r>
      <w:r w:rsidRPr="00160CBE">
        <w:t xml:space="preserve">the steps that </w:t>
      </w:r>
      <w:r>
        <w:t>the Company</w:t>
      </w:r>
      <w:r w:rsidRPr="00160CBE">
        <w:t xml:space="preserve"> ha</w:t>
      </w:r>
      <w:r>
        <w:t>s</w:t>
      </w:r>
      <w:r w:rsidRPr="00160CBE">
        <w:t xml:space="preserve"> taken or will take to prevent the recurrence of any such noncompliance.  All reports of noncompliance shall be submitted to the Chief, Investigations </w:t>
      </w:r>
      <w:r>
        <w:t>&amp;</w:t>
      </w:r>
      <w:r w:rsidRPr="00160CBE">
        <w:t xml:space="preserve"> Hearings Division, Enforcement Bureau, Federal Communications Commission, Room 4-C330, 445 12th Street, SW</w:t>
      </w:r>
      <w:r>
        <w:t>,</w:t>
      </w:r>
      <w:r w:rsidRPr="00160CBE">
        <w:t xml:space="preserve"> Washington, DC 20554, with a copy submitted electronically to </w:t>
      </w:r>
      <w:r>
        <w:t>Jeffrey J. Gee</w:t>
      </w:r>
      <w:r w:rsidRPr="00160CBE">
        <w:t xml:space="preserve"> at </w:t>
      </w:r>
      <w:hyperlink r:id="rId14" w:history="1">
        <w:r w:rsidRPr="00CC14A3">
          <w:rPr>
            <w:rStyle w:val="Hyperlink"/>
          </w:rPr>
          <w:t>Jeffrey.Gee@fcc.gov</w:t>
        </w:r>
      </w:hyperlink>
      <w:r w:rsidRPr="00F4291A">
        <w:t xml:space="preserve">, </w:t>
      </w:r>
      <w:r>
        <w:rPr>
          <w:szCs w:val="22"/>
        </w:rPr>
        <w:t xml:space="preserve">and </w:t>
      </w:r>
      <w:r>
        <w:t xml:space="preserve">Gary Oshinsky at </w:t>
      </w:r>
      <w:hyperlink r:id="rId15" w:history="1">
        <w:r w:rsidRPr="00CC14A3">
          <w:rPr>
            <w:rStyle w:val="Hyperlink"/>
          </w:rPr>
          <w:t>Gary.Oshinsky@fcc.gov</w:t>
        </w:r>
      </w:hyperlink>
      <w:r w:rsidRPr="00160CBE">
        <w:t xml:space="preserve">.  </w:t>
      </w:r>
    </w:p>
    <w:p w14:paraId="6C87802A" w14:textId="77777777" w:rsidR="00D22774" w:rsidRPr="00160CBE" w:rsidRDefault="00D22774" w:rsidP="00D22774">
      <w:pPr>
        <w:pStyle w:val="ParaNum0"/>
      </w:pPr>
      <w:r w:rsidRPr="00160CBE">
        <w:rPr>
          <w:b/>
          <w:u w:val="single"/>
        </w:rPr>
        <w:t>Compliance Reports</w:t>
      </w:r>
      <w:r w:rsidRPr="001A23C5">
        <w:rPr>
          <w:b/>
        </w:rPr>
        <w:t>.</w:t>
      </w:r>
      <w:r w:rsidRPr="00160CBE">
        <w:t xml:space="preserve">  </w:t>
      </w:r>
      <w:r>
        <w:t xml:space="preserve">The Company </w:t>
      </w:r>
      <w:r w:rsidRPr="00160CBE">
        <w:t xml:space="preserve">shall file Compliance Reports with the Commission </w:t>
      </w:r>
      <w:r>
        <w:t xml:space="preserve">one hundred twenty (120) </w:t>
      </w:r>
      <w:r w:rsidRPr="00160CBE">
        <w:t>calendar days after the Effective Date, twelve (12) months after the Effective Date, twenty-four (24) months after the Effective Date</w:t>
      </w:r>
      <w:r>
        <w:t>, and thirty-six (36) months after the Effective Date.</w:t>
      </w:r>
    </w:p>
    <w:p w14:paraId="254CB668" w14:textId="77777777" w:rsidR="00D22774" w:rsidRPr="00160CBE" w:rsidRDefault="00D22774" w:rsidP="00D22774">
      <w:pPr>
        <w:widowControl/>
        <w:numPr>
          <w:ilvl w:val="0"/>
          <w:numId w:val="49"/>
        </w:numPr>
        <w:tabs>
          <w:tab w:val="clear" w:pos="1872"/>
        </w:tabs>
        <w:spacing w:after="120"/>
        <w:ind w:left="1890"/>
        <w:rPr>
          <w:szCs w:val="22"/>
        </w:rPr>
      </w:pPr>
      <w:r w:rsidRPr="00160CBE">
        <w:rPr>
          <w:szCs w:val="22"/>
        </w:rPr>
        <w:t xml:space="preserve">Each </w:t>
      </w:r>
      <w:r>
        <w:rPr>
          <w:szCs w:val="22"/>
        </w:rPr>
        <w:t>C</w:t>
      </w:r>
      <w:r w:rsidRPr="00160CBE">
        <w:rPr>
          <w:szCs w:val="22"/>
        </w:rPr>
        <w:t xml:space="preserve">ompliance </w:t>
      </w:r>
      <w:r>
        <w:rPr>
          <w:szCs w:val="22"/>
        </w:rPr>
        <w:t>R</w:t>
      </w:r>
      <w:r w:rsidRPr="00160CBE">
        <w:rPr>
          <w:szCs w:val="22"/>
        </w:rPr>
        <w:t xml:space="preserve">eport shall include a detailed description of </w:t>
      </w:r>
      <w:r>
        <w:t>the Company</w:t>
      </w:r>
      <w:r>
        <w:rPr>
          <w:szCs w:val="22"/>
        </w:rPr>
        <w:t>’s</w:t>
      </w:r>
      <w:r w:rsidRPr="00160CBE">
        <w:rPr>
          <w:szCs w:val="22"/>
        </w:rPr>
        <w:t xml:space="preserve"> efforts during the relevant period to comply with the terms and conditions of this Consent Decree</w:t>
      </w:r>
      <w:r>
        <w:rPr>
          <w:szCs w:val="22"/>
        </w:rPr>
        <w:t xml:space="preserve">, </w:t>
      </w:r>
      <w:r>
        <w:t>S</w:t>
      </w:r>
      <w:r w:rsidRPr="00F854AF">
        <w:t>ection</w:t>
      </w:r>
      <w:r>
        <w:t>s 310(d)</w:t>
      </w:r>
      <w:r w:rsidRPr="00F854AF">
        <w:t xml:space="preserve"> </w:t>
      </w:r>
      <w:r>
        <w:t xml:space="preserve">and 301 </w:t>
      </w:r>
      <w:r w:rsidRPr="00F854AF">
        <w:t>of</w:t>
      </w:r>
      <w:r>
        <w:t xml:space="preserve"> the</w:t>
      </w:r>
      <w:r w:rsidRPr="00F854AF">
        <w:t xml:space="preserve"> Act</w:t>
      </w:r>
      <w:r>
        <w:t>, and Sections 1.948 and 1.903 of the Rules</w:t>
      </w:r>
      <w:r w:rsidRPr="00160CBE">
        <w:rPr>
          <w:szCs w:val="22"/>
        </w:rPr>
        <w:t xml:space="preserve">.  In addition, each Compliance Report shall include a certification by the Compliance Officer, as an agent of and on behalf of </w:t>
      </w:r>
      <w:r>
        <w:t>the Company</w:t>
      </w:r>
      <w:r w:rsidRPr="00160CBE">
        <w:rPr>
          <w:szCs w:val="22"/>
        </w:rPr>
        <w:t xml:space="preserve">, stating that the Compliance Officer has personal knowledge that </w:t>
      </w:r>
      <w:r>
        <w:t xml:space="preserve">the Company: </w:t>
      </w:r>
      <w:r w:rsidRPr="00160CBE">
        <w:rPr>
          <w:szCs w:val="22"/>
        </w:rPr>
        <w:t xml:space="preserve"> (i) ha</w:t>
      </w:r>
      <w:r>
        <w:rPr>
          <w:szCs w:val="22"/>
        </w:rPr>
        <w:t>s</w:t>
      </w:r>
      <w:r w:rsidRPr="00160CBE">
        <w:rPr>
          <w:szCs w:val="22"/>
        </w:rPr>
        <w:t xml:space="preserve"> established and implemented the Compliance Plan</w:t>
      </w:r>
      <w:r>
        <w:rPr>
          <w:szCs w:val="22"/>
        </w:rPr>
        <w:t xml:space="preserve">; </w:t>
      </w:r>
      <w:r w:rsidRPr="00160CBE">
        <w:rPr>
          <w:szCs w:val="22"/>
        </w:rPr>
        <w:t xml:space="preserve">(ii) </w:t>
      </w:r>
      <w:r w:rsidRPr="00503112">
        <w:rPr>
          <w:szCs w:val="22"/>
        </w:rPr>
        <w:t>ha</w:t>
      </w:r>
      <w:r>
        <w:rPr>
          <w:szCs w:val="22"/>
        </w:rPr>
        <w:t>s</w:t>
      </w:r>
      <w:r w:rsidRPr="00503112">
        <w:rPr>
          <w:szCs w:val="22"/>
        </w:rPr>
        <w:t xml:space="preserve"> utilized the Operating Procedures since the implementation of the Compliance Plan; and (iii)</w:t>
      </w:r>
      <w:r>
        <w:rPr>
          <w:szCs w:val="22"/>
        </w:rPr>
        <w:t> is</w:t>
      </w:r>
      <w:r w:rsidRPr="00160CBE">
        <w:rPr>
          <w:szCs w:val="22"/>
        </w:rPr>
        <w:t xml:space="preserve"> not aware of any instances of noncompliance with the terms and conditions of this Consent Decree, including the reporting obligations set </w:t>
      </w:r>
      <w:r w:rsidRPr="00463EFE">
        <w:rPr>
          <w:szCs w:val="22"/>
        </w:rPr>
        <w:t>forth in paragraph 15 of this</w:t>
      </w:r>
      <w:r w:rsidRPr="00160CBE">
        <w:rPr>
          <w:szCs w:val="22"/>
        </w:rPr>
        <w:t xml:space="preserve"> Consent Decree.</w:t>
      </w:r>
    </w:p>
    <w:p w14:paraId="0AFE8408" w14:textId="77777777" w:rsidR="00D22774" w:rsidRPr="00160CBE" w:rsidRDefault="00D22774" w:rsidP="00D22774">
      <w:pPr>
        <w:widowControl/>
        <w:numPr>
          <w:ilvl w:val="0"/>
          <w:numId w:val="49"/>
        </w:numPr>
        <w:tabs>
          <w:tab w:val="clear" w:pos="1872"/>
          <w:tab w:val="left" w:pos="720"/>
          <w:tab w:val="left" w:pos="1440"/>
        </w:tabs>
        <w:spacing w:after="120"/>
        <w:ind w:left="1890"/>
        <w:rPr>
          <w:szCs w:val="22"/>
        </w:rPr>
      </w:pPr>
      <w:r w:rsidRPr="00160CBE">
        <w:rPr>
          <w:szCs w:val="22"/>
        </w:rPr>
        <w:t xml:space="preserve">The Compliance Officer’s certification shall be accompanied by a statement explaining the basis for such certification and </w:t>
      </w:r>
      <w:r>
        <w:rPr>
          <w:szCs w:val="22"/>
        </w:rPr>
        <w:t xml:space="preserve">shall </w:t>
      </w:r>
      <w:r w:rsidRPr="00160CBE">
        <w:rPr>
          <w:szCs w:val="22"/>
        </w:rPr>
        <w:t xml:space="preserve">comply with Section 1.16 of the Rules and be subscribed to as true under penalty of perjury in substantially the form set forth </w:t>
      </w:r>
      <w:r>
        <w:rPr>
          <w:szCs w:val="22"/>
        </w:rPr>
        <w:t>therein</w:t>
      </w:r>
      <w:r w:rsidRPr="00160CBE">
        <w:rPr>
          <w:szCs w:val="22"/>
        </w:rPr>
        <w:t>.</w:t>
      </w:r>
      <w:r w:rsidRPr="00160CBE">
        <w:rPr>
          <w:rStyle w:val="FootnoteReference"/>
          <w:szCs w:val="22"/>
        </w:rPr>
        <w:footnoteReference w:id="36"/>
      </w:r>
    </w:p>
    <w:p w14:paraId="611BEEFC" w14:textId="77777777" w:rsidR="00D22774" w:rsidRPr="00160CBE" w:rsidRDefault="00D22774" w:rsidP="00D22774">
      <w:pPr>
        <w:widowControl/>
        <w:numPr>
          <w:ilvl w:val="0"/>
          <w:numId w:val="49"/>
        </w:numPr>
        <w:tabs>
          <w:tab w:val="clear" w:pos="1872"/>
          <w:tab w:val="left" w:pos="720"/>
          <w:tab w:val="left" w:pos="1440"/>
        </w:tabs>
        <w:spacing w:after="120"/>
        <w:ind w:left="1890"/>
        <w:rPr>
          <w:szCs w:val="22"/>
        </w:rPr>
      </w:pPr>
      <w:r w:rsidRPr="00160CBE">
        <w:rPr>
          <w:szCs w:val="22"/>
        </w:rPr>
        <w:t xml:space="preserve">If the Compliance Officer cannot provide the requisite certification, the Compliance Officer, as an agent of and on behalf of </w:t>
      </w:r>
      <w:r>
        <w:t>the Company</w:t>
      </w:r>
      <w:r w:rsidRPr="00160CBE">
        <w:rPr>
          <w:szCs w:val="22"/>
        </w:rPr>
        <w:t>, shall provide the Commission with a detailed explanation of the reason(s) why and describe fully</w:t>
      </w:r>
      <w:r>
        <w:rPr>
          <w:szCs w:val="22"/>
        </w:rPr>
        <w:t xml:space="preserve">: </w:t>
      </w:r>
      <w:r w:rsidRPr="00160CBE">
        <w:rPr>
          <w:szCs w:val="22"/>
        </w:rPr>
        <w:t xml:space="preserve"> (i) each instance of noncompliance; (ii) the steps that </w:t>
      </w:r>
      <w:r>
        <w:t>the Company</w:t>
      </w:r>
      <w:r w:rsidRPr="00160CBE">
        <w:rPr>
          <w:szCs w:val="22"/>
        </w:rPr>
        <w:t xml:space="preserve"> ha</w:t>
      </w:r>
      <w:r>
        <w:rPr>
          <w:szCs w:val="22"/>
        </w:rPr>
        <w:t>s</w:t>
      </w:r>
      <w:r w:rsidRPr="00160CBE">
        <w:rPr>
          <w:szCs w:val="22"/>
        </w:rPr>
        <w:t xml:space="preserve"> taken or will take to remedy such noncompliance, including the schedule on which proposed remedial actions will be taken; and (iii) the steps that </w:t>
      </w:r>
      <w:r>
        <w:t>the Company</w:t>
      </w:r>
      <w:r w:rsidRPr="00160CBE">
        <w:rPr>
          <w:szCs w:val="22"/>
        </w:rPr>
        <w:t xml:space="preserve"> ha</w:t>
      </w:r>
      <w:r>
        <w:rPr>
          <w:szCs w:val="22"/>
        </w:rPr>
        <w:t>s</w:t>
      </w:r>
      <w:r w:rsidRPr="00160CBE">
        <w:rPr>
          <w:szCs w:val="22"/>
        </w:rPr>
        <w:t xml:space="preserve"> taken or will take to prevent the recurrence of any such noncompliance, including the schedule on which such preventive action will be taken.</w:t>
      </w:r>
    </w:p>
    <w:p w14:paraId="07AC2FB6" w14:textId="6E970959" w:rsidR="00D22774" w:rsidRPr="002B124E" w:rsidRDefault="00D22774" w:rsidP="00D22774">
      <w:pPr>
        <w:widowControl/>
        <w:numPr>
          <w:ilvl w:val="0"/>
          <w:numId w:val="49"/>
        </w:numPr>
        <w:tabs>
          <w:tab w:val="clear" w:pos="1872"/>
          <w:tab w:val="left" w:pos="720"/>
          <w:tab w:val="left" w:pos="1440"/>
        </w:tabs>
        <w:spacing w:after="120"/>
        <w:ind w:left="1890"/>
      </w:pPr>
      <w:r w:rsidRPr="00160CBE">
        <w:rPr>
          <w:szCs w:val="22"/>
        </w:rPr>
        <w:t xml:space="preserve">All Compliance Reports shall be submitted to the Chief, Investigations </w:t>
      </w:r>
      <w:r>
        <w:rPr>
          <w:szCs w:val="22"/>
        </w:rPr>
        <w:t xml:space="preserve">&amp; </w:t>
      </w:r>
      <w:r w:rsidRPr="00160CBE">
        <w:rPr>
          <w:szCs w:val="22"/>
        </w:rPr>
        <w:t xml:space="preserve">Hearings Division, Enforcement Bureau, Federal Communications Commission, </w:t>
      </w:r>
      <w:r>
        <w:rPr>
          <w:szCs w:val="22"/>
        </w:rPr>
        <w:t>Room 4</w:t>
      </w:r>
      <w:r>
        <w:rPr>
          <w:szCs w:val="22"/>
        </w:rPr>
        <w:softHyphen/>
      </w:r>
      <w:r>
        <w:rPr>
          <w:szCs w:val="22"/>
        </w:rPr>
        <w:softHyphen/>
      </w:r>
      <w:r>
        <w:rPr>
          <w:szCs w:val="22"/>
        </w:rPr>
        <w:noBreakHyphen/>
        <w:t xml:space="preserve">C330, </w:t>
      </w:r>
      <w:r w:rsidRPr="00160CBE">
        <w:rPr>
          <w:szCs w:val="22"/>
        </w:rPr>
        <w:t xml:space="preserve">445 12th Street, SW, Washington, DC 20554, with a copy submitted electronically to </w:t>
      </w:r>
      <w:r>
        <w:rPr>
          <w:szCs w:val="22"/>
        </w:rPr>
        <w:t>Jeffrey J. Gee</w:t>
      </w:r>
      <w:r w:rsidRPr="00160CBE">
        <w:rPr>
          <w:szCs w:val="22"/>
        </w:rPr>
        <w:t xml:space="preserve"> at </w:t>
      </w:r>
      <w:hyperlink r:id="rId16" w:history="1">
        <w:r w:rsidRPr="00CC14A3">
          <w:rPr>
            <w:rStyle w:val="Hyperlink"/>
            <w:szCs w:val="22"/>
          </w:rPr>
          <w:t>Jeffrey.Gee@fcc.gov</w:t>
        </w:r>
      </w:hyperlink>
      <w:r>
        <w:rPr>
          <w:szCs w:val="22"/>
        </w:rPr>
        <w:t>,</w:t>
      </w:r>
      <w:r w:rsidRPr="00F4291A">
        <w:rPr>
          <w:szCs w:val="22"/>
        </w:rPr>
        <w:t xml:space="preserve"> </w:t>
      </w:r>
      <w:r>
        <w:rPr>
          <w:szCs w:val="22"/>
        </w:rPr>
        <w:t xml:space="preserve">and </w:t>
      </w:r>
      <w:r>
        <w:t xml:space="preserve">Gary Oshinsky at </w:t>
      </w:r>
      <w:hyperlink r:id="rId17" w:history="1">
        <w:r w:rsidRPr="00CC14A3">
          <w:rPr>
            <w:rStyle w:val="Hyperlink"/>
          </w:rPr>
          <w:t>Gary.Oshinsky@fcc.gov</w:t>
        </w:r>
      </w:hyperlink>
      <w:r w:rsidRPr="002B124E">
        <w:t>.</w:t>
      </w:r>
    </w:p>
    <w:p w14:paraId="73AF1DC0" w14:textId="77777777" w:rsidR="00D22774" w:rsidRPr="00463EFE" w:rsidRDefault="00D22774" w:rsidP="00D22774">
      <w:pPr>
        <w:pStyle w:val="ParaNum0"/>
        <w:rPr>
          <w:rFonts w:eastAsia="MS Mincho"/>
        </w:rPr>
      </w:pPr>
      <w:r w:rsidRPr="00463EFE">
        <w:rPr>
          <w:b/>
          <w:szCs w:val="22"/>
          <w:u w:val="single"/>
        </w:rPr>
        <w:t>Termination Date</w:t>
      </w:r>
      <w:r w:rsidRPr="00463EFE">
        <w:rPr>
          <w:b/>
        </w:rPr>
        <w:t>.</w:t>
      </w:r>
      <w:r w:rsidRPr="00463EFE">
        <w:rPr>
          <w:b/>
          <w:szCs w:val="22"/>
        </w:rPr>
        <w:t xml:space="preserve"> </w:t>
      </w:r>
      <w:r w:rsidRPr="00463EFE">
        <w:rPr>
          <w:szCs w:val="22"/>
        </w:rPr>
        <w:t xml:space="preserve"> Unless stated otherwise, the requirements set forth in paragraphs </w:t>
      </w:r>
      <w:r w:rsidRPr="00463EFE">
        <w:t>13 through 16</w:t>
      </w:r>
      <w:r w:rsidRPr="00463EFE">
        <w:rPr>
          <w:szCs w:val="22"/>
        </w:rPr>
        <w:t xml:space="preserve"> of this Consent Decree shall expire thirty-six (36) months after the Effective Date.</w:t>
      </w:r>
    </w:p>
    <w:p w14:paraId="20153747" w14:textId="2C4F8445" w:rsidR="00D22774" w:rsidRPr="0039101D" w:rsidRDefault="00D22774" w:rsidP="00D22774">
      <w:pPr>
        <w:pStyle w:val="ParaNum0"/>
        <w:rPr>
          <w:rFonts w:eastAsia="MS Mincho"/>
        </w:rPr>
      </w:pPr>
      <w:r>
        <w:rPr>
          <w:b/>
          <w:szCs w:val="22"/>
          <w:u w:val="single"/>
        </w:rPr>
        <w:t>Civil Penalty</w:t>
      </w:r>
      <w:r w:rsidRPr="00DA601E">
        <w:rPr>
          <w:b/>
        </w:rPr>
        <w:t>.</w:t>
      </w:r>
      <w:r w:rsidRPr="006A1798">
        <w:rPr>
          <w:b/>
          <w:szCs w:val="22"/>
        </w:rPr>
        <w:t xml:space="preserve">  </w:t>
      </w:r>
      <w:r>
        <w:t>The Company</w:t>
      </w:r>
      <w:r>
        <w:rPr>
          <w:rFonts w:eastAsia="MS Mincho"/>
        </w:rPr>
        <w:t xml:space="preserve"> </w:t>
      </w:r>
      <w:r w:rsidRPr="006A1798">
        <w:rPr>
          <w:rFonts w:eastAsia="MS Mincho"/>
        </w:rPr>
        <w:t xml:space="preserve">will </w:t>
      </w:r>
      <w:r>
        <w:rPr>
          <w:rFonts w:eastAsia="MS Mincho"/>
        </w:rPr>
        <w:t xml:space="preserve">pay a civil penalty </w:t>
      </w:r>
      <w:r w:rsidRPr="006A1798">
        <w:rPr>
          <w:rFonts w:eastAsia="MS Mincho"/>
        </w:rPr>
        <w:t xml:space="preserve">to the United States Treasury in the </w:t>
      </w:r>
      <w:r w:rsidRPr="006A1E24">
        <w:rPr>
          <w:rFonts w:eastAsia="MS Mincho"/>
        </w:rPr>
        <w:t xml:space="preserve">amount </w:t>
      </w:r>
      <w:r>
        <w:rPr>
          <w:rFonts w:eastAsia="MS Mincho"/>
        </w:rPr>
        <w:t>of one million, two hundred and ten thousand dollars</w:t>
      </w:r>
      <w:r w:rsidRPr="006A1E24">
        <w:rPr>
          <w:rFonts w:eastAsia="MS Mincho"/>
        </w:rPr>
        <w:t xml:space="preserve"> </w:t>
      </w:r>
      <w:r>
        <w:rPr>
          <w:rFonts w:eastAsia="MS Mincho"/>
        </w:rPr>
        <w:t>($1,210,</w:t>
      </w:r>
      <w:r w:rsidRPr="006A1E24">
        <w:rPr>
          <w:rFonts w:eastAsia="MS Mincho"/>
        </w:rPr>
        <w:t>000)</w:t>
      </w:r>
      <w:r w:rsidRPr="006A1798">
        <w:rPr>
          <w:rFonts w:eastAsia="MS Mincho"/>
        </w:rPr>
        <w:t xml:space="preserve"> within thirty (30) calendar days after the Effective Date.</w:t>
      </w:r>
      <w:r>
        <w:rPr>
          <w:rFonts w:eastAsia="MS Mincho"/>
        </w:rPr>
        <w:t xml:space="preserve">  </w:t>
      </w:r>
      <w:r>
        <w:t>The Company</w:t>
      </w:r>
      <w:r>
        <w:rPr>
          <w:rFonts w:eastAsia="MS Mincho"/>
        </w:rPr>
        <w:t xml:space="preserve"> shall </w:t>
      </w:r>
      <w:r w:rsidRPr="0039101D">
        <w:rPr>
          <w:rFonts w:eastAsia="MS Mincho"/>
        </w:rPr>
        <w:t xml:space="preserve">send electronic notification of payment to </w:t>
      </w:r>
      <w:r>
        <w:rPr>
          <w:szCs w:val="22"/>
        </w:rPr>
        <w:t xml:space="preserve">Jeffrey J. Gee at </w:t>
      </w:r>
      <w:hyperlink r:id="rId18" w:history="1">
        <w:r w:rsidRPr="00CC14A3">
          <w:rPr>
            <w:rStyle w:val="Hyperlink"/>
            <w:szCs w:val="22"/>
          </w:rPr>
          <w:t>Jeffrey.Gee@fcc.gov</w:t>
        </w:r>
      </w:hyperlink>
      <w:r w:rsidRPr="0039101D">
        <w:rPr>
          <w:szCs w:val="22"/>
        </w:rPr>
        <w:t xml:space="preserve">, </w:t>
      </w:r>
      <w:r>
        <w:rPr>
          <w:szCs w:val="22"/>
        </w:rPr>
        <w:t xml:space="preserve">and Gary Oshinsky at </w:t>
      </w:r>
      <w:hyperlink r:id="rId19" w:history="1">
        <w:r w:rsidRPr="00CC14A3">
          <w:rPr>
            <w:rStyle w:val="Hyperlink"/>
            <w:szCs w:val="22"/>
          </w:rPr>
          <w:t>Gary.Oshinsky@fcc.gov</w:t>
        </w:r>
      </w:hyperlink>
      <w:r>
        <w:rPr>
          <w:szCs w:val="22"/>
        </w:rPr>
        <w:t xml:space="preserve"> </w:t>
      </w:r>
      <w:r w:rsidRPr="0039101D">
        <w:rPr>
          <w:rFonts w:eastAsia="MS Mincho"/>
        </w:rPr>
        <w:t xml:space="preserve">on the date said payment is made.  </w:t>
      </w:r>
      <w:r w:rsidRPr="0039101D">
        <w:rPr>
          <w:rFonts w:eastAsia="MS Mincho" w:cs="Arial"/>
        </w:rPr>
        <w:t xml:space="preserve">The payment must be made by check or similar instrument, wire transfer, or credit card, and must include the NAL/Account </w:t>
      </w:r>
      <w:r>
        <w:rPr>
          <w:rFonts w:eastAsia="MS Mincho" w:cs="Arial"/>
        </w:rPr>
        <w:t>N</w:t>
      </w:r>
      <w:r w:rsidRPr="0039101D">
        <w:rPr>
          <w:rFonts w:eastAsia="MS Mincho" w:cs="Arial"/>
        </w:rPr>
        <w:t>umber and FRN referenced above.  Regardless of the form of payment, a completed FCC Form 159 (Remittance Advice) must be submitted.</w:t>
      </w:r>
      <w:r>
        <w:rPr>
          <w:rStyle w:val="FootnoteReference"/>
          <w:rFonts w:eastAsia="MS Mincho" w:cs="Arial"/>
        </w:rPr>
        <w:footnoteReference w:id="37"/>
      </w:r>
      <w:r w:rsidRPr="0039101D">
        <w:rPr>
          <w:rFonts w:eastAsia="MS Mincho" w:cs="Arial"/>
        </w:rPr>
        <w:t xml:space="preserve">  When completing the FCC Form 159, enter the Account Number in block number 23A (call sign/other ID) and enter the letters “FORF” in block number 24A (payment type code).  </w:t>
      </w:r>
      <w:r w:rsidRPr="0039101D">
        <w:rPr>
          <w:color w:val="000000"/>
        </w:rPr>
        <w:t xml:space="preserve">Below are additional instructions </w:t>
      </w:r>
      <w:r>
        <w:rPr>
          <w:color w:val="000000"/>
        </w:rPr>
        <w:t xml:space="preserve">that should be followed based on </w:t>
      </w:r>
      <w:r w:rsidRPr="0039101D">
        <w:rPr>
          <w:color w:val="000000"/>
        </w:rPr>
        <w:t>the form of payment</w:t>
      </w:r>
      <w:r>
        <w:rPr>
          <w:color w:val="000000"/>
        </w:rPr>
        <w:t xml:space="preserve"> selected</w:t>
      </w:r>
      <w:r w:rsidRPr="0039101D">
        <w:rPr>
          <w:color w:val="000000"/>
        </w:rPr>
        <w:t>:</w:t>
      </w:r>
    </w:p>
    <w:p w14:paraId="68F66141" w14:textId="77777777" w:rsidR="00D22774" w:rsidRPr="006A1798" w:rsidRDefault="00D22774" w:rsidP="00D22774">
      <w:pPr>
        <w:pStyle w:val="ParaNum0"/>
        <w:numPr>
          <w:ilvl w:val="0"/>
          <w:numId w:val="50"/>
        </w:numPr>
        <w:rPr>
          <w:rFonts w:eastAsia="MS Mincho"/>
        </w:rPr>
      </w:pPr>
      <w:r w:rsidRPr="006A1798">
        <w:rPr>
          <w:rFonts w:eastAsia="MS Mincho"/>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4EFDD8DF" w14:textId="77777777" w:rsidR="00D22774" w:rsidRDefault="00D22774" w:rsidP="00D22774">
      <w:pPr>
        <w:pStyle w:val="ParaNum0"/>
        <w:numPr>
          <w:ilvl w:val="0"/>
          <w:numId w:val="50"/>
        </w:numPr>
        <w:rPr>
          <w:rFonts w:eastAsia="MS Mincho"/>
        </w:rPr>
      </w:pPr>
      <w:r>
        <w:rPr>
          <w:rFonts w:eastAsia="MS Mincho"/>
        </w:rPr>
        <w:t>Payment by wire transfer must</w:t>
      </w:r>
      <w:r w:rsidRPr="00626BA2">
        <w:rPr>
          <w:rFonts w:eastAsia="MS Mincho"/>
        </w:rPr>
        <w:t xml:space="preserve"> be made to ABA Number 021030004, receiving bank TREAS/NYC, and Account Number 27000001.  </w:t>
      </w:r>
      <w:r>
        <w:rPr>
          <w:rFonts w:eastAsia="MS Mincho"/>
        </w:rPr>
        <w:t xml:space="preserve">To complete the wire transfer and ensure appropriate crediting of the wired funds,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w:t>
      </w:r>
    </w:p>
    <w:p w14:paraId="7B75D02E" w14:textId="77777777" w:rsidR="00D22774" w:rsidRPr="00626BA2" w:rsidRDefault="00D22774" w:rsidP="00D22774">
      <w:pPr>
        <w:pStyle w:val="ParaNum0"/>
        <w:numPr>
          <w:ilvl w:val="0"/>
          <w:numId w:val="50"/>
        </w:numPr>
        <w:rPr>
          <w:rFonts w:eastAsia="MS Mincho"/>
        </w:rPr>
      </w:pPr>
      <w:r w:rsidRPr="006A1798">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r>
        <w:rPr>
          <w:rFonts w:eastAsia="MS Mincho"/>
        </w:rPr>
        <w:t>.</w:t>
      </w:r>
    </w:p>
    <w:p w14:paraId="71C06780" w14:textId="48C9A572" w:rsidR="00D22774" w:rsidRPr="006A1798" w:rsidRDefault="00D22774" w:rsidP="00D22774">
      <w:pPr>
        <w:pStyle w:val="ParaNum0"/>
        <w:numPr>
          <w:ilvl w:val="0"/>
          <w:numId w:val="0"/>
        </w:numPr>
        <w:rPr>
          <w:rFonts w:ascii="Arial" w:hAnsi="Arial" w:cs="Arial"/>
          <w:color w:val="000000"/>
          <w:lang w:val="x-none" w:eastAsia="ja-JP"/>
        </w:rPr>
      </w:pPr>
      <w:r w:rsidRPr="006A1798">
        <w:rPr>
          <w:lang w:val="x-none"/>
        </w:rPr>
        <w:t>Questions regarding payment procedures should be addressed to the Financial Operations Group Help Desk by phone, 1-877-480-3201, or by e</w:t>
      </w:r>
      <w:r w:rsidRPr="006A1798">
        <w:rPr>
          <w:lang w:val="x-none"/>
        </w:rPr>
        <w:noBreakHyphen/>
        <w:t xml:space="preserve">mail, </w:t>
      </w:r>
      <w:hyperlink r:id="rId20" w:history="1">
        <w:r w:rsidRPr="00CC14A3">
          <w:rPr>
            <w:rStyle w:val="Hyperlink"/>
            <w:lang w:val="x-none"/>
          </w:rPr>
          <w:t>ARINQUIRIES@fcc.gov</w:t>
        </w:r>
      </w:hyperlink>
      <w:r w:rsidRPr="006A1798">
        <w:rPr>
          <w:lang w:val="x-none"/>
        </w:rPr>
        <w:t>. </w:t>
      </w:r>
    </w:p>
    <w:p w14:paraId="7D4F7DD3" w14:textId="77777777" w:rsidR="00D22774" w:rsidRDefault="00D22774" w:rsidP="00D22774">
      <w:pPr>
        <w:pStyle w:val="ParaNum0"/>
      </w:pPr>
      <w:r>
        <w:rPr>
          <w:b/>
          <w:u w:val="single"/>
        </w:rPr>
        <w:t>Waivers</w:t>
      </w:r>
      <w:r w:rsidRPr="001A23C5">
        <w:rPr>
          <w:b/>
        </w:rPr>
        <w:t>.</w:t>
      </w:r>
      <w:r>
        <w:t xml:space="preserve">  As of the Effective Date, the Company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the Adopting Order, neither the Company nor the Commission shall contest the validity of the Consent Decree or the Adopting Order, and</w:t>
      </w:r>
      <w:r w:rsidRPr="0066566D">
        <w:t xml:space="preserve"> </w:t>
      </w:r>
      <w:r>
        <w:t xml:space="preserve">the Company shall waive any statutory right to a trial </w:t>
      </w:r>
      <w:r>
        <w:rPr>
          <w:i/>
        </w:rPr>
        <w:t>de novo</w:t>
      </w:r>
      <w:r>
        <w:t>.  The Company hereby agrees to waive any claims they may otherwise have under the Equal Access to Justice Act</w:t>
      </w:r>
      <w:r>
        <w:rPr>
          <w:rStyle w:val="FootnoteReference"/>
        </w:rPr>
        <w:footnoteReference w:id="38"/>
      </w:r>
      <w:r>
        <w:t xml:space="preserve"> relating to the matters addressed in this Consent Decree.</w:t>
      </w:r>
    </w:p>
    <w:p w14:paraId="6D9B103F" w14:textId="77777777" w:rsidR="00D22774" w:rsidRDefault="00D22774" w:rsidP="00D22774">
      <w:pPr>
        <w:pStyle w:val="ParaNum0"/>
      </w:pPr>
      <w:r>
        <w:rPr>
          <w:b/>
          <w:u w:val="single"/>
        </w:rPr>
        <w:t>Severability</w:t>
      </w:r>
      <w:r>
        <w:rPr>
          <w:b/>
        </w:rPr>
        <w:t xml:space="preserve">.  </w:t>
      </w:r>
      <w:r>
        <w:t xml:space="preserve">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  </w:t>
      </w:r>
    </w:p>
    <w:p w14:paraId="70CB1FD1" w14:textId="77777777" w:rsidR="00D22774" w:rsidRDefault="00D22774" w:rsidP="00D22774">
      <w:pPr>
        <w:pStyle w:val="ParaNum0"/>
      </w:pPr>
      <w:r>
        <w:rPr>
          <w:b/>
          <w:u w:val="single"/>
        </w:rPr>
        <w:t>Invalidity</w:t>
      </w:r>
      <w:r w:rsidRPr="001A23C5">
        <w:rPr>
          <w:b/>
        </w:rPr>
        <w:t>.</w:t>
      </w:r>
      <w:r>
        <w:t xml:space="preserve">  In the event that this Consent Decree in its entirety is rendered invalid by any court of competent jurisdiction, it shall become null and void and may not be used in any manner in any legal proceeding.</w:t>
      </w:r>
    </w:p>
    <w:p w14:paraId="3B909A86" w14:textId="77777777" w:rsidR="00D22774" w:rsidRDefault="00D22774" w:rsidP="00D22774">
      <w:pPr>
        <w:pStyle w:val="ParaNum0"/>
      </w:pPr>
      <w:r>
        <w:rPr>
          <w:b/>
          <w:u w:val="single"/>
        </w:rPr>
        <w:t>Subsequent Rule or Order</w:t>
      </w:r>
      <w:r w:rsidRPr="001A23C5">
        <w:rPr>
          <w:b/>
        </w:rPr>
        <w:t>.</w:t>
      </w:r>
      <w:r>
        <w:t xml:space="preserve">  The Parties agree that if any provision of the Consent Decree conflicts with any subsequent Rule or Order adopted by the Commission (except an order specifically intended to revise the terms of this Consent Decree to which the Company does not expressly consent) that provision will be superseded by such Rule or Order.</w:t>
      </w:r>
    </w:p>
    <w:p w14:paraId="3584DB6D" w14:textId="77777777" w:rsidR="00D22774" w:rsidRDefault="00D22774" w:rsidP="00D22774">
      <w:pPr>
        <w:pStyle w:val="ParaNum0"/>
      </w:pPr>
      <w:r>
        <w:rPr>
          <w:b/>
          <w:u w:val="single"/>
        </w:rPr>
        <w:t>Successors and Assigns</w:t>
      </w:r>
      <w:r w:rsidRPr="001A23C5">
        <w:rPr>
          <w:b/>
        </w:rPr>
        <w:t>.</w:t>
      </w:r>
      <w:r>
        <w:t xml:space="preserve">  The Company agrees that the provisions of this Consent Decree shall be binding on its successors, assigns, and transferees.</w:t>
      </w:r>
      <w:r>
        <w:rPr>
          <w:u w:val="single"/>
        </w:rPr>
        <w:t xml:space="preserve">  </w:t>
      </w:r>
    </w:p>
    <w:p w14:paraId="44E2A8C8" w14:textId="77777777" w:rsidR="00D22774" w:rsidRDefault="00D22774" w:rsidP="00D22774">
      <w:pPr>
        <w:pStyle w:val="ParaNum0"/>
      </w:pPr>
      <w:r w:rsidRPr="009E547E">
        <w:rPr>
          <w:b/>
          <w:u w:val="single"/>
        </w:rPr>
        <w:t>Final Settlement</w:t>
      </w:r>
      <w:r w:rsidRPr="009E547E">
        <w:rPr>
          <w:b/>
        </w:rPr>
        <w:t>.</w:t>
      </w:r>
      <w:r>
        <w:t xml:space="preserve">  The Parties agree and acknowledge that this Consent Decree shall constitute a final settlement between the Parties with respect to the Investigation.    </w:t>
      </w:r>
    </w:p>
    <w:p w14:paraId="4671E5BC" w14:textId="77777777" w:rsidR="00D22774" w:rsidRDefault="00D22774" w:rsidP="00D22774">
      <w:pPr>
        <w:pStyle w:val="ParaNum0"/>
      </w:pPr>
      <w:r w:rsidRPr="009E547E">
        <w:rPr>
          <w:b/>
          <w:u w:val="single"/>
        </w:rPr>
        <w:t>Modifications</w:t>
      </w:r>
      <w:r w:rsidRPr="009E547E">
        <w:rPr>
          <w:b/>
        </w:rPr>
        <w:t>.</w:t>
      </w:r>
      <w:r>
        <w:t xml:space="preserve">  This Consent Decree cannot be modified without the advance written consent of both Parties.</w:t>
      </w:r>
    </w:p>
    <w:p w14:paraId="1A87386A" w14:textId="77777777" w:rsidR="00D22774" w:rsidRDefault="00D22774" w:rsidP="00D22774">
      <w:pPr>
        <w:pStyle w:val="ParaNum0"/>
      </w:pPr>
      <w:r>
        <w:rPr>
          <w:b/>
          <w:u w:val="single"/>
        </w:rPr>
        <w:t>Paragraph Headings</w:t>
      </w:r>
      <w:r w:rsidRPr="001A23C5">
        <w:rPr>
          <w:b/>
        </w:rPr>
        <w:t>.</w:t>
      </w:r>
      <w:r>
        <w:t xml:space="preserve">  The headings of the paragraphs in this Consent Decree are inserted for convenience only and are not intended to affect the meaning or interpretation of this Consent Decree.</w:t>
      </w:r>
    </w:p>
    <w:p w14:paraId="508BE930" w14:textId="77777777" w:rsidR="00D22774" w:rsidRPr="00D7060E" w:rsidRDefault="00D22774" w:rsidP="00D22774">
      <w:pPr>
        <w:pStyle w:val="ParaNum0"/>
      </w:pPr>
      <w:r>
        <w:rPr>
          <w:b/>
          <w:u w:val="single"/>
        </w:rPr>
        <w:t>Authorized Representative</w:t>
      </w:r>
      <w:r w:rsidRPr="001A23C5">
        <w:rPr>
          <w:b/>
        </w:rPr>
        <w:t>.</w:t>
      </w:r>
      <w:r>
        <w:t xml:space="preserve">  </w:t>
      </w:r>
      <w:r w:rsidRPr="00A348AD">
        <w:t xml:space="preserve">Each Party represents and warrants </w:t>
      </w:r>
      <w:r>
        <w:t xml:space="preserve">to the other </w:t>
      </w:r>
      <w:r w:rsidRPr="00A348AD">
        <w:t xml:space="preserve">that it has full power and authority to enter into this Consent Decree.  </w:t>
      </w:r>
      <w:r>
        <w:t xml:space="preserve">Each person </w:t>
      </w:r>
      <w:r w:rsidRPr="00A348AD">
        <w:t>signing this Consent Decree</w:t>
      </w:r>
      <w:r>
        <w:t xml:space="preserve"> on behalf of a Party hereby represents that he or she is fully authorized by the Party to</w:t>
      </w:r>
      <w:r w:rsidRPr="00A348AD">
        <w:t xml:space="preserve"> execute this Consent Decree</w:t>
      </w:r>
      <w:r>
        <w:t xml:space="preserve"> and to bind the Party to its terms and conditions</w:t>
      </w:r>
      <w:r w:rsidRPr="00A348AD">
        <w:t>.</w:t>
      </w:r>
    </w:p>
    <w:p w14:paraId="227DB67F" w14:textId="77777777" w:rsidR="00D22774" w:rsidRDefault="00D22774" w:rsidP="00D22774">
      <w:pPr>
        <w:pStyle w:val="ParaNum0"/>
      </w:pPr>
      <w:r w:rsidRPr="00D7060E">
        <w:rPr>
          <w:b/>
          <w:u w:val="single"/>
        </w:rPr>
        <w:t>Counterparts</w:t>
      </w:r>
      <w:r w:rsidRPr="001A23C5">
        <w:rPr>
          <w:b/>
        </w:rPr>
        <w:t>.</w:t>
      </w:r>
      <w:r>
        <w:t xml:space="preserve">  </w:t>
      </w:r>
      <w:r w:rsidRPr="00394451">
        <w:t>This Consent Decree may be signed in counterpart</w:t>
      </w:r>
      <w:r>
        <w:t xml:space="preserve"> (including electronically or by </w:t>
      </w:r>
      <w:r w:rsidRPr="00394451">
        <w:t>facsimile</w:t>
      </w:r>
      <w:r>
        <w:t>)</w:t>
      </w:r>
      <w:r w:rsidRPr="00394451">
        <w:t>.  Each counterpart, when executed and delivered, shall be an original, and all of the counterparts together shall constitute one and the same fully executed instrument.</w:t>
      </w:r>
    </w:p>
    <w:p w14:paraId="4BCEFABB" w14:textId="77777777" w:rsidR="00D22774" w:rsidRDefault="00D22774" w:rsidP="00D22774">
      <w:pPr>
        <w:keepNext/>
        <w:widowControl/>
      </w:pPr>
    </w:p>
    <w:tbl>
      <w:tblPr>
        <w:tblW w:w="0" w:type="auto"/>
        <w:tblLook w:val="0000" w:firstRow="0" w:lastRow="0" w:firstColumn="0" w:lastColumn="0" w:noHBand="0" w:noVBand="0"/>
      </w:tblPr>
      <w:tblGrid>
        <w:gridCol w:w="4788"/>
        <w:gridCol w:w="4788"/>
      </w:tblGrid>
      <w:tr w:rsidR="00D22774" w14:paraId="6348DC83" w14:textId="77777777" w:rsidTr="00C502A8">
        <w:trPr>
          <w:trHeight w:val="4140"/>
        </w:trPr>
        <w:tc>
          <w:tcPr>
            <w:tcW w:w="4788" w:type="dxa"/>
          </w:tcPr>
          <w:p w14:paraId="5E75B48B" w14:textId="77777777" w:rsidR="00D22774" w:rsidRDefault="00D22774" w:rsidP="00C502A8">
            <w:pPr>
              <w:widowControl/>
              <w:rPr>
                <w:szCs w:val="22"/>
              </w:rPr>
            </w:pPr>
          </w:p>
          <w:p w14:paraId="649C25D1" w14:textId="77777777" w:rsidR="00D22774" w:rsidRDefault="00D22774" w:rsidP="00C502A8">
            <w:pPr>
              <w:widowControl/>
              <w:rPr>
                <w:szCs w:val="22"/>
              </w:rPr>
            </w:pPr>
          </w:p>
          <w:p w14:paraId="55639D4A" w14:textId="77777777" w:rsidR="00D22774" w:rsidRDefault="00D22774" w:rsidP="00C502A8">
            <w:pPr>
              <w:widowControl/>
              <w:rPr>
                <w:szCs w:val="22"/>
              </w:rPr>
            </w:pPr>
          </w:p>
          <w:p w14:paraId="6995FBF8" w14:textId="77777777" w:rsidR="00D22774" w:rsidRDefault="00D22774" w:rsidP="00C502A8">
            <w:pPr>
              <w:widowControl/>
              <w:rPr>
                <w:szCs w:val="22"/>
              </w:rPr>
            </w:pPr>
            <w:r>
              <w:rPr>
                <w:szCs w:val="22"/>
              </w:rPr>
              <w:t>________________________________</w:t>
            </w:r>
          </w:p>
          <w:p w14:paraId="39F03C00" w14:textId="77777777" w:rsidR="00D22774" w:rsidRDefault="00D22774" w:rsidP="00C502A8">
            <w:pPr>
              <w:widowControl/>
              <w:rPr>
                <w:szCs w:val="22"/>
              </w:rPr>
            </w:pPr>
            <w:r>
              <w:rPr>
                <w:szCs w:val="22"/>
              </w:rPr>
              <w:t xml:space="preserve">Travis LeBlanc </w:t>
            </w:r>
          </w:p>
          <w:p w14:paraId="503A9CD9" w14:textId="77777777" w:rsidR="00D22774" w:rsidRDefault="00D22774" w:rsidP="00C502A8">
            <w:pPr>
              <w:widowControl/>
              <w:rPr>
                <w:szCs w:val="22"/>
              </w:rPr>
            </w:pPr>
            <w:r>
              <w:rPr>
                <w:szCs w:val="22"/>
              </w:rPr>
              <w:t>Chief</w:t>
            </w:r>
          </w:p>
          <w:p w14:paraId="73A00A4B" w14:textId="77777777" w:rsidR="00D22774" w:rsidRDefault="00D22774" w:rsidP="00C502A8">
            <w:pPr>
              <w:widowControl/>
              <w:rPr>
                <w:szCs w:val="22"/>
              </w:rPr>
            </w:pPr>
            <w:r>
              <w:rPr>
                <w:szCs w:val="22"/>
              </w:rPr>
              <w:t>Enforcement Bureau</w:t>
            </w:r>
          </w:p>
          <w:p w14:paraId="5DB7DACD" w14:textId="77777777" w:rsidR="00D22774" w:rsidRDefault="00D22774" w:rsidP="00C502A8">
            <w:pPr>
              <w:widowControl/>
              <w:rPr>
                <w:szCs w:val="22"/>
              </w:rPr>
            </w:pPr>
          </w:p>
          <w:p w14:paraId="7151D88A" w14:textId="77777777" w:rsidR="00D22774" w:rsidRDefault="00D22774" w:rsidP="00C502A8">
            <w:pPr>
              <w:widowControl/>
              <w:rPr>
                <w:szCs w:val="22"/>
              </w:rPr>
            </w:pPr>
          </w:p>
          <w:p w14:paraId="6BED1FD0" w14:textId="77777777" w:rsidR="00D22774" w:rsidRDefault="00D22774" w:rsidP="00C502A8">
            <w:pPr>
              <w:widowControl/>
              <w:rPr>
                <w:szCs w:val="22"/>
              </w:rPr>
            </w:pPr>
            <w:r>
              <w:rPr>
                <w:szCs w:val="22"/>
              </w:rPr>
              <w:t>______________________________</w:t>
            </w:r>
          </w:p>
          <w:p w14:paraId="02EA6E2B" w14:textId="77777777" w:rsidR="00D22774" w:rsidRDefault="00D22774" w:rsidP="00C502A8">
            <w:pPr>
              <w:widowControl/>
              <w:rPr>
                <w:szCs w:val="22"/>
              </w:rPr>
            </w:pPr>
            <w:r>
              <w:rPr>
                <w:szCs w:val="22"/>
              </w:rPr>
              <w:t>Date</w:t>
            </w:r>
          </w:p>
          <w:p w14:paraId="769127FB" w14:textId="77777777" w:rsidR="00D22774" w:rsidRDefault="00D22774" w:rsidP="00C502A8">
            <w:pPr>
              <w:widowControl/>
              <w:rPr>
                <w:szCs w:val="22"/>
              </w:rPr>
            </w:pPr>
          </w:p>
          <w:p w14:paraId="39B7C983" w14:textId="77777777" w:rsidR="00D22774" w:rsidRDefault="00D22774" w:rsidP="00C502A8">
            <w:pPr>
              <w:widowControl/>
              <w:rPr>
                <w:szCs w:val="22"/>
              </w:rPr>
            </w:pPr>
          </w:p>
          <w:p w14:paraId="5ABA84C6" w14:textId="77777777" w:rsidR="00D22774" w:rsidRDefault="00D22774" w:rsidP="00C502A8">
            <w:pPr>
              <w:widowControl/>
              <w:rPr>
                <w:szCs w:val="22"/>
              </w:rPr>
            </w:pPr>
            <w:r>
              <w:rPr>
                <w:szCs w:val="22"/>
              </w:rPr>
              <w:t>________________________________</w:t>
            </w:r>
          </w:p>
          <w:p w14:paraId="16C0510B" w14:textId="77777777" w:rsidR="000A5EA2" w:rsidRDefault="000A5EA2" w:rsidP="000A5EA2">
            <w:pPr>
              <w:rPr>
                <w:snapToGrid/>
                <w:kern w:val="0"/>
              </w:rPr>
            </w:pPr>
            <w:r>
              <w:t>Steven Nettleton</w:t>
            </w:r>
          </w:p>
          <w:p w14:paraId="6AF1DBD3" w14:textId="77777777" w:rsidR="000A5EA2" w:rsidRDefault="000A5EA2" w:rsidP="000A5EA2">
            <w:r>
              <w:t>Vice President Operations East</w:t>
            </w:r>
          </w:p>
          <w:p w14:paraId="5B8B1CC5" w14:textId="77777777" w:rsidR="000A5EA2" w:rsidRDefault="000A5EA2" w:rsidP="000A5EA2">
            <w:r>
              <w:t>Soo Line Corporation</w:t>
            </w:r>
          </w:p>
          <w:p w14:paraId="517435E7" w14:textId="77777777" w:rsidR="00D22774" w:rsidRDefault="00D22774" w:rsidP="00C502A8">
            <w:pPr>
              <w:widowControl/>
              <w:rPr>
                <w:szCs w:val="22"/>
              </w:rPr>
            </w:pPr>
          </w:p>
          <w:p w14:paraId="7244CB69" w14:textId="77777777" w:rsidR="00D22774" w:rsidRDefault="00D22774" w:rsidP="00C502A8">
            <w:pPr>
              <w:widowControl/>
              <w:rPr>
                <w:szCs w:val="22"/>
              </w:rPr>
            </w:pPr>
          </w:p>
          <w:p w14:paraId="543C7BF2" w14:textId="77777777" w:rsidR="00D22774" w:rsidRDefault="00D22774" w:rsidP="00C502A8">
            <w:pPr>
              <w:widowControl/>
              <w:rPr>
                <w:szCs w:val="22"/>
              </w:rPr>
            </w:pPr>
          </w:p>
          <w:p w14:paraId="2F6BD60C" w14:textId="77777777" w:rsidR="00D22774" w:rsidRDefault="00D22774" w:rsidP="00C502A8">
            <w:pPr>
              <w:widowControl/>
              <w:rPr>
                <w:szCs w:val="22"/>
              </w:rPr>
            </w:pPr>
            <w:r>
              <w:rPr>
                <w:szCs w:val="22"/>
              </w:rPr>
              <w:t>________________________________</w:t>
            </w:r>
          </w:p>
          <w:p w14:paraId="56FF49BF" w14:textId="77777777" w:rsidR="00D22774" w:rsidRDefault="00D22774" w:rsidP="00C502A8">
            <w:pPr>
              <w:widowControl/>
              <w:rPr>
                <w:szCs w:val="22"/>
              </w:rPr>
            </w:pPr>
            <w:r>
              <w:rPr>
                <w:szCs w:val="22"/>
              </w:rPr>
              <w:t>Date</w:t>
            </w:r>
          </w:p>
        </w:tc>
        <w:tc>
          <w:tcPr>
            <w:tcW w:w="4788" w:type="dxa"/>
          </w:tcPr>
          <w:p w14:paraId="1ABD17DB" w14:textId="77777777" w:rsidR="00D22774" w:rsidRDefault="00D22774" w:rsidP="00C502A8">
            <w:pPr>
              <w:widowControl/>
              <w:rPr>
                <w:b/>
                <w:szCs w:val="22"/>
              </w:rPr>
            </w:pPr>
          </w:p>
        </w:tc>
      </w:tr>
    </w:tbl>
    <w:p w14:paraId="7D407104" w14:textId="77777777" w:rsidR="00D22774" w:rsidRDefault="00D22774" w:rsidP="00D22774"/>
    <w:p w14:paraId="51FF626C" w14:textId="619C652C" w:rsidR="00412FC5" w:rsidRPr="008C4282" w:rsidRDefault="00412FC5" w:rsidP="00CF77B7">
      <w:pPr>
        <w:rPr>
          <w:szCs w:val="22"/>
        </w:rPr>
      </w:pPr>
    </w:p>
    <w:sectPr w:rsidR="00412FC5" w:rsidRPr="008C4282" w:rsidSect="00217F22">
      <w:headerReference w:type="default" r:id="rId21"/>
      <w:footerReference w:type="even" r:id="rId22"/>
      <w:footerReference w:type="default" r:id="rId23"/>
      <w:headerReference w:type="first" r:id="rId24"/>
      <w:footnotePr>
        <w:numRestart w:val="eachSect"/>
      </w:footnotePr>
      <w:pgSz w:w="12240" w:h="15840"/>
      <w:pgMar w:top="1267"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F6270" w14:textId="77777777" w:rsidR="005C412D" w:rsidRDefault="005C412D">
      <w:pPr>
        <w:spacing w:line="20" w:lineRule="exact"/>
      </w:pPr>
    </w:p>
  </w:endnote>
  <w:endnote w:type="continuationSeparator" w:id="0">
    <w:p w14:paraId="51FF6271" w14:textId="77777777" w:rsidR="005C412D" w:rsidRDefault="005C412D">
      <w:r>
        <w:t xml:space="preserve"> </w:t>
      </w:r>
    </w:p>
  </w:endnote>
  <w:endnote w:type="continuationNotice" w:id="1">
    <w:p w14:paraId="51FF6272" w14:textId="77777777" w:rsidR="005C412D" w:rsidRDefault="005C41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Bold">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F6277" w14:textId="77777777" w:rsidR="00676723" w:rsidRDefault="00404B01" w:rsidP="0055614C">
    <w:pPr>
      <w:pStyle w:val="Footer"/>
      <w:framePr w:wrap="around" w:vAnchor="text" w:hAnchor="margin" w:xAlign="center" w:y="1"/>
    </w:pPr>
    <w:r>
      <w:fldChar w:fldCharType="begin"/>
    </w:r>
    <w:r w:rsidR="00676723">
      <w:instrText xml:space="preserve">PAGE  </w:instrText>
    </w:r>
    <w:r>
      <w:fldChar w:fldCharType="end"/>
    </w:r>
  </w:p>
  <w:p w14:paraId="51FF6278" w14:textId="77777777" w:rsidR="00676723" w:rsidRDefault="00676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F6279" w14:textId="77777777" w:rsidR="00676723" w:rsidRPr="007B3BDA" w:rsidRDefault="00404B01" w:rsidP="0055614C">
    <w:pPr>
      <w:pStyle w:val="Footer"/>
      <w:framePr w:wrap="around" w:vAnchor="text" w:hAnchor="margin" w:xAlign="center" w:y="1"/>
    </w:pPr>
    <w:r w:rsidRPr="007B3BDA">
      <w:fldChar w:fldCharType="begin"/>
    </w:r>
    <w:r w:rsidR="00676723" w:rsidRPr="007B3BDA">
      <w:instrText xml:space="preserve">PAGE  </w:instrText>
    </w:r>
    <w:r w:rsidRPr="007B3BDA">
      <w:fldChar w:fldCharType="separate"/>
    </w:r>
    <w:r w:rsidR="00D81546">
      <w:rPr>
        <w:noProof/>
      </w:rPr>
      <w:t>1</w:t>
    </w:r>
    <w:r w:rsidRPr="007B3BDA">
      <w:fldChar w:fldCharType="end"/>
    </w:r>
  </w:p>
  <w:p w14:paraId="51FF627A" w14:textId="77777777" w:rsidR="00676723" w:rsidRPr="007B3BDA" w:rsidRDefault="00676723">
    <w:pPr>
      <w:suppressAutoHyphens/>
      <w:spacing w:line="227" w:lineRule="auto"/>
    </w:pPr>
  </w:p>
  <w:p w14:paraId="51FF627B" w14:textId="77777777" w:rsidR="00676723" w:rsidRPr="007B3BDA" w:rsidRDefault="006767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F627F" w14:textId="77777777" w:rsidR="00676723" w:rsidRDefault="00676723">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603AF" w14:textId="77777777" w:rsidR="00373870" w:rsidRDefault="006F20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683F66" w14:textId="77777777" w:rsidR="00373870" w:rsidRDefault="00D8154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ACD5B" w14:textId="77777777" w:rsidR="00373870" w:rsidRDefault="006F2040">
    <w:pPr>
      <w:pStyle w:val="Footer"/>
      <w:jc w:val="center"/>
    </w:pPr>
    <w:r>
      <w:rPr>
        <w:rStyle w:val="PageNumber"/>
      </w:rPr>
      <w:fldChar w:fldCharType="begin"/>
    </w:r>
    <w:r>
      <w:rPr>
        <w:rStyle w:val="PageNumber"/>
      </w:rPr>
      <w:instrText xml:space="preserve"> PAGE </w:instrText>
    </w:r>
    <w:r>
      <w:rPr>
        <w:rStyle w:val="PageNumber"/>
      </w:rPr>
      <w:fldChar w:fldCharType="separate"/>
    </w:r>
    <w:r w:rsidR="00320BE6">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F626D" w14:textId="77777777" w:rsidR="005C412D" w:rsidRDefault="005C412D">
      <w:pPr>
        <w:rPr>
          <w:noProof/>
        </w:rPr>
      </w:pPr>
      <w:r>
        <w:rPr>
          <w:noProof/>
        </w:rPr>
        <w:separator/>
      </w:r>
    </w:p>
  </w:footnote>
  <w:footnote w:type="continuationSeparator" w:id="0">
    <w:p w14:paraId="51FF626E" w14:textId="77777777" w:rsidR="005C412D" w:rsidRDefault="005C412D">
      <w:pPr>
        <w:rPr>
          <w:sz w:val="20"/>
        </w:rPr>
      </w:pPr>
      <w:r>
        <w:rPr>
          <w:sz w:val="20"/>
        </w:rPr>
        <w:t xml:space="preserve">(Continued from previous page)  </w:t>
      </w:r>
      <w:r>
        <w:rPr>
          <w:sz w:val="20"/>
        </w:rPr>
        <w:separator/>
      </w:r>
    </w:p>
  </w:footnote>
  <w:footnote w:type="continuationNotice" w:id="1">
    <w:p w14:paraId="51FF626F" w14:textId="77777777" w:rsidR="005C412D" w:rsidRDefault="005C412D">
      <w:pPr>
        <w:rPr>
          <w:sz w:val="20"/>
        </w:rPr>
      </w:pPr>
      <w:r>
        <w:rPr>
          <w:sz w:val="20"/>
        </w:rPr>
        <w:t>(continued….)</w:t>
      </w:r>
    </w:p>
  </w:footnote>
  <w:footnote w:id="2">
    <w:p w14:paraId="51FF6284" w14:textId="77777777" w:rsidR="00F83785" w:rsidRDefault="00F83785" w:rsidP="00F83785">
      <w:pPr>
        <w:pStyle w:val="FootnoteText"/>
      </w:pPr>
      <w:r>
        <w:rPr>
          <w:rStyle w:val="FootnoteReference"/>
        </w:rPr>
        <w:footnoteRef/>
      </w:r>
      <w:r>
        <w:t xml:space="preserve"> 47 U.S.C. </w:t>
      </w:r>
      <w:r w:rsidRPr="00F96C18">
        <w:t>§</w:t>
      </w:r>
      <w:r>
        <w:t xml:space="preserve"> 310(d).</w:t>
      </w:r>
    </w:p>
  </w:footnote>
  <w:footnote w:id="3">
    <w:p w14:paraId="51FF6285" w14:textId="77777777" w:rsidR="00F83785" w:rsidRDefault="00F83785" w:rsidP="00F83785">
      <w:pPr>
        <w:pStyle w:val="FootnoteText"/>
      </w:pPr>
      <w:r>
        <w:rPr>
          <w:rStyle w:val="FootnoteReference"/>
        </w:rPr>
        <w:footnoteRef/>
      </w:r>
      <w:r>
        <w:t xml:space="preserve"> 47 CFR § 1.948.</w:t>
      </w:r>
    </w:p>
  </w:footnote>
  <w:footnote w:id="4">
    <w:p w14:paraId="51FF6286" w14:textId="77777777" w:rsidR="00F83785" w:rsidRDefault="00F83785" w:rsidP="00F83785">
      <w:pPr>
        <w:pStyle w:val="FootnoteText"/>
      </w:pPr>
      <w:r>
        <w:rPr>
          <w:rStyle w:val="FootnoteReference"/>
        </w:rPr>
        <w:footnoteRef/>
      </w:r>
      <w:r>
        <w:t xml:space="preserve"> 47 U.S.C. § 301.</w:t>
      </w:r>
    </w:p>
  </w:footnote>
  <w:footnote w:id="5">
    <w:p w14:paraId="51FF6287" w14:textId="77777777" w:rsidR="00F83785" w:rsidRDefault="00F83785" w:rsidP="00F83785">
      <w:pPr>
        <w:pStyle w:val="FootnoteText"/>
      </w:pPr>
      <w:r>
        <w:rPr>
          <w:rStyle w:val="FootnoteReference"/>
        </w:rPr>
        <w:footnoteRef/>
      </w:r>
      <w:r>
        <w:t xml:space="preserve"> 47 CFR § 1.903.</w:t>
      </w:r>
    </w:p>
  </w:footnote>
  <w:footnote w:id="6">
    <w:p w14:paraId="51FF6288" w14:textId="77777777" w:rsidR="00357044" w:rsidRPr="00F74D07" w:rsidRDefault="00357044">
      <w:pPr>
        <w:pStyle w:val="FootnoteText"/>
      </w:pPr>
      <w:r>
        <w:rPr>
          <w:rStyle w:val="FootnoteReference"/>
        </w:rPr>
        <w:footnoteRef/>
      </w:r>
      <w:r>
        <w:t xml:space="preserve"> </w:t>
      </w:r>
      <w:r>
        <w:rPr>
          <w:i/>
        </w:rPr>
        <w:t xml:space="preserve">See </w:t>
      </w:r>
      <w:r w:rsidR="005E4B8D">
        <w:t>47 CFR</w:t>
      </w:r>
      <w:r>
        <w:t xml:space="preserve"> </w:t>
      </w:r>
      <w:r w:rsidR="00F74D07">
        <w:t>§ 1.93(b).</w:t>
      </w:r>
    </w:p>
  </w:footnote>
  <w:footnote w:id="7">
    <w:p w14:paraId="51FF6289" w14:textId="77777777" w:rsidR="009632A6" w:rsidRPr="00D84548" w:rsidRDefault="009632A6">
      <w:pPr>
        <w:pStyle w:val="FootnoteText"/>
      </w:pPr>
      <w:r w:rsidRPr="00D84548">
        <w:rPr>
          <w:rStyle w:val="FootnoteReference"/>
        </w:rPr>
        <w:footnoteRef/>
      </w:r>
      <w:r w:rsidRPr="00D84548">
        <w:t xml:space="preserve"> </w:t>
      </w:r>
      <w:r w:rsidRPr="00D84548">
        <w:rPr>
          <w:szCs w:val="22"/>
        </w:rPr>
        <w:t>47 U.S.C. § 154(i</w:t>
      </w:r>
      <w:r w:rsidR="00DA798A">
        <w:rPr>
          <w:szCs w:val="22"/>
        </w:rPr>
        <w:t>)</w:t>
      </w:r>
      <w:r w:rsidR="00644BAF">
        <w:rPr>
          <w:szCs w:val="22"/>
        </w:rPr>
        <w:t>.</w:t>
      </w:r>
    </w:p>
  </w:footnote>
  <w:footnote w:id="8">
    <w:p w14:paraId="51FF628A" w14:textId="77777777" w:rsidR="009632A6" w:rsidRDefault="009632A6">
      <w:pPr>
        <w:pStyle w:val="FootnoteText"/>
      </w:pPr>
      <w:r w:rsidRPr="00D84548">
        <w:rPr>
          <w:rStyle w:val="FootnoteReference"/>
        </w:rPr>
        <w:footnoteRef/>
      </w:r>
      <w:r w:rsidRPr="00D84548">
        <w:t xml:space="preserve"> </w:t>
      </w:r>
      <w:r w:rsidR="005E4B8D">
        <w:rPr>
          <w:szCs w:val="22"/>
        </w:rPr>
        <w:t>47 CFR</w:t>
      </w:r>
      <w:r w:rsidRPr="00D84548">
        <w:rPr>
          <w:szCs w:val="22"/>
        </w:rPr>
        <w:t xml:space="preserve"> §§ 0.111, 0.311.</w:t>
      </w:r>
    </w:p>
  </w:footnote>
  <w:footnote w:id="9">
    <w:p w14:paraId="2C3CA815" w14:textId="77777777" w:rsidR="00D22774" w:rsidRDefault="00D22774" w:rsidP="00D22774">
      <w:pPr>
        <w:pStyle w:val="FootnoteText"/>
      </w:pPr>
      <w:r>
        <w:rPr>
          <w:rStyle w:val="FootnoteReference"/>
        </w:rPr>
        <w:footnoteRef/>
      </w:r>
      <w:r>
        <w:t xml:space="preserve"> 47 U.S.C. </w:t>
      </w:r>
      <w:r w:rsidRPr="00F96C18">
        <w:t>§</w:t>
      </w:r>
      <w:r>
        <w:t xml:space="preserve"> 310(d).</w:t>
      </w:r>
    </w:p>
  </w:footnote>
  <w:footnote w:id="10">
    <w:p w14:paraId="2E08EA66" w14:textId="77777777" w:rsidR="00D22774" w:rsidRDefault="00D22774" w:rsidP="00D22774">
      <w:pPr>
        <w:pStyle w:val="FootnoteText"/>
      </w:pPr>
      <w:r>
        <w:rPr>
          <w:rStyle w:val="FootnoteReference"/>
        </w:rPr>
        <w:footnoteRef/>
      </w:r>
      <w:r>
        <w:t xml:space="preserve"> 47 CFR § 1.948.</w:t>
      </w:r>
    </w:p>
  </w:footnote>
  <w:footnote w:id="11">
    <w:p w14:paraId="27150A72" w14:textId="77777777" w:rsidR="00D22774" w:rsidRDefault="00D22774" w:rsidP="00D22774">
      <w:pPr>
        <w:pStyle w:val="FootnoteText"/>
      </w:pPr>
      <w:r>
        <w:rPr>
          <w:rStyle w:val="FootnoteReference"/>
        </w:rPr>
        <w:footnoteRef/>
      </w:r>
      <w:r>
        <w:t xml:space="preserve"> 47 U.S.C. § 301.</w:t>
      </w:r>
    </w:p>
  </w:footnote>
  <w:footnote w:id="12">
    <w:p w14:paraId="6D3E8483" w14:textId="77777777" w:rsidR="00D22774" w:rsidRDefault="00D22774" w:rsidP="00D22774">
      <w:pPr>
        <w:pStyle w:val="FootnoteText"/>
      </w:pPr>
      <w:r>
        <w:rPr>
          <w:rStyle w:val="FootnoteReference"/>
        </w:rPr>
        <w:footnoteRef/>
      </w:r>
      <w:r>
        <w:t xml:space="preserve"> 47 CFR § 1.903.</w:t>
      </w:r>
    </w:p>
  </w:footnote>
  <w:footnote w:id="13">
    <w:p w14:paraId="126E9246" w14:textId="77777777" w:rsidR="00D22774" w:rsidRDefault="00D22774" w:rsidP="00D22774">
      <w:pPr>
        <w:pStyle w:val="FootnoteText"/>
      </w:pPr>
      <w:r>
        <w:rPr>
          <w:rStyle w:val="FootnoteReference"/>
        </w:rPr>
        <w:footnoteRef/>
      </w:r>
      <w:r>
        <w:t xml:space="preserve"> 47 U.S.C. </w:t>
      </w:r>
      <w:r w:rsidRPr="00F96C18">
        <w:t>§</w:t>
      </w:r>
      <w:r>
        <w:t xml:space="preserve"> 310(d).</w:t>
      </w:r>
    </w:p>
  </w:footnote>
  <w:footnote w:id="14">
    <w:p w14:paraId="36EE447F" w14:textId="77777777" w:rsidR="00D22774" w:rsidRDefault="00D22774" w:rsidP="00D22774">
      <w:pPr>
        <w:pStyle w:val="FootnoteText"/>
      </w:pPr>
      <w:r>
        <w:rPr>
          <w:rStyle w:val="FootnoteReference"/>
        </w:rPr>
        <w:footnoteRef/>
      </w:r>
      <w:r>
        <w:t xml:space="preserve"> 47 CFR § 1.948.</w:t>
      </w:r>
    </w:p>
  </w:footnote>
  <w:footnote w:id="15">
    <w:p w14:paraId="6DC69766" w14:textId="77777777" w:rsidR="00D22774" w:rsidRDefault="00D22774" w:rsidP="00D22774">
      <w:pPr>
        <w:pStyle w:val="FootnoteText"/>
      </w:pPr>
      <w:r>
        <w:rPr>
          <w:rStyle w:val="FootnoteReference"/>
        </w:rPr>
        <w:footnoteRef/>
      </w:r>
      <w:r>
        <w:t xml:space="preserve"> 47 U.S.C. § 301.</w:t>
      </w:r>
    </w:p>
  </w:footnote>
  <w:footnote w:id="16">
    <w:p w14:paraId="76AB0708" w14:textId="77777777" w:rsidR="00D22774" w:rsidRDefault="00D22774" w:rsidP="00D22774">
      <w:pPr>
        <w:pStyle w:val="FootnoteText"/>
      </w:pPr>
      <w:r>
        <w:rPr>
          <w:rStyle w:val="FootnoteReference"/>
        </w:rPr>
        <w:footnoteRef/>
      </w:r>
      <w:r>
        <w:t xml:space="preserve"> 47 CFR § 1.903.</w:t>
      </w:r>
    </w:p>
  </w:footnote>
  <w:footnote w:id="17">
    <w:p w14:paraId="1A39BC2A" w14:textId="77777777" w:rsidR="00D22774" w:rsidRDefault="00D22774" w:rsidP="00D22774">
      <w:pPr>
        <w:pStyle w:val="FootnoteText"/>
      </w:pPr>
      <w:r>
        <w:rPr>
          <w:rStyle w:val="FootnoteReference"/>
        </w:rPr>
        <w:footnoteRef/>
      </w:r>
      <w:r>
        <w:t xml:space="preserve"> 47 U.S.C. </w:t>
      </w:r>
      <w:r w:rsidRPr="00CD7349">
        <w:t>§ 310</w:t>
      </w:r>
      <w:r>
        <w:t>(d).</w:t>
      </w:r>
    </w:p>
  </w:footnote>
  <w:footnote w:id="18">
    <w:p w14:paraId="33F44D48" w14:textId="77777777" w:rsidR="00D22774" w:rsidRDefault="00D22774" w:rsidP="00D22774">
      <w:pPr>
        <w:pStyle w:val="FootnoteText"/>
      </w:pPr>
      <w:r>
        <w:rPr>
          <w:rStyle w:val="FootnoteReference"/>
        </w:rPr>
        <w:footnoteRef/>
      </w:r>
      <w:r>
        <w:t xml:space="preserve"> </w:t>
      </w:r>
      <w:r w:rsidRPr="00015382">
        <w:t xml:space="preserve">47 </w:t>
      </w:r>
      <w:r>
        <w:t>CFR</w:t>
      </w:r>
      <w:r w:rsidRPr="00015382">
        <w:t xml:space="preserve"> § 1.948</w:t>
      </w:r>
      <w:r>
        <w:t>.</w:t>
      </w:r>
    </w:p>
  </w:footnote>
  <w:footnote w:id="19">
    <w:p w14:paraId="3E459B92" w14:textId="77777777" w:rsidR="00D22774" w:rsidRDefault="00D22774" w:rsidP="00D22774">
      <w:pPr>
        <w:pStyle w:val="FootnoteText"/>
      </w:pPr>
      <w:r>
        <w:rPr>
          <w:rStyle w:val="FootnoteReference"/>
        </w:rPr>
        <w:footnoteRef/>
      </w:r>
      <w:r>
        <w:t xml:space="preserve"> </w:t>
      </w:r>
      <w:r w:rsidRPr="006E30DE">
        <w:t xml:space="preserve">47 U.S.C. </w:t>
      </w:r>
      <w:r>
        <w:t>§ 301, 47 CFR § 1.903(a).</w:t>
      </w:r>
    </w:p>
  </w:footnote>
  <w:footnote w:id="20">
    <w:p w14:paraId="0F6E16C5" w14:textId="20E2F641" w:rsidR="00D22774" w:rsidRDefault="00D22774" w:rsidP="00D22774">
      <w:pPr>
        <w:pStyle w:val="FootnoteText"/>
      </w:pPr>
      <w:r>
        <w:rPr>
          <w:rStyle w:val="FootnoteReference"/>
        </w:rPr>
        <w:footnoteRef/>
      </w:r>
      <w:r>
        <w:t xml:space="preserve"> </w:t>
      </w:r>
      <w:r w:rsidRPr="00D60944">
        <w:rPr>
          <w:i/>
        </w:rPr>
        <w:t>See</w:t>
      </w:r>
      <w:r>
        <w:t xml:space="preserve"> </w:t>
      </w:r>
      <w:hyperlink r:id="rId1" w:history="1">
        <w:r w:rsidR="006F2040" w:rsidRPr="004D5681">
          <w:rPr>
            <w:rStyle w:val="Hyperlink"/>
          </w:rPr>
          <w:t>http://www.cpr.ca/en/about-cp/our-history</w:t>
        </w:r>
      </w:hyperlink>
      <w:r>
        <w:t>.</w:t>
      </w:r>
    </w:p>
  </w:footnote>
  <w:footnote w:id="21">
    <w:p w14:paraId="0D6C382B" w14:textId="77777777" w:rsidR="00D22774" w:rsidRDefault="00D22774" w:rsidP="00D22774">
      <w:pPr>
        <w:pStyle w:val="FootnoteText"/>
      </w:pPr>
      <w:r>
        <w:rPr>
          <w:rStyle w:val="FootnoteReference"/>
        </w:rPr>
        <w:footnoteRef/>
      </w:r>
      <w:r>
        <w:t xml:space="preserve"> </w:t>
      </w:r>
      <w:r w:rsidRPr="00524BB4">
        <w:rPr>
          <w:i/>
        </w:rPr>
        <w:t>See</w:t>
      </w:r>
      <w:r>
        <w:t xml:space="preserve"> Letter from Thomas J. Litwiler, counsel for CP, to Gary Oshinsky, Attorney Advisor, FCC Enforcement Bureau at 1 (Jan. 14, 2016) </w:t>
      </w:r>
      <w:r w:rsidRPr="00921E09">
        <w:t>(on file in EB-IHD-15-00019370)</w:t>
      </w:r>
      <w:r>
        <w:t xml:space="preserve"> (Letter); </w:t>
      </w:r>
      <w:r w:rsidRPr="00921E09">
        <w:t xml:space="preserve">E-mail from Thomas J. Litwiler, counsel for CP, to Jeffrey Tobias, Attorney Advisor, FCC Wireless Telecommunications Bureau (June 8, 2015) </w:t>
      </w:r>
      <w:r>
        <w:t>(on file in EB-IHD-</w:t>
      </w:r>
      <w:r w:rsidRPr="005656DE">
        <w:rPr>
          <w:spacing w:val="-2"/>
          <w:szCs w:val="22"/>
          <w:lang w:val="es-ES"/>
        </w:rPr>
        <w:t>15-00019370</w:t>
      </w:r>
      <w:r>
        <w:t>) (June 8, 2015 E-mail).</w:t>
      </w:r>
    </w:p>
  </w:footnote>
  <w:footnote w:id="22">
    <w:p w14:paraId="0BB390BB" w14:textId="77777777" w:rsidR="00D22774" w:rsidRPr="00004EE7" w:rsidRDefault="00D22774" w:rsidP="00D22774">
      <w:pPr>
        <w:pStyle w:val="FootnoteText"/>
      </w:pPr>
      <w:r>
        <w:rPr>
          <w:rStyle w:val="FootnoteReference"/>
        </w:rPr>
        <w:footnoteRef/>
      </w:r>
      <w:r>
        <w:t xml:space="preserve"> FCC wireless radio authorizations for Soo are held by its licensee subsidiary Soo System Radio Communications Corporation.  </w:t>
      </w:r>
      <w:r>
        <w:rPr>
          <w:i/>
        </w:rPr>
        <w:t>See</w:t>
      </w:r>
      <w:r>
        <w:t xml:space="preserve"> Letter at 1; June 8, 2015 E-mail.  DM&amp;E and D&amp;H each hold FCC wireless radio authorizations in their own names.</w:t>
      </w:r>
    </w:p>
  </w:footnote>
  <w:footnote w:id="23">
    <w:p w14:paraId="02C417E0" w14:textId="77777777" w:rsidR="00D22774" w:rsidRPr="00FD66CC" w:rsidRDefault="00D22774" w:rsidP="00D22774">
      <w:pPr>
        <w:pStyle w:val="FootnoteText"/>
      </w:pPr>
      <w:r>
        <w:rPr>
          <w:rStyle w:val="FootnoteReference"/>
        </w:rPr>
        <w:footnoteRef/>
      </w:r>
      <w:r>
        <w:t xml:space="preserve"> </w:t>
      </w:r>
      <w:r>
        <w:rPr>
          <w:i/>
        </w:rPr>
        <w:t xml:space="preserve">See </w:t>
      </w:r>
      <w:r w:rsidRPr="00921E09">
        <w:t>Letter</w:t>
      </w:r>
      <w:r>
        <w:t xml:space="preserve"> at 2.  </w:t>
      </w:r>
    </w:p>
  </w:footnote>
  <w:footnote w:id="24">
    <w:p w14:paraId="37D499DB" w14:textId="77777777" w:rsidR="00D22774" w:rsidRDefault="00D22774" w:rsidP="00D22774">
      <w:pPr>
        <w:pStyle w:val="FootnoteText"/>
      </w:pPr>
      <w:r>
        <w:rPr>
          <w:rStyle w:val="FootnoteReference"/>
        </w:rPr>
        <w:footnoteRef/>
      </w:r>
      <w:r>
        <w:t xml:space="preserve"> Both the substantial and </w:t>
      </w:r>
      <w:r w:rsidRPr="008B48D7">
        <w:rPr>
          <w:i/>
        </w:rPr>
        <w:t>pro forma</w:t>
      </w:r>
      <w:r>
        <w:t xml:space="preserve"> transactions also involved wireless radio transmitters that had never been licensed by the FCC.  </w:t>
      </w:r>
      <w:r>
        <w:rPr>
          <w:i/>
        </w:rPr>
        <w:t xml:space="preserve">See </w:t>
      </w:r>
      <w:r w:rsidRPr="00921E09">
        <w:rPr>
          <w:i/>
        </w:rPr>
        <w:t>id</w:t>
      </w:r>
      <w:r>
        <w:t>.</w:t>
      </w:r>
    </w:p>
  </w:footnote>
  <w:footnote w:id="25">
    <w:p w14:paraId="721F4A36" w14:textId="77777777" w:rsidR="00D22774" w:rsidRPr="00EE288D" w:rsidRDefault="00D22774" w:rsidP="00D22774">
      <w:pPr>
        <w:pStyle w:val="FootnoteText"/>
      </w:pPr>
      <w:r>
        <w:rPr>
          <w:rStyle w:val="FootnoteReference"/>
        </w:rPr>
        <w:footnoteRef/>
      </w:r>
      <w:r>
        <w:t xml:space="preserve"> </w:t>
      </w:r>
      <w:r>
        <w:rPr>
          <w:i/>
        </w:rPr>
        <w:t xml:space="preserve">See </w:t>
      </w:r>
      <w:r>
        <w:t xml:space="preserve">June 8, 2015 E-mail.  In the context of the Positive Train Control implementation by Congress, the Company previously entered a Memorandum of Understanding with the FCC involving the implementation of compliance procedures which required, </w:t>
      </w:r>
      <w:r w:rsidRPr="00EE288D">
        <w:rPr>
          <w:i/>
        </w:rPr>
        <w:t>inter alia</w:t>
      </w:r>
      <w:r>
        <w:rPr>
          <w:i/>
        </w:rPr>
        <w:t xml:space="preserve">, </w:t>
      </w:r>
      <w:r>
        <w:t xml:space="preserve">the appointment of an official compliance Officer, and creation of a compliance manual.  </w:t>
      </w:r>
      <w:r w:rsidRPr="00115607">
        <w:rPr>
          <w:i/>
        </w:rPr>
        <w:t>Id</w:t>
      </w:r>
      <w:r>
        <w:t>.</w:t>
      </w:r>
    </w:p>
  </w:footnote>
  <w:footnote w:id="26">
    <w:p w14:paraId="356F00CA" w14:textId="77777777" w:rsidR="00D22774" w:rsidRDefault="00D22774" w:rsidP="00D22774">
      <w:pPr>
        <w:pStyle w:val="FootnoteText"/>
      </w:pPr>
      <w:r>
        <w:rPr>
          <w:rStyle w:val="FootnoteReference"/>
        </w:rPr>
        <w:footnoteRef/>
      </w:r>
      <w:r>
        <w:t xml:space="preserve"> </w:t>
      </w:r>
      <w:r w:rsidRPr="00C35EF7">
        <w:t>S</w:t>
      </w:r>
      <w:r w:rsidRPr="00C35EF7">
        <w:rPr>
          <w:rFonts w:eastAsia="Calibri"/>
        </w:rPr>
        <w:t xml:space="preserve">ubstantial transfers involve the transfer of license ownership, while </w:t>
      </w:r>
      <w:r w:rsidRPr="00C35EF7">
        <w:rPr>
          <w:rFonts w:eastAsia="Calibri"/>
          <w:i/>
        </w:rPr>
        <w:t xml:space="preserve">pro forma </w:t>
      </w:r>
      <w:r w:rsidRPr="00C35EF7">
        <w:rPr>
          <w:rFonts w:eastAsia="Calibri"/>
        </w:rPr>
        <w:t>transfers</w:t>
      </w:r>
      <w:r w:rsidRPr="00C35EF7">
        <w:rPr>
          <w:rFonts w:eastAsia="Calibri"/>
          <w:i/>
        </w:rPr>
        <w:t xml:space="preserve"> </w:t>
      </w:r>
      <w:r w:rsidRPr="00C35EF7">
        <w:rPr>
          <w:rFonts w:eastAsia="Calibri"/>
        </w:rPr>
        <w:t xml:space="preserve">involve only the transfer of control of licenses.  See </w:t>
      </w:r>
      <w:r>
        <w:t xml:space="preserve">47 U.S.C. § 310(d); </w:t>
      </w:r>
      <w:r w:rsidRPr="00C35EF7">
        <w:t>47 CFR § 1.948.</w:t>
      </w:r>
    </w:p>
  </w:footnote>
  <w:footnote w:id="27">
    <w:p w14:paraId="7E7E12EE" w14:textId="77777777" w:rsidR="00D22774" w:rsidRDefault="00D22774" w:rsidP="00D22774">
      <w:pPr>
        <w:pStyle w:val="FootnoteText"/>
      </w:pPr>
      <w:r>
        <w:rPr>
          <w:rStyle w:val="FootnoteReference"/>
        </w:rPr>
        <w:footnoteRef/>
      </w:r>
      <w:r>
        <w:t xml:space="preserve"> </w:t>
      </w:r>
      <w:r w:rsidRPr="00461E26">
        <w:rPr>
          <w:i/>
        </w:rPr>
        <w:t>See</w:t>
      </w:r>
      <w:r>
        <w:rPr>
          <w:i/>
        </w:rPr>
        <w:t xml:space="preserve"> </w:t>
      </w:r>
      <w:r>
        <w:t>Letter at 1.</w:t>
      </w:r>
    </w:p>
  </w:footnote>
  <w:footnote w:id="28">
    <w:p w14:paraId="45A93497" w14:textId="77777777" w:rsidR="00D22774" w:rsidRDefault="00D22774" w:rsidP="00D22774">
      <w:pPr>
        <w:pStyle w:val="FootnoteText"/>
      </w:pPr>
      <w:r>
        <w:rPr>
          <w:rStyle w:val="FootnoteReference"/>
        </w:rPr>
        <w:footnoteRef/>
      </w:r>
      <w:r>
        <w:t xml:space="preserve"> </w:t>
      </w:r>
      <w:r w:rsidRPr="004436EF">
        <w:rPr>
          <w:i/>
        </w:rPr>
        <w:t xml:space="preserve">See </w:t>
      </w:r>
      <w:r w:rsidRPr="004436EF">
        <w:t>June 8, 2015 E-mail</w:t>
      </w:r>
      <w:r>
        <w:t xml:space="preserve">.  </w:t>
      </w:r>
      <w:r>
        <w:rPr>
          <w:rFonts w:eastAsiaTheme="minorHAnsi"/>
          <w:szCs w:val="22"/>
        </w:rPr>
        <w:t>O</w:t>
      </w:r>
      <w:r w:rsidRPr="00E36F0F">
        <w:rPr>
          <w:rFonts w:eastAsiaTheme="minorHAnsi"/>
          <w:szCs w:val="22"/>
        </w:rPr>
        <w:t>n December 31, 2008, IC&amp;E was</w:t>
      </w:r>
      <w:r>
        <w:rPr>
          <w:rFonts w:eastAsiaTheme="minorHAnsi"/>
          <w:szCs w:val="22"/>
        </w:rPr>
        <w:t xml:space="preserve"> </w:t>
      </w:r>
      <w:r w:rsidRPr="00E36F0F">
        <w:rPr>
          <w:rFonts w:eastAsiaTheme="minorHAnsi"/>
          <w:szCs w:val="22"/>
        </w:rPr>
        <w:t>merged into DM&amp;E, with DM&amp;E as the surviving corporation</w:t>
      </w:r>
      <w:r>
        <w:rPr>
          <w:rFonts w:eastAsiaTheme="minorHAnsi"/>
          <w:szCs w:val="22"/>
        </w:rPr>
        <w:t xml:space="preserve">.  </w:t>
      </w:r>
      <w:r w:rsidRPr="009C661C">
        <w:rPr>
          <w:rFonts w:eastAsiaTheme="minorHAnsi"/>
          <w:i/>
          <w:szCs w:val="22"/>
        </w:rPr>
        <w:t>Id</w:t>
      </w:r>
      <w:r>
        <w:rPr>
          <w:rFonts w:eastAsiaTheme="minorHAnsi"/>
          <w:szCs w:val="22"/>
        </w:rPr>
        <w:t>.</w:t>
      </w:r>
    </w:p>
  </w:footnote>
  <w:footnote w:id="29">
    <w:p w14:paraId="07534FB6" w14:textId="77777777" w:rsidR="00D22774" w:rsidRDefault="00D22774" w:rsidP="00D22774">
      <w:pPr>
        <w:pStyle w:val="FootnoteText"/>
      </w:pPr>
      <w:r>
        <w:rPr>
          <w:rStyle w:val="FootnoteReference"/>
        </w:rPr>
        <w:footnoteRef/>
      </w:r>
      <w:r>
        <w:t xml:space="preserve"> </w:t>
      </w:r>
      <w:r w:rsidRPr="00C77E70">
        <w:rPr>
          <w:i/>
        </w:rPr>
        <w:t>See</w:t>
      </w:r>
      <w:r>
        <w:t xml:space="preserve"> June 8, 2015 E-mail.  </w:t>
      </w:r>
      <w:r w:rsidRPr="007729C6">
        <w:rPr>
          <w:rFonts w:eastAsiaTheme="minorHAnsi"/>
          <w:szCs w:val="22"/>
        </w:rPr>
        <w:t>DM&amp;E held 16 FCC licenses at th</w:t>
      </w:r>
      <w:r>
        <w:rPr>
          <w:rFonts w:eastAsiaTheme="minorHAnsi"/>
          <w:szCs w:val="22"/>
        </w:rPr>
        <w:t xml:space="preserve">e time of the transaction </w:t>
      </w:r>
      <w:r w:rsidRPr="000847C9">
        <w:rPr>
          <w:rFonts w:eastAsiaTheme="minorHAnsi"/>
          <w:szCs w:val="22"/>
        </w:rPr>
        <w:t>(all “Industrial/Business Pool” licenses), of</w:t>
      </w:r>
      <w:r w:rsidRPr="007729C6">
        <w:rPr>
          <w:rFonts w:eastAsiaTheme="minorHAnsi"/>
          <w:szCs w:val="22"/>
        </w:rPr>
        <w:t xml:space="preserve"> which seven remain in active use today. </w:t>
      </w:r>
      <w:r>
        <w:rPr>
          <w:rFonts w:eastAsiaTheme="minorHAnsi"/>
          <w:szCs w:val="22"/>
        </w:rPr>
        <w:t xml:space="preserve"> </w:t>
      </w:r>
      <w:r w:rsidRPr="007729C6">
        <w:rPr>
          <w:rFonts w:eastAsiaTheme="minorHAnsi"/>
          <w:szCs w:val="22"/>
        </w:rPr>
        <w:t>IC&amp;E held 15 FCC licenses at the t</w:t>
      </w:r>
      <w:r>
        <w:rPr>
          <w:rFonts w:eastAsiaTheme="minorHAnsi"/>
          <w:szCs w:val="22"/>
        </w:rPr>
        <w:t xml:space="preserve">ime of the transaction (14 Industrial/Business Pool licenses and </w:t>
      </w:r>
      <w:r w:rsidRPr="000847C9">
        <w:rPr>
          <w:rFonts w:eastAsiaTheme="minorHAnsi"/>
          <w:szCs w:val="22"/>
        </w:rPr>
        <w:t>one “</w:t>
      </w:r>
      <w:r w:rsidRPr="000847C9">
        <w:rPr>
          <w:rStyle w:val="st"/>
        </w:rPr>
        <w:t>Location Narrowband</w:t>
      </w:r>
      <w:r w:rsidRPr="000847C9">
        <w:rPr>
          <w:rFonts w:eastAsiaTheme="minorHAnsi"/>
          <w:szCs w:val="22"/>
        </w:rPr>
        <w:t>”</w:t>
      </w:r>
      <w:r>
        <w:rPr>
          <w:rFonts w:eastAsiaTheme="minorHAnsi"/>
          <w:szCs w:val="22"/>
        </w:rPr>
        <w:t xml:space="preserve"> license), of which all remain active today.  </w:t>
      </w:r>
      <w:r w:rsidRPr="005B1740">
        <w:rPr>
          <w:rFonts w:eastAsiaTheme="minorHAnsi"/>
          <w:i/>
          <w:szCs w:val="22"/>
        </w:rPr>
        <w:t>Id</w:t>
      </w:r>
      <w:r>
        <w:rPr>
          <w:rFonts w:eastAsiaTheme="minorHAnsi"/>
          <w:szCs w:val="22"/>
        </w:rPr>
        <w:t>.</w:t>
      </w:r>
    </w:p>
  </w:footnote>
  <w:footnote w:id="30">
    <w:p w14:paraId="2225BE34" w14:textId="77777777" w:rsidR="00D22774" w:rsidRPr="007965B8" w:rsidRDefault="00D22774" w:rsidP="00D22774">
      <w:pPr>
        <w:pStyle w:val="FootnoteText"/>
      </w:pPr>
      <w:r>
        <w:rPr>
          <w:rStyle w:val="FootnoteReference"/>
        </w:rPr>
        <w:footnoteRef/>
      </w:r>
      <w:r>
        <w:t xml:space="preserve"> </w:t>
      </w:r>
      <w:r w:rsidRPr="00461E26">
        <w:rPr>
          <w:i/>
        </w:rPr>
        <w:t>See</w:t>
      </w:r>
      <w:r>
        <w:t xml:space="preserve"> </w:t>
      </w:r>
      <w:r>
        <w:rPr>
          <w:i/>
        </w:rPr>
        <w:t>id</w:t>
      </w:r>
      <w:r>
        <w:t xml:space="preserve">.; </w:t>
      </w:r>
      <w:r>
        <w:rPr>
          <w:i/>
        </w:rPr>
        <w:t>see also</w:t>
      </w:r>
      <w:r>
        <w:t xml:space="preserve"> Letter, Attachment at 1-12.</w:t>
      </w:r>
    </w:p>
  </w:footnote>
  <w:footnote w:id="31">
    <w:p w14:paraId="1CFE9680" w14:textId="77777777" w:rsidR="00D22774" w:rsidRDefault="00D22774" w:rsidP="00D22774">
      <w:pPr>
        <w:pStyle w:val="FootnoteText"/>
      </w:pPr>
      <w:r>
        <w:rPr>
          <w:rStyle w:val="FootnoteReference"/>
        </w:rPr>
        <w:footnoteRef/>
      </w:r>
      <w:r>
        <w:t xml:space="preserve"> </w:t>
      </w:r>
      <w:r w:rsidRPr="00326E63">
        <w:rPr>
          <w:i/>
        </w:rPr>
        <w:t>See</w:t>
      </w:r>
      <w:r>
        <w:t xml:space="preserve"> Letter at 2.  A number of unauthorized devices controlled by CP’s D&amp;H subsidiary were ultimately licensed by Norfolk Southern Railway Company, as part of a previously scheduled transaction. </w:t>
      </w:r>
      <w:r w:rsidRPr="00E64255">
        <w:rPr>
          <w:i/>
        </w:rPr>
        <w:t>Id</w:t>
      </w:r>
      <w:r>
        <w:t xml:space="preserve">. </w:t>
      </w:r>
    </w:p>
  </w:footnote>
  <w:footnote w:id="32">
    <w:p w14:paraId="6DE07C85" w14:textId="77777777" w:rsidR="00D22774" w:rsidRPr="00887488" w:rsidRDefault="00D22774" w:rsidP="00D22774">
      <w:pPr>
        <w:pStyle w:val="FootnoteText"/>
        <w:rPr>
          <w:color w:val="FF0000"/>
        </w:rPr>
      </w:pPr>
      <w:r w:rsidRPr="00887488">
        <w:rPr>
          <w:color w:val="FF0000"/>
        </w:rPr>
        <w:t xml:space="preserve"> </w:t>
      </w:r>
      <w:r w:rsidRPr="00DB520C">
        <w:rPr>
          <w:rStyle w:val="FootnoteReference"/>
        </w:rPr>
        <w:footnoteRef/>
      </w:r>
      <w:r w:rsidRPr="00DB520C">
        <w:t xml:space="preserve"> CP </w:t>
      </w:r>
      <w:r>
        <w:t>indicates</w:t>
      </w:r>
      <w:r w:rsidRPr="00DB520C">
        <w:t xml:space="preserve"> that it </w:t>
      </w:r>
      <w:r>
        <w:t xml:space="preserve">uses </w:t>
      </w:r>
      <w:r w:rsidRPr="00DB520C">
        <w:t>its radio facilities to, among other things, support dispatch operations and intra-yard communications, detect defects on rail</w:t>
      </w:r>
      <w:r>
        <w:t xml:space="preserve"> </w:t>
      </w:r>
      <w:r w:rsidRPr="00DB520C">
        <w:t xml:space="preserve">cars, monitor </w:t>
      </w:r>
      <w:r>
        <w:t xml:space="preserve">the location of rail cars, </w:t>
      </w:r>
      <w:r w:rsidRPr="00DB520C">
        <w:t xml:space="preserve">and detect and </w:t>
      </w:r>
      <w:r>
        <w:t xml:space="preserve">change the position of tracks. </w:t>
      </w:r>
      <w:r w:rsidRPr="00326E63">
        <w:rPr>
          <w:i/>
        </w:rPr>
        <w:t xml:space="preserve"> </w:t>
      </w:r>
      <w:r w:rsidRPr="00DB520C">
        <w:rPr>
          <w:i/>
        </w:rPr>
        <w:t>See</w:t>
      </w:r>
      <w:r>
        <w:t xml:space="preserve"> June 8, 2015 E-mail. </w:t>
      </w:r>
    </w:p>
  </w:footnote>
  <w:footnote w:id="33">
    <w:p w14:paraId="5815FA38" w14:textId="77777777" w:rsidR="00D22774" w:rsidRDefault="00D22774" w:rsidP="00D22774">
      <w:pPr>
        <w:pStyle w:val="FootnoteText"/>
      </w:pPr>
      <w:r>
        <w:rPr>
          <w:rStyle w:val="FootnoteReference"/>
        </w:rPr>
        <w:footnoteRef/>
      </w:r>
      <w:r>
        <w:t xml:space="preserve"> The Parties understand and agree, that future, isolated, instances of unauthorized operations, which pre-date this Consent Decree, but which are discovered after the Effective Date, will be considered covered by the terms herein including under paragraphs 17 and 18. </w:t>
      </w:r>
    </w:p>
  </w:footnote>
  <w:footnote w:id="34">
    <w:p w14:paraId="5E2D1294" w14:textId="77777777" w:rsidR="00D22774" w:rsidRPr="00725497" w:rsidRDefault="00D22774" w:rsidP="00D22774">
      <w:pPr>
        <w:pStyle w:val="FootnoteText"/>
      </w:pPr>
      <w:r>
        <w:rPr>
          <w:rStyle w:val="FootnoteReference"/>
        </w:rPr>
        <w:footnoteRef/>
      </w:r>
      <w:r>
        <w:t xml:space="preserve"> </w:t>
      </w:r>
      <w:r>
        <w:rPr>
          <w:i/>
        </w:rPr>
        <w:t xml:space="preserve">See </w:t>
      </w:r>
      <w:r>
        <w:t>47 CFR § 1.93(b).</w:t>
      </w:r>
    </w:p>
  </w:footnote>
  <w:footnote w:id="35">
    <w:p w14:paraId="022EA89D" w14:textId="77777777" w:rsidR="00D22774" w:rsidRPr="00926357" w:rsidRDefault="00D22774" w:rsidP="00D22774">
      <w:pPr>
        <w:pStyle w:val="FootnoteText"/>
      </w:pPr>
      <w:r>
        <w:rPr>
          <w:rStyle w:val="FootnoteReference"/>
        </w:rPr>
        <w:footnoteRef/>
      </w:r>
      <w:r>
        <w:t xml:space="preserve"> </w:t>
      </w:r>
      <w:r w:rsidRPr="00926357">
        <w:rPr>
          <w:i/>
        </w:rPr>
        <w:t>See</w:t>
      </w:r>
      <w:r w:rsidRPr="00926357">
        <w:t xml:space="preserve"> </w:t>
      </w:r>
      <w:r>
        <w:t>June 8, 2015 E-mail;</w:t>
      </w:r>
      <w:r w:rsidRPr="00926357">
        <w:t xml:space="preserve"> </w:t>
      </w:r>
      <w:r>
        <w:t>Letter,</w:t>
      </w:r>
      <w:r w:rsidRPr="00926357">
        <w:t xml:space="preserve"> Certification. </w:t>
      </w:r>
      <w:r w:rsidRPr="00926357">
        <w:rPr>
          <w:szCs w:val="22"/>
        </w:rPr>
        <w:t>As an initial step in the implementation of its compliance effort, CP designated William M. Tuttle, CP’s General Counsel U.S., to serve as the Company’s Compliance Officer to review and oversee all of its FCC licensing matters.</w:t>
      </w:r>
      <w:r>
        <w:rPr>
          <w:szCs w:val="22"/>
        </w:rPr>
        <w:t xml:space="preserve">  </w:t>
      </w:r>
      <w:r w:rsidRPr="00F43846">
        <w:rPr>
          <w:i/>
          <w:szCs w:val="22"/>
        </w:rPr>
        <w:t>Id</w:t>
      </w:r>
      <w:r>
        <w:rPr>
          <w:szCs w:val="22"/>
        </w:rPr>
        <w:t>.</w:t>
      </w:r>
    </w:p>
  </w:footnote>
  <w:footnote w:id="36">
    <w:p w14:paraId="53073147" w14:textId="77777777" w:rsidR="00D22774" w:rsidRDefault="00D22774" w:rsidP="00D22774">
      <w:pPr>
        <w:pStyle w:val="FootnoteText"/>
        <w:tabs>
          <w:tab w:val="left" w:pos="180"/>
        </w:tabs>
      </w:pPr>
      <w:r>
        <w:rPr>
          <w:rStyle w:val="FootnoteReference"/>
          <w:szCs w:val="22"/>
        </w:rPr>
        <w:footnoteRef/>
      </w:r>
      <w:r>
        <w:t xml:space="preserve"> 47 CFR § 1.16.</w:t>
      </w:r>
    </w:p>
  </w:footnote>
  <w:footnote w:id="37">
    <w:p w14:paraId="55FA4B02" w14:textId="6C5042EE" w:rsidR="00D22774" w:rsidRDefault="00D22774" w:rsidP="00D22774">
      <w:pPr>
        <w:pStyle w:val="FootnoteTex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 xml:space="preserve">instructions for completing the form may be obtained at </w:t>
      </w:r>
      <w:hyperlink r:id="rId2" w:history="1">
        <w:r w:rsidRPr="00CC14A3">
          <w:rPr>
            <w:rStyle w:val="Hyperlink"/>
            <w:rFonts w:eastAsia="MS Mincho" w:cs="Arial"/>
          </w:rPr>
          <w:t>http://www.fcc.gov/Forms/Form159/159.pdf</w:t>
        </w:r>
      </w:hyperlink>
      <w:r w:rsidRPr="00626BA2">
        <w:rPr>
          <w:rFonts w:eastAsia="MS Mincho" w:cs="Arial"/>
        </w:rPr>
        <w:t>.</w:t>
      </w:r>
    </w:p>
  </w:footnote>
  <w:footnote w:id="38">
    <w:p w14:paraId="7E1C70E0" w14:textId="77777777" w:rsidR="00D22774" w:rsidRDefault="00D22774" w:rsidP="00D22774">
      <w:pPr>
        <w:pStyle w:val="FootnoteText"/>
      </w:pPr>
      <w:r>
        <w:rPr>
          <w:rStyle w:val="FootnoteReference"/>
        </w:rPr>
        <w:footnoteRef/>
      </w:r>
      <w:r>
        <w:t xml:space="preserve"> </w:t>
      </w:r>
      <w:r>
        <w:rPr>
          <w:i/>
        </w:rPr>
        <w:t xml:space="preserve">See </w:t>
      </w:r>
      <w:r>
        <w:t>5 U.S.C. § 504;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D6B82" w14:textId="77777777" w:rsidR="00BA247E" w:rsidRDefault="00BA2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F6275" w14:textId="2A476F7F" w:rsidR="00C438ED" w:rsidRDefault="00C438ED" w:rsidP="00C438ED">
    <w:pPr>
      <w:tabs>
        <w:tab w:val="center" w:pos="4680"/>
        <w:tab w:val="right" w:pos="9360"/>
      </w:tabs>
    </w:pPr>
    <w:r>
      <w:rPr>
        <w:noProof/>
      </w:rPr>
      <mc:AlternateContent>
        <mc:Choice Requires="wps">
          <w:drawing>
            <wp:anchor distT="0" distB="0" distL="114300" distR="114300" simplePos="0" relativeHeight="251659264" behindDoc="1" locked="0" layoutInCell="0" allowOverlap="1" wp14:anchorId="51FF6280" wp14:editId="51FF6281">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111FE4"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Pr>
        <w:b/>
      </w:rPr>
      <w:tab/>
      <w:t>Federal Communications Commission</w:t>
    </w:r>
    <w:r>
      <w:rPr>
        <w:b/>
      </w:rPr>
      <w:tab/>
    </w:r>
    <w:r>
      <w:rPr>
        <w:b/>
        <w:spacing w:val="-2"/>
      </w:rPr>
      <w:t xml:space="preserve">DA </w:t>
    </w:r>
    <w:r w:rsidR="00721AFF">
      <w:rPr>
        <w:b/>
        <w:spacing w:val="-2"/>
      </w:rPr>
      <w:t>16-861</w:t>
    </w:r>
  </w:p>
  <w:p w14:paraId="51FF6276" w14:textId="77777777" w:rsidR="00676723" w:rsidRPr="00C438ED" w:rsidRDefault="00676723" w:rsidP="00C43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F627C" w14:textId="77777777" w:rsidR="00032EB3" w:rsidRPr="00D42D5D" w:rsidRDefault="00D42D5D" w:rsidP="00032EB3">
    <w:pPr>
      <w:pStyle w:val="Header"/>
    </w:pPr>
    <w:r>
      <w:t>9-10-14 draft</w:t>
    </w:r>
    <w:r w:rsidR="00676723">
      <w:tab/>
    </w:r>
    <w:r w:rsidR="00032EB3">
      <w:t>Federa</w:t>
    </w:r>
    <w:r w:rsidR="00CF77B7">
      <w:t>l Communications Commission</w:t>
    </w:r>
    <w:r w:rsidR="00CF77B7">
      <w:tab/>
      <w:t>DA</w:t>
    </w:r>
    <w:r>
      <w:t xml:space="preserve"> [</w:t>
    </w:r>
    <w:r w:rsidRPr="00D42D5D">
      <w:rPr>
        <w:i/>
      </w:rPr>
      <w:t>or</w:t>
    </w:r>
    <w:r>
      <w:t xml:space="preserve"> FCC]</w:t>
    </w:r>
    <w:r w:rsidR="00CF77B7">
      <w:t xml:space="preserve"> </w:t>
    </w:r>
    <w:r w:rsidR="00CF77B7" w:rsidRPr="00CF77B7">
      <w:rPr>
        <w:highlight w:val="yellow"/>
      </w:rPr>
      <w:t>YR-XXX</w:t>
    </w:r>
  </w:p>
  <w:p w14:paraId="51FF627D" w14:textId="77777777" w:rsidR="00676723" w:rsidRDefault="00032EB3" w:rsidP="007A247C">
    <w:pPr>
      <w:pStyle w:val="Header"/>
    </w:pPr>
    <w:r>
      <w:rPr>
        <w:b w:val="0"/>
        <w:noProof/>
        <w:snapToGrid/>
      </w:rPr>
      <w:drawing>
        <wp:inline distT="0" distB="0" distL="0" distR="0" wp14:anchorId="51FF6282" wp14:editId="51FF6283">
          <wp:extent cx="5952490"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19050"/>
                  </a:xfrm>
                  <a:prstGeom prst="rect">
                    <a:avLst/>
                  </a:prstGeom>
                  <a:noFill/>
                </pic:spPr>
              </pic:pic>
            </a:graphicData>
          </a:graphic>
        </wp:inline>
      </w:drawing>
    </w:r>
    <w:r>
      <w:br/>
    </w:r>
  </w:p>
  <w:p w14:paraId="51FF627E" w14:textId="77777777" w:rsidR="002E4C64" w:rsidRDefault="002E4C64" w:rsidP="007A24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349D2" w14:textId="77777777" w:rsidR="00373870" w:rsidRPr="009D558D" w:rsidRDefault="006F2040" w:rsidP="004F5E37">
    <w:pPr>
      <w:pBdr>
        <w:bottom w:val="single" w:sz="12" w:space="1" w:color="auto"/>
      </w:pBdr>
      <w:tabs>
        <w:tab w:val="center" w:pos="4860"/>
        <w:tab w:val="right" w:pos="9360"/>
      </w:tabs>
      <w:rPr>
        <w:b/>
      </w:rPr>
    </w:pPr>
    <w:r>
      <w:rPr>
        <w:b/>
      </w:rPr>
      <w:t xml:space="preserve">                                                    </w:t>
    </w:r>
    <w:r w:rsidRPr="009D558D">
      <w:rPr>
        <w:b/>
      </w:rPr>
      <w:t>Federal Communications Commission</w:t>
    </w:r>
    <w:r w:rsidRPr="009D558D">
      <w:rPr>
        <w:b/>
      </w:rPr>
      <w:tab/>
    </w:r>
    <w:r>
      <w:rPr>
        <w:b/>
      </w:rPr>
      <w:t xml:space="preserve">                         </w:t>
    </w:r>
    <w:r w:rsidRPr="00C95F56">
      <w:rPr>
        <w:b/>
      </w:rPr>
      <w:t xml:space="preserve">DA </w:t>
    </w:r>
    <w:r w:rsidRPr="00C95F56">
      <w:rPr>
        <w:b/>
        <w:bCs/>
      </w:rPr>
      <w:t>16-861</w:t>
    </w:r>
  </w:p>
  <w:p w14:paraId="78D3CE49" w14:textId="77777777" w:rsidR="00373870" w:rsidRDefault="00D8154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D3493" w14:textId="77777777" w:rsidR="00373870" w:rsidRPr="009D558D" w:rsidRDefault="006F2040" w:rsidP="00005462">
    <w:pPr>
      <w:pBdr>
        <w:bottom w:val="single" w:sz="12" w:space="1" w:color="auto"/>
      </w:pBdr>
      <w:tabs>
        <w:tab w:val="center" w:pos="4860"/>
        <w:tab w:val="right" w:pos="9360"/>
      </w:tabs>
      <w:rPr>
        <w:b/>
      </w:rPr>
    </w:pPr>
    <w:r>
      <w:rPr>
        <w:b/>
      </w:rPr>
      <w:t xml:space="preserve">                                                    </w:t>
    </w:r>
    <w:r w:rsidRPr="009D558D">
      <w:rPr>
        <w:b/>
      </w:rPr>
      <w:t>Federal Communications Commission</w:t>
    </w:r>
    <w:r w:rsidRPr="009D558D">
      <w:rPr>
        <w:b/>
      </w:rPr>
      <w:tab/>
    </w:r>
    <w:r>
      <w:rPr>
        <w:b/>
      </w:rPr>
      <w:t xml:space="preserve">                         </w:t>
    </w:r>
    <w:r w:rsidRPr="00C95F56">
      <w:rPr>
        <w:b/>
      </w:rPr>
      <w:t xml:space="preserve">DA </w:t>
    </w:r>
    <w:r w:rsidRPr="00C95F56">
      <w:rPr>
        <w:b/>
        <w:bCs/>
      </w:rPr>
      <w:t>16-861</w:t>
    </w:r>
  </w:p>
  <w:p w14:paraId="6306C9F6" w14:textId="77777777" w:rsidR="00373870" w:rsidRDefault="00D815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AC268AE"/>
    <w:lvl w:ilvl="0">
      <w:start w:val="1"/>
      <w:numFmt w:val="decimal"/>
      <w:isLgl/>
      <w:lvlText w:val="%1."/>
      <w:lvlJc w:val="left"/>
      <w:pPr>
        <w:tabs>
          <w:tab w:val="num" w:pos="720"/>
        </w:tabs>
        <w:ind w:left="72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
    <w:nsid w:val="00000002"/>
    <w:multiLevelType w:val="multilevel"/>
    <w:tmpl w:val="1C16C8BE"/>
    <w:lvl w:ilvl="0">
      <w:start w:val="1"/>
      <w:numFmt w:val="lowerLetter"/>
      <w:suff w:val="nothing"/>
      <w:lvlText w:val="(%1)"/>
      <w:lvlJc w:val="left"/>
      <w:pPr>
        <w:ind w:left="810" w:firstLine="1440"/>
      </w:pPr>
      <w:rPr>
        <w:rFonts w:hint="default"/>
        <w:i w:val="0"/>
        <w:color w:val="000000"/>
        <w:position w:val="0"/>
        <w:sz w:val="24"/>
      </w:rPr>
    </w:lvl>
    <w:lvl w:ilvl="1">
      <w:start w:val="1"/>
      <w:numFmt w:val="lowerLetter"/>
      <w:lvlText w:val="%2)"/>
      <w:lvlJc w:val="left"/>
      <w:pPr>
        <w:ind w:left="720" w:firstLine="1440"/>
      </w:pPr>
      <w:rPr>
        <w:rFonts w:hint="default"/>
        <w:color w:val="000000"/>
        <w:position w:val="0"/>
        <w:sz w:val="24"/>
      </w:rPr>
    </w:lvl>
    <w:lvl w:ilvl="2">
      <w:start w:val="1"/>
      <w:numFmt w:val="lowerRoman"/>
      <w:suff w:val="nothing"/>
      <w:lvlText w:val="%3."/>
      <w:lvlJc w:val="left"/>
      <w:pPr>
        <w:ind w:left="720" w:firstLine="2160"/>
      </w:pPr>
      <w:rPr>
        <w:rFonts w:hint="default"/>
        <w:color w:val="000000"/>
        <w:position w:val="0"/>
        <w:sz w:val="24"/>
      </w:rPr>
    </w:lvl>
    <w:lvl w:ilvl="3">
      <w:start w:val="1"/>
      <w:numFmt w:val="decimal"/>
      <w:isLgl/>
      <w:suff w:val="nothing"/>
      <w:lvlText w:val="%4."/>
      <w:lvlJc w:val="left"/>
      <w:pPr>
        <w:ind w:left="720" w:firstLine="2880"/>
      </w:pPr>
      <w:rPr>
        <w:rFonts w:hint="default"/>
        <w:color w:val="000000"/>
        <w:position w:val="0"/>
        <w:sz w:val="24"/>
      </w:rPr>
    </w:lvl>
    <w:lvl w:ilvl="4">
      <w:start w:val="1"/>
      <w:numFmt w:val="lowerLetter"/>
      <w:suff w:val="nothing"/>
      <w:lvlText w:val="%5."/>
      <w:lvlJc w:val="left"/>
      <w:pPr>
        <w:ind w:left="720" w:firstLine="3600"/>
      </w:pPr>
      <w:rPr>
        <w:rFonts w:hint="default"/>
        <w:color w:val="000000"/>
        <w:position w:val="0"/>
        <w:sz w:val="24"/>
      </w:rPr>
    </w:lvl>
    <w:lvl w:ilvl="5">
      <w:start w:val="1"/>
      <w:numFmt w:val="lowerRoman"/>
      <w:suff w:val="nothing"/>
      <w:lvlText w:val="%6."/>
      <w:lvlJc w:val="left"/>
      <w:pPr>
        <w:ind w:left="720" w:firstLine="4320"/>
      </w:pPr>
      <w:rPr>
        <w:rFonts w:hint="default"/>
        <w:color w:val="000000"/>
        <w:position w:val="0"/>
        <w:sz w:val="24"/>
      </w:rPr>
    </w:lvl>
    <w:lvl w:ilvl="6">
      <w:start w:val="1"/>
      <w:numFmt w:val="decimal"/>
      <w:isLgl/>
      <w:suff w:val="nothing"/>
      <w:lvlText w:val="%7."/>
      <w:lvlJc w:val="left"/>
      <w:pPr>
        <w:ind w:left="720" w:firstLine="5040"/>
      </w:pPr>
      <w:rPr>
        <w:rFonts w:hint="default"/>
        <w:color w:val="000000"/>
        <w:position w:val="0"/>
        <w:sz w:val="24"/>
      </w:rPr>
    </w:lvl>
    <w:lvl w:ilvl="7">
      <w:start w:val="1"/>
      <w:numFmt w:val="lowerLetter"/>
      <w:suff w:val="nothing"/>
      <w:lvlText w:val="%8."/>
      <w:lvlJc w:val="left"/>
      <w:pPr>
        <w:ind w:left="720" w:firstLine="5760"/>
      </w:pPr>
      <w:rPr>
        <w:rFonts w:hint="default"/>
        <w:color w:val="000000"/>
        <w:position w:val="0"/>
        <w:sz w:val="24"/>
      </w:rPr>
    </w:lvl>
    <w:lvl w:ilvl="8">
      <w:start w:val="1"/>
      <w:numFmt w:val="lowerRoman"/>
      <w:suff w:val="nothing"/>
      <w:lvlText w:val="%9."/>
      <w:lvlJc w:val="left"/>
      <w:pPr>
        <w:ind w:left="720" w:firstLine="6480"/>
      </w:pPr>
      <w:rPr>
        <w:rFonts w:hint="default"/>
        <w:color w:val="000000"/>
        <w:position w:val="0"/>
        <w:sz w:val="24"/>
      </w:rPr>
    </w:lvl>
  </w:abstractNum>
  <w:abstractNum w:abstractNumId="2">
    <w:nsid w:val="009A3200"/>
    <w:multiLevelType w:val="hybridMultilevel"/>
    <w:tmpl w:val="3C96C21C"/>
    <w:lvl w:ilvl="0" w:tplc="1A86D39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D6C1CE2"/>
    <w:multiLevelType w:val="hybridMultilevel"/>
    <w:tmpl w:val="9620EAA2"/>
    <w:lvl w:ilvl="0" w:tplc="F50EBE5C">
      <w:start w:val="1"/>
      <w:numFmt w:val="lowerLetter"/>
      <w:lvlText w:val="(%1)"/>
      <w:lvlJc w:val="left"/>
      <w:pPr>
        <w:tabs>
          <w:tab w:val="num" w:pos="1872"/>
        </w:tabs>
        <w:ind w:left="187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5">
    <w:nsid w:val="0D7B67E0"/>
    <w:multiLevelType w:val="hybridMultilevel"/>
    <w:tmpl w:val="5F78FD94"/>
    <w:lvl w:ilvl="0" w:tplc="DDD61A44">
      <w:start w:val="1"/>
      <w:numFmt w:val="lowerLetter"/>
      <w:lvlText w:val="(%1)"/>
      <w:lvlJc w:val="left"/>
      <w:pPr>
        <w:tabs>
          <w:tab w:val="num" w:pos="1872"/>
        </w:tabs>
        <w:ind w:left="187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6">
    <w:nsid w:val="0E0B6C4F"/>
    <w:multiLevelType w:val="hybridMultilevel"/>
    <w:tmpl w:val="3AEAA554"/>
    <w:lvl w:ilvl="0" w:tplc="A306CFF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4907F2C"/>
    <w:multiLevelType w:val="hybridMultilevel"/>
    <w:tmpl w:val="BDF4DC56"/>
    <w:lvl w:ilvl="0" w:tplc="FFFFFFFF">
      <w:start w:val="1"/>
      <w:numFmt w:val="lowerLetter"/>
      <w:lvlText w:val="(%1)"/>
      <w:lvlJc w:val="left"/>
      <w:pPr>
        <w:tabs>
          <w:tab w:val="num" w:pos="3960"/>
        </w:tabs>
        <w:ind w:left="3960" w:hanging="432"/>
      </w:pPr>
      <w:rPr>
        <w:rFonts w:hint="default"/>
        <w:b w:val="0"/>
        <w:i w:val="0"/>
        <w:sz w:val="22"/>
        <w:szCs w:val="22"/>
      </w:rPr>
    </w:lvl>
    <w:lvl w:ilvl="1" w:tplc="FFFFFFFF" w:tentative="1">
      <w:start w:val="1"/>
      <w:numFmt w:val="lowerLetter"/>
      <w:lvlText w:val="%2."/>
      <w:lvlJc w:val="left"/>
      <w:pPr>
        <w:tabs>
          <w:tab w:val="num" w:pos="4176"/>
        </w:tabs>
        <w:ind w:left="4176" w:hanging="360"/>
      </w:pPr>
    </w:lvl>
    <w:lvl w:ilvl="2" w:tplc="FFFFFFFF" w:tentative="1">
      <w:start w:val="1"/>
      <w:numFmt w:val="lowerRoman"/>
      <w:lvlText w:val="%3."/>
      <w:lvlJc w:val="right"/>
      <w:pPr>
        <w:tabs>
          <w:tab w:val="num" w:pos="4896"/>
        </w:tabs>
        <w:ind w:left="4896" w:hanging="180"/>
      </w:pPr>
    </w:lvl>
    <w:lvl w:ilvl="3" w:tplc="FFFFFFFF" w:tentative="1">
      <w:start w:val="1"/>
      <w:numFmt w:val="decimal"/>
      <w:lvlText w:val="%4."/>
      <w:lvlJc w:val="left"/>
      <w:pPr>
        <w:tabs>
          <w:tab w:val="num" w:pos="5616"/>
        </w:tabs>
        <w:ind w:left="5616" w:hanging="360"/>
      </w:pPr>
    </w:lvl>
    <w:lvl w:ilvl="4" w:tplc="FFFFFFFF" w:tentative="1">
      <w:start w:val="1"/>
      <w:numFmt w:val="lowerLetter"/>
      <w:lvlText w:val="%5."/>
      <w:lvlJc w:val="left"/>
      <w:pPr>
        <w:tabs>
          <w:tab w:val="num" w:pos="6336"/>
        </w:tabs>
        <w:ind w:left="6336" w:hanging="360"/>
      </w:pPr>
    </w:lvl>
    <w:lvl w:ilvl="5" w:tplc="FFFFFFFF" w:tentative="1">
      <w:start w:val="1"/>
      <w:numFmt w:val="lowerRoman"/>
      <w:lvlText w:val="%6."/>
      <w:lvlJc w:val="right"/>
      <w:pPr>
        <w:tabs>
          <w:tab w:val="num" w:pos="7056"/>
        </w:tabs>
        <w:ind w:left="7056" w:hanging="180"/>
      </w:pPr>
    </w:lvl>
    <w:lvl w:ilvl="6" w:tplc="FFFFFFFF" w:tentative="1">
      <w:start w:val="1"/>
      <w:numFmt w:val="decimal"/>
      <w:lvlText w:val="%7."/>
      <w:lvlJc w:val="left"/>
      <w:pPr>
        <w:tabs>
          <w:tab w:val="num" w:pos="7776"/>
        </w:tabs>
        <w:ind w:left="7776" w:hanging="360"/>
      </w:pPr>
    </w:lvl>
    <w:lvl w:ilvl="7" w:tplc="FFFFFFFF" w:tentative="1">
      <w:start w:val="1"/>
      <w:numFmt w:val="lowerLetter"/>
      <w:lvlText w:val="%8."/>
      <w:lvlJc w:val="left"/>
      <w:pPr>
        <w:tabs>
          <w:tab w:val="num" w:pos="8496"/>
        </w:tabs>
        <w:ind w:left="8496" w:hanging="360"/>
      </w:pPr>
    </w:lvl>
    <w:lvl w:ilvl="8" w:tplc="FFFFFFFF" w:tentative="1">
      <w:start w:val="1"/>
      <w:numFmt w:val="lowerRoman"/>
      <w:lvlText w:val="%9."/>
      <w:lvlJc w:val="right"/>
      <w:pPr>
        <w:tabs>
          <w:tab w:val="num" w:pos="9216"/>
        </w:tabs>
        <w:ind w:left="9216"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3">
    <w:nsid w:val="460F0118"/>
    <w:multiLevelType w:val="hybridMultilevel"/>
    <w:tmpl w:val="09E26F7A"/>
    <w:lvl w:ilvl="0" w:tplc="2A0215F2">
      <w:start w:val="1"/>
      <w:numFmt w:val="lowerLetter"/>
      <w:lvlText w:val="%1)"/>
      <w:lvlJc w:val="left"/>
      <w:pPr>
        <w:tabs>
          <w:tab w:val="num" w:pos="1440"/>
        </w:tabs>
        <w:ind w:left="1440" w:hanging="360"/>
      </w:pPr>
      <w:rPr>
        <w:b w:val="0"/>
        <w:i w:val="0"/>
      </w:rPr>
    </w:lvl>
    <w:lvl w:ilvl="1" w:tplc="1EA85EBA">
      <w:start w:val="1"/>
      <w:numFmt w:val="lowerRoman"/>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9F448E3"/>
    <w:multiLevelType w:val="hybridMultilevel"/>
    <w:tmpl w:val="6EAC4E5A"/>
    <w:lvl w:ilvl="0" w:tplc="003C56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A5414D2"/>
    <w:multiLevelType w:val="multilevel"/>
    <w:tmpl w:val="FAC268AE"/>
    <w:lvl w:ilvl="0">
      <w:start w:val="1"/>
      <w:numFmt w:val="decimal"/>
      <w:isLgl/>
      <w:lvlText w:val="%1."/>
      <w:lvlJc w:val="left"/>
      <w:pPr>
        <w:tabs>
          <w:tab w:val="num" w:pos="720"/>
        </w:tabs>
        <w:ind w:left="72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7">
    <w:nsid w:val="5E66411F"/>
    <w:multiLevelType w:val="hybridMultilevel"/>
    <w:tmpl w:val="B2CA8AA8"/>
    <w:lvl w:ilvl="0" w:tplc="03BCC190">
      <w:start w:val="1"/>
      <w:numFmt w:val="lowerLetter"/>
      <w:pStyle w:val="Paranum"/>
      <w:lvlText w:val="%1)"/>
      <w:lvlJc w:val="left"/>
      <w:pPr>
        <w:ind w:left="1800" w:hanging="360"/>
      </w:pPr>
      <w:rPr>
        <w:rFonts w:hint="default"/>
        <w:b w:val="0"/>
      </w:rPr>
    </w:lvl>
    <w:lvl w:ilvl="1" w:tplc="B3D6BBFE">
      <w:start w:val="1"/>
      <w:numFmt w:val="lowerRoman"/>
      <w:lvlText w:val="%2."/>
      <w:lvlJc w:val="left"/>
      <w:pPr>
        <w:ind w:left="2520" w:hanging="360"/>
      </w:pPr>
      <w:rPr>
        <w:rFonts w:ascii="Times New Roman" w:eastAsia="ヒラギノ角ゴ Pro W3"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9">
    <w:nsid w:val="628E1E95"/>
    <w:multiLevelType w:val="singleLevel"/>
    <w:tmpl w:val="4F1400D0"/>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18"/>
  </w:num>
  <w:num w:numId="3">
    <w:abstractNumId w:val="10"/>
  </w:num>
  <w:num w:numId="4">
    <w:abstractNumId w:val="0"/>
  </w:num>
  <w:num w:numId="5">
    <w:abstractNumId w:val="1"/>
  </w:num>
  <w:num w:numId="6">
    <w:abstractNumId w:val="13"/>
  </w:num>
  <w:num w:numId="7">
    <w:abstractNumId w:val="8"/>
  </w:num>
  <w:num w:numId="8">
    <w:abstractNumId w:val="0"/>
  </w:num>
  <w:num w:numId="9">
    <w:abstractNumId w:val="19"/>
  </w:num>
  <w:num w:numId="10">
    <w:abstractNumId w:val="2"/>
  </w:num>
  <w:num w:numId="11">
    <w:abstractNumId w:val="17"/>
  </w:num>
  <w:num w:numId="12">
    <w:abstractNumId w:val="14"/>
  </w:num>
  <w:num w:numId="13">
    <w:abstractNumId w:val="16"/>
  </w:num>
  <w:num w:numId="14">
    <w:abstractNumId w:val="6"/>
  </w:num>
  <w:num w:numId="15">
    <w:abstractNumId w:val="15"/>
  </w:num>
  <w:num w:numId="16">
    <w:abstractNumId w:val="9"/>
  </w:num>
  <w:num w:numId="17">
    <w:abstractNumId w:val="3"/>
  </w:num>
  <w:num w:numId="18">
    <w:abstractNumId w:val="10"/>
  </w:num>
  <w:num w:numId="19">
    <w:abstractNumId w:val="10"/>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1"/>
  </w:num>
  <w:num w:numId="47">
    <w:abstractNumId w:val="7"/>
  </w:num>
  <w:num w:numId="48">
    <w:abstractNumId w:val="4"/>
  </w:num>
  <w:num w:numId="49">
    <w:abstractNumId w:val="5"/>
  </w:num>
  <w:num w:numId="5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B"/>
    <w:rsid w:val="000046D1"/>
    <w:rsid w:val="00006640"/>
    <w:rsid w:val="00010E77"/>
    <w:rsid w:val="0001137C"/>
    <w:rsid w:val="00012135"/>
    <w:rsid w:val="00013878"/>
    <w:rsid w:val="000156B8"/>
    <w:rsid w:val="00020F52"/>
    <w:rsid w:val="000239E2"/>
    <w:rsid w:val="00023CBD"/>
    <w:rsid w:val="0003075B"/>
    <w:rsid w:val="00032EB3"/>
    <w:rsid w:val="00036039"/>
    <w:rsid w:val="00036EBB"/>
    <w:rsid w:val="00037506"/>
    <w:rsid w:val="00037F90"/>
    <w:rsid w:val="000409A7"/>
    <w:rsid w:val="00041FA4"/>
    <w:rsid w:val="00043776"/>
    <w:rsid w:val="00044329"/>
    <w:rsid w:val="000474B4"/>
    <w:rsid w:val="000510A7"/>
    <w:rsid w:val="00051D08"/>
    <w:rsid w:val="000546E3"/>
    <w:rsid w:val="00060B19"/>
    <w:rsid w:val="00060E3B"/>
    <w:rsid w:val="00062A1A"/>
    <w:rsid w:val="00064FCE"/>
    <w:rsid w:val="00077556"/>
    <w:rsid w:val="00080528"/>
    <w:rsid w:val="000812CD"/>
    <w:rsid w:val="00084844"/>
    <w:rsid w:val="000875BF"/>
    <w:rsid w:val="00093012"/>
    <w:rsid w:val="00094FF2"/>
    <w:rsid w:val="00096D8C"/>
    <w:rsid w:val="000A1DBA"/>
    <w:rsid w:val="000A5EA2"/>
    <w:rsid w:val="000A69D0"/>
    <w:rsid w:val="000A747B"/>
    <w:rsid w:val="000A78D2"/>
    <w:rsid w:val="000B076B"/>
    <w:rsid w:val="000B4C5A"/>
    <w:rsid w:val="000C0B65"/>
    <w:rsid w:val="000C3C46"/>
    <w:rsid w:val="000C4982"/>
    <w:rsid w:val="000C5E7E"/>
    <w:rsid w:val="000D2CE7"/>
    <w:rsid w:val="000D2FF2"/>
    <w:rsid w:val="000D4423"/>
    <w:rsid w:val="000E156D"/>
    <w:rsid w:val="000E1A32"/>
    <w:rsid w:val="000E3D42"/>
    <w:rsid w:val="000E57DB"/>
    <w:rsid w:val="000E5FE3"/>
    <w:rsid w:val="000F1739"/>
    <w:rsid w:val="000F2290"/>
    <w:rsid w:val="000F5AE0"/>
    <w:rsid w:val="000F71E7"/>
    <w:rsid w:val="00104AE7"/>
    <w:rsid w:val="00107438"/>
    <w:rsid w:val="00111B57"/>
    <w:rsid w:val="001130D9"/>
    <w:rsid w:val="001163D2"/>
    <w:rsid w:val="00122BD5"/>
    <w:rsid w:val="00122F40"/>
    <w:rsid w:val="00123544"/>
    <w:rsid w:val="00123DC5"/>
    <w:rsid w:val="001251A4"/>
    <w:rsid w:val="0012535E"/>
    <w:rsid w:val="00130E75"/>
    <w:rsid w:val="00131135"/>
    <w:rsid w:val="0013481A"/>
    <w:rsid w:val="0013545C"/>
    <w:rsid w:val="00150039"/>
    <w:rsid w:val="00151AF8"/>
    <w:rsid w:val="00152144"/>
    <w:rsid w:val="0015292D"/>
    <w:rsid w:val="00152E7C"/>
    <w:rsid w:val="001569B9"/>
    <w:rsid w:val="00161F7D"/>
    <w:rsid w:val="00163419"/>
    <w:rsid w:val="00164854"/>
    <w:rsid w:val="001659BF"/>
    <w:rsid w:val="001664A0"/>
    <w:rsid w:val="00166C77"/>
    <w:rsid w:val="0017171A"/>
    <w:rsid w:val="00172BF5"/>
    <w:rsid w:val="00174F9E"/>
    <w:rsid w:val="00176197"/>
    <w:rsid w:val="0017677C"/>
    <w:rsid w:val="00180D54"/>
    <w:rsid w:val="00182E46"/>
    <w:rsid w:val="00184A96"/>
    <w:rsid w:val="001850F1"/>
    <w:rsid w:val="001877EB"/>
    <w:rsid w:val="00193512"/>
    <w:rsid w:val="001955C8"/>
    <w:rsid w:val="00196CFD"/>
    <w:rsid w:val="001A5074"/>
    <w:rsid w:val="001A6AEF"/>
    <w:rsid w:val="001A7A02"/>
    <w:rsid w:val="001A7E49"/>
    <w:rsid w:val="001B4BAE"/>
    <w:rsid w:val="001C50A9"/>
    <w:rsid w:val="001C7762"/>
    <w:rsid w:val="001D10CF"/>
    <w:rsid w:val="001D63ED"/>
    <w:rsid w:val="001D6BCF"/>
    <w:rsid w:val="001E01CA"/>
    <w:rsid w:val="001E7454"/>
    <w:rsid w:val="001F0CA8"/>
    <w:rsid w:val="001F11C8"/>
    <w:rsid w:val="001F1433"/>
    <w:rsid w:val="001F278E"/>
    <w:rsid w:val="001F2BAB"/>
    <w:rsid w:val="001F660E"/>
    <w:rsid w:val="00202B90"/>
    <w:rsid w:val="0020707F"/>
    <w:rsid w:val="0021043C"/>
    <w:rsid w:val="0021060B"/>
    <w:rsid w:val="00211D92"/>
    <w:rsid w:val="00211EE2"/>
    <w:rsid w:val="00221D7C"/>
    <w:rsid w:val="00223374"/>
    <w:rsid w:val="0022500F"/>
    <w:rsid w:val="00231522"/>
    <w:rsid w:val="002352DC"/>
    <w:rsid w:val="00237F53"/>
    <w:rsid w:val="00240F56"/>
    <w:rsid w:val="00243018"/>
    <w:rsid w:val="00252304"/>
    <w:rsid w:val="002551FD"/>
    <w:rsid w:val="002626EB"/>
    <w:rsid w:val="002645F4"/>
    <w:rsid w:val="00273B9A"/>
    <w:rsid w:val="00276796"/>
    <w:rsid w:val="00276DAE"/>
    <w:rsid w:val="00277598"/>
    <w:rsid w:val="00277F32"/>
    <w:rsid w:val="00284E12"/>
    <w:rsid w:val="00285017"/>
    <w:rsid w:val="00287BA4"/>
    <w:rsid w:val="00291DFD"/>
    <w:rsid w:val="0029201C"/>
    <w:rsid w:val="00295C0F"/>
    <w:rsid w:val="002A1D20"/>
    <w:rsid w:val="002A2D2E"/>
    <w:rsid w:val="002B22CB"/>
    <w:rsid w:val="002B2AA5"/>
    <w:rsid w:val="002B3194"/>
    <w:rsid w:val="002B4338"/>
    <w:rsid w:val="002B518C"/>
    <w:rsid w:val="002C0646"/>
    <w:rsid w:val="002C30EE"/>
    <w:rsid w:val="002C67F6"/>
    <w:rsid w:val="002D2357"/>
    <w:rsid w:val="002D500F"/>
    <w:rsid w:val="002E1926"/>
    <w:rsid w:val="002E4C64"/>
    <w:rsid w:val="002E5543"/>
    <w:rsid w:val="002F0F20"/>
    <w:rsid w:val="002F6C3B"/>
    <w:rsid w:val="002F7BE9"/>
    <w:rsid w:val="0030082F"/>
    <w:rsid w:val="003016ED"/>
    <w:rsid w:val="00302BBF"/>
    <w:rsid w:val="00320448"/>
    <w:rsid w:val="00320BE0"/>
    <w:rsid w:val="00320BE6"/>
    <w:rsid w:val="00327A56"/>
    <w:rsid w:val="00331532"/>
    <w:rsid w:val="003317A6"/>
    <w:rsid w:val="00334F59"/>
    <w:rsid w:val="00340918"/>
    <w:rsid w:val="00343749"/>
    <w:rsid w:val="00343B8B"/>
    <w:rsid w:val="003447A3"/>
    <w:rsid w:val="003504B7"/>
    <w:rsid w:val="00351188"/>
    <w:rsid w:val="00351C94"/>
    <w:rsid w:val="00352167"/>
    <w:rsid w:val="00355126"/>
    <w:rsid w:val="00357044"/>
    <w:rsid w:val="00357963"/>
    <w:rsid w:val="00357FDE"/>
    <w:rsid w:val="00361141"/>
    <w:rsid w:val="003628A3"/>
    <w:rsid w:val="00367050"/>
    <w:rsid w:val="00367F93"/>
    <w:rsid w:val="00376EB5"/>
    <w:rsid w:val="0038137F"/>
    <w:rsid w:val="003820CD"/>
    <w:rsid w:val="00383733"/>
    <w:rsid w:val="003869A9"/>
    <w:rsid w:val="00386C09"/>
    <w:rsid w:val="00387DC6"/>
    <w:rsid w:val="00393892"/>
    <w:rsid w:val="00395BCD"/>
    <w:rsid w:val="00397DF7"/>
    <w:rsid w:val="003A0A67"/>
    <w:rsid w:val="003A0CEB"/>
    <w:rsid w:val="003A10AC"/>
    <w:rsid w:val="003A1CBF"/>
    <w:rsid w:val="003A24DA"/>
    <w:rsid w:val="003A2932"/>
    <w:rsid w:val="003A398D"/>
    <w:rsid w:val="003A45E5"/>
    <w:rsid w:val="003A4AB4"/>
    <w:rsid w:val="003A58BA"/>
    <w:rsid w:val="003A764B"/>
    <w:rsid w:val="003B0550"/>
    <w:rsid w:val="003B1CF4"/>
    <w:rsid w:val="003B39BD"/>
    <w:rsid w:val="003B5217"/>
    <w:rsid w:val="003B694F"/>
    <w:rsid w:val="003B6F58"/>
    <w:rsid w:val="003C6DEB"/>
    <w:rsid w:val="003D49D5"/>
    <w:rsid w:val="003F1126"/>
    <w:rsid w:val="003F171C"/>
    <w:rsid w:val="004008FF"/>
    <w:rsid w:val="00400BCE"/>
    <w:rsid w:val="00401F82"/>
    <w:rsid w:val="00404B01"/>
    <w:rsid w:val="0041095B"/>
    <w:rsid w:val="00412FC5"/>
    <w:rsid w:val="00414A07"/>
    <w:rsid w:val="00414BD8"/>
    <w:rsid w:val="00414F00"/>
    <w:rsid w:val="004172DB"/>
    <w:rsid w:val="00422276"/>
    <w:rsid w:val="004242F1"/>
    <w:rsid w:val="004269A9"/>
    <w:rsid w:val="00433E5E"/>
    <w:rsid w:val="00434575"/>
    <w:rsid w:val="004348F7"/>
    <w:rsid w:val="004359DD"/>
    <w:rsid w:val="00435FB8"/>
    <w:rsid w:val="00436629"/>
    <w:rsid w:val="004409D9"/>
    <w:rsid w:val="00445A00"/>
    <w:rsid w:val="004479E5"/>
    <w:rsid w:val="00450242"/>
    <w:rsid w:val="00451B0F"/>
    <w:rsid w:val="00452FFD"/>
    <w:rsid w:val="00463506"/>
    <w:rsid w:val="0046402A"/>
    <w:rsid w:val="004655CB"/>
    <w:rsid w:val="00465871"/>
    <w:rsid w:val="00465FD1"/>
    <w:rsid w:val="00471DDB"/>
    <w:rsid w:val="004737E2"/>
    <w:rsid w:val="004844B4"/>
    <w:rsid w:val="00484691"/>
    <w:rsid w:val="004857E0"/>
    <w:rsid w:val="00486ADC"/>
    <w:rsid w:val="00490FA1"/>
    <w:rsid w:val="00491CAC"/>
    <w:rsid w:val="00492284"/>
    <w:rsid w:val="0049610C"/>
    <w:rsid w:val="004A1DD7"/>
    <w:rsid w:val="004A25AB"/>
    <w:rsid w:val="004A296D"/>
    <w:rsid w:val="004A4478"/>
    <w:rsid w:val="004A55DF"/>
    <w:rsid w:val="004B441D"/>
    <w:rsid w:val="004B5795"/>
    <w:rsid w:val="004B5871"/>
    <w:rsid w:val="004C2EE3"/>
    <w:rsid w:val="004C693C"/>
    <w:rsid w:val="004C6AC5"/>
    <w:rsid w:val="004C7120"/>
    <w:rsid w:val="004C7963"/>
    <w:rsid w:val="004D14D2"/>
    <w:rsid w:val="004D1DB2"/>
    <w:rsid w:val="004E2022"/>
    <w:rsid w:val="004E347E"/>
    <w:rsid w:val="004E4A22"/>
    <w:rsid w:val="004E5936"/>
    <w:rsid w:val="004F3612"/>
    <w:rsid w:val="004F3A1A"/>
    <w:rsid w:val="004F4B62"/>
    <w:rsid w:val="004F5449"/>
    <w:rsid w:val="004F5E64"/>
    <w:rsid w:val="004F5E89"/>
    <w:rsid w:val="0050401D"/>
    <w:rsid w:val="005050D6"/>
    <w:rsid w:val="0051080A"/>
    <w:rsid w:val="00511968"/>
    <w:rsid w:val="0051245D"/>
    <w:rsid w:val="005124D9"/>
    <w:rsid w:val="005145CB"/>
    <w:rsid w:val="00522A30"/>
    <w:rsid w:val="00525103"/>
    <w:rsid w:val="00526103"/>
    <w:rsid w:val="0052710C"/>
    <w:rsid w:val="005278FD"/>
    <w:rsid w:val="005404E4"/>
    <w:rsid w:val="00540959"/>
    <w:rsid w:val="00541786"/>
    <w:rsid w:val="005419E0"/>
    <w:rsid w:val="00541F03"/>
    <w:rsid w:val="005508BF"/>
    <w:rsid w:val="00551532"/>
    <w:rsid w:val="0055614C"/>
    <w:rsid w:val="0055639D"/>
    <w:rsid w:val="005579D5"/>
    <w:rsid w:val="00561D23"/>
    <w:rsid w:val="005626D4"/>
    <w:rsid w:val="005645B1"/>
    <w:rsid w:val="00566077"/>
    <w:rsid w:val="00567FCE"/>
    <w:rsid w:val="00572218"/>
    <w:rsid w:val="00572A65"/>
    <w:rsid w:val="005742F2"/>
    <w:rsid w:val="005776BD"/>
    <w:rsid w:val="00577C79"/>
    <w:rsid w:val="00582969"/>
    <w:rsid w:val="00586385"/>
    <w:rsid w:val="00592C4C"/>
    <w:rsid w:val="00597DF3"/>
    <w:rsid w:val="005A2A94"/>
    <w:rsid w:val="005B3200"/>
    <w:rsid w:val="005B364E"/>
    <w:rsid w:val="005B431A"/>
    <w:rsid w:val="005B4565"/>
    <w:rsid w:val="005B76E1"/>
    <w:rsid w:val="005B77EC"/>
    <w:rsid w:val="005C11B2"/>
    <w:rsid w:val="005C3D6F"/>
    <w:rsid w:val="005C412D"/>
    <w:rsid w:val="005C7E8A"/>
    <w:rsid w:val="005D0017"/>
    <w:rsid w:val="005D3EF6"/>
    <w:rsid w:val="005E221D"/>
    <w:rsid w:val="005E2EA3"/>
    <w:rsid w:val="005E31E1"/>
    <w:rsid w:val="005E4B8D"/>
    <w:rsid w:val="005E7899"/>
    <w:rsid w:val="005F3A0D"/>
    <w:rsid w:val="005F54A4"/>
    <w:rsid w:val="005F558B"/>
    <w:rsid w:val="005F615D"/>
    <w:rsid w:val="00602329"/>
    <w:rsid w:val="00603931"/>
    <w:rsid w:val="00605A3F"/>
    <w:rsid w:val="00606FF6"/>
    <w:rsid w:val="00607BA5"/>
    <w:rsid w:val="00607BF9"/>
    <w:rsid w:val="006100EB"/>
    <w:rsid w:val="006108AD"/>
    <w:rsid w:val="00611BC3"/>
    <w:rsid w:val="00611E7C"/>
    <w:rsid w:val="00612B4D"/>
    <w:rsid w:val="00616559"/>
    <w:rsid w:val="006225BE"/>
    <w:rsid w:val="00624FD7"/>
    <w:rsid w:val="00626EB6"/>
    <w:rsid w:val="0063094A"/>
    <w:rsid w:val="006313E2"/>
    <w:rsid w:val="00644BAF"/>
    <w:rsid w:val="006520A5"/>
    <w:rsid w:val="006554F4"/>
    <w:rsid w:val="00655D03"/>
    <w:rsid w:val="006561B9"/>
    <w:rsid w:val="00661747"/>
    <w:rsid w:val="006663EC"/>
    <w:rsid w:val="00671673"/>
    <w:rsid w:val="0067516C"/>
    <w:rsid w:val="00675F97"/>
    <w:rsid w:val="00676723"/>
    <w:rsid w:val="006776B4"/>
    <w:rsid w:val="006811E0"/>
    <w:rsid w:val="006811F1"/>
    <w:rsid w:val="00683EA2"/>
    <w:rsid w:val="00683F84"/>
    <w:rsid w:val="00686A51"/>
    <w:rsid w:val="00694BC4"/>
    <w:rsid w:val="00696E22"/>
    <w:rsid w:val="006A05CA"/>
    <w:rsid w:val="006A1C87"/>
    <w:rsid w:val="006A2A50"/>
    <w:rsid w:val="006A3260"/>
    <w:rsid w:val="006A331D"/>
    <w:rsid w:val="006A581E"/>
    <w:rsid w:val="006A6A81"/>
    <w:rsid w:val="006B6017"/>
    <w:rsid w:val="006B7AE3"/>
    <w:rsid w:val="006C1944"/>
    <w:rsid w:val="006D015E"/>
    <w:rsid w:val="006D2DF3"/>
    <w:rsid w:val="006D6923"/>
    <w:rsid w:val="006E2904"/>
    <w:rsid w:val="006E4326"/>
    <w:rsid w:val="006E4A96"/>
    <w:rsid w:val="006E6CFC"/>
    <w:rsid w:val="006F2040"/>
    <w:rsid w:val="006F35AB"/>
    <w:rsid w:val="006F6AE9"/>
    <w:rsid w:val="006F7393"/>
    <w:rsid w:val="0070224F"/>
    <w:rsid w:val="0070289F"/>
    <w:rsid w:val="0070589D"/>
    <w:rsid w:val="007115F7"/>
    <w:rsid w:val="00714014"/>
    <w:rsid w:val="0071473B"/>
    <w:rsid w:val="00721AFF"/>
    <w:rsid w:val="00722CD3"/>
    <w:rsid w:val="00725C20"/>
    <w:rsid w:val="0072645F"/>
    <w:rsid w:val="007279D7"/>
    <w:rsid w:val="00731EF0"/>
    <w:rsid w:val="00733B04"/>
    <w:rsid w:val="00736852"/>
    <w:rsid w:val="00741144"/>
    <w:rsid w:val="007447A7"/>
    <w:rsid w:val="0074605C"/>
    <w:rsid w:val="007511CA"/>
    <w:rsid w:val="0075516F"/>
    <w:rsid w:val="007570F2"/>
    <w:rsid w:val="00763ED6"/>
    <w:rsid w:val="00764026"/>
    <w:rsid w:val="007661E4"/>
    <w:rsid w:val="00775907"/>
    <w:rsid w:val="0077592C"/>
    <w:rsid w:val="00782791"/>
    <w:rsid w:val="00785675"/>
    <w:rsid w:val="00785689"/>
    <w:rsid w:val="00785DDD"/>
    <w:rsid w:val="00785EA8"/>
    <w:rsid w:val="007875C0"/>
    <w:rsid w:val="007916AE"/>
    <w:rsid w:val="00792CB1"/>
    <w:rsid w:val="00793ABE"/>
    <w:rsid w:val="0079527C"/>
    <w:rsid w:val="00795338"/>
    <w:rsid w:val="007953B5"/>
    <w:rsid w:val="0079587C"/>
    <w:rsid w:val="0079754B"/>
    <w:rsid w:val="007A1E6D"/>
    <w:rsid w:val="007A247C"/>
    <w:rsid w:val="007A7BA1"/>
    <w:rsid w:val="007B0C25"/>
    <w:rsid w:val="007B37B7"/>
    <w:rsid w:val="007B3BDA"/>
    <w:rsid w:val="007B4F15"/>
    <w:rsid w:val="007B4F9B"/>
    <w:rsid w:val="007C4B67"/>
    <w:rsid w:val="007C6255"/>
    <w:rsid w:val="007D3344"/>
    <w:rsid w:val="007D3BC9"/>
    <w:rsid w:val="007E10BA"/>
    <w:rsid w:val="007E1B57"/>
    <w:rsid w:val="007E2BD7"/>
    <w:rsid w:val="007E2D92"/>
    <w:rsid w:val="007E460A"/>
    <w:rsid w:val="007F25D2"/>
    <w:rsid w:val="007F6412"/>
    <w:rsid w:val="008044E4"/>
    <w:rsid w:val="00805856"/>
    <w:rsid w:val="008067EA"/>
    <w:rsid w:val="00811D58"/>
    <w:rsid w:val="008128B3"/>
    <w:rsid w:val="00815E84"/>
    <w:rsid w:val="00815EA0"/>
    <w:rsid w:val="008217DF"/>
    <w:rsid w:val="00822CE0"/>
    <w:rsid w:val="00822D78"/>
    <w:rsid w:val="00823DB9"/>
    <w:rsid w:val="00824015"/>
    <w:rsid w:val="0082410C"/>
    <w:rsid w:val="0082670C"/>
    <w:rsid w:val="0082735A"/>
    <w:rsid w:val="00831C59"/>
    <w:rsid w:val="008346E7"/>
    <w:rsid w:val="00841AB1"/>
    <w:rsid w:val="00843706"/>
    <w:rsid w:val="00844998"/>
    <w:rsid w:val="008472AC"/>
    <w:rsid w:val="00850DBC"/>
    <w:rsid w:val="008511B9"/>
    <w:rsid w:val="00852F69"/>
    <w:rsid w:val="00860B3E"/>
    <w:rsid w:val="008644A6"/>
    <w:rsid w:val="0086518D"/>
    <w:rsid w:val="00867B1A"/>
    <w:rsid w:val="00880BA8"/>
    <w:rsid w:val="00881DA6"/>
    <w:rsid w:val="00883302"/>
    <w:rsid w:val="00890101"/>
    <w:rsid w:val="008947F4"/>
    <w:rsid w:val="00897120"/>
    <w:rsid w:val="008A0994"/>
    <w:rsid w:val="008A1228"/>
    <w:rsid w:val="008A267C"/>
    <w:rsid w:val="008A37FE"/>
    <w:rsid w:val="008A5341"/>
    <w:rsid w:val="008A7EA5"/>
    <w:rsid w:val="008C14DE"/>
    <w:rsid w:val="008C2D54"/>
    <w:rsid w:val="008C4282"/>
    <w:rsid w:val="008D046F"/>
    <w:rsid w:val="008D579C"/>
    <w:rsid w:val="008D66A7"/>
    <w:rsid w:val="008D6D27"/>
    <w:rsid w:val="008E08DB"/>
    <w:rsid w:val="008E0F0D"/>
    <w:rsid w:val="008E65E7"/>
    <w:rsid w:val="008F5313"/>
    <w:rsid w:val="008F546F"/>
    <w:rsid w:val="008F5609"/>
    <w:rsid w:val="008F6354"/>
    <w:rsid w:val="009000B2"/>
    <w:rsid w:val="00903487"/>
    <w:rsid w:val="00903E19"/>
    <w:rsid w:val="009052A4"/>
    <w:rsid w:val="009102C4"/>
    <w:rsid w:val="00910F04"/>
    <w:rsid w:val="00911882"/>
    <w:rsid w:val="00912507"/>
    <w:rsid w:val="00912A4B"/>
    <w:rsid w:val="00917CD4"/>
    <w:rsid w:val="00921803"/>
    <w:rsid w:val="0092218F"/>
    <w:rsid w:val="00922F5C"/>
    <w:rsid w:val="00924F2B"/>
    <w:rsid w:val="00925EC6"/>
    <w:rsid w:val="00926503"/>
    <w:rsid w:val="0092745B"/>
    <w:rsid w:val="00931485"/>
    <w:rsid w:val="009317FB"/>
    <w:rsid w:val="009319F8"/>
    <w:rsid w:val="009332A1"/>
    <w:rsid w:val="0093490E"/>
    <w:rsid w:val="00935E3A"/>
    <w:rsid w:val="0094240B"/>
    <w:rsid w:val="00943560"/>
    <w:rsid w:val="00950EB7"/>
    <w:rsid w:val="00956027"/>
    <w:rsid w:val="00956337"/>
    <w:rsid w:val="00962945"/>
    <w:rsid w:val="009632A6"/>
    <w:rsid w:val="00964237"/>
    <w:rsid w:val="00966371"/>
    <w:rsid w:val="009676BC"/>
    <w:rsid w:val="00970C6B"/>
    <w:rsid w:val="009711A2"/>
    <w:rsid w:val="0097256B"/>
    <w:rsid w:val="009741B1"/>
    <w:rsid w:val="00975449"/>
    <w:rsid w:val="00976208"/>
    <w:rsid w:val="00976233"/>
    <w:rsid w:val="0097651C"/>
    <w:rsid w:val="00981C93"/>
    <w:rsid w:val="0098386A"/>
    <w:rsid w:val="0098449D"/>
    <w:rsid w:val="00987FB6"/>
    <w:rsid w:val="0099140B"/>
    <w:rsid w:val="00992F4D"/>
    <w:rsid w:val="009942A1"/>
    <w:rsid w:val="009A40C2"/>
    <w:rsid w:val="009A478E"/>
    <w:rsid w:val="009A4C16"/>
    <w:rsid w:val="009A7EE4"/>
    <w:rsid w:val="009B5A50"/>
    <w:rsid w:val="009D332B"/>
    <w:rsid w:val="009D66D5"/>
    <w:rsid w:val="009D6718"/>
    <w:rsid w:val="009E2677"/>
    <w:rsid w:val="009E4B97"/>
    <w:rsid w:val="009E4E15"/>
    <w:rsid w:val="009E58C9"/>
    <w:rsid w:val="009E5BD6"/>
    <w:rsid w:val="009F04D5"/>
    <w:rsid w:val="009F286B"/>
    <w:rsid w:val="009F384F"/>
    <w:rsid w:val="009F3A92"/>
    <w:rsid w:val="009F77E2"/>
    <w:rsid w:val="009F7C04"/>
    <w:rsid w:val="00A00B66"/>
    <w:rsid w:val="00A027EA"/>
    <w:rsid w:val="00A03DB3"/>
    <w:rsid w:val="00A05473"/>
    <w:rsid w:val="00A06315"/>
    <w:rsid w:val="00A0704F"/>
    <w:rsid w:val="00A12F28"/>
    <w:rsid w:val="00A16466"/>
    <w:rsid w:val="00A17A3B"/>
    <w:rsid w:val="00A20FF3"/>
    <w:rsid w:val="00A214C3"/>
    <w:rsid w:val="00A23AF4"/>
    <w:rsid w:val="00A27ACB"/>
    <w:rsid w:val="00A35CE8"/>
    <w:rsid w:val="00A3732E"/>
    <w:rsid w:val="00A453E0"/>
    <w:rsid w:val="00A45F4F"/>
    <w:rsid w:val="00A4658E"/>
    <w:rsid w:val="00A5227B"/>
    <w:rsid w:val="00A5729D"/>
    <w:rsid w:val="00A57B31"/>
    <w:rsid w:val="00A600A9"/>
    <w:rsid w:val="00A60258"/>
    <w:rsid w:val="00A606BF"/>
    <w:rsid w:val="00A6117C"/>
    <w:rsid w:val="00A61ED7"/>
    <w:rsid w:val="00A66336"/>
    <w:rsid w:val="00A669A9"/>
    <w:rsid w:val="00A74DB8"/>
    <w:rsid w:val="00A77D25"/>
    <w:rsid w:val="00A81E40"/>
    <w:rsid w:val="00A82494"/>
    <w:rsid w:val="00A87C06"/>
    <w:rsid w:val="00A936BB"/>
    <w:rsid w:val="00A95282"/>
    <w:rsid w:val="00A96A5E"/>
    <w:rsid w:val="00AA2600"/>
    <w:rsid w:val="00AA4B16"/>
    <w:rsid w:val="00AA55B7"/>
    <w:rsid w:val="00AA5B9E"/>
    <w:rsid w:val="00AA6E66"/>
    <w:rsid w:val="00AA7463"/>
    <w:rsid w:val="00AA7622"/>
    <w:rsid w:val="00AB2407"/>
    <w:rsid w:val="00AB2C10"/>
    <w:rsid w:val="00AB39F3"/>
    <w:rsid w:val="00AB4688"/>
    <w:rsid w:val="00AB4CF8"/>
    <w:rsid w:val="00AB53DF"/>
    <w:rsid w:val="00AC12AD"/>
    <w:rsid w:val="00AC2247"/>
    <w:rsid w:val="00AC3D20"/>
    <w:rsid w:val="00AC5A7C"/>
    <w:rsid w:val="00AC69AC"/>
    <w:rsid w:val="00AD010D"/>
    <w:rsid w:val="00AD0ADA"/>
    <w:rsid w:val="00AD3587"/>
    <w:rsid w:val="00AD6C34"/>
    <w:rsid w:val="00AE1D47"/>
    <w:rsid w:val="00AE27F8"/>
    <w:rsid w:val="00AE43B7"/>
    <w:rsid w:val="00AE4DB3"/>
    <w:rsid w:val="00AE4E54"/>
    <w:rsid w:val="00AE6026"/>
    <w:rsid w:val="00AF03D6"/>
    <w:rsid w:val="00AF6522"/>
    <w:rsid w:val="00AF7DAD"/>
    <w:rsid w:val="00B00166"/>
    <w:rsid w:val="00B02DC2"/>
    <w:rsid w:val="00B02FB8"/>
    <w:rsid w:val="00B07321"/>
    <w:rsid w:val="00B07E5C"/>
    <w:rsid w:val="00B10576"/>
    <w:rsid w:val="00B13350"/>
    <w:rsid w:val="00B141B4"/>
    <w:rsid w:val="00B14FAF"/>
    <w:rsid w:val="00B15877"/>
    <w:rsid w:val="00B1792B"/>
    <w:rsid w:val="00B211FD"/>
    <w:rsid w:val="00B239D9"/>
    <w:rsid w:val="00B277A4"/>
    <w:rsid w:val="00B302CB"/>
    <w:rsid w:val="00B32157"/>
    <w:rsid w:val="00B44A4F"/>
    <w:rsid w:val="00B47311"/>
    <w:rsid w:val="00B508D0"/>
    <w:rsid w:val="00B517BE"/>
    <w:rsid w:val="00B5414A"/>
    <w:rsid w:val="00B64EC5"/>
    <w:rsid w:val="00B65EF8"/>
    <w:rsid w:val="00B66445"/>
    <w:rsid w:val="00B66F5A"/>
    <w:rsid w:val="00B67077"/>
    <w:rsid w:val="00B75912"/>
    <w:rsid w:val="00B761CF"/>
    <w:rsid w:val="00B801B7"/>
    <w:rsid w:val="00B80DF6"/>
    <w:rsid w:val="00B811F7"/>
    <w:rsid w:val="00B816A7"/>
    <w:rsid w:val="00B84E6C"/>
    <w:rsid w:val="00B860D7"/>
    <w:rsid w:val="00B87679"/>
    <w:rsid w:val="00B9371C"/>
    <w:rsid w:val="00BA247E"/>
    <w:rsid w:val="00BA3B91"/>
    <w:rsid w:val="00BA4DC6"/>
    <w:rsid w:val="00BA5DC6"/>
    <w:rsid w:val="00BA6196"/>
    <w:rsid w:val="00BA7F12"/>
    <w:rsid w:val="00BB0606"/>
    <w:rsid w:val="00BB0C03"/>
    <w:rsid w:val="00BB365A"/>
    <w:rsid w:val="00BB5512"/>
    <w:rsid w:val="00BC2CFF"/>
    <w:rsid w:val="00BC4AA7"/>
    <w:rsid w:val="00BC5D56"/>
    <w:rsid w:val="00BC68DF"/>
    <w:rsid w:val="00BC6D8C"/>
    <w:rsid w:val="00BC76F9"/>
    <w:rsid w:val="00BD129C"/>
    <w:rsid w:val="00BD24F4"/>
    <w:rsid w:val="00BE2581"/>
    <w:rsid w:val="00BE2B2B"/>
    <w:rsid w:val="00BE56B5"/>
    <w:rsid w:val="00BE73DC"/>
    <w:rsid w:val="00BE7722"/>
    <w:rsid w:val="00BF0234"/>
    <w:rsid w:val="00BF1EEC"/>
    <w:rsid w:val="00C02FA9"/>
    <w:rsid w:val="00C04D36"/>
    <w:rsid w:val="00C06E84"/>
    <w:rsid w:val="00C10ADD"/>
    <w:rsid w:val="00C218DC"/>
    <w:rsid w:val="00C26F5F"/>
    <w:rsid w:val="00C34006"/>
    <w:rsid w:val="00C4174C"/>
    <w:rsid w:val="00C426B1"/>
    <w:rsid w:val="00C438ED"/>
    <w:rsid w:val="00C447D2"/>
    <w:rsid w:val="00C473A8"/>
    <w:rsid w:val="00C47A0C"/>
    <w:rsid w:val="00C518D0"/>
    <w:rsid w:val="00C523B9"/>
    <w:rsid w:val="00C52CF8"/>
    <w:rsid w:val="00C6071D"/>
    <w:rsid w:val="00C612AC"/>
    <w:rsid w:val="00C67932"/>
    <w:rsid w:val="00C700F9"/>
    <w:rsid w:val="00C713BD"/>
    <w:rsid w:val="00C7579F"/>
    <w:rsid w:val="00C76BB9"/>
    <w:rsid w:val="00C85DCF"/>
    <w:rsid w:val="00C90D6A"/>
    <w:rsid w:val="00C9246B"/>
    <w:rsid w:val="00C92F97"/>
    <w:rsid w:val="00C93A14"/>
    <w:rsid w:val="00C95D80"/>
    <w:rsid w:val="00CA21C0"/>
    <w:rsid w:val="00CA247E"/>
    <w:rsid w:val="00CA7078"/>
    <w:rsid w:val="00CB260B"/>
    <w:rsid w:val="00CB51FE"/>
    <w:rsid w:val="00CC2691"/>
    <w:rsid w:val="00CC28B3"/>
    <w:rsid w:val="00CC4A43"/>
    <w:rsid w:val="00CC532C"/>
    <w:rsid w:val="00CC596B"/>
    <w:rsid w:val="00CC72B6"/>
    <w:rsid w:val="00CC746A"/>
    <w:rsid w:val="00CD0180"/>
    <w:rsid w:val="00CD2C9B"/>
    <w:rsid w:val="00CD4491"/>
    <w:rsid w:val="00CD45F8"/>
    <w:rsid w:val="00CE1849"/>
    <w:rsid w:val="00CE1A0C"/>
    <w:rsid w:val="00CE428F"/>
    <w:rsid w:val="00CE632C"/>
    <w:rsid w:val="00CE76C6"/>
    <w:rsid w:val="00CF0D43"/>
    <w:rsid w:val="00CF1C0F"/>
    <w:rsid w:val="00CF2F47"/>
    <w:rsid w:val="00CF77B7"/>
    <w:rsid w:val="00D0218D"/>
    <w:rsid w:val="00D03AD8"/>
    <w:rsid w:val="00D046D2"/>
    <w:rsid w:val="00D05A77"/>
    <w:rsid w:val="00D1069B"/>
    <w:rsid w:val="00D10745"/>
    <w:rsid w:val="00D15C14"/>
    <w:rsid w:val="00D22774"/>
    <w:rsid w:val="00D23E19"/>
    <w:rsid w:val="00D257FE"/>
    <w:rsid w:val="00D25C5E"/>
    <w:rsid w:val="00D25ED7"/>
    <w:rsid w:val="00D26289"/>
    <w:rsid w:val="00D3032A"/>
    <w:rsid w:val="00D31663"/>
    <w:rsid w:val="00D34498"/>
    <w:rsid w:val="00D34844"/>
    <w:rsid w:val="00D3490E"/>
    <w:rsid w:val="00D35731"/>
    <w:rsid w:val="00D377A5"/>
    <w:rsid w:val="00D42D5D"/>
    <w:rsid w:val="00D44790"/>
    <w:rsid w:val="00D52151"/>
    <w:rsid w:val="00D52555"/>
    <w:rsid w:val="00D54D8D"/>
    <w:rsid w:val="00D55448"/>
    <w:rsid w:val="00D5619D"/>
    <w:rsid w:val="00D56630"/>
    <w:rsid w:val="00D630D3"/>
    <w:rsid w:val="00D67F84"/>
    <w:rsid w:val="00D704AA"/>
    <w:rsid w:val="00D70822"/>
    <w:rsid w:val="00D71CDA"/>
    <w:rsid w:val="00D76295"/>
    <w:rsid w:val="00D81546"/>
    <w:rsid w:val="00D81FA0"/>
    <w:rsid w:val="00D82EB7"/>
    <w:rsid w:val="00D83129"/>
    <w:rsid w:val="00D84548"/>
    <w:rsid w:val="00D86532"/>
    <w:rsid w:val="00D91240"/>
    <w:rsid w:val="00D943A2"/>
    <w:rsid w:val="00D95AC5"/>
    <w:rsid w:val="00D95C94"/>
    <w:rsid w:val="00D9774A"/>
    <w:rsid w:val="00D978A8"/>
    <w:rsid w:val="00D97B34"/>
    <w:rsid w:val="00DA2529"/>
    <w:rsid w:val="00DA2BA0"/>
    <w:rsid w:val="00DA2CFF"/>
    <w:rsid w:val="00DA2DB9"/>
    <w:rsid w:val="00DA798A"/>
    <w:rsid w:val="00DA7E2A"/>
    <w:rsid w:val="00DB0422"/>
    <w:rsid w:val="00DB130A"/>
    <w:rsid w:val="00DB4B14"/>
    <w:rsid w:val="00DB5B28"/>
    <w:rsid w:val="00DC10A1"/>
    <w:rsid w:val="00DC1BFB"/>
    <w:rsid w:val="00DC5271"/>
    <w:rsid w:val="00DC5DD8"/>
    <w:rsid w:val="00DC655F"/>
    <w:rsid w:val="00DC6E68"/>
    <w:rsid w:val="00DC6EB4"/>
    <w:rsid w:val="00DD0B59"/>
    <w:rsid w:val="00DD1CEE"/>
    <w:rsid w:val="00DD6824"/>
    <w:rsid w:val="00DD7967"/>
    <w:rsid w:val="00DD7DE0"/>
    <w:rsid w:val="00DD7EBD"/>
    <w:rsid w:val="00DE0C2F"/>
    <w:rsid w:val="00DE31E5"/>
    <w:rsid w:val="00DE704A"/>
    <w:rsid w:val="00DE7126"/>
    <w:rsid w:val="00DF05A3"/>
    <w:rsid w:val="00DF1C0C"/>
    <w:rsid w:val="00DF4504"/>
    <w:rsid w:val="00DF465C"/>
    <w:rsid w:val="00DF47DF"/>
    <w:rsid w:val="00DF5AF8"/>
    <w:rsid w:val="00DF5C09"/>
    <w:rsid w:val="00DF62B6"/>
    <w:rsid w:val="00DF7138"/>
    <w:rsid w:val="00E008FB"/>
    <w:rsid w:val="00E03633"/>
    <w:rsid w:val="00E037E1"/>
    <w:rsid w:val="00E069F9"/>
    <w:rsid w:val="00E07225"/>
    <w:rsid w:val="00E141AE"/>
    <w:rsid w:val="00E211FE"/>
    <w:rsid w:val="00E3116C"/>
    <w:rsid w:val="00E32005"/>
    <w:rsid w:val="00E3204A"/>
    <w:rsid w:val="00E3378C"/>
    <w:rsid w:val="00E35272"/>
    <w:rsid w:val="00E41B30"/>
    <w:rsid w:val="00E421F8"/>
    <w:rsid w:val="00E440DF"/>
    <w:rsid w:val="00E44AC6"/>
    <w:rsid w:val="00E465A8"/>
    <w:rsid w:val="00E52DC7"/>
    <w:rsid w:val="00E5409F"/>
    <w:rsid w:val="00E54C87"/>
    <w:rsid w:val="00E63070"/>
    <w:rsid w:val="00E70486"/>
    <w:rsid w:val="00E7184A"/>
    <w:rsid w:val="00E73616"/>
    <w:rsid w:val="00E76A80"/>
    <w:rsid w:val="00E76AE5"/>
    <w:rsid w:val="00E828C5"/>
    <w:rsid w:val="00E843BC"/>
    <w:rsid w:val="00E87831"/>
    <w:rsid w:val="00E93679"/>
    <w:rsid w:val="00E94865"/>
    <w:rsid w:val="00E95C94"/>
    <w:rsid w:val="00EA1A3D"/>
    <w:rsid w:val="00EA21F8"/>
    <w:rsid w:val="00EA296C"/>
    <w:rsid w:val="00EA367A"/>
    <w:rsid w:val="00EB0F91"/>
    <w:rsid w:val="00EB1673"/>
    <w:rsid w:val="00EB2E40"/>
    <w:rsid w:val="00EB356C"/>
    <w:rsid w:val="00EB6225"/>
    <w:rsid w:val="00EB752D"/>
    <w:rsid w:val="00EC5684"/>
    <w:rsid w:val="00EC58BD"/>
    <w:rsid w:val="00EC663A"/>
    <w:rsid w:val="00EC767E"/>
    <w:rsid w:val="00ED1A85"/>
    <w:rsid w:val="00ED48FF"/>
    <w:rsid w:val="00ED5746"/>
    <w:rsid w:val="00ED64B0"/>
    <w:rsid w:val="00EE0C8E"/>
    <w:rsid w:val="00EE6488"/>
    <w:rsid w:val="00EF1C44"/>
    <w:rsid w:val="00EF28F5"/>
    <w:rsid w:val="00EF3095"/>
    <w:rsid w:val="00EF4CF7"/>
    <w:rsid w:val="00EF7F44"/>
    <w:rsid w:val="00F021FA"/>
    <w:rsid w:val="00F038E2"/>
    <w:rsid w:val="00F125D4"/>
    <w:rsid w:val="00F162E3"/>
    <w:rsid w:val="00F16E73"/>
    <w:rsid w:val="00F240C3"/>
    <w:rsid w:val="00F24FF8"/>
    <w:rsid w:val="00F360F9"/>
    <w:rsid w:val="00F361E6"/>
    <w:rsid w:val="00F3638F"/>
    <w:rsid w:val="00F3676D"/>
    <w:rsid w:val="00F442BB"/>
    <w:rsid w:val="00F44F3A"/>
    <w:rsid w:val="00F62E97"/>
    <w:rsid w:val="00F64209"/>
    <w:rsid w:val="00F6525C"/>
    <w:rsid w:val="00F65CE9"/>
    <w:rsid w:val="00F70E6D"/>
    <w:rsid w:val="00F71F68"/>
    <w:rsid w:val="00F723E4"/>
    <w:rsid w:val="00F74D07"/>
    <w:rsid w:val="00F80663"/>
    <w:rsid w:val="00F810BC"/>
    <w:rsid w:val="00F82C43"/>
    <w:rsid w:val="00F83785"/>
    <w:rsid w:val="00F84126"/>
    <w:rsid w:val="00F84BCA"/>
    <w:rsid w:val="00F85EA2"/>
    <w:rsid w:val="00F87A23"/>
    <w:rsid w:val="00F90847"/>
    <w:rsid w:val="00F92977"/>
    <w:rsid w:val="00F9306A"/>
    <w:rsid w:val="00F93080"/>
    <w:rsid w:val="00F931E1"/>
    <w:rsid w:val="00F93BF5"/>
    <w:rsid w:val="00F95B76"/>
    <w:rsid w:val="00F9709E"/>
    <w:rsid w:val="00FA17D3"/>
    <w:rsid w:val="00FA2727"/>
    <w:rsid w:val="00FA3550"/>
    <w:rsid w:val="00FB0DE7"/>
    <w:rsid w:val="00FB0E8A"/>
    <w:rsid w:val="00FB2F25"/>
    <w:rsid w:val="00FB57F6"/>
    <w:rsid w:val="00FB627B"/>
    <w:rsid w:val="00FB7136"/>
    <w:rsid w:val="00FB79FD"/>
    <w:rsid w:val="00FC1B2D"/>
    <w:rsid w:val="00FC2E88"/>
    <w:rsid w:val="00FC521A"/>
    <w:rsid w:val="00FC6D19"/>
    <w:rsid w:val="00FD2F8B"/>
    <w:rsid w:val="00FD32B6"/>
    <w:rsid w:val="00FD5FA7"/>
    <w:rsid w:val="00FE0139"/>
    <w:rsid w:val="00FE1E94"/>
    <w:rsid w:val="00FE2731"/>
    <w:rsid w:val="00FE44B4"/>
    <w:rsid w:val="00FE6A5A"/>
    <w:rsid w:val="00FE7172"/>
    <w:rsid w:val="00FE7D3A"/>
    <w:rsid w:val="00FF001A"/>
    <w:rsid w:val="00FF0162"/>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1FF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link w:val="Heading1Char"/>
    <w:qFormat/>
    <w:rsid w:val="009E58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3"/>
      </w:numPr>
      <w:spacing w:after="120"/>
      <w:outlineLvl w:val="1"/>
    </w:pPr>
    <w:rPr>
      <w:b/>
    </w:rPr>
  </w:style>
  <w:style w:type="paragraph" w:styleId="Heading3">
    <w:name w:val="heading 3"/>
    <w:basedOn w:val="Normal"/>
    <w:next w:val="ParaNum0"/>
    <w:qFormat/>
    <w:rsid w:val="009E58C9"/>
    <w:pPr>
      <w:keepNext/>
      <w:numPr>
        <w:ilvl w:val="2"/>
        <w:numId w:val="3"/>
      </w:numPr>
      <w:tabs>
        <w:tab w:val="left" w:pos="2160"/>
      </w:tabs>
      <w:spacing w:after="120"/>
      <w:outlineLvl w:val="2"/>
    </w:pPr>
    <w:rPr>
      <w:b/>
    </w:rPr>
  </w:style>
  <w:style w:type="paragraph" w:styleId="Heading4">
    <w:name w:val="heading 4"/>
    <w:basedOn w:val="Normal"/>
    <w:next w:val="ParaNum0"/>
    <w:qFormat/>
    <w:rsid w:val="009E58C9"/>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3"/>
      </w:numPr>
      <w:tabs>
        <w:tab w:val="left" w:pos="4320"/>
      </w:tabs>
      <w:spacing w:after="120"/>
      <w:outlineLvl w:val="5"/>
    </w:pPr>
    <w:rPr>
      <w:b/>
    </w:rPr>
  </w:style>
  <w:style w:type="paragraph" w:styleId="Heading7">
    <w:name w:val="heading 7"/>
    <w:basedOn w:val="Normal"/>
    <w:next w:val="ParaNum0"/>
    <w:qFormat/>
    <w:rsid w:val="009E58C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2"/>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rsid w:val="00A17A3B"/>
    <w:rPr>
      <w:color w:val="000000"/>
      <w:sz w:val="22"/>
      <w:lang w:val="en-US"/>
    </w:rPr>
  </w:style>
  <w:style w:type="paragraph" w:customStyle="1" w:styleId="Paranum">
    <w:name w:val="Paranum"/>
    <w:autoRedefine/>
    <w:uiPriority w:val="99"/>
    <w:rsid w:val="00A81E40"/>
    <w:pPr>
      <w:numPr>
        <w:numId w:val="11"/>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Heading1Char">
    <w:name w:val="Heading 1 Char"/>
    <w:basedOn w:val="DefaultParagraphFont"/>
    <w:link w:val="Heading1"/>
    <w:rsid w:val="00D22774"/>
    <w:rPr>
      <w:rFonts w:ascii="Times New Roman Bold" w:hAnsi="Times New Roman Bold"/>
      <w:b/>
      <w:caps/>
      <w:snapToGrid w:val="0"/>
      <w:kern w:val="28"/>
      <w:sz w:val="22"/>
    </w:rPr>
  </w:style>
  <w:style w:type="character" w:customStyle="1" w:styleId="FooterChar">
    <w:name w:val="Footer Char"/>
    <w:basedOn w:val="DefaultParagraphFont"/>
    <w:link w:val="Footer"/>
    <w:rsid w:val="00D22774"/>
    <w:rPr>
      <w:snapToGrid w:val="0"/>
      <w:kern w:val="28"/>
      <w:sz w:val="22"/>
    </w:rPr>
  </w:style>
  <w:style w:type="character" w:customStyle="1" w:styleId="searchterm">
    <w:name w:val="searchterm"/>
    <w:basedOn w:val="DefaultParagraphFont"/>
    <w:rsid w:val="00D22774"/>
  </w:style>
  <w:style w:type="character" w:customStyle="1" w:styleId="bestsection">
    <w:name w:val="bestsection"/>
    <w:basedOn w:val="DefaultParagraphFont"/>
    <w:rsid w:val="00D22774"/>
  </w:style>
  <w:style w:type="character" w:customStyle="1" w:styleId="st">
    <w:name w:val="st"/>
    <w:basedOn w:val="DefaultParagraphFont"/>
    <w:rsid w:val="00D22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link w:val="Heading1Char"/>
    <w:qFormat/>
    <w:rsid w:val="009E58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3"/>
      </w:numPr>
      <w:spacing w:after="120"/>
      <w:outlineLvl w:val="1"/>
    </w:pPr>
    <w:rPr>
      <w:b/>
    </w:rPr>
  </w:style>
  <w:style w:type="paragraph" w:styleId="Heading3">
    <w:name w:val="heading 3"/>
    <w:basedOn w:val="Normal"/>
    <w:next w:val="ParaNum0"/>
    <w:qFormat/>
    <w:rsid w:val="009E58C9"/>
    <w:pPr>
      <w:keepNext/>
      <w:numPr>
        <w:ilvl w:val="2"/>
        <w:numId w:val="3"/>
      </w:numPr>
      <w:tabs>
        <w:tab w:val="left" w:pos="2160"/>
      </w:tabs>
      <w:spacing w:after="120"/>
      <w:outlineLvl w:val="2"/>
    </w:pPr>
    <w:rPr>
      <w:b/>
    </w:rPr>
  </w:style>
  <w:style w:type="paragraph" w:styleId="Heading4">
    <w:name w:val="heading 4"/>
    <w:basedOn w:val="Normal"/>
    <w:next w:val="ParaNum0"/>
    <w:qFormat/>
    <w:rsid w:val="009E58C9"/>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3"/>
      </w:numPr>
      <w:tabs>
        <w:tab w:val="left" w:pos="4320"/>
      </w:tabs>
      <w:spacing w:after="120"/>
      <w:outlineLvl w:val="5"/>
    </w:pPr>
    <w:rPr>
      <w:b/>
    </w:rPr>
  </w:style>
  <w:style w:type="paragraph" w:styleId="Heading7">
    <w:name w:val="heading 7"/>
    <w:basedOn w:val="Normal"/>
    <w:next w:val="ParaNum0"/>
    <w:qFormat/>
    <w:rsid w:val="009E58C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2"/>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rsid w:val="00A17A3B"/>
    <w:rPr>
      <w:color w:val="000000"/>
      <w:sz w:val="22"/>
      <w:lang w:val="en-US"/>
    </w:rPr>
  </w:style>
  <w:style w:type="paragraph" w:customStyle="1" w:styleId="Paranum">
    <w:name w:val="Paranum"/>
    <w:autoRedefine/>
    <w:uiPriority w:val="99"/>
    <w:rsid w:val="00A81E40"/>
    <w:pPr>
      <w:numPr>
        <w:numId w:val="11"/>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Heading1Char">
    <w:name w:val="Heading 1 Char"/>
    <w:basedOn w:val="DefaultParagraphFont"/>
    <w:link w:val="Heading1"/>
    <w:rsid w:val="00D22774"/>
    <w:rPr>
      <w:rFonts w:ascii="Times New Roman Bold" w:hAnsi="Times New Roman Bold"/>
      <w:b/>
      <w:caps/>
      <w:snapToGrid w:val="0"/>
      <w:kern w:val="28"/>
      <w:sz w:val="22"/>
    </w:rPr>
  </w:style>
  <w:style w:type="character" w:customStyle="1" w:styleId="FooterChar">
    <w:name w:val="Footer Char"/>
    <w:basedOn w:val="DefaultParagraphFont"/>
    <w:link w:val="Footer"/>
    <w:rsid w:val="00D22774"/>
    <w:rPr>
      <w:snapToGrid w:val="0"/>
      <w:kern w:val="28"/>
      <w:sz w:val="22"/>
    </w:rPr>
  </w:style>
  <w:style w:type="character" w:customStyle="1" w:styleId="searchterm">
    <w:name w:val="searchterm"/>
    <w:basedOn w:val="DefaultParagraphFont"/>
    <w:rsid w:val="00D22774"/>
  </w:style>
  <w:style w:type="character" w:customStyle="1" w:styleId="bestsection">
    <w:name w:val="bestsection"/>
    <w:basedOn w:val="DefaultParagraphFont"/>
    <w:rsid w:val="00D22774"/>
  </w:style>
  <w:style w:type="character" w:customStyle="1" w:styleId="st">
    <w:name w:val="st"/>
    <w:basedOn w:val="DefaultParagraphFont"/>
    <w:rsid w:val="00D22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71">
      <w:bodyDiv w:val="1"/>
      <w:marLeft w:val="0"/>
      <w:marRight w:val="0"/>
      <w:marTop w:val="0"/>
      <w:marBottom w:val="0"/>
      <w:divBdr>
        <w:top w:val="none" w:sz="0" w:space="0" w:color="auto"/>
        <w:left w:val="none" w:sz="0" w:space="0" w:color="auto"/>
        <w:bottom w:val="none" w:sz="0" w:space="0" w:color="auto"/>
        <w:right w:val="none" w:sz="0" w:space="0" w:color="auto"/>
      </w:divBdr>
    </w:div>
    <w:div w:id="170678610">
      <w:bodyDiv w:val="1"/>
      <w:marLeft w:val="0"/>
      <w:marRight w:val="0"/>
      <w:marTop w:val="0"/>
      <w:marBottom w:val="0"/>
      <w:divBdr>
        <w:top w:val="none" w:sz="0" w:space="0" w:color="auto"/>
        <w:left w:val="none" w:sz="0" w:space="0" w:color="auto"/>
        <w:bottom w:val="none" w:sz="0" w:space="0" w:color="auto"/>
        <w:right w:val="none" w:sz="0" w:space="0" w:color="auto"/>
      </w:divBdr>
    </w:div>
    <w:div w:id="800423260">
      <w:bodyDiv w:val="1"/>
      <w:marLeft w:val="0"/>
      <w:marRight w:val="0"/>
      <w:marTop w:val="0"/>
      <w:marBottom w:val="0"/>
      <w:divBdr>
        <w:top w:val="none" w:sz="0" w:space="0" w:color="auto"/>
        <w:left w:val="none" w:sz="0" w:space="0" w:color="auto"/>
        <w:bottom w:val="none" w:sz="0" w:space="0" w:color="auto"/>
        <w:right w:val="none" w:sz="0" w:space="0" w:color="auto"/>
      </w:divBdr>
    </w:div>
    <w:div w:id="859590623">
      <w:bodyDiv w:val="1"/>
      <w:marLeft w:val="0"/>
      <w:marRight w:val="0"/>
      <w:marTop w:val="0"/>
      <w:marBottom w:val="0"/>
      <w:divBdr>
        <w:top w:val="none" w:sz="0" w:space="0" w:color="auto"/>
        <w:left w:val="none" w:sz="0" w:space="0" w:color="auto"/>
        <w:bottom w:val="none" w:sz="0" w:space="0" w:color="auto"/>
        <w:right w:val="none" w:sz="0" w:space="0" w:color="auto"/>
      </w:divBdr>
    </w:div>
    <w:div w:id="920287947">
      <w:bodyDiv w:val="1"/>
      <w:marLeft w:val="0"/>
      <w:marRight w:val="0"/>
      <w:marTop w:val="0"/>
      <w:marBottom w:val="0"/>
      <w:divBdr>
        <w:top w:val="none" w:sz="0" w:space="0" w:color="auto"/>
        <w:left w:val="none" w:sz="0" w:space="0" w:color="auto"/>
        <w:bottom w:val="none" w:sz="0" w:space="0" w:color="auto"/>
        <w:right w:val="none" w:sz="0" w:space="0" w:color="auto"/>
      </w:divBdr>
    </w:div>
    <w:div w:id="12937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effrey.Gee@fcc.gov"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ary.Oshinsky@fcc.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effrey.Gee@fcc.gov" TargetMode="External"/><Relationship Id="rId20" Type="http://schemas.openxmlformats.org/officeDocument/2006/relationships/hyperlink" Target="mailto:ARINQUIRIE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Gary.Oshinsky@fcc.gov"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Gary.Oshinsky@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effrey.Gee@fcc.gov"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Forms/Form159/159.pdf" TargetMode="External"/><Relationship Id="rId1" Type="http://schemas.openxmlformats.org/officeDocument/2006/relationships/hyperlink" Target="http://www.cpr.ca/en/about-cp/our-histor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3</Pages>
  <Words>4179</Words>
  <Characters>23213</Characters>
  <Application>Microsoft Office Word</Application>
  <DocSecurity>0</DocSecurity>
  <PresentationFormat>[Compatibility Mode]</PresentationFormat>
  <Lines>415</Lines>
  <Paragraphs>116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27444</CharactersWithSpaces>
  <SharedDoc>false</SharedDoc>
  <HyperlinkBase> </HyperlinkBase>
  <HLinks>
    <vt:vector size="18" baseType="variant">
      <vt:variant>
        <vt:i4>3539012</vt:i4>
      </vt:variant>
      <vt:variant>
        <vt:i4>6</vt:i4>
      </vt:variant>
      <vt:variant>
        <vt:i4>0</vt:i4>
      </vt:variant>
      <vt:variant>
        <vt:i4>5</vt:i4>
      </vt:variant>
      <vt:variant>
        <vt:lpwstr>mailto:Kristi.Thompson@fcc.gov</vt:lpwstr>
      </vt:variant>
      <vt:variant>
        <vt:lpwstr/>
      </vt:variant>
      <vt:variant>
        <vt:i4>8323083</vt:i4>
      </vt:variant>
      <vt:variant>
        <vt:i4>3</vt:i4>
      </vt:variant>
      <vt:variant>
        <vt:i4>0</vt:i4>
      </vt:variant>
      <vt:variant>
        <vt:i4>5</vt:i4>
      </vt:variant>
      <vt:variant>
        <vt:lpwstr>mailto:Donna.Cyrus@fcc.gov</vt:lpwstr>
      </vt:variant>
      <vt:variant>
        <vt:lpwstr/>
      </vt:variant>
      <vt:variant>
        <vt:i4>7471135</vt:i4>
      </vt:variant>
      <vt:variant>
        <vt:i4>0</vt:i4>
      </vt:variant>
      <vt:variant>
        <vt:i4>0</vt:i4>
      </vt:variant>
      <vt:variant>
        <vt:i4>5</vt:i4>
      </vt:variant>
      <vt:variant>
        <vt:lpwstr>mailto:Krist.Thompson@fcc.gov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2016-08-19T21:13:00Z</dcterms:created>
  <dcterms:modified xsi:type="dcterms:W3CDTF">2016-08-19T21:13:00Z</dcterms:modified>
  <cp:category> </cp:category>
  <cp:contentStatus> </cp:contentStatus>
</cp:coreProperties>
</file>