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Default="00E33263">
      <w:pPr>
        <w:jc w:val="right"/>
        <w:rPr>
          <w:sz w:val="24"/>
        </w:rPr>
      </w:pPr>
      <w:r>
        <w:rPr>
          <w:sz w:val="24"/>
        </w:rPr>
        <w:lastRenderedPageBreak/>
        <w:t>DA 1</w:t>
      </w:r>
      <w:r w:rsidR="000C2DF8">
        <w:rPr>
          <w:sz w:val="24"/>
        </w:rPr>
        <w:t>6</w:t>
      </w:r>
      <w:r>
        <w:rPr>
          <w:sz w:val="24"/>
        </w:rPr>
        <w:t>-</w:t>
      </w:r>
      <w:r w:rsidR="00732A45">
        <w:rPr>
          <w:sz w:val="24"/>
        </w:rPr>
        <w:t>864</w:t>
      </w:r>
    </w:p>
    <w:p w:rsidR="00602577" w:rsidRDefault="006E0598">
      <w:pPr>
        <w:spacing w:before="60"/>
        <w:jc w:val="right"/>
        <w:rPr>
          <w:sz w:val="24"/>
        </w:rPr>
      </w:pPr>
      <w:r>
        <w:rPr>
          <w:sz w:val="24"/>
        </w:rPr>
        <w:t xml:space="preserve">Released:  </w:t>
      </w:r>
      <w:r w:rsidR="00440B64">
        <w:rPr>
          <w:sz w:val="24"/>
        </w:rPr>
        <w:t>July 2</w:t>
      </w:r>
      <w:r w:rsidR="00852310">
        <w:rPr>
          <w:sz w:val="24"/>
        </w:rPr>
        <w:t>9</w:t>
      </w:r>
      <w:r>
        <w:rPr>
          <w:sz w:val="24"/>
        </w:rPr>
        <w:t>, 201</w:t>
      </w:r>
      <w:r w:rsidR="00A63C29">
        <w:rPr>
          <w:sz w:val="24"/>
        </w:rPr>
        <w:t>6</w:t>
      </w:r>
    </w:p>
    <w:p w:rsidR="00602577" w:rsidRDefault="00602577">
      <w:pPr>
        <w:jc w:val="right"/>
        <w:rPr>
          <w:sz w:val="24"/>
        </w:rPr>
      </w:pPr>
    </w:p>
    <w:p w:rsidR="00E33263" w:rsidRPr="00440B64" w:rsidRDefault="00E33263" w:rsidP="00E33263">
      <w:pPr>
        <w:pStyle w:val="Style1"/>
        <w:rPr>
          <w:sz w:val="22"/>
          <w:szCs w:val="22"/>
        </w:rPr>
      </w:pPr>
      <w:r w:rsidRPr="00440B64">
        <w:rPr>
          <w:sz w:val="22"/>
          <w:szCs w:val="22"/>
        </w:rPr>
        <w:t>WIRELESS TELECOMMUNICATION</w:t>
      </w:r>
      <w:r w:rsidR="001C2338" w:rsidRPr="00440B64">
        <w:rPr>
          <w:sz w:val="22"/>
          <w:szCs w:val="22"/>
        </w:rPr>
        <w:t>S</w:t>
      </w:r>
      <w:r w:rsidRPr="00440B64">
        <w:rPr>
          <w:sz w:val="22"/>
          <w:szCs w:val="22"/>
        </w:rPr>
        <w:t xml:space="preserve"> BUREAU SEEKS COMMENT ON </w:t>
      </w:r>
      <w:r w:rsidR="00440B64" w:rsidRPr="00440B64">
        <w:rPr>
          <w:sz w:val="22"/>
          <w:szCs w:val="22"/>
        </w:rPr>
        <w:t>EXPERT LINEARS AMERICA, LLC</w:t>
      </w:r>
      <w:r w:rsidR="00173ED8">
        <w:rPr>
          <w:sz w:val="22"/>
          <w:szCs w:val="22"/>
        </w:rPr>
        <w:t>,</w:t>
      </w:r>
      <w:r w:rsidR="00440B64" w:rsidRPr="00440B64">
        <w:rPr>
          <w:sz w:val="22"/>
          <w:szCs w:val="22"/>
        </w:rPr>
        <w:t xml:space="preserve"> REQUEST FOR WAIVER OF THE 15 DB </w:t>
      </w:r>
      <w:r w:rsidR="00E042B9">
        <w:rPr>
          <w:sz w:val="22"/>
          <w:szCs w:val="22"/>
        </w:rPr>
        <w:t>AMPLIFICATION</w:t>
      </w:r>
      <w:r w:rsidR="00440B64" w:rsidRPr="00440B64">
        <w:rPr>
          <w:sz w:val="22"/>
          <w:szCs w:val="22"/>
        </w:rPr>
        <w:t xml:space="preserve"> LIMIT FOR EXTERNAL RF POWER AMPLIFIERS IN THE AMATUER RADIO SERVICE</w:t>
      </w:r>
    </w:p>
    <w:p w:rsidR="00E33263" w:rsidRPr="00440B64" w:rsidRDefault="00E33263" w:rsidP="00E33263">
      <w:pPr>
        <w:pStyle w:val="BodyText"/>
        <w:rPr>
          <w:sz w:val="22"/>
          <w:szCs w:val="22"/>
        </w:rPr>
      </w:pPr>
    </w:p>
    <w:p w:rsidR="00736A6D" w:rsidRPr="00440B64" w:rsidRDefault="00736A6D" w:rsidP="00736A6D">
      <w:pPr>
        <w:pStyle w:val="BodyText"/>
        <w:rPr>
          <w:sz w:val="22"/>
          <w:szCs w:val="22"/>
        </w:rPr>
      </w:pPr>
      <w:r w:rsidRPr="00440B64">
        <w:rPr>
          <w:sz w:val="22"/>
          <w:szCs w:val="22"/>
        </w:rPr>
        <w:t>WT Docket No. 1</w:t>
      </w:r>
      <w:r w:rsidR="000C2DF8" w:rsidRPr="00440B64">
        <w:rPr>
          <w:sz w:val="22"/>
          <w:szCs w:val="22"/>
        </w:rPr>
        <w:t>6</w:t>
      </w:r>
      <w:r w:rsidRPr="00440B64">
        <w:rPr>
          <w:sz w:val="22"/>
          <w:szCs w:val="22"/>
        </w:rPr>
        <w:t>-</w:t>
      </w:r>
      <w:r w:rsidR="00732A45">
        <w:rPr>
          <w:sz w:val="22"/>
          <w:szCs w:val="22"/>
        </w:rPr>
        <w:t>243</w:t>
      </w:r>
    </w:p>
    <w:p w:rsidR="00736A6D" w:rsidRPr="00440B64" w:rsidRDefault="00736A6D" w:rsidP="00E33263">
      <w:pPr>
        <w:pStyle w:val="BodyText"/>
        <w:rPr>
          <w:sz w:val="22"/>
          <w:szCs w:val="22"/>
        </w:rPr>
      </w:pPr>
    </w:p>
    <w:p w:rsidR="00E33263" w:rsidRPr="00440B64" w:rsidRDefault="00E33263" w:rsidP="00E33263">
      <w:pPr>
        <w:pStyle w:val="BodyText"/>
        <w:jc w:val="left"/>
        <w:rPr>
          <w:sz w:val="22"/>
          <w:szCs w:val="22"/>
        </w:rPr>
      </w:pPr>
      <w:r w:rsidRPr="00440B64">
        <w:rPr>
          <w:sz w:val="22"/>
          <w:szCs w:val="22"/>
        </w:rPr>
        <w:t>Comment Date</w:t>
      </w:r>
      <w:r w:rsidR="006E0598" w:rsidRPr="00440B64">
        <w:rPr>
          <w:sz w:val="22"/>
          <w:szCs w:val="22"/>
        </w:rPr>
        <w:t xml:space="preserve">:  </w:t>
      </w:r>
      <w:r w:rsidR="00440B64" w:rsidRPr="00440B64">
        <w:rPr>
          <w:sz w:val="22"/>
          <w:szCs w:val="22"/>
        </w:rPr>
        <w:t>August 29</w:t>
      </w:r>
      <w:r w:rsidR="006E0598" w:rsidRPr="00440B64">
        <w:rPr>
          <w:sz w:val="22"/>
          <w:szCs w:val="22"/>
        </w:rPr>
        <w:t>, 201</w:t>
      </w:r>
      <w:r w:rsidR="00F76561" w:rsidRPr="00440B64">
        <w:rPr>
          <w:sz w:val="22"/>
          <w:szCs w:val="22"/>
        </w:rPr>
        <w:t>6</w:t>
      </w:r>
      <w:r w:rsidR="00EA6A79" w:rsidRPr="00440B64">
        <w:rPr>
          <w:sz w:val="22"/>
          <w:szCs w:val="22"/>
        </w:rPr>
        <w:tab/>
      </w:r>
      <w:r w:rsidR="00EB66A4" w:rsidRPr="00440B64">
        <w:rPr>
          <w:sz w:val="22"/>
          <w:szCs w:val="22"/>
        </w:rPr>
        <w:tab/>
      </w:r>
      <w:r w:rsidR="00EB66A4" w:rsidRPr="00440B64">
        <w:rPr>
          <w:sz w:val="22"/>
          <w:szCs w:val="22"/>
        </w:rPr>
        <w:tab/>
      </w:r>
      <w:r w:rsidR="00EB66A4" w:rsidRPr="00440B64">
        <w:rPr>
          <w:sz w:val="22"/>
          <w:szCs w:val="22"/>
        </w:rPr>
        <w:tab/>
      </w:r>
      <w:r w:rsidRPr="00440B64">
        <w:rPr>
          <w:sz w:val="22"/>
          <w:szCs w:val="22"/>
        </w:rPr>
        <w:t xml:space="preserve">Reply Date: </w:t>
      </w:r>
      <w:r w:rsidR="006E0598" w:rsidRPr="00440B64">
        <w:rPr>
          <w:sz w:val="22"/>
          <w:szCs w:val="22"/>
        </w:rPr>
        <w:t xml:space="preserve"> </w:t>
      </w:r>
      <w:r w:rsidR="00440B64" w:rsidRPr="00440B64">
        <w:rPr>
          <w:sz w:val="22"/>
          <w:szCs w:val="22"/>
        </w:rPr>
        <w:t>September 13</w:t>
      </w:r>
      <w:r w:rsidR="00C02804" w:rsidRPr="00440B64">
        <w:rPr>
          <w:sz w:val="22"/>
          <w:szCs w:val="22"/>
        </w:rPr>
        <w:t>,</w:t>
      </w:r>
      <w:r w:rsidR="006E0598" w:rsidRPr="00440B64">
        <w:rPr>
          <w:sz w:val="22"/>
          <w:szCs w:val="22"/>
        </w:rPr>
        <w:t xml:space="preserve"> 201</w:t>
      </w:r>
      <w:r w:rsidR="00F76561" w:rsidRPr="00440B64">
        <w:rPr>
          <w:sz w:val="22"/>
          <w:szCs w:val="22"/>
        </w:rPr>
        <w:t>6</w:t>
      </w:r>
    </w:p>
    <w:p w:rsidR="00440B64" w:rsidRDefault="00440B64" w:rsidP="00440B64">
      <w:pPr>
        <w:ind w:firstLine="720"/>
      </w:pPr>
    </w:p>
    <w:p w:rsidR="00440B64" w:rsidRPr="001E51DB" w:rsidRDefault="00440B64" w:rsidP="00440B64">
      <w:pPr>
        <w:ind w:firstLine="720"/>
      </w:pPr>
      <w:r w:rsidRPr="001E51DB">
        <w:t xml:space="preserve">On </w:t>
      </w:r>
      <w:r>
        <w:t>June 11</w:t>
      </w:r>
      <w:r w:rsidRPr="001E51DB">
        <w:t>, 2016</w:t>
      </w:r>
      <w:r w:rsidR="006B5510">
        <w:t>, Expert Linears America, LLC (</w:t>
      </w:r>
      <w:r w:rsidRPr="001E51DB">
        <w:t xml:space="preserve">Expert) filed a </w:t>
      </w:r>
      <w:r>
        <w:t>request for waiver of Section 97.317(a)(2) of the Commission’s rules</w:t>
      </w:r>
      <w:r w:rsidRPr="001E51DB">
        <w:rPr>
          <w:rStyle w:val="FootnoteReference"/>
        </w:rPr>
        <w:footnoteReference w:id="1"/>
      </w:r>
      <w:r>
        <w:t xml:space="preserve"> </w:t>
      </w:r>
      <w:r w:rsidR="00A35658">
        <w:t>to permit importation, marketing, and use of its Model 1.3K FA amplifier.</w:t>
      </w:r>
      <w:r w:rsidR="00A35658">
        <w:rPr>
          <w:rStyle w:val="FootnoteReference"/>
        </w:rPr>
        <w:footnoteReference w:id="2"/>
      </w:r>
      <w:r w:rsidR="00A35658">
        <w:t xml:space="preserve">  Expert seeks a waiver pending the resolution of its petition for rulemaking propos</w:t>
      </w:r>
      <w:r w:rsidRPr="001E51DB">
        <w:t xml:space="preserve">ing to </w:t>
      </w:r>
      <w:r w:rsidR="00A35658">
        <w:t>eliminate the 15 d</w:t>
      </w:r>
      <w:r w:rsidR="00173ED8">
        <w:t>B</w:t>
      </w:r>
      <w:r w:rsidR="00A35658">
        <w:t xml:space="preserve"> gain limitation on amateur amplifiers currently </w:t>
      </w:r>
      <w:r w:rsidR="00A35658" w:rsidRPr="001E51DB">
        <w:t>embodied in Section 97.317(a)(2)</w:t>
      </w:r>
      <w:r w:rsidRPr="001E51DB">
        <w:t>.</w:t>
      </w:r>
      <w:r w:rsidRPr="001E51DB">
        <w:rPr>
          <w:rStyle w:val="FootnoteReference"/>
        </w:rPr>
        <w:footnoteReference w:id="3"/>
      </w:r>
      <w:r w:rsidRPr="001E51DB">
        <w:t xml:space="preserve">  </w:t>
      </w:r>
      <w:r w:rsidR="006B5510">
        <w:t>We seek comment on the waiver request.</w:t>
      </w:r>
    </w:p>
    <w:p w:rsidR="00440B64" w:rsidRPr="001E51DB" w:rsidRDefault="00440B64" w:rsidP="00440B64">
      <w:pPr>
        <w:ind w:firstLine="720"/>
      </w:pPr>
    </w:p>
    <w:p w:rsidR="00440B64" w:rsidRPr="001E51DB" w:rsidRDefault="006B5510" w:rsidP="00440B64">
      <w:pPr>
        <w:ind w:firstLine="720"/>
      </w:pPr>
      <w:r>
        <w:t xml:space="preserve">Expert is the United States sales representative and maintenance </w:t>
      </w:r>
      <w:r w:rsidR="00D80B5C">
        <w:t>and repai</w:t>
      </w:r>
      <w:r>
        <w:t xml:space="preserve">r </w:t>
      </w:r>
      <w:r w:rsidR="00D80B5C">
        <w:t>services provider for SPE Expert Linear Amplifiers</w:t>
      </w:r>
      <w:r w:rsidR="009667AE">
        <w:t>, which produces</w:t>
      </w:r>
      <w:r w:rsidR="009667AE" w:rsidRPr="009667AE">
        <w:t xml:space="preserve"> </w:t>
      </w:r>
      <w:r w:rsidR="009667AE">
        <w:t>the Model 1.3K FA</w:t>
      </w:r>
      <w:r w:rsidR="00D80B5C">
        <w:t xml:space="preserve">.  The version that Expert imports has been modified to bring it into compliance with </w:t>
      </w:r>
      <w:r w:rsidR="00440B64" w:rsidRPr="001E51DB">
        <w:t>Section 97.317(a)(2).</w:t>
      </w:r>
      <w:r w:rsidR="00D80B5C">
        <w:rPr>
          <w:rStyle w:val="FootnoteReference"/>
        </w:rPr>
        <w:footnoteReference w:id="4"/>
      </w:r>
      <w:r w:rsidR="00440B64" w:rsidRPr="001E51DB">
        <w:t xml:space="preserve">  </w:t>
      </w:r>
      <w:r w:rsidR="00D80B5C">
        <w:t xml:space="preserve">Expert seeks a waiver in order to be able to import the unmodified version of the Model 1.3K FA, which is capable of considerably more than 15 dB amplification.  Expert argues that </w:t>
      </w:r>
      <w:r w:rsidR="009667AE">
        <w:t xml:space="preserve">the public interest would be served by permitting use of a higher-powered amplifier, because it would improve the communications capabilities of amateurs using </w:t>
      </w:r>
      <w:r w:rsidR="00173ED8">
        <w:t>portable</w:t>
      </w:r>
      <w:r w:rsidR="009667AE">
        <w:t>, low-power transmitters</w:t>
      </w:r>
      <w:r w:rsidR="00173ED8">
        <w:t xml:space="preserve"> by enabling them to approach </w:t>
      </w:r>
      <w:r w:rsidR="00173ED8" w:rsidRPr="001E51DB">
        <w:t>the maximum legal power output</w:t>
      </w:r>
      <w:r w:rsidR="009667AE">
        <w:t>.</w:t>
      </w:r>
      <w:r w:rsidR="009667AE">
        <w:rPr>
          <w:rStyle w:val="FootnoteReference"/>
        </w:rPr>
        <w:footnoteReference w:id="5"/>
      </w:r>
      <w:r w:rsidR="009667AE">
        <w:t xml:space="preserve">  Expert also notes that the Model 1.3K FA</w:t>
      </w:r>
      <w:r w:rsidR="009667AE" w:rsidRPr="001E51DB">
        <w:t xml:space="preserve"> </w:t>
      </w:r>
      <w:r w:rsidR="009667AE">
        <w:t>has proprietary software that prevents it from transmitting in the 26-28 MHz band, so it cannot be used in the Citizens Band Radio Service.</w:t>
      </w:r>
      <w:r w:rsidR="009667AE">
        <w:rPr>
          <w:rStyle w:val="FootnoteReference"/>
        </w:rPr>
        <w:footnoteReference w:id="6"/>
      </w:r>
      <w:r w:rsidR="009667AE">
        <w:t xml:space="preserve">  </w:t>
      </w:r>
      <w:r w:rsidR="00440B64" w:rsidRPr="001E51DB">
        <w:t xml:space="preserve">  </w:t>
      </w:r>
    </w:p>
    <w:p w:rsidR="00440B64" w:rsidRPr="001E51DB" w:rsidRDefault="00440B64" w:rsidP="00440B64">
      <w:pPr>
        <w:ind w:firstLine="720"/>
      </w:pPr>
    </w:p>
    <w:p w:rsidR="00736A6D" w:rsidRDefault="00736A6D" w:rsidP="00736A6D">
      <w:pPr>
        <w:pStyle w:val="BodyText2"/>
        <w:spacing w:line="240" w:lineRule="auto"/>
        <w:jc w:val="left"/>
        <w:rPr>
          <w:b/>
        </w:rPr>
      </w:pPr>
      <w:r>
        <w:rPr>
          <w:b/>
        </w:rPr>
        <w:t>Procedural Matters</w:t>
      </w:r>
    </w:p>
    <w:p w:rsidR="00736A6D" w:rsidRDefault="00736A6D" w:rsidP="00736A6D">
      <w:pPr>
        <w:tabs>
          <w:tab w:val="left" w:pos="-720"/>
        </w:tabs>
        <w:suppressAutoHyphens/>
        <w:spacing w:line="236" w:lineRule="exact"/>
      </w:pPr>
      <w:r>
        <w:tab/>
        <w:t xml:space="preserve">Interested parties may file comments and reply comments in response to the waiver request on or before the dates listed on the first page of this </w:t>
      </w:r>
      <w:r>
        <w:rPr>
          <w:i/>
        </w:rPr>
        <w:t>Public Notice</w:t>
      </w:r>
      <w:r>
        <w:t xml:space="preserve">.  All pleadings must reference </w:t>
      </w:r>
      <w:r w:rsidRPr="00584EB2">
        <w:t>WT Docket No. 1</w:t>
      </w:r>
      <w:r w:rsidR="007A5CC9" w:rsidRPr="00584EB2">
        <w:t>6</w:t>
      </w:r>
      <w:r w:rsidR="00687DC0" w:rsidRPr="00584EB2">
        <w:t>-</w:t>
      </w:r>
      <w:r w:rsidR="00732A45">
        <w:t>243</w:t>
      </w:r>
      <w:r w:rsidRPr="00BD08E9">
        <w:t>.</w:t>
      </w:r>
      <w:r>
        <w:t xml:space="preserve">  Parties may file comments using (1) the Commission’s Electronic Comment Filing System (ECFS), (2) the Federal Government’s eRulemaking Portal, or (3) by filing paper copies.</w:t>
      </w:r>
      <w:r>
        <w:rPr>
          <w:vertAlign w:val="superscript"/>
        </w:rPr>
        <w:footnoteReference w:id="7"/>
      </w:r>
    </w:p>
    <w:p w:rsidR="00736A6D" w:rsidRDefault="00736A6D" w:rsidP="00736A6D">
      <w:pPr>
        <w:tabs>
          <w:tab w:val="left" w:pos="-720"/>
        </w:tabs>
        <w:suppressAutoHyphens/>
        <w:spacing w:line="236" w:lineRule="exact"/>
      </w:pPr>
    </w:p>
    <w:p w:rsidR="00736A6D" w:rsidRDefault="00736A6D" w:rsidP="00736A6D">
      <w:pPr>
        <w:numPr>
          <w:ilvl w:val="0"/>
          <w:numId w:val="13"/>
        </w:numPr>
        <w:tabs>
          <w:tab w:val="left" w:pos="-720"/>
        </w:tabs>
        <w:suppressAutoHyphens/>
        <w:spacing w:line="236" w:lineRule="exact"/>
      </w:pPr>
      <w:r>
        <w:t>Electronic Filers:  File comments electronically using the Internet by accessing the ECFS:  http://www.fcc.gov/cgb/ecfs/ or the Federal eRulemaking Portal:  http://www.regulations.gov.  Filers should follow the instructions provided on the website for submitting comments.</w:t>
      </w:r>
    </w:p>
    <w:p w:rsidR="00736A6D" w:rsidRDefault="00736A6D" w:rsidP="00736A6D">
      <w:pPr>
        <w:tabs>
          <w:tab w:val="left" w:pos="-720"/>
        </w:tabs>
        <w:suppressAutoHyphens/>
        <w:spacing w:line="236" w:lineRule="exact"/>
        <w:ind w:left="360"/>
      </w:pPr>
    </w:p>
    <w:p w:rsidR="00736A6D" w:rsidRDefault="00736A6D" w:rsidP="00736A6D">
      <w:pPr>
        <w:numPr>
          <w:ilvl w:val="0"/>
          <w:numId w:val="13"/>
        </w:numPr>
        <w:tabs>
          <w:tab w:val="left" w:pos="-720"/>
        </w:tabs>
        <w:suppressAutoHyphens/>
        <w:spacing w:line="236" w:lineRule="exact"/>
      </w:pPr>
      <w: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736A6D" w:rsidRDefault="00736A6D" w:rsidP="00736A6D">
      <w:pPr>
        <w:tabs>
          <w:tab w:val="left" w:pos="-720"/>
        </w:tabs>
        <w:suppressAutoHyphens/>
        <w:spacing w:line="236" w:lineRule="exact"/>
        <w:ind w:left="360"/>
      </w:pPr>
    </w:p>
    <w:p w:rsidR="00736A6D" w:rsidRDefault="00736A6D" w:rsidP="00736A6D">
      <w:pPr>
        <w:numPr>
          <w:ilvl w:val="0"/>
          <w:numId w:val="14"/>
        </w:numPr>
        <w:tabs>
          <w:tab w:val="left" w:pos="-720"/>
        </w:tabs>
        <w:suppressAutoHyphens/>
        <w:spacing w:line="236" w:lineRule="exact"/>
      </w:pPr>
      <w:r>
        <w:t xml:space="preserve">Paper Filers:  Parties who choose to file by paper must file an original and two copies of each filing.  </w:t>
      </w:r>
    </w:p>
    <w:p w:rsidR="00736A6D" w:rsidRDefault="00736A6D" w:rsidP="00736A6D">
      <w:pPr>
        <w:tabs>
          <w:tab w:val="left" w:pos="-720"/>
        </w:tabs>
        <w:suppressAutoHyphens/>
        <w:spacing w:line="236" w:lineRule="exact"/>
        <w:ind w:left="360"/>
      </w:pPr>
    </w:p>
    <w:p w:rsidR="00736A6D" w:rsidRDefault="00736A6D" w:rsidP="00736A6D">
      <w:pPr>
        <w:tabs>
          <w:tab w:val="left" w:pos="-720"/>
        </w:tabs>
        <w:suppressAutoHyphens/>
        <w:spacing w:line="236" w:lineRule="exact"/>
      </w:pPr>
      <w:r>
        <w:tab/>
        <w:t>Send filings by hand or messenger delivery, by commercial overnight courier, or by first-class or overnight U.S. Postal Service mail.  Address filings to the Commission’s Secretary, Office of the Secretary, Federal Communications Commission.</w:t>
      </w:r>
    </w:p>
    <w:p w:rsidR="00736A6D" w:rsidRDefault="00736A6D" w:rsidP="00736A6D">
      <w:pPr>
        <w:tabs>
          <w:tab w:val="left" w:pos="-720"/>
        </w:tabs>
        <w:suppressAutoHyphens/>
        <w:spacing w:line="236" w:lineRule="exact"/>
      </w:pPr>
    </w:p>
    <w:p w:rsidR="00736A6D" w:rsidRDefault="00736A6D" w:rsidP="00736A6D">
      <w:pPr>
        <w:numPr>
          <w:ilvl w:val="0"/>
          <w:numId w:val="15"/>
        </w:numPr>
        <w:tabs>
          <w:tab w:val="left" w:pos="-720"/>
        </w:tabs>
        <w:suppressAutoHyphens/>
        <w:spacing w:line="236" w:lineRule="exact"/>
      </w:pPr>
      <w:r>
        <w:t>Deliver hand-delivered or messenger-delivered paper filings to FCC Headquarters at 445 12</w:t>
      </w:r>
      <w:r>
        <w:rPr>
          <w:vertAlign w:val="superscript"/>
        </w:rPr>
        <w:t>th</w:t>
      </w:r>
      <w:r>
        <w:t xml:space="preserve"> St., SW, Room TW-A325, Washington, DC 20554 between 8:00 AM and 7:00 PM.  Use rubber bands or fasteners to hold deliveries together.  Dispose of all envelopes before entering the building.</w:t>
      </w:r>
    </w:p>
    <w:p w:rsidR="00736A6D" w:rsidRDefault="00736A6D" w:rsidP="00736A6D">
      <w:pPr>
        <w:tabs>
          <w:tab w:val="left" w:pos="-720"/>
        </w:tabs>
        <w:suppressAutoHyphens/>
        <w:spacing w:line="236" w:lineRule="exact"/>
        <w:ind w:left="1080"/>
      </w:pPr>
    </w:p>
    <w:p w:rsidR="00736A6D" w:rsidRDefault="00736A6D" w:rsidP="00736A6D">
      <w:pPr>
        <w:numPr>
          <w:ilvl w:val="0"/>
          <w:numId w:val="15"/>
        </w:numPr>
        <w:tabs>
          <w:tab w:val="left" w:pos="-720"/>
        </w:tabs>
        <w:suppressAutoHyphens/>
        <w:spacing w:line="236" w:lineRule="exact"/>
      </w:pPr>
      <w:r>
        <w:t>Send commercial overnight mail (other than U.S. Postal Service Express Mail and Priority Mail) to 9300 East Hampton Drive, Capitol Heights, MD 20743.</w:t>
      </w:r>
    </w:p>
    <w:p w:rsidR="00736A6D" w:rsidRDefault="00736A6D" w:rsidP="00736A6D">
      <w:pPr>
        <w:tabs>
          <w:tab w:val="left" w:pos="-720"/>
        </w:tabs>
        <w:suppressAutoHyphens/>
        <w:spacing w:line="236" w:lineRule="exact"/>
      </w:pPr>
    </w:p>
    <w:p w:rsidR="00736A6D" w:rsidRDefault="00736A6D" w:rsidP="00736A6D">
      <w:pPr>
        <w:numPr>
          <w:ilvl w:val="0"/>
          <w:numId w:val="15"/>
        </w:numPr>
        <w:tabs>
          <w:tab w:val="left" w:pos="-720"/>
        </w:tabs>
        <w:suppressAutoHyphens/>
        <w:spacing w:line="236" w:lineRule="exact"/>
      </w:pPr>
      <w:r>
        <w:t>Send U.S. Postal Service first-class, Express, and Priority mail to 445 12</w:t>
      </w:r>
      <w:r>
        <w:rPr>
          <w:vertAlign w:val="superscript"/>
        </w:rPr>
        <w:t>th</w:t>
      </w:r>
      <w:r>
        <w:t xml:space="preserve"> Street, SW, Washington DC 20554.</w:t>
      </w:r>
    </w:p>
    <w:p w:rsidR="00736A6D" w:rsidRDefault="00736A6D" w:rsidP="00736A6D">
      <w:pPr>
        <w:pStyle w:val="BodyText2"/>
        <w:spacing w:line="228" w:lineRule="auto"/>
        <w:ind w:firstLine="720"/>
        <w:jc w:val="left"/>
      </w:pPr>
    </w:p>
    <w:p w:rsidR="00736A6D" w:rsidRDefault="00736A6D" w:rsidP="00736A6D">
      <w:pPr>
        <w:pStyle w:val="BodyText2"/>
        <w:spacing w:line="228" w:lineRule="auto"/>
        <w:ind w:firstLine="720"/>
        <w:jc w:val="left"/>
      </w:pPr>
      <w:r>
        <w:t xml:space="preserve">Parties are requested to send one copy of their comments and reply comments to Best Copy and Printing, Inc., Portals II, 445 12th Street, S.W., Room CY-B402, Washington, D.C. 20554, (800) 378-3160, e-mail </w:t>
      </w:r>
      <w:hyperlink r:id="rId15" w:history="1">
        <w:r>
          <w:rPr>
            <w:rStyle w:val="Hyperlink"/>
          </w:rPr>
          <w:t>FCC@BCPIWEB.com</w:t>
        </w:r>
      </w:hyperlink>
      <w:r>
        <w:t>.</w:t>
      </w:r>
    </w:p>
    <w:p w:rsidR="00736A6D" w:rsidRDefault="00736A6D" w:rsidP="00736A6D">
      <w:pPr>
        <w:pStyle w:val="BodyText2"/>
        <w:spacing w:line="228" w:lineRule="auto"/>
        <w:ind w:firstLine="720"/>
        <w:jc w:val="left"/>
      </w:pPr>
      <w:r>
        <w:rPr>
          <w:color w:val="000000"/>
        </w:rPr>
        <w:t xml:space="preserve">The request, and comments and reply comments filed in response to this </w:t>
      </w:r>
      <w:r>
        <w:rPr>
          <w:i/>
          <w:color w:val="000000"/>
        </w:rPr>
        <w:t>Public Notice</w:t>
      </w:r>
      <w:r>
        <w:rPr>
          <w:color w:val="000000"/>
        </w:rPr>
        <w:t xml:space="preserve"> are available for viewing via the Commission</w:t>
      </w:r>
      <w:r w:rsidR="00613BFE">
        <w:rPr>
          <w:color w:val="000000"/>
        </w:rPr>
        <w:t>’</w:t>
      </w:r>
      <w:r>
        <w:rPr>
          <w:color w:val="000000"/>
        </w:rPr>
        <w:t xml:space="preserve">s Electronic Comment Filing System (ECFS) by entering the docket number, </w:t>
      </w:r>
      <w:r>
        <w:rPr>
          <w:bCs/>
          <w:color w:val="000000"/>
        </w:rPr>
        <w:t xml:space="preserve">WT </w:t>
      </w:r>
      <w:r w:rsidR="002B5314" w:rsidRPr="00BD08E9">
        <w:t xml:space="preserve">No. </w:t>
      </w:r>
      <w:r w:rsidR="00584EB2">
        <w:t>16-</w:t>
      </w:r>
      <w:r w:rsidR="00732A45">
        <w:t>243</w:t>
      </w:r>
      <w:r w:rsidR="002B5314" w:rsidRPr="00BD08E9">
        <w:t>.</w:t>
      </w:r>
      <w:r w:rsidR="002B5314">
        <w:t xml:space="preserve">  </w:t>
      </w:r>
      <w:r>
        <w:rPr>
          <w:color w:val="000000"/>
        </w:rPr>
        <w:t>The documents also will be available for public inspection and copying during business hours in the FCC Reference Information Center, Portals II, 445 12th Street S.W., Room CY-A257, Washington, D.C. 20554.  They may also be purchased from Best Copy and Printing</w:t>
      </w:r>
      <w:bookmarkStart w:id="2" w:name="SR;1282"/>
      <w:bookmarkStart w:id="3" w:name="SR;1283"/>
      <w:bookmarkStart w:id="4" w:name="SR;1285"/>
      <w:bookmarkStart w:id="5" w:name="SearchTerm"/>
      <w:bookmarkEnd w:id="2"/>
      <w:bookmarkEnd w:id="3"/>
      <w:bookmarkEnd w:id="4"/>
      <w:r>
        <w:rPr>
          <w:color w:val="000000"/>
        </w:rPr>
        <w:t>, Inc., telephone (800) 378-3160, facsimile</w:t>
      </w:r>
      <w:bookmarkStart w:id="6" w:name="SR;1291"/>
      <w:bookmarkEnd w:id="5"/>
      <w:bookmarkEnd w:id="6"/>
      <w:r>
        <w:rPr>
          <w:color w:val="000000"/>
        </w:rPr>
        <w:t xml:space="preserve"> (202) 488-5563, TTY (202) 488-5562, e-mail FCC@BCPIWEB.com.</w:t>
      </w:r>
    </w:p>
    <w:p w:rsidR="00736A6D" w:rsidRDefault="00736A6D" w:rsidP="00736A6D">
      <w:pPr>
        <w:ind w:firstLine="720"/>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 </w:t>
      </w:r>
    </w:p>
    <w:p w:rsidR="00736A6D" w:rsidRDefault="00736A6D" w:rsidP="00736A6D"/>
    <w:p w:rsidR="00736A6D" w:rsidRDefault="00736A6D" w:rsidP="00736A6D">
      <w:pPr>
        <w:pStyle w:val="BodyText2"/>
        <w:spacing w:line="240" w:lineRule="auto"/>
        <w:ind w:firstLine="720"/>
        <w:jc w:val="left"/>
      </w:pPr>
      <w:r>
        <w:lastRenderedPageBreak/>
        <w:t xml:space="preserve">This proceeding has been designated as a “permit-but-disclose” proceeding in accordance with the Commission's </w:t>
      </w:r>
      <w:r>
        <w:rPr>
          <w:i/>
        </w:rPr>
        <w:t>ex parte</w:t>
      </w:r>
      <w:r>
        <w:t xml:space="preserve"> rules.</w:t>
      </w:r>
      <w:r>
        <w:rPr>
          <w:vertAlign w:val="superscript"/>
        </w:rPr>
        <w:footnoteReference w:id="8"/>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36A6D" w:rsidRDefault="00736A6D" w:rsidP="00736A6D">
      <w:pPr>
        <w:pStyle w:val="BodyText2"/>
        <w:spacing w:line="240" w:lineRule="auto"/>
        <w:ind w:firstLine="720"/>
        <w:jc w:val="left"/>
      </w:pPr>
      <w:r>
        <w:t xml:space="preserve">For further information, contact Mr. </w:t>
      </w:r>
      <w:r w:rsidR="00440B64">
        <w:t>Scot Stone</w:t>
      </w:r>
      <w:r>
        <w:t xml:space="preserve"> of the Wireless Telecommunications Bureau, Mobility Division, at (202) 418-</w:t>
      </w:r>
      <w:r w:rsidR="00440B64">
        <w:t>0638</w:t>
      </w:r>
      <w:r>
        <w:t xml:space="preserve">, </w:t>
      </w:r>
      <w:r w:rsidR="00440B64">
        <w:t>scot</w:t>
      </w:r>
      <w:r w:rsidR="009566E5">
        <w:t>.</w:t>
      </w:r>
      <w:r w:rsidR="00440B64">
        <w:t>ston</w:t>
      </w:r>
      <w:r w:rsidR="009566E5">
        <w:t>e</w:t>
      </w:r>
      <w:r>
        <w:t>@fcc.gov.</w:t>
      </w:r>
    </w:p>
    <w:p w:rsidR="00736A6D" w:rsidRDefault="00736A6D" w:rsidP="00736A6D">
      <w:pPr>
        <w:pStyle w:val="BodyText2"/>
        <w:spacing w:line="240" w:lineRule="auto"/>
        <w:ind w:firstLine="720"/>
        <w:jc w:val="left"/>
      </w:pPr>
      <w:r>
        <w:t>Action by the Deputy Chief, Mobility Division, Wireless Telecommunications Bureau.</w:t>
      </w:r>
    </w:p>
    <w:p w:rsidR="00736A6D" w:rsidRDefault="00736A6D" w:rsidP="00736A6D">
      <w:pPr>
        <w:pStyle w:val="BodyText2"/>
        <w:spacing w:line="240" w:lineRule="auto"/>
        <w:jc w:val="center"/>
      </w:pPr>
      <w:r>
        <w:t>- FCC -</w:t>
      </w:r>
    </w:p>
    <w:p w:rsidR="00736A6D" w:rsidRDefault="00736A6D" w:rsidP="00736A6D"/>
    <w:p w:rsidR="00736A6D" w:rsidRDefault="00736A6D">
      <w:pPr>
        <w:spacing w:before="120" w:after="240"/>
        <w:rPr>
          <w:sz w:val="24"/>
        </w:rPr>
      </w:pPr>
    </w:p>
    <w:sectPr w:rsidR="00736A6D">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45" w:rsidRDefault="004A6645">
      <w:r>
        <w:separator/>
      </w:r>
    </w:p>
  </w:endnote>
  <w:endnote w:type="continuationSeparator" w:id="0">
    <w:p w:rsidR="004A6645" w:rsidRDefault="004A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DD" w:rsidRDefault="00FC7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88" w:rsidRDefault="00801C88">
    <w:pPr>
      <w:pStyle w:val="Footer"/>
      <w:jc w:val="center"/>
    </w:pPr>
    <w:r>
      <w:fldChar w:fldCharType="begin"/>
    </w:r>
    <w:r>
      <w:instrText xml:space="preserve"> PAGE   \* MERGEFORMAT </w:instrText>
    </w:r>
    <w:r>
      <w:fldChar w:fldCharType="separate"/>
    </w:r>
    <w:r w:rsidR="00124443">
      <w:rPr>
        <w:noProof/>
      </w:rPr>
      <w:t>2</w:t>
    </w:r>
    <w:r>
      <w:rPr>
        <w:noProof/>
      </w:rPr>
      <w:fldChar w:fldCharType="end"/>
    </w:r>
  </w:p>
  <w:p w:rsidR="00801C88" w:rsidRDefault="00801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DD" w:rsidRDefault="00FC7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45" w:rsidRDefault="004A6645">
      <w:r>
        <w:separator/>
      </w:r>
    </w:p>
  </w:footnote>
  <w:footnote w:type="continuationSeparator" w:id="0">
    <w:p w:rsidR="004A6645" w:rsidRDefault="004A6645">
      <w:r>
        <w:continuationSeparator/>
      </w:r>
    </w:p>
  </w:footnote>
  <w:footnote w:id="1">
    <w:p w:rsidR="00440B64" w:rsidRPr="00D46AD9" w:rsidRDefault="00440B64" w:rsidP="00440B64">
      <w:pPr>
        <w:pStyle w:val="FootnoteText"/>
        <w:spacing w:after="240"/>
      </w:pPr>
      <w:r w:rsidRPr="00D46AD9">
        <w:rPr>
          <w:rStyle w:val="FootnoteReference"/>
        </w:rPr>
        <w:footnoteRef/>
      </w:r>
      <w:r w:rsidRPr="00D46AD9">
        <w:t xml:space="preserve"> 47 CFR</w:t>
      </w:r>
      <w:r>
        <w:t xml:space="preserve"> §</w:t>
      </w:r>
      <w:r w:rsidRPr="00D46AD9">
        <w:t xml:space="preserve"> 97.317(a)(2)</w:t>
      </w:r>
      <w:r>
        <w:t>.</w:t>
      </w:r>
    </w:p>
  </w:footnote>
  <w:footnote w:id="2">
    <w:p w:rsidR="00A35658" w:rsidRDefault="00A35658">
      <w:pPr>
        <w:pStyle w:val="FootnoteText"/>
      </w:pPr>
      <w:r>
        <w:rPr>
          <w:rStyle w:val="FootnoteReference"/>
        </w:rPr>
        <w:footnoteRef/>
      </w:r>
      <w:r>
        <w:t xml:space="preserve"> Letter from James M. Talens, counsel for Expert, to Roger Sherman, Chief, Wireless Telecommunications Bureau (June 11, 2016) (Request).  </w:t>
      </w:r>
    </w:p>
  </w:footnote>
  <w:footnote w:id="3">
    <w:p w:rsidR="00440B64" w:rsidRPr="00D46AD9" w:rsidRDefault="00440B64" w:rsidP="00440B64">
      <w:pPr>
        <w:pStyle w:val="FootnoteText"/>
        <w:spacing w:after="240"/>
      </w:pPr>
      <w:r w:rsidRPr="00D46AD9">
        <w:rPr>
          <w:rStyle w:val="FootnoteReference"/>
        </w:rPr>
        <w:footnoteRef/>
      </w:r>
      <w:r w:rsidRPr="00D46AD9">
        <w:t xml:space="preserve"> </w:t>
      </w:r>
      <w:r w:rsidRPr="00D46AD9">
        <w:rPr>
          <w:i/>
        </w:rPr>
        <w:t>See</w:t>
      </w:r>
      <w:r w:rsidRPr="00D46AD9">
        <w:t xml:space="preserve"> Petition of Expert Linears America, LLC</w:t>
      </w:r>
      <w:r w:rsidR="00173ED8">
        <w:t>,</w:t>
      </w:r>
      <w:r w:rsidRPr="00D46AD9">
        <w:t xml:space="preserve"> for </w:t>
      </w:r>
      <w:r w:rsidR="00CE5A63">
        <w:t>Rulemaking, RM-11767</w:t>
      </w:r>
      <w:r w:rsidRPr="00D46AD9">
        <w:t xml:space="preserve"> (Apr. 07, 2016). </w:t>
      </w:r>
      <w:r w:rsidR="00CE5A63">
        <w:t xml:space="preserve"> The Commission sought comment on the rulemaking petition.  </w:t>
      </w:r>
      <w:r w:rsidR="00CE5A63">
        <w:rPr>
          <w:i/>
        </w:rPr>
        <w:t xml:space="preserve">See </w:t>
      </w:r>
      <w:r w:rsidR="00CE5A63">
        <w:t xml:space="preserve">Consumer &amp; Governmental </w:t>
      </w:r>
      <w:smartTag w:uri="urn:schemas-microsoft-com:office:smarttags" w:element="place">
        <w:smartTag w:uri="urn:schemas-microsoft-com:office:smarttags" w:element="PlaceName">
          <w:r w:rsidR="00CE5A63">
            <w:t>Affairs</w:t>
          </w:r>
        </w:smartTag>
        <w:r w:rsidR="00CE5A63">
          <w:t xml:space="preserve"> </w:t>
        </w:r>
        <w:smartTag w:uri="urn:schemas-microsoft-com:office:smarttags" w:element="PlaceName">
          <w:r w:rsidR="00CE5A63">
            <w:t>Bureau</w:t>
          </w:r>
        </w:smartTag>
        <w:r w:rsidR="00CE5A63">
          <w:t xml:space="preserve"> </w:t>
        </w:r>
        <w:smartTag w:uri="urn:schemas-microsoft-com:office:smarttags" w:element="PlaceName">
          <w:r w:rsidR="00CE5A63">
            <w:t>Reference</w:t>
          </w:r>
        </w:smartTag>
        <w:r w:rsidR="00CE5A63">
          <w:t xml:space="preserve"> </w:t>
        </w:r>
        <w:smartTag w:uri="urn:schemas-microsoft-com:office:smarttags" w:element="PlaceName">
          <w:r w:rsidR="00CE5A63">
            <w:t>Information</w:t>
          </w:r>
        </w:smartTag>
        <w:r w:rsidR="00CE5A63">
          <w:t xml:space="preserve"> </w:t>
        </w:r>
        <w:smartTag w:uri="urn:schemas-microsoft-com:office:smarttags" w:element="PlaceType">
          <w:r w:rsidR="00CE5A63">
            <w:t>Center</w:t>
          </w:r>
        </w:smartTag>
      </w:smartTag>
      <w:r w:rsidR="00CE5A63">
        <w:t xml:space="preserve"> Petition for Rulemakings Filed, </w:t>
      </w:r>
      <w:r w:rsidR="00CE5A63">
        <w:rPr>
          <w:i/>
        </w:rPr>
        <w:t>Public Notice</w:t>
      </w:r>
      <w:r w:rsidR="00CE5A63">
        <w:t>, Report No. 3041 (CGB rel. Apr. 27, 2016).  That proceeding remains pending.</w:t>
      </w:r>
    </w:p>
  </w:footnote>
  <w:footnote w:id="4">
    <w:p w:rsidR="00D80B5C" w:rsidRPr="00D80B5C" w:rsidRDefault="00D80B5C" w:rsidP="00D80B5C">
      <w:pPr>
        <w:pStyle w:val="FootnoteText"/>
      </w:pPr>
      <w:r>
        <w:rPr>
          <w:rStyle w:val="FootnoteReference"/>
        </w:rPr>
        <w:footnoteRef/>
      </w:r>
      <w:r>
        <w:t xml:space="preserve"> </w:t>
      </w:r>
      <w:r>
        <w:rPr>
          <w:i/>
        </w:rPr>
        <w:t xml:space="preserve">See </w:t>
      </w:r>
      <w:r>
        <w:t>Request at 3.  Expert refers in its request to “other of its amplifiers,” but does not provide information regarding any amplifier other than the Model 1.3K FA.</w:t>
      </w:r>
    </w:p>
  </w:footnote>
  <w:footnote w:id="5">
    <w:p w:rsidR="009667AE" w:rsidRPr="00173ED8" w:rsidRDefault="009667AE">
      <w:pPr>
        <w:pStyle w:val="FootnoteText"/>
      </w:pPr>
      <w:r>
        <w:rPr>
          <w:rStyle w:val="FootnoteReference"/>
        </w:rPr>
        <w:footnoteRef/>
      </w:r>
      <w:r>
        <w:t xml:space="preserve"> </w:t>
      </w:r>
      <w:r w:rsidR="00173ED8">
        <w:rPr>
          <w:i/>
        </w:rPr>
        <w:t>See id.</w:t>
      </w:r>
      <w:r w:rsidR="00173ED8">
        <w:t xml:space="preserve"> at 4.</w:t>
      </w:r>
    </w:p>
  </w:footnote>
  <w:footnote w:id="6">
    <w:p w:rsidR="009667AE" w:rsidRPr="00173ED8" w:rsidRDefault="009667AE">
      <w:pPr>
        <w:pStyle w:val="FootnoteText"/>
      </w:pPr>
      <w:r>
        <w:rPr>
          <w:rStyle w:val="FootnoteReference"/>
        </w:rPr>
        <w:footnoteRef/>
      </w:r>
      <w:r>
        <w:t xml:space="preserve"> </w:t>
      </w:r>
      <w:r>
        <w:rPr>
          <w:i/>
        </w:rPr>
        <w:t>See id.</w:t>
      </w:r>
      <w:r w:rsidR="00173ED8">
        <w:t xml:space="preserve"> at 3.</w:t>
      </w:r>
    </w:p>
  </w:footnote>
  <w:footnote w:id="7">
    <w:p w:rsidR="00801C88" w:rsidRDefault="00801C88" w:rsidP="00736A6D">
      <w:pPr>
        <w:pStyle w:val="FootnoteText"/>
      </w:pPr>
      <w:r>
        <w:rPr>
          <w:rStyle w:val="FootnoteReference"/>
        </w:rPr>
        <w:footnoteRef/>
      </w:r>
      <w:r>
        <w:t xml:space="preserve"> </w:t>
      </w:r>
      <w:r>
        <w:rPr>
          <w:i/>
        </w:rPr>
        <w:t xml:space="preserve">See </w:t>
      </w:r>
      <w:r w:rsidRPr="00EE24FF">
        <w:rPr>
          <w:i/>
        </w:rPr>
        <w:t>Electronic Filing of Documents in Rulemaking Proceedings</w:t>
      </w:r>
      <w:r>
        <w:t xml:space="preserve">, </w:t>
      </w:r>
      <w:r w:rsidRPr="00EE24FF">
        <w:t>Report and Order</w:t>
      </w:r>
      <w:r>
        <w:t>, 13 FCC Rcd 11322 (1998).</w:t>
      </w:r>
    </w:p>
  </w:footnote>
  <w:footnote w:id="8">
    <w:p w:rsidR="00801C88" w:rsidRDefault="00801C88" w:rsidP="00736A6D">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DD" w:rsidRDefault="00FC7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DD" w:rsidRDefault="00FC7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88" w:rsidRDefault="00801C8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801C88" w:rsidRDefault="00801C8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E4121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C88" w:rsidRDefault="00801C88">
                          <w:pPr>
                            <w:rPr>
                              <w:rFonts w:ascii="Arial" w:hAnsi="Arial"/>
                              <w:b/>
                            </w:rPr>
                          </w:pPr>
                          <w:r>
                            <w:rPr>
                              <w:rFonts w:ascii="Arial" w:hAnsi="Arial"/>
                              <w:b/>
                            </w:rPr>
                            <w:t>Federal Communications Commission</w:t>
                          </w:r>
                        </w:p>
                        <w:p w:rsidR="00801C88" w:rsidRDefault="00801C8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1C88" w:rsidRDefault="00801C8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801C88" w:rsidRDefault="00801C88">
                    <w:pPr>
                      <w:rPr>
                        <w:rFonts w:ascii="Arial" w:hAnsi="Arial"/>
                        <w:b/>
                      </w:rPr>
                    </w:pPr>
                    <w:r>
                      <w:rPr>
                        <w:rFonts w:ascii="Arial" w:hAnsi="Arial"/>
                        <w:b/>
                      </w:rPr>
                      <w:t>Federal Communications Commission</w:t>
                    </w:r>
                  </w:p>
                  <w:p w:rsidR="00801C88" w:rsidRDefault="00801C8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1C88" w:rsidRDefault="00801C88">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C88" w:rsidRDefault="00801C88">
                          <w:pPr>
                            <w:spacing w:before="40"/>
                            <w:jc w:val="right"/>
                            <w:rPr>
                              <w:rFonts w:ascii="Arial" w:hAnsi="Arial"/>
                              <w:b/>
                              <w:sz w:val="16"/>
                            </w:rPr>
                          </w:pPr>
                          <w:r>
                            <w:rPr>
                              <w:rFonts w:ascii="Arial" w:hAnsi="Arial"/>
                              <w:b/>
                              <w:sz w:val="16"/>
                            </w:rPr>
                            <w:t>News Media Information 202 / 418-0500</w:t>
                          </w:r>
                        </w:p>
                        <w:p w:rsidR="00801C88" w:rsidRDefault="00801C8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01C88" w:rsidRDefault="00801C88">
                          <w:pPr>
                            <w:jc w:val="right"/>
                            <w:rPr>
                              <w:rFonts w:ascii="Arial" w:hAnsi="Arial"/>
                              <w:b/>
                              <w:sz w:val="16"/>
                            </w:rPr>
                          </w:pPr>
                          <w:r>
                            <w:rPr>
                              <w:rFonts w:ascii="Arial" w:hAnsi="Arial"/>
                              <w:b/>
                              <w:sz w:val="16"/>
                            </w:rPr>
                            <w:t>TTY: 1-888-835-5322</w:t>
                          </w:r>
                        </w:p>
                        <w:p w:rsidR="00801C88" w:rsidRDefault="00801C8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801C88" w:rsidRDefault="00801C88">
                    <w:pPr>
                      <w:spacing w:before="40"/>
                      <w:jc w:val="right"/>
                      <w:rPr>
                        <w:rFonts w:ascii="Arial" w:hAnsi="Arial"/>
                        <w:b/>
                        <w:sz w:val="16"/>
                      </w:rPr>
                    </w:pPr>
                    <w:r>
                      <w:rPr>
                        <w:rFonts w:ascii="Arial" w:hAnsi="Arial"/>
                        <w:b/>
                        <w:sz w:val="16"/>
                      </w:rPr>
                      <w:t>News Media Information 202 / 418-0500</w:t>
                    </w:r>
                  </w:p>
                  <w:p w:rsidR="00801C88" w:rsidRDefault="00801C8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01C88" w:rsidRDefault="00801C88">
                    <w:pPr>
                      <w:jc w:val="right"/>
                      <w:rPr>
                        <w:rFonts w:ascii="Arial" w:hAnsi="Arial"/>
                        <w:b/>
                        <w:sz w:val="16"/>
                      </w:rPr>
                    </w:pPr>
                    <w:r>
                      <w:rPr>
                        <w:rFonts w:ascii="Arial" w:hAnsi="Arial"/>
                        <w:b/>
                        <w:sz w:val="16"/>
                      </w:rPr>
                      <w:t>TTY: 1-888-835-5322</w:t>
                    </w:r>
                  </w:p>
                  <w:p w:rsidR="00801C88" w:rsidRDefault="00801C88">
                    <w:pPr>
                      <w:jc w:val="right"/>
                    </w:pPr>
                  </w:p>
                </w:txbxContent>
              </v:textbox>
            </v:shape>
          </w:pict>
        </mc:Fallback>
      </mc:AlternateContent>
    </w:r>
  </w:p>
  <w:p w:rsidR="00801C88" w:rsidRDefault="00801C8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E2088"/>
    <w:lvl w:ilvl="0">
      <w:start w:val="1"/>
      <w:numFmt w:val="bullet"/>
      <w:lvlText w:val=""/>
      <w:lvlJc w:val="left"/>
      <w:pPr>
        <w:tabs>
          <w:tab w:val="num" w:pos="360"/>
        </w:tabs>
        <w:ind w:left="360" w:hanging="360"/>
      </w:pPr>
      <w:rPr>
        <w:rFonts w:ascii="Symbol" w:hAnsi="Symbol" w:hint="default"/>
      </w:rPr>
    </w:lvl>
  </w:abstractNum>
  <w:abstractNum w:abstractNumId="1">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5695"/>
    <w:rsid w:val="00013A7E"/>
    <w:rsid w:val="00013DC9"/>
    <w:rsid w:val="00015109"/>
    <w:rsid w:val="000265AE"/>
    <w:rsid w:val="00034BFE"/>
    <w:rsid w:val="00065C20"/>
    <w:rsid w:val="00067F0B"/>
    <w:rsid w:val="000A6644"/>
    <w:rsid w:val="000C2DF8"/>
    <w:rsid w:val="000D22D7"/>
    <w:rsid w:val="000D242E"/>
    <w:rsid w:val="000D7411"/>
    <w:rsid w:val="00105447"/>
    <w:rsid w:val="00110847"/>
    <w:rsid w:val="00117328"/>
    <w:rsid w:val="00124443"/>
    <w:rsid w:val="00133EB4"/>
    <w:rsid w:val="00153F05"/>
    <w:rsid w:val="00155CC3"/>
    <w:rsid w:val="001561F3"/>
    <w:rsid w:val="00160854"/>
    <w:rsid w:val="001617F0"/>
    <w:rsid w:val="001704AF"/>
    <w:rsid w:val="00173DF9"/>
    <w:rsid w:val="00173ED8"/>
    <w:rsid w:val="001875A1"/>
    <w:rsid w:val="00193762"/>
    <w:rsid w:val="001B43C6"/>
    <w:rsid w:val="001C2338"/>
    <w:rsid w:val="001D4B75"/>
    <w:rsid w:val="001E3338"/>
    <w:rsid w:val="001E3667"/>
    <w:rsid w:val="00206E23"/>
    <w:rsid w:val="00232109"/>
    <w:rsid w:val="002453B9"/>
    <w:rsid w:val="002457E8"/>
    <w:rsid w:val="0025348F"/>
    <w:rsid w:val="00274AEA"/>
    <w:rsid w:val="00292B97"/>
    <w:rsid w:val="00292CF8"/>
    <w:rsid w:val="002B5314"/>
    <w:rsid w:val="002C31AA"/>
    <w:rsid w:val="002C7A8B"/>
    <w:rsid w:val="002F524F"/>
    <w:rsid w:val="00324286"/>
    <w:rsid w:val="00325CBE"/>
    <w:rsid w:val="0033199A"/>
    <w:rsid w:val="0033352E"/>
    <w:rsid w:val="00363B42"/>
    <w:rsid w:val="00364E03"/>
    <w:rsid w:val="00370BE0"/>
    <w:rsid w:val="00372EAD"/>
    <w:rsid w:val="00377CE1"/>
    <w:rsid w:val="00396EF9"/>
    <w:rsid w:val="003B0394"/>
    <w:rsid w:val="003E17ED"/>
    <w:rsid w:val="003E74A9"/>
    <w:rsid w:val="004363B3"/>
    <w:rsid w:val="0043763A"/>
    <w:rsid w:val="00440B64"/>
    <w:rsid w:val="0044659D"/>
    <w:rsid w:val="004534EC"/>
    <w:rsid w:val="00485B47"/>
    <w:rsid w:val="004947D2"/>
    <w:rsid w:val="00497BB7"/>
    <w:rsid w:val="004A5030"/>
    <w:rsid w:val="004A6645"/>
    <w:rsid w:val="004B02C4"/>
    <w:rsid w:val="004C00A3"/>
    <w:rsid w:val="004C4172"/>
    <w:rsid w:val="004C422B"/>
    <w:rsid w:val="004D444A"/>
    <w:rsid w:val="004E4F94"/>
    <w:rsid w:val="004E6CFC"/>
    <w:rsid w:val="004F177D"/>
    <w:rsid w:val="004F3EB7"/>
    <w:rsid w:val="004F6040"/>
    <w:rsid w:val="00500F28"/>
    <w:rsid w:val="0051483B"/>
    <w:rsid w:val="00517698"/>
    <w:rsid w:val="005314AD"/>
    <w:rsid w:val="0053785B"/>
    <w:rsid w:val="00564D39"/>
    <w:rsid w:val="00573895"/>
    <w:rsid w:val="00574DED"/>
    <w:rsid w:val="00584EB2"/>
    <w:rsid w:val="00586517"/>
    <w:rsid w:val="005C0A20"/>
    <w:rsid w:val="005C5170"/>
    <w:rsid w:val="005D5B9A"/>
    <w:rsid w:val="005F1353"/>
    <w:rsid w:val="00602577"/>
    <w:rsid w:val="00613BFE"/>
    <w:rsid w:val="00627CA8"/>
    <w:rsid w:val="0063763A"/>
    <w:rsid w:val="0066339A"/>
    <w:rsid w:val="00666155"/>
    <w:rsid w:val="006842DF"/>
    <w:rsid w:val="00687DC0"/>
    <w:rsid w:val="00693B67"/>
    <w:rsid w:val="006A0860"/>
    <w:rsid w:val="006A3DBA"/>
    <w:rsid w:val="006B4B41"/>
    <w:rsid w:val="006B5510"/>
    <w:rsid w:val="006E0598"/>
    <w:rsid w:val="006E3616"/>
    <w:rsid w:val="006F1880"/>
    <w:rsid w:val="006F4F2B"/>
    <w:rsid w:val="007002AE"/>
    <w:rsid w:val="00700892"/>
    <w:rsid w:val="007111F6"/>
    <w:rsid w:val="00717E3B"/>
    <w:rsid w:val="00720265"/>
    <w:rsid w:val="00730F52"/>
    <w:rsid w:val="00732A45"/>
    <w:rsid w:val="00736A6D"/>
    <w:rsid w:val="00740E6D"/>
    <w:rsid w:val="007465C8"/>
    <w:rsid w:val="00761194"/>
    <w:rsid w:val="00772FC1"/>
    <w:rsid w:val="00787251"/>
    <w:rsid w:val="007A1FCA"/>
    <w:rsid w:val="007A5CC9"/>
    <w:rsid w:val="007B05E6"/>
    <w:rsid w:val="007B0EC2"/>
    <w:rsid w:val="007D0FAF"/>
    <w:rsid w:val="007D5579"/>
    <w:rsid w:val="007E2D24"/>
    <w:rsid w:val="007F0236"/>
    <w:rsid w:val="007F418C"/>
    <w:rsid w:val="007F7633"/>
    <w:rsid w:val="007F7652"/>
    <w:rsid w:val="00801C88"/>
    <w:rsid w:val="00802083"/>
    <w:rsid w:val="00812DC5"/>
    <w:rsid w:val="00821B15"/>
    <w:rsid w:val="00842E9F"/>
    <w:rsid w:val="00852310"/>
    <w:rsid w:val="008549D8"/>
    <w:rsid w:val="00863E57"/>
    <w:rsid w:val="00864906"/>
    <w:rsid w:val="00893598"/>
    <w:rsid w:val="008A1E8D"/>
    <w:rsid w:val="008B338E"/>
    <w:rsid w:val="008E5C17"/>
    <w:rsid w:val="009078CA"/>
    <w:rsid w:val="00914336"/>
    <w:rsid w:val="00921C92"/>
    <w:rsid w:val="00930192"/>
    <w:rsid w:val="00933E31"/>
    <w:rsid w:val="009449B6"/>
    <w:rsid w:val="00946126"/>
    <w:rsid w:val="0094695F"/>
    <w:rsid w:val="009566E5"/>
    <w:rsid w:val="0096491A"/>
    <w:rsid w:val="009667AE"/>
    <w:rsid w:val="00971CD5"/>
    <w:rsid w:val="009811D0"/>
    <w:rsid w:val="00987142"/>
    <w:rsid w:val="009B6B10"/>
    <w:rsid w:val="009E15BA"/>
    <w:rsid w:val="009E7CB7"/>
    <w:rsid w:val="00A0776E"/>
    <w:rsid w:val="00A1766A"/>
    <w:rsid w:val="00A24E31"/>
    <w:rsid w:val="00A31528"/>
    <w:rsid w:val="00A35658"/>
    <w:rsid w:val="00A44348"/>
    <w:rsid w:val="00A63C29"/>
    <w:rsid w:val="00A6436B"/>
    <w:rsid w:val="00A7235B"/>
    <w:rsid w:val="00A756CE"/>
    <w:rsid w:val="00A94C0A"/>
    <w:rsid w:val="00AC0FD2"/>
    <w:rsid w:val="00AC6034"/>
    <w:rsid w:val="00AD6DF3"/>
    <w:rsid w:val="00AD6F4C"/>
    <w:rsid w:val="00AE642E"/>
    <w:rsid w:val="00AF7CDB"/>
    <w:rsid w:val="00B06840"/>
    <w:rsid w:val="00B2090D"/>
    <w:rsid w:val="00B335F1"/>
    <w:rsid w:val="00B60BA2"/>
    <w:rsid w:val="00B83EBC"/>
    <w:rsid w:val="00B90DEB"/>
    <w:rsid w:val="00BA26B8"/>
    <w:rsid w:val="00BC3D2C"/>
    <w:rsid w:val="00BD08E9"/>
    <w:rsid w:val="00BF7F1F"/>
    <w:rsid w:val="00C02804"/>
    <w:rsid w:val="00C10EA0"/>
    <w:rsid w:val="00C34406"/>
    <w:rsid w:val="00C474F1"/>
    <w:rsid w:val="00C57C16"/>
    <w:rsid w:val="00C678A3"/>
    <w:rsid w:val="00C726EE"/>
    <w:rsid w:val="00C739C5"/>
    <w:rsid w:val="00C97192"/>
    <w:rsid w:val="00C9757C"/>
    <w:rsid w:val="00CB27C9"/>
    <w:rsid w:val="00CE3401"/>
    <w:rsid w:val="00CE5A63"/>
    <w:rsid w:val="00CE68AA"/>
    <w:rsid w:val="00D0007E"/>
    <w:rsid w:val="00D05A5E"/>
    <w:rsid w:val="00D17DC0"/>
    <w:rsid w:val="00D215CF"/>
    <w:rsid w:val="00D333D4"/>
    <w:rsid w:val="00D41249"/>
    <w:rsid w:val="00D5035C"/>
    <w:rsid w:val="00D60EFF"/>
    <w:rsid w:val="00D62C87"/>
    <w:rsid w:val="00D6589D"/>
    <w:rsid w:val="00D712D7"/>
    <w:rsid w:val="00D72CDE"/>
    <w:rsid w:val="00D74BAF"/>
    <w:rsid w:val="00D7578F"/>
    <w:rsid w:val="00D7770E"/>
    <w:rsid w:val="00D80B5C"/>
    <w:rsid w:val="00D830D8"/>
    <w:rsid w:val="00D831F6"/>
    <w:rsid w:val="00D83BF1"/>
    <w:rsid w:val="00DB1674"/>
    <w:rsid w:val="00DD5CC1"/>
    <w:rsid w:val="00DE1E1F"/>
    <w:rsid w:val="00DE5772"/>
    <w:rsid w:val="00DF78C4"/>
    <w:rsid w:val="00E042B9"/>
    <w:rsid w:val="00E05061"/>
    <w:rsid w:val="00E054F2"/>
    <w:rsid w:val="00E05D26"/>
    <w:rsid w:val="00E07B6A"/>
    <w:rsid w:val="00E33263"/>
    <w:rsid w:val="00E708D1"/>
    <w:rsid w:val="00E772E0"/>
    <w:rsid w:val="00EA6A79"/>
    <w:rsid w:val="00EB66A4"/>
    <w:rsid w:val="00ED33DC"/>
    <w:rsid w:val="00EE08BB"/>
    <w:rsid w:val="00EE0AEF"/>
    <w:rsid w:val="00EE24FF"/>
    <w:rsid w:val="00EF1720"/>
    <w:rsid w:val="00F001C9"/>
    <w:rsid w:val="00F033B6"/>
    <w:rsid w:val="00F22573"/>
    <w:rsid w:val="00F227BE"/>
    <w:rsid w:val="00F47E87"/>
    <w:rsid w:val="00F64585"/>
    <w:rsid w:val="00F668DA"/>
    <w:rsid w:val="00F76561"/>
    <w:rsid w:val="00F77B78"/>
    <w:rsid w:val="00F93018"/>
    <w:rsid w:val="00FA2590"/>
    <w:rsid w:val="00FA7527"/>
    <w:rsid w:val="00FC74DD"/>
    <w:rsid w:val="00FE2758"/>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uiPriority w:val="99"/>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uiPriority w:val="99"/>
    <w:semiHidden/>
    <w:rsid w:val="0051483B"/>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E33263"/>
    <w:pPr>
      <w:widowControl w:val="0"/>
      <w:jc w:val="center"/>
    </w:pPr>
    <w:rPr>
      <w:b/>
      <w:snapToGrid w:val="0"/>
      <w:sz w:val="28"/>
    </w:rPr>
  </w:style>
  <w:style w:type="character" w:customStyle="1" w:styleId="BodyTextChar">
    <w:name w:val="Body Text Char"/>
    <w:link w:val="BodyText"/>
    <w:semiHidden/>
    <w:rsid w:val="00E33263"/>
    <w:rPr>
      <w:b/>
      <w:snapToGrid w:val="0"/>
      <w:sz w:val="28"/>
    </w:rPr>
  </w:style>
  <w:style w:type="paragraph" w:customStyle="1" w:styleId="Style1">
    <w:name w:val="Style1"/>
    <w:basedOn w:val="BodyText"/>
    <w:rsid w:val="00E33263"/>
    <w:rPr>
      <w:sz w:val="20"/>
    </w:rPr>
  </w:style>
  <w:style w:type="paragraph" w:styleId="BodyText2">
    <w:name w:val="Body Text 2"/>
    <w:basedOn w:val="Normal"/>
    <w:link w:val="BodyText2Char"/>
    <w:rsid w:val="00736A6D"/>
    <w:pPr>
      <w:widowControl w:val="0"/>
      <w:spacing w:after="120" w:line="480" w:lineRule="auto"/>
      <w:jc w:val="both"/>
    </w:pPr>
    <w:rPr>
      <w:snapToGrid w:val="0"/>
      <w:kern w:val="28"/>
      <w:szCs w:val="22"/>
    </w:rPr>
  </w:style>
  <w:style w:type="character" w:customStyle="1" w:styleId="BodyText2Char">
    <w:name w:val="Body Text 2 Char"/>
    <w:link w:val="BodyText2"/>
    <w:rsid w:val="00736A6D"/>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51483B"/>
  </w:style>
  <w:style w:type="character" w:customStyle="1" w:styleId="FooterChar">
    <w:name w:val="Footer Char"/>
    <w:link w:val="Footer"/>
    <w:uiPriority w:val="99"/>
    <w:rsid w:val="00485B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uiPriority w:val="99"/>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uiPriority w:val="99"/>
    <w:semiHidden/>
    <w:rsid w:val="0051483B"/>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semiHidden/>
    <w:rsid w:val="00E33263"/>
    <w:pPr>
      <w:widowControl w:val="0"/>
      <w:jc w:val="center"/>
    </w:pPr>
    <w:rPr>
      <w:b/>
      <w:snapToGrid w:val="0"/>
      <w:sz w:val="28"/>
    </w:rPr>
  </w:style>
  <w:style w:type="character" w:customStyle="1" w:styleId="BodyTextChar">
    <w:name w:val="Body Text Char"/>
    <w:link w:val="BodyText"/>
    <w:semiHidden/>
    <w:rsid w:val="00E33263"/>
    <w:rPr>
      <w:b/>
      <w:snapToGrid w:val="0"/>
      <w:sz w:val="28"/>
    </w:rPr>
  </w:style>
  <w:style w:type="paragraph" w:customStyle="1" w:styleId="Style1">
    <w:name w:val="Style1"/>
    <w:basedOn w:val="BodyText"/>
    <w:rsid w:val="00E33263"/>
    <w:rPr>
      <w:sz w:val="20"/>
    </w:rPr>
  </w:style>
  <w:style w:type="paragraph" w:styleId="BodyText2">
    <w:name w:val="Body Text 2"/>
    <w:basedOn w:val="Normal"/>
    <w:link w:val="BodyText2Char"/>
    <w:rsid w:val="00736A6D"/>
    <w:pPr>
      <w:widowControl w:val="0"/>
      <w:spacing w:after="120" w:line="480" w:lineRule="auto"/>
      <w:jc w:val="both"/>
    </w:pPr>
    <w:rPr>
      <w:snapToGrid w:val="0"/>
      <w:kern w:val="28"/>
      <w:szCs w:val="22"/>
    </w:rPr>
  </w:style>
  <w:style w:type="character" w:customStyle="1" w:styleId="BodyText2Char">
    <w:name w:val="Body Text 2 Char"/>
    <w:link w:val="BodyText2"/>
    <w:rsid w:val="00736A6D"/>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51483B"/>
  </w:style>
  <w:style w:type="character" w:customStyle="1" w:styleId="FooterChar">
    <w:name w:val="Footer Char"/>
    <w:link w:val="Footer"/>
    <w:uiPriority w:val="99"/>
    <w:rsid w:val="00485B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84555">
      <w:bodyDiv w:val="1"/>
      <w:marLeft w:val="0"/>
      <w:marRight w:val="0"/>
      <w:marTop w:val="0"/>
      <w:marBottom w:val="0"/>
      <w:divBdr>
        <w:top w:val="none" w:sz="0" w:space="0" w:color="auto"/>
        <w:left w:val="none" w:sz="0" w:space="0" w:color="auto"/>
        <w:bottom w:val="none" w:sz="0" w:space="0" w:color="auto"/>
        <w:right w:val="none" w:sz="0" w:space="0" w:color="auto"/>
      </w:divBdr>
    </w:div>
    <w:div w:id="15688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CC@BCPIWEB.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5760</Characters>
  <Application>Microsoft Office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6801</CharactersWithSpaces>
  <SharedDoc>false</SharedDoc>
  <HyperlinkBase> </HyperlinkBase>
  <HLinks>
    <vt:vector size="6" baseType="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2016-07-29T14:17:00Z</dcterms:created>
  <dcterms:modified xsi:type="dcterms:W3CDTF">2016-07-29T14:17:00Z</dcterms:modified>
  <cp:category> </cp:category>
  <cp:contentStatus> </cp:contentStatus>
</cp:coreProperties>
</file>