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FC19" w14:textId="797D960D" w:rsidR="00D47505" w:rsidRPr="00B20363" w:rsidRDefault="00523C86" w:rsidP="00D47505">
      <w:pPr>
        <w:jc w:val="right"/>
        <w:rPr>
          <w:b/>
          <w:sz w:val="24"/>
        </w:rPr>
      </w:pPr>
      <w:bookmarkStart w:id="0" w:name="_GoBack"/>
      <w:bookmarkEnd w:id="0"/>
      <w:r>
        <w:rPr>
          <w:b/>
          <w:sz w:val="24"/>
        </w:rPr>
        <w:t>DA 16-878</w:t>
      </w:r>
    </w:p>
    <w:p w14:paraId="678929DD" w14:textId="2DB4AF25" w:rsidR="00D47505" w:rsidRPr="00B20363" w:rsidRDefault="00B338A9" w:rsidP="00D47505">
      <w:pPr>
        <w:spacing w:before="60"/>
        <w:jc w:val="right"/>
        <w:rPr>
          <w:b/>
          <w:sz w:val="24"/>
        </w:rPr>
      </w:pPr>
      <w:r>
        <w:rPr>
          <w:b/>
          <w:sz w:val="24"/>
        </w:rPr>
        <w:t xml:space="preserve">Released:  </w:t>
      </w:r>
      <w:r w:rsidR="00341013">
        <w:rPr>
          <w:b/>
          <w:sz w:val="24"/>
        </w:rPr>
        <w:t xml:space="preserve">August </w:t>
      </w:r>
      <w:r w:rsidR="005F2326">
        <w:rPr>
          <w:b/>
          <w:sz w:val="24"/>
        </w:rPr>
        <w:t>1</w:t>
      </w:r>
      <w:r w:rsidR="00D90383">
        <w:rPr>
          <w:b/>
          <w:sz w:val="24"/>
        </w:rPr>
        <w:t>, 2016</w:t>
      </w:r>
    </w:p>
    <w:p w14:paraId="1417FAE0" w14:textId="77777777" w:rsidR="00D47505" w:rsidRDefault="00D47505" w:rsidP="00D47505">
      <w:pPr>
        <w:jc w:val="right"/>
        <w:rPr>
          <w:sz w:val="24"/>
        </w:rPr>
      </w:pPr>
    </w:p>
    <w:p w14:paraId="770012F4" w14:textId="17349928" w:rsidR="00D47505" w:rsidRPr="00B20363" w:rsidRDefault="000D68C6" w:rsidP="000D68C6">
      <w:pPr>
        <w:spacing w:after="240"/>
        <w:jc w:val="center"/>
        <w:rPr>
          <w:rFonts w:ascii="Times New Roman Bold" w:hAnsi="Times New Roman Bold"/>
          <w:b/>
          <w:caps/>
          <w:sz w:val="24"/>
        </w:rPr>
      </w:pPr>
      <w:r w:rsidRPr="000D68C6">
        <w:rPr>
          <w:rFonts w:ascii="Times New Roman Bold" w:hAnsi="Times New Roman Bold"/>
          <w:b/>
          <w:caps/>
          <w:sz w:val="24"/>
        </w:rPr>
        <w:t>CONSUMER AND GOVERNMENTAL AFFAIRS BUREAU SEEKS COMMENT ON</w:t>
      </w:r>
      <w:r>
        <w:rPr>
          <w:rFonts w:ascii="Times New Roman Bold" w:hAnsi="Times New Roman Bold"/>
          <w:b/>
          <w:caps/>
          <w:sz w:val="24"/>
        </w:rPr>
        <w:t xml:space="preserve"> </w:t>
      </w:r>
      <w:r w:rsidRPr="000D68C6">
        <w:rPr>
          <w:rFonts w:ascii="Times New Roman Bold" w:hAnsi="Times New Roman Bold"/>
          <w:b/>
          <w:caps/>
          <w:sz w:val="24"/>
        </w:rPr>
        <w:t>National Consumer Law Center</w:t>
      </w:r>
      <w:r>
        <w:rPr>
          <w:rFonts w:ascii="Times New Roman Bold" w:hAnsi="Times New Roman Bold"/>
          <w:b/>
          <w:caps/>
          <w:sz w:val="24"/>
        </w:rPr>
        <w:t xml:space="preserve"> </w:t>
      </w:r>
      <w:r w:rsidRPr="000D68C6">
        <w:rPr>
          <w:rFonts w:ascii="Times New Roman Bold" w:hAnsi="Times New Roman Bold"/>
          <w:b/>
          <w:caps/>
          <w:sz w:val="24"/>
        </w:rPr>
        <w:t xml:space="preserve">PETITION FOR RECONSIDERATION OF </w:t>
      </w:r>
      <w:r w:rsidR="00BB5510">
        <w:rPr>
          <w:rFonts w:ascii="Times New Roman Bold" w:hAnsi="Times New Roman Bold"/>
          <w:b/>
          <w:caps/>
          <w:sz w:val="24"/>
        </w:rPr>
        <w:t xml:space="preserve">the FCC’s Broadnet </w:t>
      </w:r>
      <w:r w:rsidRPr="000D68C6">
        <w:rPr>
          <w:rFonts w:ascii="Times New Roman Bold" w:hAnsi="Times New Roman Bold"/>
          <w:b/>
          <w:caps/>
          <w:sz w:val="24"/>
        </w:rPr>
        <w:t>DECLARATORY RULING</w:t>
      </w:r>
    </w:p>
    <w:p w14:paraId="58E40197" w14:textId="77777777" w:rsidR="00D47505" w:rsidRDefault="00D90383" w:rsidP="00D47505">
      <w:pPr>
        <w:jc w:val="center"/>
        <w:rPr>
          <w:b/>
          <w:sz w:val="24"/>
        </w:rPr>
      </w:pPr>
      <w:r w:rsidRPr="00D90383">
        <w:rPr>
          <w:b/>
          <w:sz w:val="24"/>
        </w:rPr>
        <w:t>CG Docket No. 02-278</w:t>
      </w:r>
    </w:p>
    <w:p w14:paraId="3E1DEDE0" w14:textId="77777777" w:rsidR="00D47505" w:rsidRDefault="00D47505" w:rsidP="00D47505">
      <w:pPr>
        <w:jc w:val="center"/>
        <w:rPr>
          <w:sz w:val="24"/>
        </w:rPr>
      </w:pPr>
    </w:p>
    <w:p w14:paraId="1D3B730F" w14:textId="3818E277" w:rsidR="006167E9" w:rsidRPr="006167E9" w:rsidRDefault="009337DD" w:rsidP="006167E9">
      <w:pPr>
        <w:rPr>
          <w:b/>
        </w:rPr>
      </w:pPr>
      <w:r>
        <w:rPr>
          <w:b/>
        </w:rPr>
        <w:t xml:space="preserve">Comment Date:  </w:t>
      </w:r>
      <w:r w:rsidR="005F2326">
        <w:rPr>
          <w:b/>
        </w:rPr>
        <w:t>August 31</w:t>
      </w:r>
      <w:r w:rsidR="00341013">
        <w:rPr>
          <w:b/>
        </w:rPr>
        <w:t>, 2016</w:t>
      </w:r>
    </w:p>
    <w:p w14:paraId="0CB9C145" w14:textId="587C60E0" w:rsidR="006A1F49" w:rsidRPr="006167E9" w:rsidRDefault="006167E9" w:rsidP="006167E9">
      <w:pPr>
        <w:rPr>
          <w:b/>
        </w:rPr>
      </w:pPr>
      <w:r w:rsidRPr="006167E9">
        <w:rPr>
          <w:b/>
        </w:rPr>
        <w:t>R</w:t>
      </w:r>
      <w:r w:rsidR="009337DD">
        <w:rPr>
          <w:b/>
        </w:rPr>
        <w:t xml:space="preserve">eply Comment Date:  </w:t>
      </w:r>
      <w:r w:rsidR="00341013">
        <w:rPr>
          <w:b/>
        </w:rPr>
        <w:t xml:space="preserve">September </w:t>
      </w:r>
      <w:r w:rsidR="005F2326">
        <w:rPr>
          <w:b/>
        </w:rPr>
        <w:t>15</w:t>
      </w:r>
      <w:r w:rsidR="00341013">
        <w:rPr>
          <w:b/>
        </w:rPr>
        <w:t>, 2016</w:t>
      </w:r>
    </w:p>
    <w:p w14:paraId="4D383E18" w14:textId="77777777" w:rsidR="006167E9" w:rsidRDefault="006167E9" w:rsidP="006167E9"/>
    <w:p w14:paraId="3836FF9F" w14:textId="62AD75F7" w:rsidR="00313F7A" w:rsidRDefault="006167E9" w:rsidP="00313F7A">
      <w:pPr>
        <w:ind w:firstLine="720"/>
        <w:rPr>
          <w:szCs w:val="22"/>
        </w:rPr>
      </w:pPr>
      <w:r w:rsidRPr="006167E9">
        <w:t>With this Public Notice, we seek comment</w:t>
      </w:r>
      <w:r w:rsidR="00980DEF">
        <w:rPr>
          <w:rStyle w:val="FootnoteReference"/>
          <w:szCs w:val="22"/>
        </w:rPr>
        <w:footnoteReference w:id="2"/>
      </w:r>
      <w:r w:rsidRPr="006167E9">
        <w:t xml:space="preserve"> on a </w:t>
      </w:r>
      <w:r w:rsidR="00435B99">
        <w:t>p</w:t>
      </w:r>
      <w:r w:rsidR="00A2772F" w:rsidRPr="006167E9">
        <w:t xml:space="preserve">etition </w:t>
      </w:r>
      <w:r w:rsidRPr="006167E9">
        <w:t xml:space="preserve">for </w:t>
      </w:r>
      <w:r w:rsidR="00435B99">
        <w:t>r</w:t>
      </w:r>
      <w:r w:rsidR="00A2772F">
        <w:t xml:space="preserve">econsideration </w:t>
      </w:r>
      <w:r w:rsidR="00BB1534">
        <w:t>of</w:t>
      </w:r>
      <w:r w:rsidRPr="006167E9">
        <w:t xml:space="preserve"> </w:t>
      </w:r>
      <w:r w:rsidR="00435B99">
        <w:t>d</w:t>
      </w:r>
      <w:r w:rsidR="00A2772F" w:rsidRPr="006167E9">
        <w:t xml:space="preserve">eclaratory </w:t>
      </w:r>
      <w:r w:rsidR="00A2772F">
        <w:t>R</w:t>
      </w:r>
      <w:r w:rsidR="00A2772F" w:rsidRPr="006167E9">
        <w:t>uling</w:t>
      </w:r>
      <w:r w:rsidR="00300F90">
        <w:t xml:space="preserve">, </w:t>
      </w:r>
      <w:r w:rsidRPr="006167E9">
        <w:t>filed by</w:t>
      </w:r>
      <w:r w:rsidR="00BB1534">
        <w:t xml:space="preserve"> </w:t>
      </w:r>
      <w:r w:rsidR="00150649">
        <w:t xml:space="preserve">the </w:t>
      </w:r>
      <w:r w:rsidR="00BB1534">
        <w:t>National Consumer Law Center</w:t>
      </w:r>
      <w:r w:rsidR="00D16C60">
        <w:t xml:space="preserve"> (NCLC)</w:t>
      </w:r>
      <w:r w:rsidR="00150649">
        <w:t xml:space="preserve"> on behalf of its low-income clients and 50 other national, state</w:t>
      </w:r>
      <w:r w:rsidR="00A2772F">
        <w:t>,</w:t>
      </w:r>
      <w:r w:rsidR="00150649">
        <w:t xml:space="preserve"> and local legal aid programs and public interest organizations.</w:t>
      </w:r>
      <w:r w:rsidR="00150649">
        <w:rPr>
          <w:rStyle w:val="FootnoteReference"/>
        </w:rPr>
        <w:footnoteReference w:id="3"/>
      </w:r>
      <w:r w:rsidR="00150649">
        <w:t xml:space="preserve">  </w:t>
      </w:r>
      <w:r w:rsidRPr="006167E9">
        <w:t xml:space="preserve">In its </w:t>
      </w:r>
      <w:r w:rsidR="00A2772F" w:rsidRPr="00CA43D7">
        <w:rPr>
          <w:i/>
        </w:rPr>
        <w:t>Petition</w:t>
      </w:r>
      <w:r w:rsidRPr="006167E9">
        <w:t>, NC</w:t>
      </w:r>
      <w:r w:rsidR="00150649">
        <w:t>L</w:t>
      </w:r>
      <w:r w:rsidRPr="006167E9">
        <w:t xml:space="preserve">C seeks </w:t>
      </w:r>
      <w:r w:rsidR="00AB2BB0">
        <w:t>a stay and reversal of the</w:t>
      </w:r>
      <w:r w:rsidR="00CA721E">
        <w:t xml:space="preserve"> Commission’s</w:t>
      </w:r>
      <w:r w:rsidR="00AB2BB0" w:rsidRPr="00AB2BB0">
        <w:t xml:space="preserve"> </w:t>
      </w:r>
      <w:r w:rsidR="00C20525" w:rsidRPr="00C20525">
        <w:rPr>
          <w:i/>
        </w:rPr>
        <w:t>Broadnet D</w:t>
      </w:r>
      <w:r w:rsidR="00AB2BB0" w:rsidRPr="00C20525">
        <w:rPr>
          <w:i/>
        </w:rPr>
        <w:t xml:space="preserve">eclaratory </w:t>
      </w:r>
      <w:r w:rsidR="00C20525" w:rsidRPr="00C20525">
        <w:rPr>
          <w:i/>
        </w:rPr>
        <w:t>R</w:t>
      </w:r>
      <w:r w:rsidR="00AB2BB0" w:rsidRPr="00C20525">
        <w:rPr>
          <w:i/>
        </w:rPr>
        <w:t>ulin</w:t>
      </w:r>
      <w:r w:rsidR="00AB2BB0" w:rsidRPr="00102460">
        <w:rPr>
          <w:i/>
        </w:rPr>
        <w:t>g</w:t>
      </w:r>
      <w:r w:rsidR="006A2814">
        <w:t>.</w:t>
      </w:r>
      <w:r w:rsidR="00AB2BB0">
        <w:rPr>
          <w:rStyle w:val="FootnoteReference"/>
        </w:rPr>
        <w:footnoteReference w:id="4"/>
      </w:r>
      <w:r w:rsidR="00AB2BB0">
        <w:t xml:space="preserve"> </w:t>
      </w:r>
      <w:r w:rsidR="006A2814">
        <w:t xml:space="preserve"> </w:t>
      </w:r>
      <w:r w:rsidR="006A2814">
        <w:rPr>
          <w:i/>
        </w:rPr>
        <w:t xml:space="preserve">Broadnet </w:t>
      </w:r>
      <w:r w:rsidR="00A2772F">
        <w:t>clarifies</w:t>
      </w:r>
      <w:r w:rsidR="00A2772F" w:rsidRPr="00AB2BB0">
        <w:t xml:space="preserve"> </w:t>
      </w:r>
      <w:r w:rsidR="00AB2BB0" w:rsidRPr="00AB2BB0">
        <w:t xml:space="preserve">that the </w:t>
      </w:r>
      <w:r w:rsidR="00A2772F">
        <w:t>term</w:t>
      </w:r>
      <w:r w:rsidR="00AB2BB0" w:rsidRPr="00AB2BB0">
        <w:t xml:space="preserve"> </w:t>
      </w:r>
      <w:r w:rsidR="00C20525">
        <w:t>“</w:t>
      </w:r>
      <w:r w:rsidR="00AB2BB0" w:rsidRPr="00AB2BB0">
        <w:t xml:space="preserve">person” </w:t>
      </w:r>
      <w:r w:rsidR="00CA721E">
        <w:t xml:space="preserve">as used in section 227 of </w:t>
      </w:r>
      <w:r w:rsidR="00AB2BB0" w:rsidRPr="00AB2BB0">
        <w:t xml:space="preserve">the </w:t>
      </w:r>
      <w:r w:rsidR="008E1C55">
        <w:t>Communications Act</w:t>
      </w:r>
      <w:r w:rsidR="00CA721E">
        <w:t xml:space="preserve"> of 1934, as amended,</w:t>
      </w:r>
      <w:r w:rsidR="008E1C55">
        <w:rPr>
          <w:rStyle w:val="FootnoteReference"/>
        </w:rPr>
        <w:footnoteReference w:id="5"/>
      </w:r>
      <w:r w:rsidR="00AB2BB0" w:rsidRPr="00AB2BB0">
        <w:t xml:space="preserve"> </w:t>
      </w:r>
      <w:r w:rsidR="00A2772F">
        <w:t xml:space="preserve">“does not include a contractor when acting on behalf of the federal government, as long as the contractor is acting as the government’s agent in accord with </w:t>
      </w:r>
      <w:r w:rsidR="008649C4">
        <w:t xml:space="preserve">the </w:t>
      </w:r>
      <w:r w:rsidR="00A2772F">
        <w:t>federa</w:t>
      </w:r>
      <w:r w:rsidR="008E1C55">
        <w:t>l common law of agency</w:t>
      </w:r>
      <w:r w:rsidR="006A2814">
        <w:t>.</w:t>
      </w:r>
      <w:r w:rsidR="00A2772F">
        <w:t>”</w:t>
      </w:r>
      <w:r w:rsidR="00A2772F">
        <w:rPr>
          <w:rStyle w:val="FootnoteReference"/>
        </w:rPr>
        <w:footnoteReference w:id="6"/>
      </w:r>
      <w:r w:rsidR="008E1C55">
        <w:t xml:space="preserve"> </w:t>
      </w:r>
      <w:r w:rsidR="006A2814">
        <w:t xml:space="preserve"> T</w:t>
      </w:r>
      <w:r w:rsidR="008E1C55">
        <w:t xml:space="preserve">herefore, “a government contractor will be able to invoke the federal government’s exception from” the </w:t>
      </w:r>
      <w:r w:rsidR="008E1C55" w:rsidRPr="00AB2BB0">
        <w:t>Telephone Consumer Protection Act (TCPA)</w:t>
      </w:r>
      <w:r w:rsidR="008E1C55">
        <w:rPr>
          <w:rStyle w:val="FootnoteReference"/>
        </w:rPr>
        <w:footnoteReference w:id="7"/>
      </w:r>
      <w:r w:rsidR="008E1C55">
        <w:t xml:space="preserve"> “when the contractor has been validly authorized to act as the government’s agent and is acting within the scope of its contractual relationship with the government, and the </w:t>
      </w:r>
      <w:r w:rsidR="008E1C55">
        <w:lastRenderedPageBreak/>
        <w:t>government has delegated to the contractor its prerogative to make autodialed or prerecorded- or artificial-voice calls to communicate with its citizens.”</w:t>
      </w:r>
      <w:r w:rsidR="008E1C55">
        <w:rPr>
          <w:rStyle w:val="FootnoteReference"/>
        </w:rPr>
        <w:footnoteReference w:id="8"/>
      </w:r>
      <w:r w:rsidR="00FE3F65">
        <w:t xml:space="preserve">  </w:t>
      </w:r>
    </w:p>
    <w:p w14:paraId="65401084" w14:textId="77777777" w:rsidR="00313F7A" w:rsidRDefault="00313F7A" w:rsidP="0013481C">
      <w:pPr>
        <w:ind w:firstLine="720"/>
        <w:rPr>
          <w:szCs w:val="22"/>
        </w:rPr>
      </w:pPr>
    </w:p>
    <w:p w14:paraId="0F87AFC0" w14:textId="379CF8D7" w:rsidR="00154FC5" w:rsidRDefault="00DB4E82" w:rsidP="0013481C">
      <w:pPr>
        <w:ind w:firstLine="720"/>
        <w:rPr>
          <w:szCs w:val="22"/>
        </w:rPr>
      </w:pPr>
      <w:r w:rsidRPr="00C47693">
        <w:rPr>
          <w:szCs w:val="22"/>
        </w:rPr>
        <w:t xml:space="preserve">NCLC asserts that </w:t>
      </w:r>
      <w:r w:rsidR="00154FC5">
        <w:rPr>
          <w:szCs w:val="22"/>
        </w:rPr>
        <w:t>reconsideration is appropriate because the Commission did not fully consider consumer interests.</w:t>
      </w:r>
      <w:r w:rsidR="00154FC5">
        <w:rPr>
          <w:rStyle w:val="FootnoteReference"/>
          <w:szCs w:val="22"/>
        </w:rPr>
        <w:footnoteReference w:id="9"/>
      </w:r>
      <w:r w:rsidR="00154FC5">
        <w:rPr>
          <w:szCs w:val="22"/>
        </w:rPr>
        <w:t xml:space="preserve">  It states that the Public Notices issued for the three petitions resolved in the </w:t>
      </w:r>
      <w:r w:rsidR="00154FC5">
        <w:rPr>
          <w:i/>
          <w:szCs w:val="22"/>
        </w:rPr>
        <w:t xml:space="preserve">Broadnet </w:t>
      </w:r>
      <w:r w:rsidR="00154FC5">
        <w:rPr>
          <w:szCs w:val="22"/>
        </w:rPr>
        <w:t>did not adequately indicate that the Commission would be considering whether federal contractors or federal agents would be excluded from the TCPA.</w:t>
      </w:r>
      <w:r w:rsidR="00154FC5">
        <w:rPr>
          <w:rStyle w:val="FootnoteReference"/>
          <w:szCs w:val="22"/>
        </w:rPr>
        <w:footnoteReference w:id="10"/>
      </w:r>
      <w:r w:rsidR="00154FC5">
        <w:rPr>
          <w:szCs w:val="22"/>
        </w:rPr>
        <w:t xml:space="preserve">  </w:t>
      </w:r>
      <w:r w:rsidR="001839AE">
        <w:rPr>
          <w:szCs w:val="22"/>
        </w:rPr>
        <w:t xml:space="preserve">NCLC further maintains that reconsideration of </w:t>
      </w:r>
      <w:r w:rsidR="001839AE">
        <w:rPr>
          <w:i/>
          <w:szCs w:val="22"/>
        </w:rPr>
        <w:t>Broadnet</w:t>
      </w:r>
      <w:r w:rsidR="001839AE">
        <w:rPr>
          <w:szCs w:val="22"/>
        </w:rPr>
        <w:t xml:space="preserve"> is appropriate because: low-income persons who use prepaid wireless calling plans will be adversely impacted by unlimited calling by federal contractors;</w:t>
      </w:r>
      <w:r w:rsidR="001839AE">
        <w:rPr>
          <w:rStyle w:val="FootnoteReference"/>
          <w:szCs w:val="22"/>
        </w:rPr>
        <w:footnoteReference w:id="11"/>
      </w:r>
      <w:r w:rsidR="001839AE">
        <w:rPr>
          <w:szCs w:val="22"/>
        </w:rPr>
        <w:t xml:space="preserve"> the decision is inconsistent </w:t>
      </w:r>
      <w:r w:rsidR="005B0B11">
        <w:rPr>
          <w:szCs w:val="22"/>
        </w:rPr>
        <w:t xml:space="preserve">with </w:t>
      </w:r>
      <w:r w:rsidR="001839AE">
        <w:rPr>
          <w:szCs w:val="22"/>
        </w:rPr>
        <w:t>recently added exceptions to the TCPA,</w:t>
      </w:r>
      <w:r w:rsidR="001839AE">
        <w:rPr>
          <w:rStyle w:val="FootnoteReference"/>
          <w:szCs w:val="22"/>
        </w:rPr>
        <w:footnoteReference w:id="12"/>
      </w:r>
      <w:r w:rsidR="001839AE">
        <w:rPr>
          <w:szCs w:val="22"/>
        </w:rPr>
        <w:t xml:space="preserve"> which, </w:t>
      </w:r>
      <w:r w:rsidR="00D73D7D">
        <w:rPr>
          <w:szCs w:val="22"/>
        </w:rPr>
        <w:t xml:space="preserve">NCLC </w:t>
      </w:r>
      <w:r w:rsidR="001839AE">
        <w:rPr>
          <w:szCs w:val="22"/>
        </w:rPr>
        <w:t>asserts, “make it clear that the TCPA applies to federal contractors” because they would not have been necessary if the TCPA were not applicable;</w:t>
      </w:r>
      <w:r w:rsidR="001839AE">
        <w:rPr>
          <w:rStyle w:val="FootnoteReference"/>
          <w:szCs w:val="22"/>
        </w:rPr>
        <w:footnoteReference w:id="13"/>
      </w:r>
      <w:r w:rsidR="00A3204B">
        <w:rPr>
          <w:szCs w:val="22"/>
        </w:rPr>
        <w:t xml:space="preserve"> and</w:t>
      </w:r>
      <w:r w:rsidR="001839AE">
        <w:rPr>
          <w:szCs w:val="22"/>
        </w:rPr>
        <w:t xml:space="preserve"> </w:t>
      </w:r>
      <w:r w:rsidR="005B0B11" w:rsidRPr="00C47693">
        <w:rPr>
          <w:szCs w:val="22"/>
        </w:rPr>
        <w:t xml:space="preserve">the Commission misinterpreted the Supreme Court’s decision in </w:t>
      </w:r>
      <w:r w:rsidR="005B0B11" w:rsidRPr="00C47693">
        <w:rPr>
          <w:i/>
          <w:iCs/>
          <w:szCs w:val="22"/>
        </w:rPr>
        <w:t>Campbell-Ewald</w:t>
      </w:r>
      <w:r w:rsidR="00160F22">
        <w:rPr>
          <w:iCs/>
          <w:szCs w:val="22"/>
        </w:rPr>
        <w:t>, which did not address the term “person,”</w:t>
      </w:r>
      <w:r w:rsidR="005B0B11" w:rsidRPr="00C47693">
        <w:rPr>
          <w:iCs/>
          <w:szCs w:val="22"/>
        </w:rPr>
        <w:t xml:space="preserve"> by conflating the concepts of derivative sovereign immunity or qualified immunity with the scope of the term “person” under the TCPA</w:t>
      </w:r>
      <w:r w:rsidR="00A3204B">
        <w:rPr>
          <w:iCs/>
          <w:szCs w:val="22"/>
        </w:rPr>
        <w:t>.</w:t>
      </w:r>
      <w:r w:rsidR="005B0B11">
        <w:rPr>
          <w:rStyle w:val="FootnoteReference"/>
          <w:iCs/>
          <w:szCs w:val="22"/>
        </w:rPr>
        <w:footnoteReference w:id="14"/>
      </w:r>
      <w:r w:rsidR="005B0B11">
        <w:rPr>
          <w:iCs/>
          <w:szCs w:val="22"/>
        </w:rPr>
        <w:t xml:space="preserve"> </w:t>
      </w:r>
    </w:p>
    <w:p w14:paraId="1941017C" w14:textId="77777777" w:rsidR="00B74FA4" w:rsidRDefault="00B74FA4" w:rsidP="0013481C">
      <w:pPr>
        <w:ind w:firstLine="720"/>
        <w:rPr>
          <w:szCs w:val="22"/>
        </w:rPr>
      </w:pPr>
    </w:p>
    <w:p w14:paraId="4D12D540" w14:textId="4B506A86" w:rsidR="00905F7E" w:rsidRPr="00264E77" w:rsidRDefault="00905F7E" w:rsidP="00905F7E">
      <w:pPr>
        <w:autoSpaceDE w:val="0"/>
        <w:autoSpaceDN w:val="0"/>
        <w:adjustRightInd w:val="0"/>
        <w:ind w:firstLine="720"/>
        <w:rPr>
          <w:szCs w:val="22"/>
        </w:rPr>
      </w:pPr>
      <w:r>
        <w:rPr>
          <w:szCs w:val="22"/>
        </w:rPr>
        <w:t xml:space="preserve">We seek comment on these and any other issues raised by </w:t>
      </w:r>
      <w:r w:rsidR="00313F7A">
        <w:rPr>
          <w:szCs w:val="22"/>
        </w:rPr>
        <w:t>the petition for reconsideration</w:t>
      </w:r>
      <w:r>
        <w:rPr>
          <w:szCs w:val="22"/>
        </w:rPr>
        <w:t>.</w:t>
      </w:r>
    </w:p>
    <w:p w14:paraId="668BC7D2" w14:textId="77777777" w:rsidR="00905F7E" w:rsidRPr="009007BF" w:rsidRDefault="00905F7E" w:rsidP="00905F7E">
      <w:pPr>
        <w:autoSpaceDE w:val="0"/>
        <w:autoSpaceDN w:val="0"/>
        <w:adjustRightInd w:val="0"/>
        <w:rPr>
          <w:szCs w:val="22"/>
        </w:rPr>
      </w:pPr>
    </w:p>
    <w:p w14:paraId="1B7DBFBF" w14:textId="30C71B8D" w:rsidR="00905F7E" w:rsidRPr="00923BE8" w:rsidRDefault="00905F7E" w:rsidP="00905F7E">
      <w:pPr>
        <w:autoSpaceDE w:val="0"/>
        <w:autoSpaceDN w:val="0"/>
        <w:adjustRightInd w:val="0"/>
        <w:rPr>
          <w:szCs w:val="22"/>
        </w:rPr>
      </w:pPr>
      <w:r w:rsidRPr="009007BF">
        <w:rPr>
          <w:szCs w:val="22"/>
        </w:rPr>
        <w:tab/>
      </w:r>
      <w:r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23BE8">
        <w:rPr>
          <w:i/>
          <w:szCs w:val="22"/>
        </w:rPr>
        <w:t>See</w:t>
      </w:r>
      <w:r w:rsidRPr="00923BE8">
        <w:rPr>
          <w:szCs w:val="22"/>
        </w:rPr>
        <w:t xml:space="preserve"> Electronic Filing of Documents in Rulemaking Proceedings, 63 FR 24121 (1998).</w:t>
      </w:r>
    </w:p>
    <w:p w14:paraId="4231D0E9" w14:textId="77777777" w:rsidR="00905F7E" w:rsidRPr="00923BE8" w:rsidRDefault="00905F7E" w:rsidP="00905F7E">
      <w:pPr>
        <w:autoSpaceDE w:val="0"/>
        <w:autoSpaceDN w:val="0"/>
        <w:adjustRightInd w:val="0"/>
        <w:rPr>
          <w:szCs w:val="22"/>
        </w:rPr>
      </w:pPr>
    </w:p>
    <w:p w14:paraId="0C286246"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Electronic Filers:  Comments may be filed electronically using the Internet by accessing ECFS:  http://fjallfoss.fcc.gov/ecfs2/.  </w:t>
      </w:r>
    </w:p>
    <w:p w14:paraId="044ED2ED"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Paper Filers:  Parties who choose to file by paper must file an original and one copy of each filing.  </w:t>
      </w:r>
    </w:p>
    <w:p w14:paraId="5EFE8A1D" w14:textId="77777777" w:rsidR="00905F7E" w:rsidRPr="00923BE8" w:rsidRDefault="00905F7E" w:rsidP="00905F7E">
      <w:pPr>
        <w:widowControl/>
        <w:numPr>
          <w:ilvl w:val="0"/>
          <w:numId w:val="8"/>
        </w:numPr>
        <w:autoSpaceDE w:val="0"/>
        <w:autoSpaceDN w:val="0"/>
        <w:adjustRightInd w:val="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6056754"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7859F7D3" w14:textId="77777777" w:rsidR="00905F7E" w:rsidRPr="00923BE8" w:rsidRDefault="00905F7E" w:rsidP="00905F7E">
      <w:pPr>
        <w:widowControl/>
        <w:numPr>
          <w:ilvl w:val="0"/>
          <w:numId w:val="8"/>
        </w:numPr>
        <w:autoSpaceDE w:val="0"/>
        <w:autoSpaceDN w:val="0"/>
        <w:adjustRightInd w:val="0"/>
        <w:rPr>
          <w:szCs w:val="22"/>
        </w:rPr>
      </w:pPr>
      <w:r w:rsidRPr="00923BE8">
        <w:rPr>
          <w:szCs w:val="22"/>
        </w:rPr>
        <w:lastRenderedPageBreak/>
        <w:t>Commercial overnight mail (other than U.S. Postal Service Express Mail and Priority Mail) must be sent to 9300 East Hampton Drive, Capitol Heights, MD  20743.</w:t>
      </w:r>
    </w:p>
    <w:p w14:paraId="2E855297" w14:textId="77777777" w:rsidR="00905F7E" w:rsidRPr="00923BE8" w:rsidRDefault="00905F7E" w:rsidP="00905F7E">
      <w:pPr>
        <w:widowControl/>
        <w:numPr>
          <w:ilvl w:val="0"/>
          <w:numId w:val="8"/>
        </w:numPr>
        <w:autoSpaceDE w:val="0"/>
        <w:autoSpaceDN w:val="0"/>
        <w:adjustRightInd w:val="0"/>
        <w:rPr>
          <w:szCs w:val="22"/>
        </w:rPr>
      </w:pPr>
      <w:r w:rsidRPr="00923BE8">
        <w:rPr>
          <w:szCs w:val="22"/>
        </w:rPr>
        <w:t>U.S. Postal Service first-class, Express, and Priority mail must be addressed to 445 12th Street, SW, Washington DC  20554.</w:t>
      </w:r>
    </w:p>
    <w:p w14:paraId="4BBE24ED" w14:textId="77777777" w:rsidR="00905F7E" w:rsidRPr="00923BE8" w:rsidRDefault="00905F7E" w:rsidP="00905F7E">
      <w:pPr>
        <w:autoSpaceDE w:val="0"/>
        <w:autoSpaceDN w:val="0"/>
        <w:adjustRightInd w:val="0"/>
        <w:rPr>
          <w:szCs w:val="22"/>
        </w:rPr>
      </w:pPr>
    </w:p>
    <w:p w14:paraId="589B692B" w14:textId="71BED61D" w:rsidR="00905F7E" w:rsidRPr="00923BE8" w:rsidRDefault="00905F7E" w:rsidP="00905F7E">
      <w:pPr>
        <w:autoSpaceDE w:val="0"/>
        <w:autoSpaceDN w:val="0"/>
        <w:adjustRightInd w:val="0"/>
        <w:rPr>
          <w:szCs w:val="22"/>
        </w:rPr>
      </w:pPr>
      <w:r w:rsidRPr="00923BE8">
        <w:rPr>
          <w:szCs w:val="22"/>
        </w:rPr>
        <w:t xml:space="preserve">People with Disabilities:  To request materials in accessible formats for people with disabilities (braille, large print, electronic files, audio format), send an e-mail to </w:t>
      </w:r>
      <w:hyperlink r:id="rId8" w:history="1">
        <w:r w:rsidRPr="00923BE8">
          <w:rPr>
            <w:rStyle w:val="Hyperlink"/>
            <w:szCs w:val="22"/>
          </w:rPr>
          <w:t>fcc504@fcc.gov</w:t>
        </w:r>
      </w:hyperlink>
      <w:r w:rsidRPr="00923BE8">
        <w:rPr>
          <w:szCs w:val="22"/>
        </w:rPr>
        <w:t xml:space="preserve"> or call the Consumer and Governmental Affairs Bureau at 202-418-0530 (voice), 202-418-0432 (tty).</w:t>
      </w:r>
    </w:p>
    <w:p w14:paraId="5D1E84FD" w14:textId="77777777" w:rsidR="00905F7E" w:rsidRPr="00923BE8" w:rsidRDefault="00905F7E" w:rsidP="00905F7E">
      <w:pPr>
        <w:autoSpaceDE w:val="0"/>
        <w:autoSpaceDN w:val="0"/>
        <w:adjustRightInd w:val="0"/>
        <w:rPr>
          <w:szCs w:val="22"/>
        </w:rPr>
      </w:pPr>
    </w:p>
    <w:p w14:paraId="76E0CD1A" w14:textId="77777777" w:rsidR="00905F7E" w:rsidRPr="009007BF" w:rsidRDefault="00905F7E" w:rsidP="00905F7E">
      <w:pPr>
        <w:autoSpaceDE w:val="0"/>
        <w:autoSpaceDN w:val="0"/>
        <w:adjustRightInd w:val="0"/>
        <w:ind w:firstLine="720"/>
        <w:rPr>
          <w:szCs w:val="22"/>
        </w:rPr>
      </w:pPr>
      <w:r>
        <w:rPr>
          <w:szCs w:val="22"/>
        </w:rPr>
        <w:t>This</w:t>
      </w:r>
      <w:r w:rsidRPr="00923BE8">
        <w:rPr>
          <w:szCs w:val="22"/>
        </w:rPr>
        <w:t xml:space="preserve"> p</w:t>
      </w:r>
      <w:r>
        <w:rPr>
          <w:szCs w:val="22"/>
        </w:rPr>
        <w:t xml:space="preserve">roceeding </w:t>
      </w:r>
      <w:r w:rsidRPr="00923BE8">
        <w:rPr>
          <w:szCs w:val="22"/>
        </w:rPr>
        <w:t xml:space="preserve">shall be treated as a “permit-but-disclose” proceeding in accordance with the Commission’s </w:t>
      </w:r>
      <w:r w:rsidRPr="00923BE8">
        <w:rPr>
          <w:i/>
          <w:iCs/>
          <w:szCs w:val="22"/>
        </w:rPr>
        <w:t xml:space="preserve">ex parte </w:t>
      </w:r>
      <w:r w:rsidRPr="00923BE8">
        <w:rPr>
          <w:szCs w:val="22"/>
        </w:rPr>
        <w:t>rules.</w:t>
      </w:r>
      <w:r w:rsidRPr="00923BE8">
        <w:rPr>
          <w:szCs w:val="22"/>
          <w:vertAlign w:val="superscript"/>
        </w:rPr>
        <w:footnoteReference w:id="15"/>
      </w:r>
      <w:r w:rsidRPr="00923BE8">
        <w:rPr>
          <w:szCs w:val="22"/>
        </w:rPr>
        <w:t xml:space="preserve">  Persons making </w:t>
      </w:r>
      <w:r w:rsidRPr="00923BE8">
        <w:rPr>
          <w:i/>
          <w:szCs w:val="22"/>
        </w:rPr>
        <w:t xml:space="preserve">ex parte </w:t>
      </w:r>
      <w:r w:rsidRPr="00923BE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23BE8">
        <w:rPr>
          <w:i/>
          <w:iCs/>
          <w:szCs w:val="22"/>
        </w:rPr>
        <w:t xml:space="preserve">ex parte </w:t>
      </w:r>
      <w:r w:rsidRPr="00923BE8">
        <w:rPr>
          <w:szCs w:val="22"/>
        </w:rPr>
        <w:t xml:space="preserve">presentations are reminded that memoranda summarizing the presentation must (1) list all persons attending or otherwise participating in the meeting at which the </w:t>
      </w:r>
      <w:r w:rsidRPr="00923BE8">
        <w:rPr>
          <w:i/>
          <w:iCs/>
          <w:szCs w:val="22"/>
        </w:rPr>
        <w:t xml:space="preserve">ex parte </w:t>
      </w:r>
      <w:r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23BE8">
        <w:rPr>
          <w:i/>
          <w:iCs/>
          <w:szCs w:val="22"/>
        </w:rPr>
        <w:t xml:space="preserve">ex parte </w:t>
      </w:r>
      <w:r w:rsidRPr="00923BE8">
        <w:rPr>
          <w:szCs w:val="22"/>
        </w:rPr>
        <w:t xml:space="preserve">meetings are deemed to be written </w:t>
      </w:r>
      <w:r w:rsidRPr="00923BE8">
        <w:rPr>
          <w:i/>
          <w:iCs/>
          <w:szCs w:val="22"/>
        </w:rPr>
        <w:t>ex parte</w:t>
      </w:r>
      <w:r w:rsidRPr="00923BE8">
        <w:rPr>
          <w:szCs w:val="22"/>
        </w:rPr>
        <w:t xml:space="preserve"> presentations and must be filed consistent with rule 1.1206(b).  In proceedings governed by rule 1.49(f) or for which the Commission has made available a method of electronic filing, written </w:t>
      </w:r>
      <w:r w:rsidRPr="00923BE8">
        <w:rPr>
          <w:i/>
          <w:iCs/>
          <w:szCs w:val="22"/>
        </w:rPr>
        <w:t xml:space="preserve">ex parte </w:t>
      </w:r>
      <w:r w:rsidRPr="00923BE8">
        <w:rPr>
          <w:szCs w:val="22"/>
        </w:rPr>
        <w:t xml:space="preserve">presentations and memoranda summarizing oral </w:t>
      </w:r>
      <w:r w:rsidRPr="00923BE8">
        <w:rPr>
          <w:i/>
          <w:iCs/>
          <w:szCs w:val="22"/>
        </w:rPr>
        <w:t xml:space="preserve">ex parte </w:t>
      </w:r>
      <w:r w:rsidRPr="00923BE8">
        <w:rPr>
          <w:szCs w:val="22"/>
        </w:rPr>
        <w:t>presentations, and all attachments thereto, must be filed through the electronic comment filing system available for that proceeding, and must be filed in their native format (</w:t>
      </w:r>
      <w:r w:rsidRPr="00923BE8">
        <w:rPr>
          <w:i/>
          <w:iCs/>
          <w:szCs w:val="22"/>
        </w:rPr>
        <w:t>e.g.</w:t>
      </w:r>
      <w:r w:rsidRPr="00923BE8">
        <w:rPr>
          <w:szCs w:val="22"/>
        </w:rPr>
        <w:t xml:space="preserve">, .doc, .xml, .ppt, searchable .pdf).  Participants in this proceeding should familiarize themselves with the Commission’s </w:t>
      </w:r>
      <w:r w:rsidRPr="00923BE8">
        <w:rPr>
          <w:i/>
          <w:iCs/>
          <w:szCs w:val="22"/>
        </w:rPr>
        <w:t xml:space="preserve">ex parte </w:t>
      </w:r>
      <w:r w:rsidRPr="00923BE8">
        <w:rPr>
          <w:szCs w:val="22"/>
        </w:rPr>
        <w:t>rules.</w:t>
      </w:r>
      <w:r w:rsidRPr="00923BE8">
        <w:rPr>
          <w:szCs w:val="22"/>
        </w:rPr>
        <w:tab/>
      </w:r>
    </w:p>
    <w:p w14:paraId="29294D91" w14:textId="77777777" w:rsidR="00905F7E" w:rsidRPr="009007BF" w:rsidRDefault="00905F7E" w:rsidP="00905F7E">
      <w:pPr>
        <w:autoSpaceDE w:val="0"/>
        <w:autoSpaceDN w:val="0"/>
        <w:adjustRightInd w:val="0"/>
        <w:rPr>
          <w:szCs w:val="22"/>
        </w:rPr>
      </w:pPr>
    </w:p>
    <w:p w14:paraId="3091758A" w14:textId="77777777" w:rsidR="00905F7E" w:rsidRDefault="00905F7E" w:rsidP="00905F7E">
      <w:pPr>
        <w:rPr>
          <w:sz w:val="24"/>
        </w:rPr>
      </w:pPr>
      <w:r w:rsidRPr="009007BF">
        <w:rPr>
          <w:b/>
          <w:szCs w:val="22"/>
        </w:rPr>
        <w:t>FOR FURTHER INFORMATION CONTACT:</w:t>
      </w:r>
      <w:r>
        <w:rPr>
          <w:szCs w:val="22"/>
        </w:rPr>
        <w:t xml:space="preserve">  Karen Schroeder</w:t>
      </w:r>
      <w:r w:rsidRPr="009007BF">
        <w:rPr>
          <w:szCs w:val="22"/>
        </w:rPr>
        <w:t xml:space="preserve">, Consumer </w:t>
      </w:r>
      <w:r>
        <w:rPr>
          <w:szCs w:val="22"/>
        </w:rPr>
        <w:t>and</w:t>
      </w:r>
      <w:r w:rsidRPr="009007BF">
        <w:rPr>
          <w:szCs w:val="22"/>
        </w:rPr>
        <w:t xml:space="preserve"> Governmental Affairs Bureau, Federal Com</w:t>
      </w:r>
      <w:r>
        <w:rPr>
          <w:szCs w:val="22"/>
        </w:rPr>
        <w:t>munications Commission, (202) 418-0654 (voice) or</w:t>
      </w:r>
      <w:r w:rsidRPr="009007BF">
        <w:rPr>
          <w:szCs w:val="22"/>
        </w:rPr>
        <w:t xml:space="preserve"> </w:t>
      </w:r>
      <w:r>
        <w:rPr>
          <w:szCs w:val="22"/>
        </w:rPr>
        <w:t>Karen.Schroeder@fcc.gov.</w:t>
      </w:r>
    </w:p>
    <w:p w14:paraId="5756FC02" w14:textId="77777777" w:rsidR="00905F7E" w:rsidRDefault="00905F7E" w:rsidP="00905F7E">
      <w:pPr>
        <w:pStyle w:val="PlainText"/>
        <w:jc w:val="center"/>
        <w:rPr>
          <w:rFonts w:ascii="Times New Roman" w:hAnsi="Times New Roman" w:cs="Times New Roman"/>
          <w:b/>
          <w:sz w:val="22"/>
          <w:szCs w:val="22"/>
        </w:rPr>
      </w:pPr>
    </w:p>
    <w:p w14:paraId="3F0EC081" w14:textId="77777777" w:rsidR="00905F7E" w:rsidRDefault="00905F7E" w:rsidP="00905F7E">
      <w:pPr>
        <w:pStyle w:val="PlainText"/>
        <w:jc w:val="center"/>
        <w:rPr>
          <w:rFonts w:ascii="Times New Roman" w:hAnsi="Times New Roman" w:cs="Times New Roman"/>
          <w:b/>
          <w:sz w:val="22"/>
          <w:szCs w:val="22"/>
        </w:rPr>
      </w:pPr>
    </w:p>
    <w:p w14:paraId="33FBDE4B" w14:textId="77777777" w:rsidR="00C14F50" w:rsidRPr="00905F7E" w:rsidRDefault="00905F7E" w:rsidP="00905F7E">
      <w:pPr>
        <w:pStyle w:val="PlainText"/>
        <w:jc w:val="center"/>
        <w:rPr>
          <w:rFonts w:ascii="Times New Roman" w:hAnsi="Times New Roman" w:cs="Times New Roman"/>
          <w:b/>
          <w:sz w:val="22"/>
          <w:szCs w:val="22"/>
        </w:rPr>
      </w:pPr>
      <w:r>
        <w:rPr>
          <w:rFonts w:ascii="Times New Roman" w:hAnsi="Times New Roman" w:cs="Times New Roman"/>
          <w:b/>
          <w:sz w:val="22"/>
          <w:szCs w:val="22"/>
        </w:rPr>
        <w:t>-- FCC --</w:t>
      </w:r>
    </w:p>
    <w:sectPr w:rsidR="00C14F50" w:rsidRPr="00905F7E"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2CEDB" w14:textId="77777777" w:rsidR="00F933D3" w:rsidRDefault="00F933D3">
      <w:pPr>
        <w:spacing w:line="20" w:lineRule="exact"/>
      </w:pPr>
    </w:p>
  </w:endnote>
  <w:endnote w:type="continuationSeparator" w:id="0">
    <w:p w14:paraId="5DAFA3DE" w14:textId="77777777" w:rsidR="00F933D3" w:rsidRDefault="00F933D3">
      <w:r>
        <w:t xml:space="preserve"> </w:t>
      </w:r>
    </w:p>
  </w:endnote>
  <w:endnote w:type="continuationNotice" w:id="1">
    <w:p w14:paraId="2A13F3C6" w14:textId="77777777" w:rsidR="00F933D3" w:rsidRDefault="00F933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74C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465DFB0" w14:textId="77777777" w:rsidR="00D25FB5" w:rsidRDefault="00D25FB5">
    <w:pPr>
      <w:pStyle w:val="Footer"/>
    </w:pPr>
  </w:p>
  <w:p w14:paraId="1343390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19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C4AB7">
      <w:rPr>
        <w:noProof/>
      </w:rPr>
      <w:t>2</w:t>
    </w:r>
    <w:r>
      <w:fldChar w:fldCharType="end"/>
    </w:r>
  </w:p>
  <w:p w14:paraId="0516395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03B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4AC8E" w14:textId="77777777" w:rsidR="00F933D3" w:rsidRDefault="00F933D3">
      <w:r>
        <w:separator/>
      </w:r>
    </w:p>
  </w:footnote>
  <w:footnote w:type="continuationSeparator" w:id="0">
    <w:p w14:paraId="789019B6" w14:textId="77777777" w:rsidR="00F933D3" w:rsidRDefault="00F933D3" w:rsidP="00C721AC">
      <w:pPr>
        <w:spacing w:before="120"/>
        <w:rPr>
          <w:sz w:val="20"/>
        </w:rPr>
      </w:pPr>
      <w:r>
        <w:rPr>
          <w:sz w:val="20"/>
        </w:rPr>
        <w:t xml:space="preserve">(Continued from previous page)  </w:t>
      </w:r>
      <w:r>
        <w:rPr>
          <w:sz w:val="20"/>
        </w:rPr>
        <w:separator/>
      </w:r>
    </w:p>
  </w:footnote>
  <w:footnote w:type="continuationNotice" w:id="1">
    <w:p w14:paraId="2535D06F" w14:textId="77777777" w:rsidR="00F933D3" w:rsidRDefault="00F933D3" w:rsidP="00C721AC">
      <w:pPr>
        <w:jc w:val="right"/>
        <w:rPr>
          <w:sz w:val="20"/>
        </w:rPr>
      </w:pPr>
      <w:r>
        <w:rPr>
          <w:sz w:val="20"/>
        </w:rPr>
        <w:t>(continued….)</w:t>
      </w:r>
    </w:p>
  </w:footnote>
  <w:footnote w:id="2">
    <w:p w14:paraId="6098A140" w14:textId="17EB6087" w:rsidR="00980DEF" w:rsidRDefault="00980DEF" w:rsidP="00980DEF">
      <w:pPr>
        <w:pStyle w:val="FootnoteText"/>
      </w:pPr>
      <w:r>
        <w:rPr>
          <w:rStyle w:val="FootnoteReference"/>
        </w:rPr>
        <w:footnoteRef/>
      </w:r>
      <w:r>
        <w:t xml:space="preserve"> </w:t>
      </w:r>
      <w:r w:rsidR="00E21F29">
        <w:t>The</w:t>
      </w:r>
      <w:r>
        <w:t xml:space="preserve"> comment period set out in this Public Notice is in lieu of the pleading cycle for oppositions and replies to p</w:t>
      </w:r>
      <w:r w:rsidRPr="00B55093">
        <w:t>etitions for reconsideration in non-rulemaking proceedings</w:t>
      </w:r>
      <w:r>
        <w:t xml:space="preserve"> specified in </w:t>
      </w:r>
      <w:r>
        <w:rPr>
          <w:szCs w:val="22"/>
        </w:rPr>
        <w:t xml:space="preserve">47 CFR </w:t>
      </w:r>
      <w:r w:rsidRPr="00923BE8">
        <w:rPr>
          <w:szCs w:val="22"/>
        </w:rPr>
        <w:t>§§</w:t>
      </w:r>
      <w:r w:rsidR="00F32AF7">
        <w:rPr>
          <w:szCs w:val="22"/>
        </w:rPr>
        <w:t xml:space="preserve"> 1.106(g) and</w:t>
      </w:r>
      <w:r>
        <w:rPr>
          <w:szCs w:val="22"/>
        </w:rPr>
        <w:t xml:space="preserve"> (h), which would have allowed 10 days for filing</w:t>
      </w:r>
      <w:r w:rsidR="00E21F29">
        <w:rPr>
          <w:szCs w:val="22"/>
        </w:rPr>
        <w:t xml:space="preserve"> oppositions</w:t>
      </w:r>
      <w:r w:rsidR="00F32AF7">
        <w:rPr>
          <w:szCs w:val="22"/>
        </w:rPr>
        <w:t xml:space="preserve"> and 7 additional </w:t>
      </w:r>
      <w:r>
        <w:rPr>
          <w:szCs w:val="22"/>
        </w:rPr>
        <w:t xml:space="preserve">days for filing </w:t>
      </w:r>
      <w:r w:rsidR="00E21F29">
        <w:rPr>
          <w:szCs w:val="22"/>
        </w:rPr>
        <w:t xml:space="preserve">a </w:t>
      </w:r>
      <w:r>
        <w:rPr>
          <w:szCs w:val="22"/>
        </w:rPr>
        <w:t>reply</w:t>
      </w:r>
      <w:r w:rsidR="00E21F29">
        <w:rPr>
          <w:szCs w:val="22"/>
        </w:rPr>
        <w:t xml:space="preserve"> to the oppositions</w:t>
      </w:r>
      <w:r>
        <w:rPr>
          <w:szCs w:val="22"/>
        </w:rPr>
        <w:t xml:space="preserve">.  </w:t>
      </w:r>
      <w:r w:rsidR="00E21F29">
        <w:rPr>
          <w:szCs w:val="22"/>
        </w:rPr>
        <w:t xml:space="preserve">Pursuant to 47 CFR </w:t>
      </w:r>
      <w:r w:rsidR="00E21F29" w:rsidRPr="00923BE8">
        <w:rPr>
          <w:szCs w:val="22"/>
        </w:rPr>
        <w:t>§</w:t>
      </w:r>
      <w:r w:rsidR="00E21F29">
        <w:rPr>
          <w:szCs w:val="22"/>
        </w:rPr>
        <w:t xml:space="preserve"> 1.3, t</w:t>
      </w:r>
      <w:r>
        <w:rPr>
          <w:szCs w:val="22"/>
        </w:rPr>
        <w:t>he Commission may</w:t>
      </w:r>
      <w:r w:rsidR="00C86B3B">
        <w:rPr>
          <w:szCs w:val="22"/>
        </w:rPr>
        <w:t xml:space="preserve">, on its own motion, waive a rule for good cause.  We </w:t>
      </w:r>
      <w:r w:rsidR="00F32AF7">
        <w:rPr>
          <w:szCs w:val="22"/>
        </w:rPr>
        <w:t xml:space="preserve">find good cause to waive 47 CFR </w:t>
      </w:r>
      <w:r w:rsidR="00F32AF7" w:rsidRPr="00923BE8">
        <w:rPr>
          <w:szCs w:val="22"/>
        </w:rPr>
        <w:t>§§</w:t>
      </w:r>
      <w:r w:rsidR="00F32AF7">
        <w:rPr>
          <w:szCs w:val="22"/>
        </w:rPr>
        <w:t xml:space="preserve"> 1.106(g) and (h) here because </w:t>
      </w:r>
      <w:r>
        <w:rPr>
          <w:szCs w:val="22"/>
        </w:rPr>
        <w:t xml:space="preserve">the important and complex issues presented in the </w:t>
      </w:r>
      <w:r w:rsidR="00AE5C74">
        <w:rPr>
          <w:szCs w:val="22"/>
        </w:rPr>
        <w:t xml:space="preserve">instant petition </w:t>
      </w:r>
      <w:r w:rsidR="00F32AF7">
        <w:rPr>
          <w:szCs w:val="22"/>
        </w:rPr>
        <w:t>warrant allowing interested parties a longer period to f</w:t>
      </w:r>
      <w:r w:rsidR="00AE5C74">
        <w:rPr>
          <w:szCs w:val="22"/>
        </w:rPr>
        <w:t>ile comments and reply comments</w:t>
      </w:r>
      <w:r w:rsidR="00BC6D17">
        <w:rPr>
          <w:szCs w:val="22"/>
        </w:rPr>
        <w:t>, which will result in a fuller and more informative record</w:t>
      </w:r>
      <w:r w:rsidR="00AE5C74">
        <w:rPr>
          <w:szCs w:val="22"/>
        </w:rPr>
        <w:t>.</w:t>
      </w:r>
    </w:p>
  </w:footnote>
  <w:footnote w:id="3">
    <w:p w14:paraId="274D2662" w14:textId="3F361E85" w:rsidR="00102460" w:rsidRDefault="00150649" w:rsidP="00313F7A">
      <w:pPr>
        <w:pStyle w:val="FootnoteText"/>
      </w:pPr>
      <w:r>
        <w:rPr>
          <w:rStyle w:val="FootnoteReference"/>
        </w:rPr>
        <w:footnoteRef/>
      </w:r>
      <w:r>
        <w:t xml:space="preserve"> Petition of National Consumer Law Center et al. for Reconsideration of Declaratory Ruling and Request for Stay Pending Reconsideration, CG Docket No. 02-278, (filed </w:t>
      </w:r>
      <w:r w:rsidR="00982BB5">
        <w:t>July 26</w:t>
      </w:r>
      <w:r>
        <w:t xml:space="preserve">, 2016), </w:t>
      </w:r>
      <w:hyperlink r:id="rId1" w:history="1">
        <w:r w:rsidR="00982BB5" w:rsidRPr="00AA0BED">
          <w:rPr>
            <w:rStyle w:val="Hyperlink"/>
          </w:rPr>
          <w:t>https://www.fcc.gov/ecfs/filing/10726059270343</w:t>
        </w:r>
      </w:hyperlink>
      <w:r w:rsidR="00982BB5">
        <w:t xml:space="preserve"> </w:t>
      </w:r>
      <w:r>
        <w:t>(</w:t>
      </w:r>
      <w:r w:rsidRPr="00150649">
        <w:rPr>
          <w:i/>
        </w:rPr>
        <w:t>Petition</w:t>
      </w:r>
      <w:r>
        <w:t xml:space="preserve">). </w:t>
      </w:r>
      <w:r w:rsidR="00982BB5">
        <w:t xml:space="preserve"> NCLC</w:t>
      </w:r>
      <w:r w:rsidR="00982BB5" w:rsidRPr="00982BB5">
        <w:t xml:space="preserve"> is a nonprofit corporation </w:t>
      </w:r>
      <w:r w:rsidR="00982BB5">
        <w:t>that</w:t>
      </w:r>
      <w:r w:rsidR="00982BB5" w:rsidRPr="00982BB5">
        <w:t xml:space="preserve"> assist</w:t>
      </w:r>
      <w:r w:rsidR="00313F7A">
        <w:t>s</w:t>
      </w:r>
      <w:r w:rsidR="00982BB5" w:rsidRPr="00982BB5">
        <w:t xml:space="preserve"> legal services, consumer law attorneys, consumer advocates</w:t>
      </w:r>
      <w:r w:rsidR="00A2772F">
        <w:t>,</w:t>
      </w:r>
      <w:r w:rsidR="00982BB5" w:rsidRPr="00982BB5">
        <w:t xml:space="preserve"> and public policy makers in consumer law </w:t>
      </w:r>
      <w:r w:rsidR="00982BB5">
        <w:t>matters</w:t>
      </w:r>
      <w:r>
        <w:t xml:space="preserve">. </w:t>
      </w:r>
      <w:r w:rsidR="001367D1">
        <w:t xml:space="preserve"> </w:t>
      </w:r>
      <w:r w:rsidRPr="00150649">
        <w:rPr>
          <w:i/>
        </w:rPr>
        <w:t>Id</w:t>
      </w:r>
      <w:r>
        <w:t xml:space="preserve">. at 2. </w:t>
      </w:r>
      <w:r w:rsidR="00982BB5">
        <w:t xml:space="preserve"> NCLC filed the </w:t>
      </w:r>
      <w:r w:rsidR="00982BB5" w:rsidRPr="00982BB5">
        <w:rPr>
          <w:i/>
        </w:rPr>
        <w:t>Petition</w:t>
      </w:r>
      <w:r w:rsidR="00982BB5">
        <w:t xml:space="preserve"> </w:t>
      </w:r>
      <w:r w:rsidR="00982BB5" w:rsidRPr="00982BB5">
        <w:t xml:space="preserve">on behalf of its low-income clients, </w:t>
      </w:r>
      <w:r w:rsidR="00982BB5">
        <w:t>22</w:t>
      </w:r>
      <w:r w:rsidR="00982BB5" w:rsidRPr="00982BB5">
        <w:t xml:space="preserve"> legal aid programs, and</w:t>
      </w:r>
      <w:r w:rsidR="00982BB5">
        <w:t xml:space="preserve"> 28</w:t>
      </w:r>
      <w:r w:rsidR="00982BB5" w:rsidRPr="00982BB5">
        <w:t xml:space="preserve"> </w:t>
      </w:r>
      <w:r w:rsidR="00982BB5">
        <w:t>advocacy organizations.</w:t>
      </w:r>
      <w:r w:rsidR="00982BB5" w:rsidRPr="00982BB5">
        <w:rPr>
          <w:i/>
        </w:rPr>
        <w:t xml:space="preserve"> </w:t>
      </w:r>
      <w:r w:rsidR="00982BB5">
        <w:rPr>
          <w:i/>
        </w:rPr>
        <w:t xml:space="preserve"> </w:t>
      </w:r>
      <w:r w:rsidR="00982BB5" w:rsidRPr="00150649">
        <w:rPr>
          <w:i/>
        </w:rPr>
        <w:t>Id</w:t>
      </w:r>
      <w:r w:rsidR="00982BB5">
        <w:t>. at 1.</w:t>
      </w:r>
      <w:r w:rsidR="00313F7A" w:rsidDel="00313F7A">
        <w:t xml:space="preserve"> </w:t>
      </w:r>
      <w:r w:rsidR="00313F7A">
        <w:t xml:space="preserve"> We seek comment on its </w:t>
      </w:r>
      <w:r w:rsidR="00102460">
        <w:t xml:space="preserve">Request for Stay </w:t>
      </w:r>
      <w:r w:rsidR="00313F7A">
        <w:t xml:space="preserve">in a </w:t>
      </w:r>
      <w:r w:rsidR="00102460">
        <w:t xml:space="preserve">separate Public Notice with </w:t>
      </w:r>
      <w:r w:rsidR="00313F7A">
        <w:t xml:space="preserve">a different </w:t>
      </w:r>
      <w:r w:rsidR="00102460">
        <w:t xml:space="preserve">comment </w:t>
      </w:r>
      <w:r w:rsidR="00313F7A">
        <w:t xml:space="preserve">cycle.  </w:t>
      </w:r>
    </w:p>
  </w:footnote>
  <w:footnote w:id="4">
    <w:p w14:paraId="0E4A76CB" w14:textId="74579D53" w:rsidR="00AB2BB0" w:rsidRDefault="00AB2BB0">
      <w:pPr>
        <w:pStyle w:val="FootnoteText"/>
      </w:pPr>
      <w:r>
        <w:rPr>
          <w:rStyle w:val="FootnoteReference"/>
        </w:rPr>
        <w:footnoteRef/>
      </w:r>
      <w:r>
        <w:t xml:space="preserve"> </w:t>
      </w:r>
      <w:r w:rsidRPr="00AB2BB0">
        <w:rPr>
          <w:i/>
        </w:rPr>
        <w:t>Rules and Regulations Implementing the Telephone Consumer Protection Act of 1991, Petitions for Declaratory Ruling by Broadnet Teleservices LLC, National Employment Network Association, RTI International</w:t>
      </w:r>
      <w:r w:rsidRPr="00AB2BB0">
        <w:t xml:space="preserve">, </w:t>
      </w:r>
      <w:r w:rsidR="00165DE5" w:rsidRPr="00AB2BB0">
        <w:t>CG Docket No. 02-278</w:t>
      </w:r>
      <w:r w:rsidR="00165DE5">
        <w:t>,</w:t>
      </w:r>
      <w:r w:rsidR="00165DE5" w:rsidRPr="00AB2BB0">
        <w:t xml:space="preserve"> </w:t>
      </w:r>
      <w:r w:rsidRPr="00AB2BB0">
        <w:t>Declaratory Ruling, FCC 16-72, (</w:t>
      </w:r>
      <w:r w:rsidR="00165DE5">
        <w:t xml:space="preserve">July 5, </w:t>
      </w:r>
      <w:r w:rsidRPr="00AB2BB0">
        <w:t>2016)</w:t>
      </w:r>
      <w:r w:rsidR="00C20525">
        <w:t xml:space="preserve"> (</w:t>
      </w:r>
      <w:r w:rsidR="00C20525" w:rsidRPr="00C20525">
        <w:rPr>
          <w:i/>
        </w:rPr>
        <w:t>Broadnet Declaratory Ruling</w:t>
      </w:r>
      <w:r w:rsidR="006A2814">
        <w:t xml:space="preserve"> or </w:t>
      </w:r>
      <w:r w:rsidR="006A2814">
        <w:rPr>
          <w:i/>
        </w:rPr>
        <w:t>Broadnet</w:t>
      </w:r>
      <w:r w:rsidR="00C20525">
        <w:t>).</w:t>
      </w:r>
    </w:p>
  </w:footnote>
  <w:footnote w:id="5">
    <w:p w14:paraId="37BDC58D" w14:textId="31873DFB" w:rsidR="008E1C55" w:rsidRDefault="008E1C55">
      <w:pPr>
        <w:pStyle w:val="FootnoteText"/>
      </w:pPr>
      <w:r>
        <w:rPr>
          <w:rStyle w:val="FootnoteReference"/>
        </w:rPr>
        <w:footnoteRef/>
      </w:r>
      <w:r>
        <w:t xml:space="preserve"> The Communications Act defines “person” to “include[] an individual, partnership, association, joint-stock company, trust, or corporation.”  47 U.S.C. § 153(39).</w:t>
      </w:r>
    </w:p>
  </w:footnote>
  <w:footnote w:id="6">
    <w:p w14:paraId="78326FDF" w14:textId="4EA47210" w:rsidR="00A2772F" w:rsidRPr="00A2772F" w:rsidRDefault="00A2772F">
      <w:pPr>
        <w:pStyle w:val="FootnoteText"/>
      </w:pPr>
      <w:r>
        <w:rPr>
          <w:rStyle w:val="FootnoteReference"/>
        </w:rPr>
        <w:footnoteRef/>
      </w:r>
      <w:r>
        <w:t xml:space="preserve"> </w:t>
      </w:r>
      <w:r w:rsidRPr="00C20525">
        <w:rPr>
          <w:i/>
        </w:rPr>
        <w:t>Broadnet Declaratory Ruling</w:t>
      </w:r>
      <w:r>
        <w:t xml:space="preserve"> </w:t>
      </w:r>
      <w:r w:rsidR="00165DE5">
        <w:t xml:space="preserve">at </w:t>
      </w:r>
      <w:r w:rsidR="008E1C55">
        <w:t>para. 16.</w:t>
      </w:r>
    </w:p>
  </w:footnote>
  <w:footnote w:id="7">
    <w:p w14:paraId="204CFEF1" w14:textId="36D450E5" w:rsidR="008E1C55" w:rsidRDefault="008E1C55">
      <w:pPr>
        <w:pStyle w:val="FootnoteText"/>
      </w:pPr>
      <w:r>
        <w:rPr>
          <w:rStyle w:val="FootnoteReference"/>
        </w:rPr>
        <w:footnoteRef/>
      </w:r>
      <w:r>
        <w:t xml:space="preserve"> The TCPA is codified at 47 U.S.C. § 227.  The Commission’s implementing rules are codified at 47 CFR §</w:t>
      </w:r>
      <w:r w:rsidR="00165DE5">
        <w:t> </w:t>
      </w:r>
      <w:r>
        <w:t>64.1200.</w:t>
      </w:r>
    </w:p>
  </w:footnote>
  <w:footnote w:id="8">
    <w:p w14:paraId="23A5B6D0" w14:textId="542E0BF1" w:rsidR="008E1C55" w:rsidRDefault="008E1C55" w:rsidP="008E1C55">
      <w:pPr>
        <w:pStyle w:val="FootnoteText"/>
      </w:pPr>
      <w:r>
        <w:rPr>
          <w:rStyle w:val="FootnoteReference"/>
        </w:rPr>
        <w:footnoteRef/>
      </w:r>
      <w:r>
        <w:t xml:space="preserve"> </w:t>
      </w:r>
      <w:r w:rsidRPr="00C20525">
        <w:rPr>
          <w:i/>
        </w:rPr>
        <w:t>Broadnet Declaratory Ruling</w:t>
      </w:r>
      <w:r>
        <w:t xml:space="preserve"> at</w:t>
      </w:r>
      <w:r w:rsidR="00165DE5">
        <w:t xml:space="preserve"> </w:t>
      </w:r>
      <w:r>
        <w:t>para. 17.</w:t>
      </w:r>
    </w:p>
  </w:footnote>
  <w:footnote w:id="9">
    <w:p w14:paraId="5647ECA2" w14:textId="70D32459" w:rsidR="00154FC5" w:rsidRDefault="00154FC5">
      <w:pPr>
        <w:pStyle w:val="FootnoteText"/>
      </w:pPr>
      <w:r>
        <w:rPr>
          <w:rStyle w:val="FootnoteReference"/>
        </w:rPr>
        <w:footnoteRef/>
      </w:r>
      <w:r>
        <w:t xml:space="preserve"> </w:t>
      </w:r>
      <w:r w:rsidR="00313F7A">
        <w:rPr>
          <w:i/>
        </w:rPr>
        <w:t xml:space="preserve">Id. </w:t>
      </w:r>
      <w:r w:rsidRPr="00ED74ED">
        <w:t>at</w:t>
      </w:r>
      <w:r>
        <w:t xml:space="preserve"> 6.</w:t>
      </w:r>
    </w:p>
  </w:footnote>
  <w:footnote w:id="10">
    <w:p w14:paraId="5845505B" w14:textId="22D55E85" w:rsidR="00154FC5" w:rsidRDefault="00154FC5">
      <w:pPr>
        <w:pStyle w:val="FootnoteText"/>
      </w:pPr>
      <w:r>
        <w:rPr>
          <w:rStyle w:val="FootnoteReference"/>
        </w:rPr>
        <w:footnoteRef/>
      </w:r>
      <w:r>
        <w:t xml:space="preserve"> </w:t>
      </w:r>
      <w:r w:rsidR="00C701A4">
        <w:rPr>
          <w:i/>
        </w:rPr>
        <w:t xml:space="preserve">Id. </w:t>
      </w:r>
      <w:r>
        <w:t>at 7-8.</w:t>
      </w:r>
    </w:p>
  </w:footnote>
  <w:footnote w:id="11">
    <w:p w14:paraId="46002CB1" w14:textId="77777777" w:rsidR="001839AE" w:rsidRDefault="001839AE" w:rsidP="001839AE">
      <w:pPr>
        <w:pStyle w:val="FootnoteText"/>
      </w:pPr>
      <w:r>
        <w:rPr>
          <w:rStyle w:val="FootnoteReference"/>
        </w:rPr>
        <w:footnoteRef/>
      </w:r>
      <w:r>
        <w:t xml:space="preserve"> </w:t>
      </w:r>
      <w:r>
        <w:rPr>
          <w:i/>
        </w:rPr>
        <w:t xml:space="preserve">Id. </w:t>
      </w:r>
      <w:r>
        <w:t>at 10.</w:t>
      </w:r>
    </w:p>
  </w:footnote>
  <w:footnote w:id="12">
    <w:p w14:paraId="4035D971" w14:textId="77777777" w:rsidR="001839AE" w:rsidRDefault="001839AE" w:rsidP="001839AE">
      <w:pPr>
        <w:pStyle w:val="FootnoteText"/>
      </w:pPr>
      <w:r>
        <w:rPr>
          <w:rStyle w:val="FootnoteReference"/>
        </w:rPr>
        <w:footnoteRef/>
      </w:r>
      <w:r>
        <w:t xml:space="preserve"> </w:t>
      </w:r>
      <w:r w:rsidRPr="00154FC5">
        <w:rPr>
          <w:i/>
        </w:rPr>
        <w:t>See</w:t>
      </w:r>
      <w:r>
        <w:t xml:space="preserve"> Bipartisan </w:t>
      </w:r>
      <w:r w:rsidRPr="00154FC5">
        <w:t>Budget</w:t>
      </w:r>
      <w:r>
        <w:t xml:space="preserve"> Act of 2015, Pub. L. No. 114-74, 129 Stat. 584 (Budget Act) § 301(a)(1)(A) (amending 47 U.S.C. § 227(b)(1)(A)); </w:t>
      </w:r>
      <w:r>
        <w:rPr>
          <w:i/>
        </w:rPr>
        <w:t xml:space="preserve">see also id. </w:t>
      </w:r>
      <w:r>
        <w:t>§ 301(a)(1)(B) (amending 47 U.S.C. § 227(b)(1)(B) to read, in part, that artificial- or prerecorded-voice calls cannot be made to a residential telephone line without the consent of the called party unless the call is “made solely pursuant to the collection of a debt owed to or guaranteed by the United States”).</w:t>
      </w:r>
    </w:p>
  </w:footnote>
  <w:footnote w:id="13">
    <w:p w14:paraId="6CE38BC1" w14:textId="77777777" w:rsidR="001839AE" w:rsidRPr="00B74FA4" w:rsidRDefault="001839AE" w:rsidP="001839AE">
      <w:pPr>
        <w:pStyle w:val="FootnoteText"/>
      </w:pPr>
      <w:r>
        <w:rPr>
          <w:rStyle w:val="FootnoteReference"/>
        </w:rPr>
        <w:footnoteRef/>
      </w:r>
      <w:r>
        <w:t xml:space="preserve"> </w:t>
      </w:r>
      <w:r>
        <w:rPr>
          <w:i/>
        </w:rPr>
        <w:t>Petition</w:t>
      </w:r>
      <w:r>
        <w:t xml:space="preserve"> at 12</w:t>
      </w:r>
      <w:r>
        <w:rPr>
          <w:i/>
        </w:rPr>
        <w:t>.</w:t>
      </w:r>
    </w:p>
  </w:footnote>
  <w:footnote w:id="14">
    <w:p w14:paraId="5FD35739" w14:textId="77777777" w:rsidR="005B0B11" w:rsidRDefault="005B0B11" w:rsidP="005B0B11">
      <w:pPr>
        <w:pStyle w:val="FootnoteText"/>
      </w:pPr>
      <w:r>
        <w:rPr>
          <w:rStyle w:val="FootnoteReference"/>
        </w:rPr>
        <w:footnoteRef/>
      </w:r>
      <w:r>
        <w:t xml:space="preserve"> </w:t>
      </w:r>
      <w:r>
        <w:rPr>
          <w:i/>
        </w:rPr>
        <w:t xml:space="preserve">Id. </w:t>
      </w:r>
      <w:r>
        <w:t>at 13-15.</w:t>
      </w:r>
    </w:p>
  </w:footnote>
  <w:footnote w:id="15">
    <w:p w14:paraId="383932FE" w14:textId="59CFFC2C" w:rsidR="00905F7E" w:rsidRPr="00E10DE3" w:rsidRDefault="00905F7E" w:rsidP="00905F7E">
      <w:pPr>
        <w:pStyle w:val="FootnoteText"/>
        <w:rPr>
          <w:iCs/>
        </w:rPr>
      </w:pPr>
      <w:r w:rsidRPr="00E10DE3">
        <w:rPr>
          <w:rStyle w:val="FootnoteReference"/>
        </w:rPr>
        <w:footnoteRef/>
      </w:r>
      <w:r w:rsidRPr="00E10DE3">
        <w:t xml:space="preserve"> 47 CFR §§ 1.1200 </w:t>
      </w:r>
      <w:r w:rsidRPr="00E10DE3">
        <w:rPr>
          <w:i/>
          <w:iCs/>
        </w:rPr>
        <w:t>et seq</w:t>
      </w:r>
      <w:r w:rsidRPr="00E10DE3">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7B0F" w14:textId="77777777" w:rsidR="00DB2C2B" w:rsidRDefault="00DB2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07C2" w14:textId="77777777" w:rsidR="00DB2C2B" w:rsidRDefault="00DB2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BEA"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B008F40" wp14:editId="5F84710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008F4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6F1E1A7" wp14:editId="386AAD0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1B1FF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7C5B46" wp14:editId="10C6910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87CB5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B78D0B" wp14:editId="18AAB95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42F1479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C4AB7">
                            <w:rPr>
                              <w:rFonts w:ascii="Arial" w:hAnsi="Arial"/>
                              <w:b/>
                              <w:sz w:val="16"/>
                            </w:rPr>
                            <w:instrText>HYPERLINK "https://www.fcc.gov/"</w:instrText>
                          </w:r>
                          <w:r w:rsidR="002C4AB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42F1479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C4AB7">
                      <w:rPr>
                        <w:rFonts w:ascii="Arial" w:hAnsi="Arial"/>
                        <w:b/>
                        <w:sz w:val="16"/>
                      </w:rPr>
                      <w:instrText>HYPERLINK "https://www.fcc.gov/"</w:instrText>
                    </w:r>
                    <w:r w:rsidR="002C4AB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09"/>
    <w:rsid w:val="0001334F"/>
    <w:rsid w:val="00036039"/>
    <w:rsid w:val="00037F90"/>
    <w:rsid w:val="00050CBB"/>
    <w:rsid w:val="0006719F"/>
    <w:rsid w:val="00073559"/>
    <w:rsid w:val="000875BF"/>
    <w:rsid w:val="00096D8C"/>
    <w:rsid w:val="000C0B65"/>
    <w:rsid w:val="000D68C6"/>
    <w:rsid w:val="000E05FE"/>
    <w:rsid w:val="000E3D42"/>
    <w:rsid w:val="00102460"/>
    <w:rsid w:val="001152A8"/>
    <w:rsid w:val="00122BD5"/>
    <w:rsid w:val="00133F79"/>
    <w:rsid w:val="0013481C"/>
    <w:rsid w:val="001367D1"/>
    <w:rsid w:val="00150649"/>
    <w:rsid w:val="00154FC5"/>
    <w:rsid w:val="00160F22"/>
    <w:rsid w:val="00165DE5"/>
    <w:rsid w:val="001839AE"/>
    <w:rsid w:val="00194A66"/>
    <w:rsid w:val="001B4B30"/>
    <w:rsid w:val="001D144B"/>
    <w:rsid w:val="001D6BCF"/>
    <w:rsid w:val="001E01CA"/>
    <w:rsid w:val="00254106"/>
    <w:rsid w:val="00275CF5"/>
    <w:rsid w:val="0028301F"/>
    <w:rsid w:val="00285017"/>
    <w:rsid w:val="002A2D2E"/>
    <w:rsid w:val="002C00E8"/>
    <w:rsid w:val="002C08D1"/>
    <w:rsid w:val="002C4AB7"/>
    <w:rsid w:val="002D0EDC"/>
    <w:rsid w:val="00300F90"/>
    <w:rsid w:val="00313F7A"/>
    <w:rsid w:val="00326B31"/>
    <w:rsid w:val="00341013"/>
    <w:rsid w:val="00343749"/>
    <w:rsid w:val="003660ED"/>
    <w:rsid w:val="003B0550"/>
    <w:rsid w:val="003B694F"/>
    <w:rsid w:val="003F171C"/>
    <w:rsid w:val="00401DFA"/>
    <w:rsid w:val="0040338F"/>
    <w:rsid w:val="00412FC5"/>
    <w:rsid w:val="00422276"/>
    <w:rsid w:val="004242F1"/>
    <w:rsid w:val="00435B99"/>
    <w:rsid w:val="00440C83"/>
    <w:rsid w:val="00445A00"/>
    <w:rsid w:val="00451B0F"/>
    <w:rsid w:val="00474DC7"/>
    <w:rsid w:val="004C2EE3"/>
    <w:rsid w:val="004C4898"/>
    <w:rsid w:val="004E4A22"/>
    <w:rsid w:val="00511968"/>
    <w:rsid w:val="00523C86"/>
    <w:rsid w:val="00552E14"/>
    <w:rsid w:val="0055614C"/>
    <w:rsid w:val="005B0B11"/>
    <w:rsid w:val="005D0549"/>
    <w:rsid w:val="005E14C2"/>
    <w:rsid w:val="005E3FBC"/>
    <w:rsid w:val="005F2326"/>
    <w:rsid w:val="00607BA5"/>
    <w:rsid w:val="0061180A"/>
    <w:rsid w:val="006167E9"/>
    <w:rsid w:val="00626EB6"/>
    <w:rsid w:val="00655D03"/>
    <w:rsid w:val="006609F7"/>
    <w:rsid w:val="0066399E"/>
    <w:rsid w:val="00683388"/>
    <w:rsid w:val="00683F84"/>
    <w:rsid w:val="006A1F49"/>
    <w:rsid w:val="006A2814"/>
    <w:rsid w:val="006A3D3A"/>
    <w:rsid w:val="006A6A81"/>
    <w:rsid w:val="006B01E1"/>
    <w:rsid w:val="006B1456"/>
    <w:rsid w:val="006F7393"/>
    <w:rsid w:val="0070224F"/>
    <w:rsid w:val="007115F7"/>
    <w:rsid w:val="007117CA"/>
    <w:rsid w:val="0078073B"/>
    <w:rsid w:val="00785689"/>
    <w:rsid w:val="00787F1D"/>
    <w:rsid w:val="0079754B"/>
    <w:rsid w:val="007A1E6D"/>
    <w:rsid w:val="007B0EB2"/>
    <w:rsid w:val="007B10E5"/>
    <w:rsid w:val="007F413A"/>
    <w:rsid w:val="00810B6F"/>
    <w:rsid w:val="00822CE0"/>
    <w:rsid w:val="00841AB1"/>
    <w:rsid w:val="008649C4"/>
    <w:rsid w:val="008C68F1"/>
    <w:rsid w:val="008E1C55"/>
    <w:rsid w:val="00905F7E"/>
    <w:rsid w:val="00921803"/>
    <w:rsid w:val="00926503"/>
    <w:rsid w:val="009337DD"/>
    <w:rsid w:val="009726D8"/>
    <w:rsid w:val="00980DEF"/>
    <w:rsid w:val="00982BB5"/>
    <w:rsid w:val="009D3CA0"/>
    <w:rsid w:val="009F76DB"/>
    <w:rsid w:val="00A2772F"/>
    <w:rsid w:val="00A3204B"/>
    <w:rsid w:val="00A32C3B"/>
    <w:rsid w:val="00A45F4F"/>
    <w:rsid w:val="00A600A9"/>
    <w:rsid w:val="00A65801"/>
    <w:rsid w:val="00AA55B7"/>
    <w:rsid w:val="00AA5B9E"/>
    <w:rsid w:val="00AB2407"/>
    <w:rsid w:val="00AB2BB0"/>
    <w:rsid w:val="00AB53DF"/>
    <w:rsid w:val="00AC424B"/>
    <w:rsid w:val="00AE5C74"/>
    <w:rsid w:val="00AF46DC"/>
    <w:rsid w:val="00B07E5C"/>
    <w:rsid w:val="00B20363"/>
    <w:rsid w:val="00B22A33"/>
    <w:rsid w:val="00B338A9"/>
    <w:rsid w:val="00B55093"/>
    <w:rsid w:val="00B679AB"/>
    <w:rsid w:val="00B74FA4"/>
    <w:rsid w:val="00B76DB8"/>
    <w:rsid w:val="00B77409"/>
    <w:rsid w:val="00B811F7"/>
    <w:rsid w:val="00BA5DC6"/>
    <w:rsid w:val="00BA6196"/>
    <w:rsid w:val="00BB1534"/>
    <w:rsid w:val="00BB5510"/>
    <w:rsid w:val="00BC6D17"/>
    <w:rsid w:val="00BC6D8C"/>
    <w:rsid w:val="00C14F50"/>
    <w:rsid w:val="00C20525"/>
    <w:rsid w:val="00C27C8D"/>
    <w:rsid w:val="00C34006"/>
    <w:rsid w:val="00C426B1"/>
    <w:rsid w:val="00C47693"/>
    <w:rsid w:val="00C66160"/>
    <w:rsid w:val="00C701A4"/>
    <w:rsid w:val="00C721AC"/>
    <w:rsid w:val="00C86B3B"/>
    <w:rsid w:val="00C90D6A"/>
    <w:rsid w:val="00CA247E"/>
    <w:rsid w:val="00CA43D7"/>
    <w:rsid w:val="00CA721E"/>
    <w:rsid w:val="00CC72B6"/>
    <w:rsid w:val="00CC776F"/>
    <w:rsid w:val="00CF082D"/>
    <w:rsid w:val="00D0218D"/>
    <w:rsid w:val="00D16C60"/>
    <w:rsid w:val="00D25FB5"/>
    <w:rsid w:val="00D44223"/>
    <w:rsid w:val="00D47505"/>
    <w:rsid w:val="00D73D7D"/>
    <w:rsid w:val="00D90383"/>
    <w:rsid w:val="00D95FDE"/>
    <w:rsid w:val="00DA2529"/>
    <w:rsid w:val="00DB130A"/>
    <w:rsid w:val="00DB2C2B"/>
    <w:rsid w:val="00DB2EBB"/>
    <w:rsid w:val="00DB4E82"/>
    <w:rsid w:val="00DC10A1"/>
    <w:rsid w:val="00DC655F"/>
    <w:rsid w:val="00DD0B59"/>
    <w:rsid w:val="00DD3913"/>
    <w:rsid w:val="00DD7EBD"/>
    <w:rsid w:val="00DE4C8D"/>
    <w:rsid w:val="00DF0810"/>
    <w:rsid w:val="00DF62B6"/>
    <w:rsid w:val="00E07225"/>
    <w:rsid w:val="00E21F29"/>
    <w:rsid w:val="00E46823"/>
    <w:rsid w:val="00E5409F"/>
    <w:rsid w:val="00E92D96"/>
    <w:rsid w:val="00EB4ACC"/>
    <w:rsid w:val="00ED0837"/>
    <w:rsid w:val="00ED74ED"/>
    <w:rsid w:val="00EE6488"/>
    <w:rsid w:val="00EF3E15"/>
    <w:rsid w:val="00F021FA"/>
    <w:rsid w:val="00F32AF7"/>
    <w:rsid w:val="00F43AF4"/>
    <w:rsid w:val="00F4588E"/>
    <w:rsid w:val="00F62E97"/>
    <w:rsid w:val="00F64209"/>
    <w:rsid w:val="00F8591E"/>
    <w:rsid w:val="00F933D3"/>
    <w:rsid w:val="00F93BF5"/>
    <w:rsid w:val="00FE2C6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1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Appel note de bas de p,Style 12,(NECG) Footnote Reference,Style 124,o,fr,Style 3,Style 13,FR,Style 17,Style 6,Footnote Reference/"/>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Appel note de bas de p,Style 12,(NECG) Footnote Reference,Style 124,o,fr,Style 3,Style 13,FR,Style 17,Style 6,Footnote Reference/"/>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7260592703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958</Words>
  <Characters>5449</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2016-08-01T19:17:00Z</cp:lastPrinted>
  <dcterms:created xsi:type="dcterms:W3CDTF">2016-08-01T20:26:00Z</dcterms:created>
  <dcterms:modified xsi:type="dcterms:W3CDTF">2016-08-01T20:26:00Z</dcterms:modified>
  <cp:category> </cp:category>
  <cp:contentStatus> </cp:contentStatus>
</cp:coreProperties>
</file>