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 xml:space="preserve">In </w:t>
            </w:r>
            <w:r w:rsidR="009242B7">
              <w:rPr>
                <w:spacing w:val="-2"/>
              </w:rPr>
              <w:t>re Applications</w:t>
            </w:r>
            <w:r>
              <w:rPr>
                <w:spacing w:val="-2"/>
              </w:rPr>
              <w:t xml:space="preserve"> of</w:t>
            </w:r>
          </w:p>
          <w:p w:rsidR="004C2EE3" w:rsidRDefault="004C2EE3">
            <w:pPr>
              <w:tabs>
                <w:tab w:val="center" w:pos="4680"/>
              </w:tabs>
              <w:suppressAutoHyphens/>
              <w:rPr>
                <w:spacing w:val="-2"/>
              </w:rPr>
            </w:pPr>
          </w:p>
          <w:p w:rsidR="00771D01" w:rsidRDefault="00771D01" w:rsidP="00771D01">
            <w:pPr>
              <w:tabs>
                <w:tab w:val="center" w:pos="4680"/>
              </w:tabs>
              <w:suppressAutoHyphens/>
              <w:rPr>
                <w:spacing w:val="-2"/>
              </w:rPr>
            </w:pPr>
            <w:r>
              <w:rPr>
                <w:spacing w:val="-2"/>
              </w:rPr>
              <w:t>ESTATE OF LINDA WARE, CYNTHIA RAMAGE, EXECUTOR</w:t>
            </w:r>
            <w:r w:rsidR="009242B7">
              <w:rPr>
                <w:spacing w:val="-2"/>
              </w:rPr>
              <w:t>, Assignor</w:t>
            </w:r>
          </w:p>
          <w:p w:rsidR="00771D01" w:rsidRDefault="00771D01" w:rsidP="00771D01">
            <w:pPr>
              <w:tabs>
                <w:tab w:val="center" w:pos="4680"/>
              </w:tabs>
              <w:suppressAutoHyphens/>
              <w:rPr>
                <w:spacing w:val="-2"/>
              </w:rPr>
            </w:pPr>
          </w:p>
          <w:p w:rsidR="00771D01" w:rsidRDefault="009242B7" w:rsidP="00771D01">
            <w:pPr>
              <w:tabs>
                <w:tab w:val="center" w:pos="4680"/>
              </w:tabs>
              <w:suppressAutoHyphens/>
              <w:rPr>
                <w:spacing w:val="-2"/>
              </w:rPr>
            </w:pPr>
            <w:r>
              <w:rPr>
                <w:spacing w:val="-2"/>
              </w:rPr>
              <w:t>To</w:t>
            </w:r>
            <w:r w:rsidR="00771D01">
              <w:rPr>
                <w:spacing w:val="-2"/>
              </w:rPr>
              <w:t xml:space="preserve"> Assign the License of Broadcast Station KZPO(FM), Lindsay, California</w:t>
            </w:r>
          </w:p>
          <w:p w:rsidR="00771D01" w:rsidRDefault="00771D01" w:rsidP="00771D01">
            <w:pPr>
              <w:tabs>
                <w:tab w:val="center" w:pos="4680"/>
              </w:tabs>
              <w:suppressAutoHyphens/>
              <w:rPr>
                <w:spacing w:val="-2"/>
              </w:rPr>
            </w:pPr>
          </w:p>
          <w:p w:rsidR="00771D01" w:rsidRDefault="00771D01" w:rsidP="00771D01">
            <w:pPr>
              <w:tabs>
                <w:tab w:val="center" w:pos="4680"/>
              </w:tabs>
              <w:suppressAutoHyphens/>
              <w:rPr>
                <w:spacing w:val="-2"/>
              </w:rPr>
            </w:pPr>
            <w:r>
              <w:rPr>
                <w:spacing w:val="-2"/>
              </w:rPr>
              <w:t>ESTATE OF H.L. CHARLES, ROBERT WILLING, EXECUTOR</w:t>
            </w:r>
            <w:r w:rsidR="009242B7">
              <w:rPr>
                <w:spacing w:val="-2"/>
              </w:rPr>
              <w:t>, Assignor</w:t>
            </w:r>
          </w:p>
          <w:p w:rsidR="00771D01" w:rsidRDefault="00771D01" w:rsidP="00771D01">
            <w:pPr>
              <w:tabs>
                <w:tab w:val="center" w:pos="4680"/>
              </w:tabs>
              <w:suppressAutoHyphens/>
              <w:rPr>
                <w:spacing w:val="-2"/>
              </w:rPr>
            </w:pPr>
          </w:p>
          <w:p w:rsidR="00771D01" w:rsidRDefault="009242B7" w:rsidP="00771D01">
            <w:pPr>
              <w:tabs>
                <w:tab w:val="center" w:pos="4680"/>
              </w:tabs>
              <w:suppressAutoHyphens/>
              <w:rPr>
                <w:spacing w:val="-2"/>
              </w:rPr>
            </w:pPr>
            <w:r>
              <w:rPr>
                <w:spacing w:val="-2"/>
              </w:rPr>
              <w:t>T</w:t>
            </w:r>
            <w:r w:rsidR="00771D01">
              <w:rPr>
                <w:spacing w:val="-2"/>
              </w:rPr>
              <w:t>o Assign the Construction Permit of Broadcast Station KZPE(FM), Ford City, California</w:t>
            </w:r>
          </w:p>
          <w:p w:rsidR="00771D01" w:rsidRDefault="00771D01" w:rsidP="00771D01">
            <w:pPr>
              <w:tabs>
                <w:tab w:val="center" w:pos="4680"/>
              </w:tabs>
              <w:suppressAutoHyphens/>
              <w:rPr>
                <w:spacing w:val="-2"/>
              </w:rPr>
            </w:pPr>
          </w:p>
          <w:p w:rsidR="00771D01" w:rsidRDefault="00771D01" w:rsidP="00771D01">
            <w:pPr>
              <w:tabs>
                <w:tab w:val="center" w:pos="4680"/>
              </w:tabs>
              <w:suppressAutoHyphens/>
              <w:rPr>
                <w:spacing w:val="-2"/>
              </w:rPr>
            </w:pPr>
            <w:r>
              <w:rPr>
                <w:spacing w:val="-2"/>
              </w:rPr>
              <w:t>WILLIAM L. ZAWILA</w:t>
            </w:r>
            <w:r w:rsidR="009242B7">
              <w:rPr>
                <w:spacing w:val="-2"/>
              </w:rPr>
              <w:t>, Assignor</w:t>
            </w:r>
          </w:p>
          <w:p w:rsidR="00771D01" w:rsidRDefault="00771D01" w:rsidP="00771D01">
            <w:pPr>
              <w:tabs>
                <w:tab w:val="center" w:pos="4680"/>
              </w:tabs>
              <w:suppressAutoHyphens/>
              <w:rPr>
                <w:spacing w:val="-2"/>
              </w:rPr>
            </w:pPr>
          </w:p>
          <w:p w:rsidR="004C2EE3" w:rsidRDefault="009242B7" w:rsidP="00771D01">
            <w:pPr>
              <w:tabs>
                <w:tab w:val="center" w:pos="4680"/>
              </w:tabs>
              <w:suppressAutoHyphens/>
              <w:rPr>
                <w:spacing w:val="-2"/>
              </w:rPr>
            </w:pPr>
            <w:r>
              <w:rPr>
                <w:spacing w:val="-2"/>
              </w:rPr>
              <w:t>T</w:t>
            </w:r>
            <w:r w:rsidR="00771D01">
              <w:rPr>
                <w:spacing w:val="-2"/>
              </w:rPr>
              <w:t>o Assign the Construction Permit of Broadcast Station KNGS(FM), Coalinga, California</w:t>
            </w:r>
          </w:p>
          <w:p w:rsidR="00771D01" w:rsidRDefault="00771D01" w:rsidP="00771D01">
            <w:pPr>
              <w:tabs>
                <w:tab w:val="center" w:pos="4680"/>
              </w:tabs>
              <w:suppressAutoHyphens/>
              <w:rPr>
                <w:spacing w:val="-2"/>
              </w:rPr>
            </w:pPr>
          </w:p>
          <w:p w:rsidR="00771D01" w:rsidRDefault="00771D01" w:rsidP="00771D01">
            <w:pPr>
              <w:tabs>
                <w:tab w:val="center" w:pos="4680"/>
              </w:tabs>
              <w:suppressAutoHyphens/>
              <w:rPr>
                <w:spacing w:val="-2"/>
              </w:rPr>
            </w:pPr>
            <w:r>
              <w:rPr>
                <w:spacing w:val="-2"/>
              </w:rPr>
              <w:t>AVENAL EDUCATIONAL SERVICES, INC.</w:t>
            </w:r>
            <w:r w:rsidR="009242B7">
              <w:rPr>
                <w:spacing w:val="-2"/>
              </w:rPr>
              <w:t>, Assignor</w:t>
            </w:r>
          </w:p>
          <w:p w:rsidR="00771D01" w:rsidRDefault="00771D01" w:rsidP="00771D01">
            <w:pPr>
              <w:tabs>
                <w:tab w:val="center" w:pos="4680"/>
              </w:tabs>
              <w:suppressAutoHyphens/>
              <w:rPr>
                <w:spacing w:val="-2"/>
              </w:rPr>
            </w:pPr>
          </w:p>
          <w:p w:rsidR="00771D01" w:rsidRDefault="009242B7" w:rsidP="00771D01">
            <w:pPr>
              <w:tabs>
                <w:tab w:val="center" w:pos="4680"/>
              </w:tabs>
              <w:suppressAutoHyphens/>
              <w:rPr>
                <w:spacing w:val="-2"/>
              </w:rPr>
            </w:pPr>
            <w:r>
              <w:rPr>
                <w:spacing w:val="-2"/>
              </w:rPr>
              <w:t>T</w:t>
            </w:r>
            <w:r w:rsidR="00771D01">
              <w:rPr>
                <w:spacing w:val="-2"/>
              </w:rPr>
              <w:t xml:space="preserve">o Assign the Construction Permit of </w:t>
            </w:r>
          </w:p>
          <w:p w:rsidR="00771D01" w:rsidRDefault="00771D01" w:rsidP="00771D01">
            <w:pPr>
              <w:tabs>
                <w:tab w:val="center" w:pos="4680"/>
              </w:tabs>
              <w:suppressAutoHyphens/>
              <w:rPr>
                <w:spacing w:val="-2"/>
              </w:rPr>
            </w:pPr>
            <w:r>
              <w:rPr>
                <w:spacing w:val="-2"/>
              </w:rPr>
              <w:t>Broadcast Station KAAX(FM), Avenal, California</w:t>
            </w:r>
          </w:p>
          <w:p w:rsidR="00771D01" w:rsidRDefault="00771D01" w:rsidP="00771D01">
            <w:pPr>
              <w:tabs>
                <w:tab w:val="center" w:pos="4680"/>
              </w:tabs>
              <w:suppressAutoHyphens/>
              <w:rPr>
                <w:spacing w:val="-2"/>
              </w:rPr>
            </w:pPr>
          </w:p>
          <w:p w:rsidR="00771D01" w:rsidRDefault="00771D01" w:rsidP="00771D01">
            <w:pPr>
              <w:tabs>
                <w:tab w:val="center" w:pos="4680"/>
              </w:tabs>
              <w:suppressAutoHyphens/>
              <w:rPr>
                <w:spacing w:val="-2"/>
              </w:rPr>
            </w:pPr>
            <w:r>
              <w:rPr>
                <w:spacing w:val="-2"/>
              </w:rPr>
              <w:t>CENTRAL VALLEY EDUCATIONAL SERVICES, INC.</w:t>
            </w:r>
            <w:r w:rsidR="009242B7">
              <w:rPr>
                <w:spacing w:val="-2"/>
              </w:rPr>
              <w:t>, Assignor</w:t>
            </w:r>
          </w:p>
          <w:p w:rsidR="00771D01" w:rsidRDefault="00771D01" w:rsidP="00771D01">
            <w:pPr>
              <w:tabs>
                <w:tab w:val="center" w:pos="4680"/>
              </w:tabs>
              <w:suppressAutoHyphens/>
              <w:rPr>
                <w:spacing w:val="-2"/>
              </w:rPr>
            </w:pPr>
          </w:p>
          <w:p w:rsidR="00771D01" w:rsidRDefault="009242B7" w:rsidP="00771D01">
            <w:pPr>
              <w:tabs>
                <w:tab w:val="center" w:pos="4680"/>
              </w:tabs>
              <w:suppressAutoHyphens/>
              <w:rPr>
                <w:spacing w:val="-2"/>
              </w:rPr>
            </w:pPr>
            <w:r>
              <w:rPr>
                <w:spacing w:val="-2"/>
              </w:rPr>
              <w:t>T</w:t>
            </w:r>
            <w:r w:rsidR="00771D01">
              <w:rPr>
                <w:spacing w:val="-2"/>
              </w:rPr>
              <w:t>o Assign the Construction Permit of</w:t>
            </w:r>
          </w:p>
          <w:p w:rsidR="00771D01" w:rsidRDefault="00771D01" w:rsidP="00771D01">
            <w:pPr>
              <w:tabs>
                <w:tab w:val="center" w:pos="4680"/>
              </w:tabs>
              <w:suppressAutoHyphens/>
              <w:rPr>
                <w:spacing w:val="-2"/>
              </w:rPr>
            </w:pPr>
            <w:r>
              <w:rPr>
                <w:spacing w:val="-2"/>
              </w:rPr>
              <w:t>Broadcast Station KYAF(FM), Firebaugh, California</w:t>
            </w:r>
          </w:p>
          <w:p w:rsidR="009242B7" w:rsidRDefault="009242B7" w:rsidP="00771D01">
            <w:pPr>
              <w:tabs>
                <w:tab w:val="center" w:pos="4680"/>
              </w:tabs>
              <w:suppressAutoHyphens/>
              <w:rPr>
                <w:spacing w:val="-2"/>
              </w:rPr>
            </w:pPr>
          </w:p>
          <w:p w:rsidR="009242B7" w:rsidRPr="007115F7" w:rsidRDefault="009242B7" w:rsidP="00771D01">
            <w:pPr>
              <w:tabs>
                <w:tab w:val="center" w:pos="4680"/>
              </w:tabs>
              <w:suppressAutoHyphens/>
              <w:rPr>
                <w:spacing w:val="-2"/>
              </w:rPr>
            </w:pPr>
            <w:r>
              <w:rPr>
                <w:spacing w:val="-2"/>
              </w:rPr>
              <w:t>BIG RADIO PRO, INC., Assignee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771D01" w:rsidRDefault="00771D01">
            <w:pPr>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p>
          <w:p w:rsidR="00BD7812" w:rsidRDefault="00BD7812">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71D01">
            <w:pPr>
              <w:tabs>
                <w:tab w:val="center" w:pos="4680"/>
              </w:tabs>
              <w:suppressAutoHyphens/>
              <w:rPr>
                <w:spacing w:val="-2"/>
              </w:rPr>
            </w:pPr>
            <w:r>
              <w:rPr>
                <w:spacing w:val="-2"/>
              </w:rPr>
              <w:t>File No. BALH-20150318AAY</w:t>
            </w:r>
          </w:p>
          <w:p w:rsidR="00771D01" w:rsidRDefault="00771D01">
            <w:pPr>
              <w:tabs>
                <w:tab w:val="center" w:pos="4680"/>
              </w:tabs>
              <w:suppressAutoHyphens/>
              <w:rPr>
                <w:spacing w:val="-2"/>
              </w:rPr>
            </w:pPr>
            <w:r>
              <w:rPr>
                <w:spacing w:val="-2"/>
              </w:rPr>
              <w:t>Facility ID No. 37725</w:t>
            </w:r>
          </w:p>
          <w:p w:rsidR="009242B7" w:rsidRDefault="009242B7">
            <w:pPr>
              <w:tabs>
                <w:tab w:val="center" w:pos="4680"/>
              </w:tabs>
              <w:suppressAutoHyphens/>
              <w:rPr>
                <w:spacing w:val="-2"/>
              </w:rPr>
            </w:pPr>
          </w:p>
          <w:p w:rsidR="009242B7" w:rsidRDefault="009242B7">
            <w:pPr>
              <w:tabs>
                <w:tab w:val="center" w:pos="4680"/>
              </w:tabs>
              <w:suppressAutoHyphens/>
              <w:rPr>
                <w:spacing w:val="-2"/>
              </w:rPr>
            </w:pPr>
          </w:p>
          <w:p w:rsidR="009242B7" w:rsidRDefault="009242B7">
            <w:pPr>
              <w:tabs>
                <w:tab w:val="center" w:pos="4680"/>
              </w:tabs>
              <w:suppressAutoHyphens/>
              <w:rPr>
                <w:spacing w:val="-2"/>
              </w:rPr>
            </w:pPr>
          </w:p>
          <w:p w:rsidR="00771D01" w:rsidRDefault="00771D01">
            <w:pPr>
              <w:tabs>
                <w:tab w:val="center" w:pos="4680"/>
              </w:tabs>
              <w:suppressAutoHyphens/>
              <w:rPr>
                <w:spacing w:val="-2"/>
              </w:rPr>
            </w:pPr>
          </w:p>
          <w:p w:rsidR="00771D01" w:rsidRDefault="00771D01">
            <w:pPr>
              <w:tabs>
                <w:tab w:val="center" w:pos="4680"/>
              </w:tabs>
              <w:suppressAutoHyphens/>
              <w:rPr>
                <w:spacing w:val="-2"/>
              </w:rPr>
            </w:pPr>
            <w:r>
              <w:rPr>
                <w:spacing w:val="-2"/>
              </w:rPr>
              <w:t>File No. BAPH-20150320AAT</w:t>
            </w:r>
          </w:p>
          <w:p w:rsidR="00771D01" w:rsidRDefault="00771D01">
            <w:pPr>
              <w:tabs>
                <w:tab w:val="center" w:pos="4680"/>
              </w:tabs>
              <w:suppressAutoHyphens/>
              <w:rPr>
                <w:spacing w:val="-2"/>
              </w:rPr>
            </w:pPr>
            <w:r>
              <w:rPr>
                <w:spacing w:val="-2"/>
              </w:rPr>
              <w:t>Facility ID No. 22030</w:t>
            </w:r>
          </w:p>
          <w:p w:rsidR="00771D01" w:rsidRDefault="00771D01">
            <w:pPr>
              <w:tabs>
                <w:tab w:val="center" w:pos="4680"/>
              </w:tabs>
              <w:suppressAutoHyphens/>
              <w:rPr>
                <w:spacing w:val="-2"/>
              </w:rPr>
            </w:pPr>
          </w:p>
          <w:p w:rsidR="00771D01" w:rsidRDefault="00771D01">
            <w:pPr>
              <w:tabs>
                <w:tab w:val="center" w:pos="4680"/>
              </w:tabs>
              <w:suppressAutoHyphens/>
              <w:rPr>
                <w:spacing w:val="-2"/>
              </w:rPr>
            </w:pPr>
          </w:p>
          <w:p w:rsidR="00771D01" w:rsidRDefault="00771D01">
            <w:pPr>
              <w:tabs>
                <w:tab w:val="center" w:pos="4680"/>
              </w:tabs>
              <w:suppressAutoHyphens/>
              <w:rPr>
                <w:spacing w:val="-2"/>
              </w:rPr>
            </w:pPr>
          </w:p>
          <w:p w:rsidR="009242B7" w:rsidRDefault="009242B7">
            <w:pPr>
              <w:tabs>
                <w:tab w:val="center" w:pos="4680"/>
              </w:tabs>
              <w:suppressAutoHyphens/>
              <w:rPr>
                <w:spacing w:val="-2"/>
              </w:rPr>
            </w:pPr>
          </w:p>
          <w:p w:rsidR="00771D01" w:rsidRDefault="00771D01">
            <w:pPr>
              <w:tabs>
                <w:tab w:val="center" w:pos="4680"/>
              </w:tabs>
              <w:suppressAutoHyphens/>
              <w:rPr>
                <w:spacing w:val="-2"/>
              </w:rPr>
            </w:pPr>
            <w:r>
              <w:rPr>
                <w:spacing w:val="-2"/>
              </w:rPr>
              <w:t>File No. BAPH-20150320AAP</w:t>
            </w:r>
          </w:p>
          <w:p w:rsidR="00771D01" w:rsidRDefault="00771D01">
            <w:pPr>
              <w:tabs>
                <w:tab w:val="center" w:pos="4680"/>
              </w:tabs>
              <w:suppressAutoHyphens/>
              <w:rPr>
                <w:spacing w:val="-2"/>
              </w:rPr>
            </w:pPr>
            <w:r>
              <w:rPr>
                <w:spacing w:val="-2"/>
              </w:rPr>
              <w:t>Facility ID No. 72672</w:t>
            </w:r>
          </w:p>
          <w:p w:rsidR="00771D01" w:rsidRDefault="00771D01">
            <w:pPr>
              <w:tabs>
                <w:tab w:val="center" w:pos="4680"/>
              </w:tabs>
              <w:suppressAutoHyphens/>
              <w:rPr>
                <w:spacing w:val="-2"/>
              </w:rPr>
            </w:pPr>
          </w:p>
          <w:p w:rsidR="00771D01" w:rsidRDefault="00771D01">
            <w:pPr>
              <w:tabs>
                <w:tab w:val="center" w:pos="4680"/>
              </w:tabs>
              <w:suppressAutoHyphens/>
              <w:rPr>
                <w:spacing w:val="-2"/>
              </w:rPr>
            </w:pPr>
          </w:p>
          <w:p w:rsidR="00771D01" w:rsidRDefault="00771D01">
            <w:pPr>
              <w:tabs>
                <w:tab w:val="center" w:pos="4680"/>
              </w:tabs>
              <w:suppressAutoHyphens/>
              <w:rPr>
                <w:spacing w:val="-2"/>
              </w:rPr>
            </w:pPr>
          </w:p>
          <w:p w:rsidR="00771D01" w:rsidRDefault="00771D01">
            <w:pPr>
              <w:tabs>
                <w:tab w:val="center" w:pos="4680"/>
              </w:tabs>
              <w:suppressAutoHyphens/>
              <w:rPr>
                <w:spacing w:val="-2"/>
              </w:rPr>
            </w:pPr>
            <w:r>
              <w:rPr>
                <w:spacing w:val="-2"/>
              </w:rPr>
              <w:t>File No. BAPED-20150403ABF</w:t>
            </w:r>
          </w:p>
          <w:p w:rsidR="00771D01" w:rsidRDefault="00771D01">
            <w:pPr>
              <w:tabs>
                <w:tab w:val="center" w:pos="4680"/>
              </w:tabs>
              <w:suppressAutoHyphens/>
              <w:rPr>
                <w:spacing w:val="-2"/>
              </w:rPr>
            </w:pPr>
            <w:r>
              <w:rPr>
                <w:spacing w:val="-2"/>
              </w:rPr>
              <w:t>Facility ID No. 3365</w:t>
            </w:r>
          </w:p>
          <w:p w:rsidR="00771D01" w:rsidRDefault="00771D01">
            <w:pPr>
              <w:tabs>
                <w:tab w:val="center" w:pos="4680"/>
              </w:tabs>
              <w:suppressAutoHyphens/>
              <w:rPr>
                <w:spacing w:val="-2"/>
              </w:rPr>
            </w:pPr>
          </w:p>
          <w:p w:rsidR="00771D01" w:rsidRDefault="00771D01">
            <w:pPr>
              <w:tabs>
                <w:tab w:val="center" w:pos="4680"/>
              </w:tabs>
              <w:suppressAutoHyphens/>
              <w:rPr>
                <w:spacing w:val="-2"/>
              </w:rPr>
            </w:pPr>
          </w:p>
          <w:p w:rsidR="00771D01" w:rsidRDefault="00771D01">
            <w:pPr>
              <w:tabs>
                <w:tab w:val="center" w:pos="4680"/>
              </w:tabs>
              <w:suppressAutoHyphens/>
              <w:rPr>
                <w:spacing w:val="-2"/>
              </w:rPr>
            </w:pPr>
          </w:p>
          <w:p w:rsidR="009242B7" w:rsidRDefault="009242B7">
            <w:pPr>
              <w:tabs>
                <w:tab w:val="center" w:pos="4680"/>
              </w:tabs>
              <w:suppressAutoHyphens/>
              <w:rPr>
                <w:spacing w:val="-2"/>
              </w:rPr>
            </w:pPr>
          </w:p>
          <w:p w:rsidR="00771D01" w:rsidRDefault="00771D01">
            <w:pPr>
              <w:tabs>
                <w:tab w:val="center" w:pos="4680"/>
              </w:tabs>
              <w:suppressAutoHyphens/>
              <w:rPr>
                <w:spacing w:val="-2"/>
              </w:rPr>
            </w:pPr>
            <w:r>
              <w:rPr>
                <w:spacing w:val="-2"/>
              </w:rPr>
              <w:t>File No. BAPED-20150403ABD</w:t>
            </w:r>
          </w:p>
          <w:p w:rsidR="00771D01" w:rsidRDefault="00771D01">
            <w:pPr>
              <w:tabs>
                <w:tab w:val="center" w:pos="4680"/>
              </w:tabs>
              <w:suppressAutoHyphens/>
              <w:rPr>
                <w:spacing w:val="-2"/>
              </w:rPr>
            </w:pPr>
            <w:r>
              <w:rPr>
                <w:spacing w:val="-2"/>
              </w:rPr>
              <w:t>Facility ID No. 9993</w:t>
            </w:r>
          </w:p>
        </w:tc>
      </w:tr>
    </w:tbl>
    <w:p w:rsidR="004C2EE3" w:rsidRDefault="004C2EE3" w:rsidP="0070224F"/>
    <w:p w:rsidR="00841AB1" w:rsidRDefault="00614C22"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7749D">
        <w:rPr>
          <w:b/>
          <w:spacing w:val="-2"/>
        </w:rPr>
        <w:t>August 4,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7749D">
        <w:rPr>
          <w:b/>
          <w:spacing w:val="-2"/>
        </w:rPr>
        <w:t>August 4, 2016</w:t>
      </w:r>
    </w:p>
    <w:p w:rsidR="00822CE0" w:rsidRDefault="00822CE0"/>
    <w:p w:rsidR="00822CE0" w:rsidRDefault="004C2EE3">
      <w:pPr>
        <w:rPr>
          <w:spacing w:val="-2"/>
        </w:rPr>
      </w:pPr>
      <w:r>
        <w:t xml:space="preserve">By </w:t>
      </w:r>
      <w:r w:rsidR="004E4A22">
        <w:t>the</w:t>
      </w:r>
      <w:r w:rsidR="002A2D2E">
        <w:t xml:space="preserve"> </w:t>
      </w:r>
      <w:r w:rsidR="00053D6E">
        <w:rPr>
          <w:spacing w:val="-2"/>
        </w:rPr>
        <w:t>Chief, Media Bureau</w:t>
      </w:r>
      <w:r>
        <w:rPr>
          <w:spacing w:val="-2"/>
        </w:rPr>
        <w:t>:</w:t>
      </w:r>
    </w:p>
    <w:p w:rsidR="00412FC5" w:rsidRDefault="00412FC5" w:rsidP="00412FC5"/>
    <w:p w:rsidR="00205A06" w:rsidRDefault="00205A06" w:rsidP="00205A06">
      <w:pPr>
        <w:pStyle w:val="Heading1"/>
      </w:pPr>
      <w:r>
        <w:t>INTRODUCTION AND BACKGROUND</w:t>
      </w:r>
    </w:p>
    <w:p w:rsidR="009801E2" w:rsidRDefault="009801E2" w:rsidP="000D7D7F">
      <w:pPr>
        <w:pStyle w:val="ParaNum"/>
        <w:widowControl/>
      </w:pPr>
      <w:r>
        <w:t xml:space="preserve">In this </w:t>
      </w:r>
      <w:r w:rsidR="00614C22">
        <w:rPr>
          <w:i/>
        </w:rPr>
        <w:t>Order on Reconsideration</w:t>
      </w:r>
      <w:r>
        <w:t xml:space="preserve"> we </w:t>
      </w:r>
      <w:r w:rsidR="00614C22">
        <w:t>dismiss</w:t>
      </w:r>
      <w:r>
        <w:t xml:space="preserve"> the </w:t>
      </w:r>
      <w:r w:rsidR="00614C22">
        <w:t>Petition for Reconsideration (PFR)</w:t>
      </w:r>
      <w:r>
        <w:t xml:space="preserve"> filed </w:t>
      </w:r>
      <w:r w:rsidR="00614C22">
        <w:t>July 19</w:t>
      </w:r>
      <w:r>
        <w:t>, 2016, by the Estate of Linda Ware, Cynthia Ramage, Executor (Ware Estate); the Estate of H.L. Charles, Robert Willing, Executor (Charles Estate); William L. Zawila (Zawila); Avenal Educational Services, Inc. (AES); and Central Valley Educational Services, Inc. (CVES) (collecti</w:t>
      </w:r>
      <w:r w:rsidR="0075279C">
        <w:t xml:space="preserve">vely </w:t>
      </w:r>
      <w:r>
        <w:t>Applicants).</w:t>
      </w:r>
      <w:r w:rsidR="00614C22">
        <w:t xml:space="preserve">  Applicants seek reconsideration of the Commission’s Memorandum Opinion and Order released June </w:t>
      </w:r>
      <w:r w:rsidR="00CF3A2F">
        <w:t>17</w:t>
      </w:r>
      <w:r w:rsidR="00614C22">
        <w:t xml:space="preserve">, </w:t>
      </w:r>
      <w:r w:rsidR="00614C22">
        <w:lastRenderedPageBreak/>
        <w:t>2016,</w:t>
      </w:r>
      <w:r w:rsidR="00115D70">
        <w:rPr>
          <w:rStyle w:val="FootnoteReference"/>
        </w:rPr>
        <w:footnoteReference w:id="2"/>
      </w:r>
      <w:r w:rsidR="00614C22">
        <w:t xml:space="preserve"> affirming the Media Bureau’s (Bureau) dismissal of Applicants’ applications to assign the license and construction permits of the above-captioned FM radio broadcast stations</w:t>
      </w:r>
      <w:r w:rsidR="00FB53F8">
        <w:t xml:space="preserve"> (Applications)</w:t>
      </w:r>
      <w:r w:rsidR="00614C22">
        <w:t>.</w:t>
      </w:r>
    </w:p>
    <w:p w:rsidR="00205A06" w:rsidRDefault="00EC00AB" w:rsidP="000D7D7F">
      <w:pPr>
        <w:pStyle w:val="ParaNum"/>
        <w:widowControl/>
      </w:pPr>
      <w:r>
        <w:t xml:space="preserve">Applicants Charles Estate, Zawila, AES, and CVES are the permittees, and Ware Estate is the licensee, of five </w:t>
      </w:r>
      <w:r w:rsidR="001C7E50">
        <w:t>FM radio broadcast</w:t>
      </w:r>
      <w:r>
        <w:t xml:space="preserve"> stations in California,</w:t>
      </w:r>
      <w:r>
        <w:rPr>
          <w:rStyle w:val="FootnoteReference"/>
        </w:rPr>
        <w:footnoteReference w:id="3"/>
      </w:r>
      <w:r>
        <w:t xml:space="preserve"> all of which were designated for revocation hearing by the Commission in order to resolve, </w:t>
      </w:r>
      <w:r w:rsidRPr="00242D94">
        <w:rPr>
          <w:i/>
        </w:rPr>
        <w:t>inter alia</w:t>
      </w:r>
      <w:r>
        <w:t>, issues of lack of candor, misrepresentation, unauthorized transfer of control, and other violations of the Commission’s rules.</w:t>
      </w:r>
      <w:r>
        <w:rPr>
          <w:rStyle w:val="FootnoteReference"/>
        </w:rPr>
        <w:footnoteReference w:id="4"/>
      </w:r>
      <w:r>
        <w:t xml:space="preserve">  Applicants filed the Applications in March and April of 2015, claiming that they were being filed under the Commission’s prior minority distress sale policy.  Applicants argued that because a prior judge in the hearing proceeding had given them leave</w:t>
      </w:r>
      <w:r w:rsidR="00402E20">
        <w:t>, in 2003,</w:t>
      </w:r>
      <w:r>
        <w:t xml:space="preserve"> to file applications under the minority distress sale policy, that judge’s order was the “law of the case,”</w:t>
      </w:r>
      <w:r w:rsidR="0075279C">
        <w:rPr>
          <w:rStyle w:val="FootnoteReference"/>
        </w:rPr>
        <w:footnoteReference w:id="5"/>
      </w:r>
      <w:r>
        <w:t xml:space="preserve"> and thus that Applicants could file such applications in perpetuity, </w:t>
      </w:r>
      <w:r w:rsidR="00602A71">
        <w:t>notwithstanding that the Commission had suspended its prior distress sale policies</w:t>
      </w:r>
      <w:r>
        <w:t>.</w:t>
      </w:r>
      <w:r w:rsidR="0075279C">
        <w:rPr>
          <w:rStyle w:val="FootnoteReference"/>
        </w:rPr>
        <w:footnoteReference w:id="6"/>
      </w:r>
    </w:p>
    <w:p w:rsidR="00111782" w:rsidRDefault="00205A06" w:rsidP="000D7D7F">
      <w:pPr>
        <w:pStyle w:val="ParaNum"/>
        <w:widowControl/>
      </w:pPr>
      <w:r>
        <w:t xml:space="preserve">The Commission disagreed, holding that the minority distress sale had been replaced by an eligible entity distress sale policy following the Supreme Court’s decision in </w:t>
      </w:r>
      <w:r w:rsidRPr="00205A06">
        <w:rPr>
          <w:i/>
        </w:rPr>
        <w:t>Adarand Constructors v. Pena</w:t>
      </w:r>
      <w:r>
        <w:t>,</w:t>
      </w:r>
      <w:r>
        <w:rPr>
          <w:rStyle w:val="FootnoteReference"/>
        </w:rPr>
        <w:footnoteReference w:id="7"/>
      </w:r>
      <w:r>
        <w:t xml:space="preserve"> and that the </w:t>
      </w:r>
      <w:r w:rsidR="00CF3A2F">
        <w:t xml:space="preserve">Commission suspended the </w:t>
      </w:r>
      <w:r>
        <w:t xml:space="preserve">eligible entity distress sale policy </w:t>
      </w:r>
      <w:r w:rsidR="00CF3A2F">
        <w:t>after</w:t>
      </w:r>
      <w:r>
        <w:t xml:space="preserve"> the Court of Appeals for the Third Circuit remanded the eligible entity definition in </w:t>
      </w:r>
      <w:r w:rsidRPr="00CF3A2F">
        <w:rPr>
          <w:i/>
        </w:rPr>
        <w:t>Prometheus Radio Project v. FCC</w:t>
      </w:r>
      <w:r>
        <w:t>.</w:t>
      </w:r>
      <w:r>
        <w:rPr>
          <w:rStyle w:val="FootnoteReference"/>
        </w:rPr>
        <w:footnoteReference w:id="8"/>
      </w:r>
      <w:r w:rsidR="00CF3A2F">
        <w:t xml:space="preserve">  Because of these court decisions, the Commission held that Applicants’ “law of the case” theory was invalid, as law of the case does not apply when there is an intervening change in the applicable law.</w:t>
      </w:r>
      <w:r w:rsidR="0075279C">
        <w:rPr>
          <w:rStyle w:val="FootnoteReference"/>
        </w:rPr>
        <w:footnoteReference w:id="9"/>
      </w:r>
    </w:p>
    <w:p w:rsidR="00115D70" w:rsidRDefault="00115D70" w:rsidP="000D7D7F">
      <w:pPr>
        <w:pStyle w:val="ParaNum"/>
        <w:widowControl/>
      </w:pPr>
      <w:r>
        <w:t xml:space="preserve">The PFR was received </w:t>
      </w:r>
      <w:r w:rsidR="00601C67">
        <w:t>by</w:t>
      </w:r>
      <w:r>
        <w:t xml:space="preserve"> the Commission on July 19, 2016.  Applicants argue that Section 309(j) of the Communications Act of 1934, as amended</w:t>
      </w:r>
      <w:r w:rsidR="00453D71">
        <w:t xml:space="preserve"> (Act)</w:t>
      </w:r>
      <w:r>
        <w:t>, “mandates that the FCC promote diversity of broadcast ownership,”</w:t>
      </w:r>
      <w:r w:rsidR="00820791">
        <w:rPr>
          <w:rStyle w:val="FootnoteReference"/>
        </w:rPr>
        <w:footnoteReference w:id="10"/>
      </w:r>
      <w:r>
        <w:t xml:space="preserve"> and that the minority distress sale policy is the </w:t>
      </w:r>
      <w:r w:rsidR="00820791">
        <w:t>last</w:t>
      </w:r>
      <w:r>
        <w:t xml:space="preserve"> Commission initiative promoting diversity of broadcast ownership.</w:t>
      </w:r>
      <w:r w:rsidR="00820791">
        <w:rPr>
          <w:rStyle w:val="FootnoteReference"/>
        </w:rPr>
        <w:footnoteReference w:id="11"/>
      </w:r>
      <w:r>
        <w:t xml:space="preserve">  They thus urge the Commission to exercise its “inherent power” to promote diversity of broadcast ownership by reinstating the Applications and ordering the Bureau to process them.</w:t>
      </w:r>
      <w:r w:rsidR="00820791">
        <w:rPr>
          <w:rStyle w:val="FootnoteReference"/>
        </w:rPr>
        <w:footnoteReference w:id="12"/>
      </w:r>
    </w:p>
    <w:p w:rsidR="00115D70" w:rsidRDefault="00115D70" w:rsidP="00115D70">
      <w:pPr>
        <w:pStyle w:val="Heading1"/>
      </w:pPr>
      <w:r>
        <w:t>DISCUSSION</w:t>
      </w:r>
    </w:p>
    <w:p w:rsidR="00115D70" w:rsidRPr="00115D70" w:rsidRDefault="00453D71" w:rsidP="00115D70">
      <w:pPr>
        <w:pStyle w:val="ParaNum"/>
      </w:pPr>
      <w:r>
        <w:t>Section 405(a) of the Act states that any party aggrieved by an order, decision, report, or action of the Commission may file a petition for reconsideration of that order, decision, report, or action within 30 days from the date upon which public notice of the order, decision, report, or action is given.</w:t>
      </w:r>
      <w:r>
        <w:rPr>
          <w:rStyle w:val="FootnoteReference"/>
        </w:rPr>
        <w:footnoteReference w:id="13"/>
      </w:r>
      <w:r>
        <w:t xml:space="preserve">  </w:t>
      </w:r>
      <w:r>
        <w:lastRenderedPageBreak/>
        <w:t>This 30-day period is statutory and cannot be waived or extended by the Commission except in “extraordinary circumstances,” such as where the late filing is due to the Commission’s failure to give a party timely notice of the action for which reconsideration is sought.</w:t>
      </w:r>
      <w:r>
        <w:rPr>
          <w:rStyle w:val="FootnoteReference"/>
        </w:rPr>
        <w:footnoteReference w:id="14"/>
      </w:r>
      <w:r w:rsidR="00796497">
        <w:t xml:space="preserve">  Public notice of </w:t>
      </w:r>
      <w:r w:rsidR="00796497" w:rsidRPr="0075279C">
        <w:rPr>
          <w:i/>
        </w:rPr>
        <w:t>Ware II</w:t>
      </w:r>
      <w:r w:rsidR="00796497">
        <w:t xml:space="preserve"> was given on its June 17, 2016, release date; 30 days from that date was Sunday, July 17, 2016, </w:t>
      </w:r>
      <w:r w:rsidR="00820791">
        <w:t>thus</w:t>
      </w:r>
      <w:r w:rsidR="00796497">
        <w:t xml:space="preserve"> the last day a petition for reconsideration of </w:t>
      </w:r>
      <w:r w:rsidR="00796497" w:rsidRPr="00601C67">
        <w:rPr>
          <w:i/>
        </w:rPr>
        <w:t>Ware II</w:t>
      </w:r>
      <w:r w:rsidR="00796497">
        <w:t xml:space="preserve"> could be filed was Monday, July 18.  Applicants mailed the PFR to the Commission, where it was received on Tuesday, July 19, 2016.  Therefore, the PFR was untimely filed and must be dismissed.</w:t>
      </w:r>
    </w:p>
    <w:p w:rsidR="00B6331F" w:rsidRPr="00222FE2" w:rsidRDefault="00796497" w:rsidP="00601C67">
      <w:pPr>
        <w:pStyle w:val="ParaNum"/>
        <w:widowControl/>
      </w:pPr>
      <w:r>
        <w:t>Even if the PFR had been timely filed, it would have been subject to staff dismissal.  First, the PFR did not rely on facts or arguments that relate to events that occurred, or circumstances that have changed since Applicants’ last opportunity to present such matters to the Commission,</w:t>
      </w:r>
      <w:r w:rsidR="001C7E50">
        <w:rPr>
          <w:rStyle w:val="FootnoteReference"/>
        </w:rPr>
        <w:footnoteReference w:id="15"/>
      </w:r>
      <w:r>
        <w:t xml:space="preserve"> nor did the PFR rely on facts or arguments unknown to Applicants until after their last opportunity to present such matters to the Commission.</w:t>
      </w:r>
      <w:r w:rsidR="001C7E50">
        <w:rPr>
          <w:rStyle w:val="FootnoteReference"/>
        </w:rPr>
        <w:footnoteReference w:id="16"/>
      </w:r>
      <w:r>
        <w:t xml:space="preserve">  Thus, the PFR would be dismissed under Section 1.106(b)(3) of the rules.</w:t>
      </w:r>
      <w:r w:rsidR="00820791">
        <w:rPr>
          <w:rStyle w:val="FootnoteReference"/>
        </w:rPr>
        <w:footnoteReference w:id="17"/>
      </w:r>
      <w:r>
        <w:t xml:space="preserve">  Second, Applicants’ arguments plainly do not warrant consideration by the Commission:  Applicants’ argument regarding the Commission’s “inherent power” to ignore Supreme Court and other legal precedent in order to grant their Applications in the name of “broadcast diversity” was not previously presented to the Commission</w:t>
      </w:r>
      <w:r w:rsidR="00601C67">
        <w:t>;</w:t>
      </w:r>
      <w:r>
        <w:t xml:space="preserve"> and to the extent Applicants recycle their argument</w:t>
      </w:r>
      <w:r w:rsidR="00601C67">
        <w:t xml:space="preserve"> that the administrative law judge’s </w:t>
      </w:r>
      <w:r w:rsidR="00820791">
        <w:t>2003</w:t>
      </w:r>
      <w:r w:rsidR="00601C67">
        <w:t xml:space="preserve"> order allowing Applicants to file a distress sale application insulates the 2015 Applications from subsequent changes in the law, this argument has been fully considered and rejected by the Commission.  These circumstances would also </w:t>
      </w:r>
      <w:r w:rsidR="007C2814">
        <w:t>warrant</w:t>
      </w:r>
      <w:r w:rsidR="00601C67">
        <w:t xml:space="preserve"> dismissal by the Bureau.</w:t>
      </w:r>
      <w:r w:rsidR="00601C67">
        <w:rPr>
          <w:rStyle w:val="FootnoteReference"/>
        </w:rPr>
        <w:footnoteReference w:id="18"/>
      </w:r>
    </w:p>
    <w:p w:rsidR="00222FE2" w:rsidRDefault="00222FE2" w:rsidP="000D7D7F">
      <w:pPr>
        <w:pStyle w:val="Heading1"/>
        <w:widowControl/>
      </w:pPr>
      <w:r>
        <w:t>ORDERING CLAUSE</w:t>
      </w:r>
    </w:p>
    <w:p w:rsidR="00222FE2" w:rsidRDefault="009C237E" w:rsidP="000D7D7F">
      <w:pPr>
        <w:pStyle w:val="ParaNum"/>
        <w:widowControl/>
      </w:pPr>
      <w:r>
        <w:t>Accordingly, IT IS ORDERED that, f</w:t>
      </w:r>
      <w:r w:rsidR="00DB27B6">
        <w:t>or the foregoing reasons</w:t>
      </w:r>
      <w:r>
        <w:t xml:space="preserve"> and pursuant to Section </w:t>
      </w:r>
      <w:r w:rsidR="00820791">
        <w:t xml:space="preserve">405(a) </w:t>
      </w:r>
      <w:r>
        <w:t>of the Communications Act of 1934, as amended,</w:t>
      </w:r>
      <w:r w:rsidR="00133A22">
        <w:rPr>
          <w:rStyle w:val="FootnoteReference"/>
        </w:rPr>
        <w:footnoteReference w:id="19"/>
      </w:r>
      <w:r>
        <w:t xml:space="preserve"> and Section</w:t>
      </w:r>
      <w:r w:rsidR="00820791">
        <w:t>s</w:t>
      </w:r>
      <w:r>
        <w:t xml:space="preserve"> </w:t>
      </w:r>
      <w:r w:rsidR="00820791">
        <w:t>1.106(f), 1.106(b)(3), and 1.106(p)</w:t>
      </w:r>
      <w:r>
        <w:t xml:space="preserve"> of the Commission’s rules</w:t>
      </w:r>
      <w:r w:rsidR="00DB27B6">
        <w:t>,</w:t>
      </w:r>
      <w:r>
        <w:rPr>
          <w:rStyle w:val="FootnoteReference"/>
        </w:rPr>
        <w:footnoteReference w:id="20"/>
      </w:r>
      <w:r w:rsidR="00DB27B6">
        <w:t xml:space="preserve"> the </w:t>
      </w:r>
      <w:r w:rsidR="00820791">
        <w:t>Petition for Reconsideration</w:t>
      </w:r>
      <w:r w:rsidR="00DB27B6">
        <w:t xml:space="preserve"> filed by the Applicants IS </w:t>
      </w:r>
      <w:r w:rsidR="00820791">
        <w:t>DISMISSED</w:t>
      </w:r>
      <w:r w:rsidR="00DB27B6">
        <w:t>.</w:t>
      </w:r>
    </w:p>
    <w:p w:rsidR="00DB27B6" w:rsidRDefault="00DB27B6" w:rsidP="00DB27B6">
      <w:pPr>
        <w:pStyle w:val="ParaNum"/>
        <w:numPr>
          <w:ilvl w:val="0"/>
          <w:numId w:val="0"/>
        </w:numPr>
        <w:ind w:left="720"/>
      </w:pPr>
    </w:p>
    <w:p w:rsidR="00DB27B6" w:rsidRDefault="00DB27B6" w:rsidP="0017296B">
      <w:r>
        <w:tab/>
      </w:r>
      <w:r>
        <w:tab/>
      </w:r>
      <w:r>
        <w:tab/>
      </w:r>
      <w:r>
        <w:tab/>
      </w:r>
      <w:r>
        <w:tab/>
      </w:r>
      <w:r>
        <w:tab/>
        <w:t>FEDERAL COMMUNICATIONS COMMISSION</w:t>
      </w:r>
    </w:p>
    <w:p w:rsidR="00DB27B6" w:rsidRDefault="00DB27B6" w:rsidP="0017296B"/>
    <w:p w:rsidR="00DB27B6" w:rsidRDefault="00DB27B6" w:rsidP="0017296B"/>
    <w:p w:rsidR="00DB27B6" w:rsidRDefault="00DB27B6" w:rsidP="0017296B"/>
    <w:p w:rsidR="00DB27B6" w:rsidRDefault="00DB27B6" w:rsidP="0017296B"/>
    <w:p w:rsidR="00DB27B6" w:rsidRDefault="00DB27B6" w:rsidP="0017296B">
      <w:r>
        <w:tab/>
      </w:r>
      <w:r>
        <w:tab/>
      </w:r>
      <w:r>
        <w:tab/>
      </w:r>
      <w:r>
        <w:tab/>
      </w:r>
      <w:r>
        <w:tab/>
      </w:r>
      <w:r>
        <w:tab/>
      </w:r>
      <w:r w:rsidR="00133A22">
        <w:t>William T. Lake</w:t>
      </w:r>
    </w:p>
    <w:p w:rsidR="00DB27B6" w:rsidRDefault="00DB27B6" w:rsidP="0017296B">
      <w:r>
        <w:tab/>
      </w:r>
      <w:r>
        <w:tab/>
      </w:r>
      <w:r>
        <w:tab/>
      </w:r>
      <w:r>
        <w:tab/>
      </w:r>
      <w:r>
        <w:tab/>
      </w:r>
      <w:r>
        <w:tab/>
      </w:r>
      <w:r w:rsidR="00133A22">
        <w:t>Chief, Media Bureau</w:t>
      </w:r>
    </w:p>
    <w:p w:rsidR="00DB27B6" w:rsidRPr="00222FE2" w:rsidRDefault="00DB27B6" w:rsidP="00815216">
      <w:pPr>
        <w:pStyle w:val="ParaNum"/>
        <w:numPr>
          <w:ilvl w:val="0"/>
          <w:numId w:val="0"/>
        </w:numPr>
      </w:pPr>
    </w:p>
    <w:sectPr w:rsidR="00DB27B6" w:rsidRPr="00222FE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AB" w:rsidRDefault="00812AAB">
      <w:pPr>
        <w:spacing w:line="20" w:lineRule="exact"/>
      </w:pPr>
    </w:p>
  </w:endnote>
  <w:endnote w:type="continuationSeparator" w:id="0">
    <w:p w:rsidR="00812AAB" w:rsidRDefault="00812AAB">
      <w:r>
        <w:t xml:space="preserve"> </w:t>
      </w:r>
    </w:p>
  </w:endnote>
  <w:endnote w:type="continuationNotice" w:id="1">
    <w:p w:rsidR="00812AAB" w:rsidRDefault="00812A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9412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AB" w:rsidRDefault="00812AAB">
      <w:r>
        <w:separator/>
      </w:r>
    </w:p>
  </w:footnote>
  <w:footnote w:type="continuationSeparator" w:id="0">
    <w:p w:rsidR="00812AAB" w:rsidRDefault="00812AAB" w:rsidP="00C721AC">
      <w:pPr>
        <w:spacing w:before="120"/>
        <w:rPr>
          <w:sz w:val="20"/>
        </w:rPr>
      </w:pPr>
      <w:r>
        <w:rPr>
          <w:sz w:val="20"/>
        </w:rPr>
        <w:t xml:space="preserve">(Continued from previous page)  </w:t>
      </w:r>
      <w:r>
        <w:rPr>
          <w:sz w:val="20"/>
        </w:rPr>
        <w:separator/>
      </w:r>
    </w:p>
  </w:footnote>
  <w:footnote w:type="continuationNotice" w:id="1">
    <w:p w:rsidR="00812AAB" w:rsidRDefault="00812AAB" w:rsidP="00C721AC">
      <w:pPr>
        <w:jc w:val="right"/>
        <w:rPr>
          <w:sz w:val="20"/>
        </w:rPr>
      </w:pPr>
      <w:r>
        <w:rPr>
          <w:sz w:val="20"/>
        </w:rPr>
        <w:t>(continued….)</w:t>
      </w:r>
    </w:p>
  </w:footnote>
  <w:footnote w:id="2">
    <w:p w:rsidR="00115D70" w:rsidRDefault="00115D70">
      <w:pPr>
        <w:pStyle w:val="FootnoteText"/>
      </w:pPr>
      <w:r>
        <w:rPr>
          <w:rStyle w:val="FootnoteReference"/>
        </w:rPr>
        <w:footnoteRef/>
      </w:r>
      <w:r>
        <w:t xml:space="preserve"> </w:t>
      </w:r>
      <w:r w:rsidRPr="00115D70">
        <w:rPr>
          <w:i/>
        </w:rPr>
        <w:t>Estate of Linda Ware, Cynthia Ramage, Executor, Assignor, et al.</w:t>
      </w:r>
      <w:r>
        <w:t>, Memorandum Opinion and Order, FCC 16-75 (June 17, 2016) (</w:t>
      </w:r>
      <w:r w:rsidRPr="00115D70">
        <w:rPr>
          <w:i/>
        </w:rPr>
        <w:t>Ware II</w:t>
      </w:r>
      <w:r>
        <w:t>).</w:t>
      </w:r>
    </w:p>
  </w:footnote>
  <w:footnote w:id="3">
    <w:p w:rsidR="00EC00AB" w:rsidRDefault="00EC00AB" w:rsidP="00EC00AB">
      <w:pPr>
        <w:pStyle w:val="FootnoteText"/>
      </w:pPr>
      <w:r>
        <w:rPr>
          <w:rStyle w:val="FootnoteReference"/>
        </w:rPr>
        <w:footnoteRef/>
      </w:r>
      <w:r>
        <w:t xml:space="preserve"> The stations are KZPO(FM), Lindsay, California (Ware Estate); KZPE(FM), Ford City, California (Charles Estate); KNGS(FM), Coalinga, California (Zawila); KAAX(FM), Avenal, California (AES); and KYAF(FM), Firebaugh, California (CVES)</w:t>
      </w:r>
      <w:r w:rsidR="00820791">
        <w:t xml:space="preserve"> (collectively </w:t>
      </w:r>
      <w:r>
        <w:t>Stations).</w:t>
      </w:r>
    </w:p>
  </w:footnote>
  <w:footnote w:id="4">
    <w:p w:rsidR="00EC00AB" w:rsidRDefault="00EC00AB" w:rsidP="00EC00AB">
      <w:pPr>
        <w:pStyle w:val="FootnoteText"/>
      </w:pPr>
      <w:r>
        <w:rPr>
          <w:rStyle w:val="FootnoteReference"/>
        </w:rPr>
        <w:footnoteRef/>
      </w:r>
      <w:r>
        <w:t xml:space="preserve"> </w:t>
      </w:r>
      <w:r w:rsidRPr="00621030">
        <w:rPr>
          <w:i/>
        </w:rPr>
        <w:t>William L. Zawila, et al.</w:t>
      </w:r>
      <w:r>
        <w:t>, Order to Show Cause, Notice of Opportunity for Hearing, and Hearing Designation Order, 18 FCC Rcd 14938 (2003) (</w:t>
      </w:r>
      <w:r w:rsidRPr="00621030">
        <w:rPr>
          <w:i/>
        </w:rPr>
        <w:t>Zawila HDO</w:t>
      </w:r>
      <w:r>
        <w:t>).  The hearing proceeding, EB Docket No. 03-152, remains pending before Chief Administrative Law Judge Richard L. Sippel.</w:t>
      </w:r>
    </w:p>
  </w:footnote>
  <w:footnote w:id="5">
    <w:p w:rsidR="0075279C" w:rsidRDefault="0075279C">
      <w:pPr>
        <w:pStyle w:val="FootnoteText"/>
      </w:pPr>
      <w:r>
        <w:rPr>
          <w:rStyle w:val="FootnoteReference"/>
        </w:rPr>
        <w:footnoteRef/>
      </w:r>
      <w:r>
        <w:t xml:space="preserve"> </w:t>
      </w:r>
      <w:r w:rsidRPr="0075279C">
        <w:rPr>
          <w:i/>
        </w:rPr>
        <w:t>See, e.g.</w:t>
      </w:r>
      <w:r>
        <w:t>, Exhibit 1 to PFR at 3.</w:t>
      </w:r>
    </w:p>
  </w:footnote>
  <w:footnote w:id="6">
    <w:p w:rsidR="0075279C" w:rsidRDefault="0075279C">
      <w:pPr>
        <w:pStyle w:val="FootnoteText"/>
      </w:pPr>
      <w:r>
        <w:rPr>
          <w:rStyle w:val="FootnoteReference"/>
        </w:rPr>
        <w:footnoteRef/>
      </w:r>
      <w:r>
        <w:t xml:space="preserve"> </w:t>
      </w:r>
      <w:r w:rsidRPr="0075279C">
        <w:rPr>
          <w:i/>
        </w:rPr>
        <w:t>See Ware II</w:t>
      </w:r>
      <w:r>
        <w:t xml:space="preserve"> at 4 para. 6.</w:t>
      </w:r>
    </w:p>
  </w:footnote>
  <w:footnote w:id="7">
    <w:p w:rsidR="00205A06" w:rsidRDefault="00205A06" w:rsidP="00205A06">
      <w:pPr>
        <w:pStyle w:val="FootnoteText"/>
      </w:pPr>
      <w:r>
        <w:rPr>
          <w:rStyle w:val="FootnoteReference"/>
        </w:rPr>
        <w:footnoteRef/>
      </w:r>
      <w:r>
        <w:t xml:space="preserve"> 515 U.S. 200 (1995).</w:t>
      </w:r>
    </w:p>
  </w:footnote>
  <w:footnote w:id="8">
    <w:p w:rsidR="00205A06" w:rsidRDefault="00205A06" w:rsidP="00205A06">
      <w:pPr>
        <w:pStyle w:val="FootnoteText"/>
      </w:pPr>
      <w:r>
        <w:rPr>
          <w:rStyle w:val="FootnoteReference"/>
        </w:rPr>
        <w:footnoteRef/>
      </w:r>
      <w:r>
        <w:t xml:space="preserve"> 652 F.3d 431 (3d Cir. 2011).</w:t>
      </w:r>
      <w:r w:rsidR="0075279C">
        <w:t xml:space="preserve">  </w:t>
      </w:r>
      <w:r w:rsidR="0075279C" w:rsidRPr="0075279C">
        <w:rPr>
          <w:i/>
        </w:rPr>
        <w:t>See Ware II</w:t>
      </w:r>
      <w:r w:rsidR="0075279C">
        <w:t xml:space="preserve"> at 3-4 para. 5.</w:t>
      </w:r>
    </w:p>
  </w:footnote>
  <w:footnote w:id="9">
    <w:p w:rsidR="0075279C" w:rsidRDefault="0075279C">
      <w:pPr>
        <w:pStyle w:val="FootnoteText"/>
      </w:pPr>
      <w:r>
        <w:rPr>
          <w:rStyle w:val="FootnoteReference"/>
        </w:rPr>
        <w:footnoteRef/>
      </w:r>
      <w:r>
        <w:t xml:space="preserve"> </w:t>
      </w:r>
      <w:r w:rsidRPr="0075279C">
        <w:rPr>
          <w:i/>
        </w:rPr>
        <w:t>Id</w:t>
      </w:r>
      <w:r>
        <w:t>. at 4 para. 6.</w:t>
      </w:r>
    </w:p>
  </w:footnote>
  <w:footnote w:id="10">
    <w:p w:rsidR="00820791" w:rsidRDefault="00820791">
      <w:pPr>
        <w:pStyle w:val="FootnoteText"/>
      </w:pPr>
      <w:r>
        <w:rPr>
          <w:rStyle w:val="FootnoteReference"/>
        </w:rPr>
        <w:footnoteRef/>
      </w:r>
      <w:r>
        <w:t xml:space="preserve"> PFR at 2.</w:t>
      </w:r>
      <w:r w:rsidR="001C7E50">
        <w:t xml:space="preserve">  </w:t>
      </w:r>
      <w:r w:rsidR="001C7E50" w:rsidRPr="001C7E50">
        <w:rPr>
          <w:i/>
        </w:rPr>
        <w:t>See</w:t>
      </w:r>
      <w:r w:rsidR="001C7E50">
        <w:t xml:space="preserve"> 47 U.S.C. § 309(j)(3)(B).</w:t>
      </w:r>
    </w:p>
  </w:footnote>
  <w:footnote w:id="11">
    <w:p w:rsidR="00820791" w:rsidRDefault="00820791">
      <w:pPr>
        <w:pStyle w:val="FootnoteText"/>
      </w:pPr>
      <w:r>
        <w:rPr>
          <w:rStyle w:val="FootnoteReference"/>
        </w:rPr>
        <w:footnoteRef/>
      </w:r>
      <w:r>
        <w:t xml:space="preserve"> </w:t>
      </w:r>
      <w:r w:rsidR="001C7E50">
        <w:t>PFR at 2</w:t>
      </w:r>
      <w:r>
        <w:t>.</w:t>
      </w:r>
    </w:p>
  </w:footnote>
  <w:footnote w:id="12">
    <w:p w:rsidR="00820791" w:rsidRDefault="00820791">
      <w:pPr>
        <w:pStyle w:val="FootnoteText"/>
      </w:pPr>
      <w:r>
        <w:rPr>
          <w:rStyle w:val="FootnoteReference"/>
        </w:rPr>
        <w:footnoteRef/>
      </w:r>
      <w:r>
        <w:t xml:space="preserve"> </w:t>
      </w:r>
      <w:r w:rsidRPr="00820791">
        <w:rPr>
          <w:i/>
        </w:rPr>
        <w:t>Id</w:t>
      </w:r>
      <w:r>
        <w:t>. at 7.</w:t>
      </w:r>
    </w:p>
  </w:footnote>
  <w:footnote w:id="13">
    <w:p w:rsidR="00453D71" w:rsidRDefault="00453D71">
      <w:pPr>
        <w:pStyle w:val="FootnoteText"/>
      </w:pPr>
      <w:r>
        <w:rPr>
          <w:rStyle w:val="FootnoteReference"/>
        </w:rPr>
        <w:footnoteRef/>
      </w:r>
      <w:r>
        <w:t xml:space="preserve"> 47 U.S.C. § 405(a).  </w:t>
      </w:r>
      <w:r w:rsidRPr="00453D71">
        <w:rPr>
          <w:i/>
        </w:rPr>
        <w:t>See also</w:t>
      </w:r>
      <w:r>
        <w:t xml:space="preserve"> 47 CFR § 1.106(f).  Public notice of a Commission non-rulemaking document is given on the release date.  </w:t>
      </w:r>
      <w:r w:rsidRPr="00453D71">
        <w:rPr>
          <w:i/>
        </w:rPr>
        <w:t>Id</w:t>
      </w:r>
      <w:r>
        <w:t>., § 1.4(a)(2).</w:t>
      </w:r>
    </w:p>
  </w:footnote>
  <w:footnote w:id="14">
    <w:p w:rsidR="00453D71" w:rsidRDefault="00453D71">
      <w:pPr>
        <w:pStyle w:val="FootnoteText"/>
      </w:pPr>
      <w:r>
        <w:rPr>
          <w:rStyle w:val="FootnoteReference"/>
        </w:rPr>
        <w:footnoteRef/>
      </w:r>
      <w:r>
        <w:t xml:space="preserve"> </w:t>
      </w:r>
      <w:r w:rsidRPr="00453D71">
        <w:rPr>
          <w:i/>
        </w:rPr>
        <w:t>See Gardner v. FCC</w:t>
      </w:r>
      <w:r>
        <w:t>, 530 F.2d 1086 (D.C. Cir. 1976).</w:t>
      </w:r>
    </w:p>
  </w:footnote>
  <w:footnote w:id="15">
    <w:p w:rsidR="001C7E50" w:rsidRDefault="001C7E50">
      <w:pPr>
        <w:pStyle w:val="FootnoteText"/>
      </w:pPr>
      <w:r>
        <w:rPr>
          <w:rStyle w:val="FootnoteReference"/>
        </w:rPr>
        <w:footnoteRef/>
      </w:r>
      <w:r>
        <w:t xml:space="preserve"> 47 CFR § 1.106(b)(2)(i).</w:t>
      </w:r>
    </w:p>
  </w:footnote>
  <w:footnote w:id="16">
    <w:p w:rsidR="001C7E50" w:rsidRDefault="001C7E50">
      <w:pPr>
        <w:pStyle w:val="FootnoteText"/>
      </w:pPr>
      <w:r>
        <w:rPr>
          <w:rStyle w:val="FootnoteReference"/>
        </w:rPr>
        <w:footnoteRef/>
      </w:r>
      <w:r>
        <w:t xml:space="preserve"> </w:t>
      </w:r>
      <w:r w:rsidRPr="001C7E50">
        <w:rPr>
          <w:i/>
        </w:rPr>
        <w:t>Id</w:t>
      </w:r>
      <w:r>
        <w:t>. § 1.106(b)(2)(ii).</w:t>
      </w:r>
    </w:p>
  </w:footnote>
  <w:footnote w:id="17">
    <w:p w:rsidR="00820791" w:rsidRDefault="00820791">
      <w:pPr>
        <w:pStyle w:val="FootnoteText"/>
      </w:pPr>
      <w:r>
        <w:rPr>
          <w:rStyle w:val="FootnoteReference"/>
        </w:rPr>
        <w:footnoteRef/>
      </w:r>
      <w:r>
        <w:t xml:space="preserve"> </w:t>
      </w:r>
      <w:r w:rsidR="001C7E50" w:rsidRPr="001C7E50">
        <w:rPr>
          <w:i/>
        </w:rPr>
        <w:t>Id</w:t>
      </w:r>
      <w:r w:rsidR="001C7E50">
        <w:t>.</w:t>
      </w:r>
      <w:r>
        <w:t xml:space="preserve"> § 1.106(b)(3).</w:t>
      </w:r>
    </w:p>
  </w:footnote>
  <w:footnote w:id="18">
    <w:p w:rsidR="00601C67" w:rsidRDefault="00601C67">
      <w:pPr>
        <w:pStyle w:val="FootnoteText"/>
      </w:pPr>
      <w:r>
        <w:rPr>
          <w:rStyle w:val="FootnoteReference"/>
        </w:rPr>
        <w:footnoteRef/>
      </w:r>
      <w:r>
        <w:t xml:space="preserve"> </w:t>
      </w:r>
      <w:r w:rsidRPr="00601C67">
        <w:rPr>
          <w:i/>
        </w:rPr>
        <w:t>See</w:t>
      </w:r>
      <w:r>
        <w:t xml:space="preserve"> </w:t>
      </w:r>
      <w:r w:rsidR="001C7E50" w:rsidRPr="001C7E50">
        <w:rPr>
          <w:i/>
        </w:rPr>
        <w:t>id</w:t>
      </w:r>
      <w:r w:rsidR="001C7E50">
        <w:t>.</w:t>
      </w:r>
      <w:r>
        <w:t xml:space="preserve"> §§ 1.106(p)(2), (p)(3).</w:t>
      </w:r>
    </w:p>
  </w:footnote>
  <w:footnote w:id="19">
    <w:p w:rsidR="00133A22" w:rsidRDefault="00133A22">
      <w:pPr>
        <w:pStyle w:val="FootnoteText"/>
      </w:pPr>
      <w:r>
        <w:rPr>
          <w:rStyle w:val="FootnoteReference"/>
        </w:rPr>
        <w:footnoteRef/>
      </w:r>
      <w:r>
        <w:t xml:space="preserve"> 47 U.S.C. § 405(a).</w:t>
      </w:r>
    </w:p>
  </w:footnote>
  <w:footnote w:id="20">
    <w:p w:rsidR="009C237E" w:rsidRDefault="009C237E">
      <w:pPr>
        <w:pStyle w:val="FootnoteText"/>
      </w:pPr>
      <w:r>
        <w:rPr>
          <w:rStyle w:val="FootnoteReference"/>
        </w:rPr>
        <w:footnoteRef/>
      </w:r>
      <w:r>
        <w:t xml:space="preserve"> 47 </w:t>
      </w:r>
      <w:r w:rsidR="00133A22">
        <w:t>CFR §§ 1.106(f), (b)(3), (p)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6EF" w:rsidRDefault="00C15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53D6E">
      <w:t>DA</w:t>
    </w:r>
    <w:r w:rsidR="0027749D">
      <w:t xml:space="preserve"> 16-888</w:t>
    </w:r>
  </w:p>
  <w:p w:rsidR="00D25FB5" w:rsidRDefault="00771D0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A0F56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71D0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3787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53D6E">
      <w:rPr>
        <w:spacing w:val="-2"/>
      </w:rPr>
      <w:t>DA</w:t>
    </w:r>
    <w:r>
      <w:rPr>
        <w:spacing w:val="-2"/>
      </w:rPr>
      <w:t xml:space="preserve"> 16-</w:t>
    </w:r>
    <w:r w:rsidR="0027749D">
      <w:rPr>
        <w:spacing w:val="-2"/>
      </w:rPr>
      <w:t>888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01"/>
    <w:rsid w:val="00002A4E"/>
    <w:rsid w:val="00036039"/>
    <w:rsid w:val="00037F90"/>
    <w:rsid w:val="00053D6E"/>
    <w:rsid w:val="00055158"/>
    <w:rsid w:val="00067633"/>
    <w:rsid w:val="000875BF"/>
    <w:rsid w:val="00094126"/>
    <w:rsid w:val="00096D8C"/>
    <w:rsid w:val="000B0161"/>
    <w:rsid w:val="000C0B65"/>
    <w:rsid w:val="000D5224"/>
    <w:rsid w:val="000D7D7F"/>
    <w:rsid w:val="000E05FE"/>
    <w:rsid w:val="000E3D42"/>
    <w:rsid w:val="00111782"/>
    <w:rsid w:val="0011342F"/>
    <w:rsid w:val="00115D70"/>
    <w:rsid w:val="00116C03"/>
    <w:rsid w:val="00122BD5"/>
    <w:rsid w:val="00133A22"/>
    <w:rsid w:val="00133F79"/>
    <w:rsid w:val="00154462"/>
    <w:rsid w:val="001623D2"/>
    <w:rsid w:val="00193C5C"/>
    <w:rsid w:val="00194A66"/>
    <w:rsid w:val="001C6D7E"/>
    <w:rsid w:val="001C7E50"/>
    <w:rsid w:val="001D6BCF"/>
    <w:rsid w:val="001E01CA"/>
    <w:rsid w:val="00205A06"/>
    <w:rsid w:val="00222FE2"/>
    <w:rsid w:val="00227A0C"/>
    <w:rsid w:val="00232804"/>
    <w:rsid w:val="00242D94"/>
    <w:rsid w:val="00272346"/>
    <w:rsid w:val="00275CF5"/>
    <w:rsid w:val="0027749D"/>
    <w:rsid w:val="0028301F"/>
    <w:rsid w:val="00285017"/>
    <w:rsid w:val="002A0F51"/>
    <w:rsid w:val="002A2D2E"/>
    <w:rsid w:val="002A61BC"/>
    <w:rsid w:val="002A7CB0"/>
    <w:rsid w:val="002C00E8"/>
    <w:rsid w:val="00300A68"/>
    <w:rsid w:val="00343749"/>
    <w:rsid w:val="003660ED"/>
    <w:rsid w:val="003B0550"/>
    <w:rsid w:val="003B694F"/>
    <w:rsid w:val="003C6F54"/>
    <w:rsid w:val="003E1F65"/>
    <w:rsid w:val="003E2997"/>
    <w:rsid w:val="003F171C"/>
    <w:rsid w:val="00402E20"/>
    <w:rsid w:val="00412FC5"/>
    <w:rsid w:val="00422276"/>
    <w:rsid w:val="004242F1"/>
    <w:rsid w:val="00433365"/>
    <w:rsid w:val="00445A00"/>
    <w:rsid w:val="00451B0F"/>
    <w:rsid w:val="00451FF9"/>
    <w:rsid w:val="00453D71"/>
    <w:rsid w:val="004B1E0A"/>
    <w:rsid w:val="004C2EE3"/>
    <w:rsid w:val="004E4A22"/>
    <w:rsid w:val="004E6DFB"/>
    <w:rsid w:val="00511968"/>
    <w:rsid w:val="0055614C"/>
    <w:rsid w:val="00572F83"/>
    <w:rsid w:val="005810A4"/>
    <w:rsid w:val="005840D5"/>
    <w:rsid w:val="0059596E"/>
    <w:rsid w:val="005D14AC"/>
    <w:rsid w:val="005E137B"/>
    <w:rsid w:val="005E14C2"/>
    <w:rsid w:val="005E7C9A"/>
    <w:rsid w:val="00601C67"/>
    <w:rsid w:val="00602A71"/>
    <w:rsid w:val="00607BA5"/>
    <w:rsid w:val="0061180A"/>
    <w:rsid w:val="00614C22"/>
    <w:rsid w:val="00626EB6"/>
    <w:rsid w:val="00655D03"/>
    <w:rsid w:val="00683388"/>
    <w:rsid w:val="00683F84"/>
    <w:rsid w:val="006A6A81"/>
    <w:rsid w:val="006F7393"/>
    <w:rsid w:val="00701018"/>
    <w:rsid w:val="0070224F"/>
    <w:rsid w:val="007115F7"/>
    <w:rsid w:val="00713316"/>
    <w:rsid w:val="0075279C"/>
    <w:rsid w:val="00770EC9"/>
    <w:rsid w:val="00771D01"/>
    <w:rsid w:val="00774C8C"/>
    <w:rsid w:val="00781A6C"/>
    <w:rsid w:val="00785689"/>
    <w:rsid w:val="00791D56"/>
    <w:rsid w:val="00796497"/>
    <w:rsid w:val="0079754B"/>
    <w:rsid w:val="007A1E6D"/>
    <w:rsid w:val="007B0EB2"/>
    <w:rsid w:val="007B56B2"/>
    <w:rsid w:val="007C2814"/>
    <w:rsid w:val="007E2CC0"/>
    <w:rsid w:val="007F4B2E"/>
    <w:rsid w:val="00810B6F"/>
    <w:rsid w:val="00812AAB"/>
    <w:rsid w:val="00815216"/>
    <w:rsid w:val="00820791"/>
    <w:rsid w:val="00822CE0"/>
    <w:rsid w:val="00841AB1"/>
    <w:rsid w:val="008909FD"/>
    <w:rsid w:val="008C68F1"/>
    <w:rsid w:val="00914342"/>
    <w:rsid w:val="00921803"/>
    <w:rsid w:val="009242B7"/>
    <w:rsid w:val="00926503"/>
    <w:rsid w:val="00931022"/>
    <w:rsid w:val="0093221B"/>
    <w:rsid w:val="009726D8"/>
    <w:rsid w:val="009801E2"/>
    <w:rsid w:val="009906AB"/>
    <w:rsid w:val="009C237E"/>
    <w:rsid w:val="009E22E7"/>
    <w:rsid w:val="009F76DB"/>
    <w:rsid w:val="00A32C3B"/>
    <w:rsid w:val="00A37F85"/>
    <w:rsid w:val="00A37FEC"/>
    <w:rsid w:val="00A45F4F"/>
    <w:rsid w:val="00A47BC8"/>
    <w:rsid w:val="00A53A3A"/>
    <w:rsid w:val="00A600A9"/>
    <w:rsid w:val="00A905EA"/>
    <w:rsid w:val="00AA55B7"/>
    <w:rsid w:val="00AA5B9E"/>
    <w:rsid w:val="00AB2407"/>
    <w:rsid w:val="00AB53DF"/>
    <w:rsid w:val="00AB6206"/>
    <w:rsid w:val="00AB6725"/>
    <w:rsid w:val="00AD0173"/>
    <w:rsid w:val="00AE6295"/>
    <w:rsid w:val="00AF344F"/>
    <w:rsid w:val="00B07E5C"/>
    <w:rsid w:val="00B6331F"/>
    <w:rsid w:val="00B811F7"/>
    <w:rsid w:val="00B94723"/>
    <w:rsid w:val="00BA5DC6"/>
    <w:rsid w:val="00BA6196"/>
    <w:rsid w:val="00BA78E5"/>
    <w:rsid w:val="00BC6D8C"/>
    <w:rsid w:val="00BD7812"/>
    <w:rsid w:val="00BF3FD9"/>
    <w:rsid w:val="00C156EF"/>
    <w:rsid w:val="00C34006"/>
    <w:rsid w:val="00C426B1"/>
    <w:rsid w:val="00C4781A"/>
    <w:rsid w:val="00C60055"/>
    <w:rsid w:val="00C66160"/>
    <w:rsid w:val="00C721AC"/>
    <w:rsid w:val="00C90D6A"/>
    <w:rsid w:val="00CA247E"/>
    <w:rsid w:val="00CA7E71"/>
    <w:rsid w:val="00CC189C"/>
    <w:rsid w:val="00CC72B6"/>
    <w:rsid w:val="00CF3A2F"/>
    <w:rsid w:val="00CF5D15"/>
    <w:rsid w:val="00D0218D"/>
    <w:rsid w:val="00D21673"/>
    <w:rsid w:val="00D21ACA"/>
    <w:rsid w:val="00D25FB5"/>
    <w:rsid w:val="00D44223"/>
    <w:rsid w:val="00D45F1B"/>
    <w:rsid w:val="00D8324C"/>
    <w:rsid w:val="00D96505"/>
    <w:rsid w:val="00DA2529"/>
    <w:rsid w:val="00DB130A"/>
    <w:rsid w:val="00DB20D8"/>
    <w:rsid w:val="00DB27B6"/>
    <w:rsid w:val="00DB2EBB"/>
    <w:rsid w:val="00DC10A1"/>
    <w:rsid w:val="00DC655F"/>
    <w:rsid w:val="00DD0B59"/>
    <w:rsid w:val="00DD2731"/>
    <w:rsid w:val="00DD7EBD"/>
    <w:rsid w:val="00DE0802"/>
    <w:rsid w:val="00DF1CFC"/>
    <w:rsid w:val="00DF62B6"/>
    <w:rsid w:val="00E07225"/>
    <w:rsid w:val="00E07C26"/>
    <w:rsid w:val="00E16455"/>
    <w:rsid w:val="00E5409F"/>
    <w:rsid w:val="00E655B8"/>
    <w:rsid w:val="00E90A4D"/>
    <w:rsid w:val="00EB2D32"/>
    <w:rsid w:val="00EC00AB"/>
    <w:rsid w:val="00EC6815"/>
    <w:rsid w:val="00EE6488"/>
    <w:rsid w:val="00F021FA"/>
    <w:rsid w:val="00F5490E"/>
    <w:rsid w:val="00F62E97"/>
    <w:rsid w:val="00F64209"/>
    <w:rsid w:val="00F66D71"/>
    <w:rsid w:val="00F84BEA"/>
    <w:rsid w:val="00F87420"/>
    <w:rsid w:val="00F93BF5"/>
    <w:rsid w:val="00FA0BFD"/>
    <w:rsid w:val="00FB53F8"/>
    <w:rsid w:val="00FB6E6E"/>
    <w:rsid w:val="00FC1D7B"/>
    <w:rsid w:val="00FC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126"/>
    <w:pPr>
      <w:widowControl w:val="0"/>
    </w:pPr>
    <w:rPr>
      <w:snapToGrid w:val="0"/>
      <w:kern w:val="28"/>
      <w:sz w:val="22"/>
    </w:rPr>
  </w:style>
  <w:style w:type="paragraph" w:styleId="Heading1">
    <w:name w:val="heading 1"/>
    <w:basedOn w:val="Normal"/>
    <w:next w:val="ParaNum"/>
    <w:qFormat/>
    <w:rsid w:val="0009412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4126"/>
    <w:pPr>
      <w:keepNext/>
      <w:numPr>
        <w:ilvl w:val="1"/>
        <w:numId w:val="3"/>
      </w:numPr>
      <w:spacing w:after="120"/>
      <w:outlineLvl w:val="1"/>
    </w:pPr>
    <w:rPr>
      <w:b/>
    </w:rPr>
  </w:style>
  <w:style w:type="paragraph" w:styleId="Heading3">
    <w:name w:val="heading 3"/>
    <w:basedOn w:val="Normal"/>
    <w:next w:val="ParaNum"/>
    <w:qFormat/>
    <w:rsid w:val="00094126"/>
    <w:pPr>
      <w:keepNext/>
      <w:numPr>
        <w:ilvl w:val="2"/>
        <w:numId w:val="3"/>
      </w:numPr>
      <w:tabs>
        <w:tab w:val="left" w:pos="2160"/>
      </w:tabs>
      <w:spacing w:after="120"/>
      <w:outlineLvl w:val="2"/>
    </w:pPr>
    <w:rPr>
      <w:b/>
    </w:rPr>
  </w:style>
  <w:style w:type="paragraph" w:styleId="Heading4">
    <w:name w:val="heading 4"/>
    <w:basedOn w:val="Normal"/>
    <w:next w:val="ParaNum"/>
    <w:qFormat/>
    <w:rsid w:val="00094126"/>
    <w:pPr>
      <w:keepNext/>
      <w:numPr>
        <w:ilvl w:val="3"/>
        <w:numId w:val="3"/>
      </w:numPr>
      <w:tabs>
        <w:tab w:val="left" w:pos="2880"/>
      </w:tabs>
      <w:spacing w:after="120"/>
      <w:outlineLvl w:val="3"/>
    </w:pPr>
    <w:rPr>
      <w:b/>
    </w:rPr>
  </w:style>
  <w:style w:type="paragraph" w:styleId="Heading5">
    <w:name w:val="heading 5"/>
    <w:basedOn w:val="Normal"/>
    <w:next w:val="ParaNum"/>
    <w:qFormat/>
    <w:rsid w:val="0009412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4126"/>
    <w:pPr>
      <w:numPr>
        <w:ilvl w:val="5"/>
        <w:numId w:val="3"/>
      </w:numPr>
      <w:tabs>
        <w:tab w:val="left" w:pos="4320"/>
      </w:tabs>
      <w:spacing w:after="120"/>
      <w:outlineLvl w:val="5"/>
    </w:pPr>
    <w:rPr>
      <w:b/>
    </w:rPr>
  </w:style>
  <w:style w:type="paragraph" w:styleId="Heading7">
    <w:name w:val="heading 7"/>
    <w:basedOn w:val="Normal"/>
    <w:next w:val="ParaNum"/>
    <w:qFormat/>
    <w:rsid w:val="0009412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412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412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41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4126"/>
  </w:style>
  <w:style w:type="paragraph" w:customStyle="1" w:styleId="ParaNum">
    <w:name w:val="ParaNum"/>
    <w:basedOn w:val="Normal"/>
    <w:rsid w:val="00094126"/>
    <w:pPr>
      <w:numPr>
        <w:numId w:val="2"/>
      </w:numPr>
      <w:tabs>
        <w:tab w:val="clear" w:pos="1080"/>
        <w:tab w:val="num" w:pos="1440"/>
      </w:tabs>
      <w:spacing w:after="120"/>
    </w:pPr>
  </w:style>
  <w:style w:type="paragraph" w:styleId="EndnoteText">
    <w:name w:val="endnote text"/>
    <w:basedOn w:val="Normal"/>
    <w:semiHidden/>
    <w:rsid w:val="00094126"/>
    <w:rPr>
      <w:sz w:val="20"/>
    </w:rPr>
  </w:style>
  <w:style w:type="character" w:styleId="EndnoteReference">
    <w:name w:val="endnote reference"/>
    <w:semiHidden/>
    <w:rsid w:val="00094126"/>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094126"/>
    <w:pPr>
      <w:spacing w:after="120"/>
    </w:pPr>
  </w:style>
  <w:style w:type="character" w:styleId="FootnoteReference">
    <w:name w:val="footnote reference"/>
    <w:aliases w:val="Style 12,(NECG) Footnote Reference"/>
    <w:rsid w:val="00094126"/>
    <w:rPr>
      <w:rFonts w:ascii="Times New Roman" w:hAnsi="Times New Roman"/>
      <w:dstrike w:val="0"/>
      <w:color w:val="auto"/>
      <w:sz w:val="20"/>
      <w:vertAlign w:val="superscript"/>
    </w:rPr>
  </w:style>
  <w:style w:type="paragraph" w:styleId="TOC1">
    <w:name w:val="toc 1"/>
    <w:basedOn w:val="Normal"/>
    <w:next w:val="Normal"/>
    <w:semiHidden/>
    <w:rsid w:val="000941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4126"/>
    <w:pPr>
      <w:tabs>
        <w:tab w:val="left" w:pos="720"/>
        <w:tab w:val="right" w:leader="dot" w:pos="9360"/>
      </w:tabs>
      <w:suppressAutoHyphens/>
      <w:ind w:left="720" w:right="720" w:hanging="360"/>
    </w:pPr>
    <w:rPr>
      <w:noProof/>
    </w:rPr>
  </w:style>
  <w:style w:type="paragraph" w:styleId="TOC3">
    <w:name w:val="toc 3"/>
    <w:basedOn w:val="Normal"/>
    <w:next w:val="Normal"/>
    <w:semiHidden/>
    <w:rsid w:val="000941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41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41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41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41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41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41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4126"/>
    <w:pPr>
      <w:tabs>
        <w:tab w:val="right" w:pos="9360"/>
      </w:tabs>
      <w:suppressAutoHyphens/>
    </w:pPr>
  </w:style>
  <w:style w:type="character" w:customStyle="1" w:styleId="EquationCaption">
    <w:name w:val="_Equation Caption"/>
    <w:rsid w:val="00094126"/>
  </w:style>
  <w:style w:type="paragraph" w:styleId="Header">
    <w:name w:val="header"/>
    <w:basedOn w:val="Normal"/>
    <w:autoRedefine/>
    <w:rsid w:val="00094126"/>
    <w:pPr>
      <w:tabs>
        <w:tab w:val="center" w:pos="4680"/>
        <w:tab w:val="right" w:pos="9360"/>
      </w:tabs>
    </w:pPr>
    <w:rPr>
      <w:b/>
    </w:rPr>
  </w:style>
  <w:style w:type="paragraph" w:styleId="Footer">
    <w:name w:val="footer"/>
    <w:basedOn w:val="Normal"/>
    <w:rsid w:val="00094126"/>
    <w:pPr>
      <w:tabs>
        <w:tab w:val="center" w:pos="4320"/>
        <w:tab w:val="right" w:pos="8640"/>
      </w:tabs>
    </w:pPr>
  </w:style>
  <w:style w:type="character" w:styleId="PageNumber">
    <w:name w:val="page number"/>
    <w:basedOn w:val="DefaultParagraphFont"/>
    <w:rsid w:val="00094126"/>
  </w:style>
  <w:style w:type="paragraph" w:styleId="BlockText">
    <w:name w:val="Block Text"/>
    <w:basedOn w:val="Normal"/>
    <w:rsid w:val="00094126"/>
    <w:pPr>
      <w:spacing w:after="240"/>
      <w:ind w:left="1440" w:right="1440"/>
    </w:pPr>
  </w:style>
  <w:style w:type="paragraph" w:customStyle="1" w:styleId="Paratitle">
    <w:name w:val="Para title"/>
    <w:basedOn w:val="Normal"/>
    <w:rsid w:val="00094126"/>
    <w:pPr>
      <w:tabs>
        <w:tab w:val="center" w:pos="9270"/>
      </w:tabs>
      <w:spacing w:after="240"/>
    </w:pPr>
    <w:rPr>
      <w:spacing w:val="-2"/>
    </w:rPr>
  </w:style>
  <w:style w:type="paragraph" w:customStyle="1" w:styleId="Bullet">
    <w:name w:val="Bullet"/>
    <w:basedOn w:val="Normal"/>
    <w:rsid w:val="00094126"/>
    <w:pPr>
      <w:tabs>
        <w:tab w:val="left" w:pos="2160"/>
      </w:tabs>
      <w:spacing w:after="220"/>
      <w:ind w:left="2160" w:hanging="720"/>
    </w:pPr>
  </w:style>
  <w:style w:type="paragraph" w:customStyle="1" w:styleId="TableFormat">
    <w:name w:val="TableFormat"/>
    <w:basedOn w:val="Bullet"/>
    <w:rsid w:val="00094126"/>
    <w:pPr>
      <w:tabs>
        <w:tab w:val="clear" w:pos="2160"/>
        <w:tab w:val="left" w:pos="5040"/>
      </w:tabs>
      <w:ind w:left="5040" w:hanging="3600"/>
    </w:pPr>
  </w:style>
  <w:style w:type="paragraph" w:customStyle="1" w:styleId="TOCTitle">
    <w:name w:val="TOC Title"/>
    <w:basedOn w:val="Normal"/>
    <w:rsid w:val="000941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4126"/>
    <w:pPr>
      <w:jc w:val="center"/>
    </w:pPr>
    <w:rPr>
      <w:rFonts w:ascii="Times New Roman Bold" w:hAnsi="Times New Roman Bold"/>
      <w:b/>
      <w:bCs/>
      <w:caps/>
      <w:szCs w:val="22"/>
    </w:rPr>
  </w:style>
  <w:style w:type="character" w:styleId="Hyperlink">
    <w:name w:val="Hyperlink"/>
    <w:rsid w:val="00094126"/>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A53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126"/>
    <w:pPr>
      <w:widowControl w:val="0"/>
    </w:pPr>
    <w:rPr>
      <w:snapToGrid w:val="0"/>
      <w:kern w:val="28"/>
      <w:sz w:val="22"/>
    </w:rPr>
  </w:style>
  <w:style w:type="paragraph" w:styleId="Heading1">
    <w:name w:val="heading 1"/>
    <w:basedOn w:val="Normal"/>
    <w:next w:val="ParaNum"/>
    <w:qFormat/>
    <w:rsid w:val="0009412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4126"/>
    <w:pPr>
      <w:keepNext/>
      <w:numPr>
        <w:ilvl w:val="1"/>
        <w:numId w:val="3"/>
      </w:numPr>
      <w:spacing w:after="120"/>
      <w:outlineLvl w:val="1"/>
    </w:pPr>
    <w:rPr>
      <w:b/>
    </w:rPr>
  </w:style>
  <w:style w:type="paragraph" w:styleId="Heading3">
    <w:name w:val="heading 3"/>
    <w:basedOn w:val="Normal"/>
    <w:next w:val="ParaNum"/>
    <w:qFormat/>
    <w:rsid w:val="00094126"/>
    <w:pPr>
      <w:keepNext/>
      <w:numPr>
        <w:ilvl w:val="2"/>
        <w:numId w:val="3"/>
      </w:numPr>
      <w:tabs>
        <w:tab w:val="left" w:pos="2160"/>
      </w:tabs>
      <w:spacing w:after="120"/>
      <w:outlineLvl w:val="2"/>
    </w:pPr>
    <w:rPr>
      <w:b/>
    </w:rPr>
  </w:style>
  <w:style w:type="paragraph" w:styleId="Heading4">
    <w:name w:val="heading 4"/>
    <w:basedOn w:val="Normal"/>
    <w:next w:val="ParaNum"/>
    <w:qFormat/>
    <w:rsid w:val="00094126"/>
    <w:pPr>
      <w:keepNext/>
      <w:numPr>
        <w:ilvl w:val="3"/>
        <w:numId w:val="3"/>
      </w:numPr>
      <w:tabs>
        <w:tab w:val="left" w:pos="2880"/>
      </w:tabs>
      <w:spacing w:after="120"/>
      <w:outlineLvl w:val="3"/>
    </w:pPr>
    <w:rPr>
      <w:b/>
    </w:rPr>
  </w:style>
  <w:style w:type="paragraph" w:styleId="Heading5">
    <w:name w:val="heading 5"/>
    <w:basedOn w:val="Normal"/>
    <w:next w:val="ParaNum"/>
    <w:qFormat/>
    <w:rsid w:val="0009412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4126"/>
    <w:pPr>
      <w:numPr>
        <w:ilvl w:val="5"/>
        <w:numId w:val="3"/>
      </w:numPr>
      <w:tabs>
        <w:tab w:val="left" w:pos="4320"/>
      </w:tabs>
      <w:spacing w:after="120"/>
      <w:outlineLvl w:val="5"/>
    </w:pPr>
    <w:rPr>
      <w:b/>
    </w:rPr>
  </w:style>
  <w:style w:type="paragraph" w:styleId="Heading7">
    <w:name w:val="heading 7"/>
    <w:basedOn w:val="Normal"/>
    <w:next w:val="ParaNum"/>
    <w:qFormat/>
    <w:rsid w:val="0009412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412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412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41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4126"/>
  </w:style>
  <w:style w:type="paragraph" w:customStyle="1" w:styleId="ParaNum">
    <w:name w:val="ParaNum"/>
    <w:basedOn w:val="Normal"/>
    <w:rsid w:val="00094126"/>
    <w:pPr>
      <w:numPr>
        <w:numId w:val="2"/>
      </w:numPr>
      <w:tabs>
        <w:tab w:val="clear" w:pos="1080"/>
        <w:tab w:val="num" w:pos="1440"/>
      </w:tabs>
      <w:spacing w:after="120"/>
    </w:pPr>
  </w:style>
  <w:style w:type="paragraph" w:styleId="EndnoteText">
    <w:name w:val="endnote text"/>
    <w:basedOn w:val="Normal"/>
    <w:semiHidden/>
    <w:rsid w:val="00094126"/>
    <w:rPr>
      <w:sz w:val="20"/>
    </w:rPr>
  </w:style>
  <w:style w:type="character" w:styleId="EndnoteReference">
    <w:name w:val="endnote reference"/>
    <w:semiHidden/>
    <w:rsid w:val="00094126"/>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094126"/>
    <w:pPr>
      <w:spacing w:after="120"/>
    </w:pPr>
  </w:style>
  <w:style w:type="character" w:styleId="FootnoteReference">
    <w:name w:val="footnote reference"/>
    <w:aliases w:val="Style 12,(NECG) Footnote Reference"/>
    <w:rsid w:val="00094126"/>
    <w:rPr>
      <w:rFonts w:ascii="Times New Roman" w:hAnsi="Times New Roman"/>
      <w:dstrike w:val="0"/>
      <w:color w:val="auto"/>
      <w:sz w:val="20"/>
      <w:vertAlign w:val="superscript"/>
    </w:rPr>
  </w:style>
  <w:style w:type="paragraph" w:styleId="TOC1">
    <w:name w:val="toc 1"/>
    <w:basedOn w:val="Normal"/>
    <w:next w:val="Normal"/>
    <w:semiHidden/>
    <w:rsid w:val="000941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4126"/>
    <w:pPr>
      <w:tabs>
        <w:tab w:val="left" w:pos="720"/>
        <w:tab w:val="right" w:leader="dot" w:pos="9360"/>
      </w:tabs>
      <w:suppressAutoHyphens/>
      <w:ind w:left="720" w:right="720" w:hanging="360"/>
    </w:pPr>
    <w:rPr>
      <w:noProof/>
    </w:rPr>
  </w:style>
  <w:style w:type="paragraph" w:styleId="TOC3">
    <w:name w:val="toc 3"/>
    <w:basedOn w:val="Normal"/>
    <w:next w:val="Normal"/>
    <w:semiHidden/>
    <w:rsid w:val="000941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41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41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41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41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41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41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4126"/>
    <w:pPr>
      <w:tabs>
        <w:tab w:val="right" w:pos="9360"/>
      </w:tabs>
      <w:suppressAutoHyphens/>
    </w:pPr>
  </w:style>
  <w:style w:type="character" w:customStyle="1" w:styleId="EquationCaption">
    <w:name w:val="_Equation Caption"/>
    <w:rsid w:val="00094126"/>
  </w:style>
  <w:style w:type="paragraph" w:styleId="Header">
    <w:name w:val="header"/>
    <w:basedOn w:val="Normal"/>
    <w:autoRedefine/>
    <w:rsid w:val="00094126"/>
    <w:pPr>
      <w:tabs>
        <w:tab w:val="center" w:pos="4680"/>
        <w:tab w:val="right" w:pos="9360"/>
      </w:tabs>
    </w:pPr>
    <w:rPr>
      <w:b/>
    </w:rPr>
  </w:style>
  <w:style w:type="paragraph" w:styleId="Footer">
    <w:name w:val="footer"/>
    <w:basedOn w:val="Normal"/>
    <w:rsid w:val="00094126"/>
    <w:pPr>
      <w:tabs>
        <w:tab w:val="center" w:pos="4320"/>
        <w:tab w:val="right" w:pos="8640"/>
      </w:tabs>
    </w:pPr>
  </w:style>
  <w:style w:type="character" w:styleId="PageNumber">
    <w:name w:val="page number"/>
    <w:basedOn w:val="DefaultParagraphFont"/>
    <w:rsid w:val="00094126"/>
  </w:style>
  <w:style w:type="paragraph" w:styleId="BlockText">
    <w:name w:val="Block Text"/>
    <w:basedOn w:val="Normal"/>
    <w:rsid w:val="00094126"/>
    <w:pPr>
      <w:spacing w:after="240"/>
      <w:ind w:left="1440" w:right="1440"/>
    </w:pPr>
  </w:style>
  <w:style w:type="paragraph" w:customStyle="1" w:styleId="Paratitle">
    <w:name w:val="Para title"/>
    <w:basedOn w:val="Normal"/>
    <w:rsid w:val="00094126"/>
    <w:pPr>
      <w:tabs>
        <w:tab w:val="center" w:pos="9270"/>
      </w:tabs>
      <w:spacing w:after="240"/>
    </w:pPr>
    <w:rPr>
      <w:spacing w:val="-2"/>
    </w:rPr>
  </w:style>
  <w:style w:type="paragraph" w:customStyle="1" w:styleId="Bullet">
    <w:name w:val="Bullet"/>
    <w:basedOn w:val="Normal"/>
    <w:rsid w:val="00094126"/>
    <w:pPr>
      <w:tabs>
        <w:tab w:val="left" w:pos="2160"/>
      </w:tabs>
      <w:spacing w:after="220"/>
      <w:ind w:left="2160" w:hanging="720"/>
    </w:pPr>
  </w:style>
  <w:style w:type="paragraph" w:customStyle="1" w:styleId="TableFormat">
    <w:name w:val="TableFormat"/>
    <w:basedOn w:val="Bullet"/>
    <w:rsid w:val="00094126"/>
    <w:pPr>
      <w:tabs>
        <w:tab w:val="clear" w:pos="2160"/>
        <w:tab w:val="left" w:pos="5040"/>
      </w:tabs>
      <w:ind w:left="5040" w:hanging="3600"/>
    </w:pPr>
  </w:style>
  <w:style w:type="paragraph" w:customStyle="1" w:styleId="TOCTitle">
    <w:name w:val="TOC Title"/>
    <w:basedOn w:val="Normal"/>
    <w:rsid w:val="000941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4126"/>
    <w:pPr>
      <w:jc w:val="center"/>
    </w:pPr>
    <w:rPr>
      <w:rFonts w:ascii="Times New Roman Bold" w:hAnsi="Times New Roman Bold"/>
      <w:b/>
      <w:bCs/>
      <w:caps/>
      <w:szCs w:val="22"/>
    </w:rPr>
  </w:style>
  <w:style w:type="character" w:styleId="Hyperlink">
    <w:name w:val="Hyperlink"/>
    <w:rsid w:val="00094126"/>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A5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323">
      <w:bodyDiv w:val="1"/>
      <w:marLeft w:val="0"/>
      <w:marRight w:val="0"/>
      <w:marTop w:val="0"/>
      <w:marBottom w:val="0"/>
      <w:divBdr>
        <w:top w:val="none" w:sz="0" w:space="0" w:color="auto"/>
        <w:left w:val="none" w:sz="0" w:space="0" w:color="auto"/>
        <w:bottom w:val="none" w:sz="0" w:space="0" w:color="auto"/>
        <w:right w:val="none" w:sz="0" w:space="0" w:color="auto"/>
      </w:divBdr>
    </w:div>
    <w:div w:id="20526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1004</Words>
  <Characters>5481</Characters>
  <Application>Microsoft Office Word</Application>
  <DocSecurity>0</DocSecurity>
  <Lines>170</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2016-08-04T11:53:00Z</dcterms:created>
  <dcterms:modified xsi:type="dcterms:W3CDTF">2016-08-04T11:53:00Z</dcterms:modified>
  <cp:category> </cp:category>
  <cp:contentStatus> </cp:contentStatus>
</cp:coreProperties>
</file>