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B63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FFB6F8F" w14:textId="77777777" w:rsidR="00921803" w:rsidRDefault="00921803" w:rsidP="00921803">
      <w:pPr>
        <w:pStyle w:val="StyleBoldCentered"/>
      </w:pPr>
      <w:r>
        <w:t>F</w:t>
      </w:r>
      <w:r>
        <w:rPr>
          <w:caps w:val="0"/>
        </w:rPr>
        <w:t>ederal Communications Commission</w:t>
      </w:r>
    </w:p>
    <w:p w14:paraId="4BF3A128" w14:textId="77777777" w:rsidR="004C2EE3" w:rsidRDefault="004C2EE3" w:rsidP="00096D8C">
      <w:pPr>
        <w:pStyle w:val="StyleBoldCentered"/>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14:paraId="5C7A5E0F" w14:textId="77777777" w:rsidR="004C2EE3" w:rsidRDefault="004C2EE3" w:rsidP="0070224F"/>
    <w:p w14:paraId="5D77602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8F5AB4D" w14:textId="77777777">
        <w:tc>
          <w:tcPr>
            <w:tcW w:w="4698" w:type="dxa"/>
          </w:tcPr>
          <w:p w14:paraId="47B1B2C8" w14:textId="77777777" w:rsidR="004C2EE3" w:rsidRDefault="004C2EE3">
            <w:pPr>
              <w:tabs>
                <w:tab w:val="center" w:pos="4680"/>
              </w:tabs>
              <w:suppressAutoHyphens/>
              <w:rPr>
                <w:spacing w:val="-2"/>
              </w:rPr>
            </w:pPr>
            <w:r>
              <w:rPr>
                <w:spacing w:val="-2"/>
              </w:rPr>
              <w:t>In the Matter of</w:t>
            </w:r>
          </w:p>
          <w:p w14:paraId="072475FB" w14:textId="77777777" w:rsidR="004C2EE3" w:rsidRDefault="004C2EE3">
            <w:pPr>
              <w:tabs>
                <w:tab w:val="center" w:pos="4680"/>
              </w:tabs>
              <w:suppressAutoHyphens/>
              <w:rPr>
                <w:spacing w:val="-2"/>
              </w:rPr>
            </w:pPr>
          </w:p>
          <w:p w14:paraId="1CCED110" w14:textId="77777777" w:rsidR="004C2EE3" w:rsidRDefault="00842A17" w:rsidP="007115F7">
            <w:pPr>
              <w:tabs>
                <w:tab w:val="center" w:pos="4680"/>
              </w:tabs>
              <w:suppressAutoHyphens/>
              <w:rPr>
                <w:spacing w:val="-2"/>
              </w:rPr>
            </w:pPr>
            <w:r>
              <w:rPr>
                <w:spacing w:val="-2"/>
              </w:rPr>
              <w:t xml:space="preserve">County of San </w:t>
            </w:r>
            <w:r w:rsidR="00AF6BB1">
              <w:rPr>
                <w:spacing w:val="-2"/>
              </w:rPr>
              <w:t>Bernardino</w:t>
            </w:r>
          </w:p>
          <w:p w14:paraId="4537131A" w14:textId="77777777" w:rsidR="00842A17" w:rsidRPr="007115F7" w:rsidRDefault="00842A17" w:rsidP="007115F7">
            <w:pPr>
              <w:tabs>
                <w:tab w:val="center" w:pos="4680"/>
              </w:tabs>
              <w:suppressAutoHyphens/>
              <w:rPr>
                <w:spacing w:val="-2"/>
              </w:rPr>
            </w:pPr>
            <w:r>
              <w:rPr>
                <w:spacing w:val="-2"/>
              </w:rPr>
              <w:t>Application for Fixed Point-to-Point Microwave License at Sa</w:t>
            </w:r>
            <w:r w:rsidR="00C12108">
              <w:rPr>
                <w:spacing w:val="-2"/>
              </w:rPr>
              <w:t>n</w:t>
            </w:r>
            <w:r>
              <w:rPr>
                <w:spacing w:val="-2"/>
              </w:rPr>
              <w:t xml:space="preserve"> </w:t>
            </w:r>
            <w:r w:rsidR="00AF6BB1">
              <w:rPr>
                <w:spacing w:val="-2"/>
              </w:rPr>
              <w:t>Bernardino</w:t>
            </w:r>
            <w:r>
              <w:rPr>
                <w:spacing w:val="-2"/>
              </w:rPr>
              <w:t>, California</w:t>
            </w:r>
          </w:p>
        </w:tc>
        <w:tc>
          <w:tcPr>
            <w:tcW w:w="630" w:type="dxa"/>
          </w:tcPr>
          <w:p w14:paraId="6CE4A070" w14:textId="77777777" w:rsidR="004C2EE3" w:rsidRDefault="004C2EE3">
            <w:pPr>
              <w:tabs>
                <w:tab w:val="center" w:pos="4680"/>
              </w:tabs>
              <w:suppressAutoHyphens/>
              <w:rPr>
                <w:b/>
                <w:spacing w:val="-2"/>
              </w:rPr>
            </w:pPr>
            <w:r>
              <w:rPr>
                <w:b/>
                <w:spacing w:val="-2"/>
              </w:rPr>
              <w:t>)</w:t>
            </w:r>
          </w:p>
          <w:p w14:paraId="19EBDA48" w14:textId="77777777" w:rsidR="004C2EE3" w:rsidRDefault="004C2EE3">
            <w:pPr>
              <w:tabs>
                <w:tab w:val="center" w:pos="4680"/>
              </w:tabs>
              <w:suppressAutoHyphens/>
              <w:rPr>
                <w:b/>
                <w:spacing w:val="-2"/>
              </w:rPr>
            </w:pPr>
            <w:r>
              <w:rPr>
                <w:b/>
                <w:spacing w:val="-2"/>
              </w:rPr>
              <w:t>)</w:t>
            </w:r>
          </w:p>
          <w:p w14:paraId="0821BDB9" w14:textId="77777777" w:rsidR="004C2EE3" w:rsidRDefault="004C2EE3">
            <w:pPr>
              <w:tabs>
                <w:tab w:val="center" w:pos="4680"/>
              </w:tabs>
              <w:suppressAutoHyphens/>
              <w:rPr>
                <w:b/>
                <w:spacing w:val="-2"/>
              </w:rPr>
            </w:pPr>
            <w:r>
              <w:rPr>
                <w:b/>
                <w:spacing w:val="-2"/>
              </w:rPr>
              <w:t>)</w:t>
            </w:r>
          </w:p>
          <w:p w14:paraId="11781337" w14:textId="77777777" w:rsidR="004C2EE3" w:rsidRDefault="004C2EE3">
            <w:pPr>
              <w:tabs>
                <w:tab w:val="center" w:pos="4680"/>
              </w:tabs>
              <w:suppressAutoHyphens/>
              <w:rPr>
                <w:b/>
                <w:spacing w:val="-2"/>
              </w:rPr>
            </w:pPr>
            <w:r>
              <w:rPr>
                <w:b/>
                <w:spacing w:val="-2"/>
              </w:rPr>
              <w:t>)</w:t>
            </w:r>
          </w:p>
          <w:p w14:paraId="4685D084" w14:textId="77777777" w:rsidR="004C2EE3" w:rsidRDefault="004C2EE3">
            <w:pPr>
              <w:tabs>
                <w:tab w:val="center" w:pos="4680"/>
              </w:tabs>
              <w:suppressAutoHyphens/>
              <w:rPr>
                <w:b/>
                <w:spacing w:val="-2"/>
              </w:rPr>
            </w:pPr>
            <w:r>
              <w:rPr>
                <w:b/>
                <w:spacing w:val="-2"/>
              </w:rPr>
              <w:t>)</w:t>
            </w:r>
          </w:p>
          <w:p w14:paraId="169D1FE3" w14:textId="77777777" w:rsidR="004C2EE3" w:rsidRDefault="004C2EE3">
            <w:pPr>
              <w:tabs>
                <w:tab w:val="center" w:pos="4680"/>
              </w:tabs>
              <w:suppressAutoHyphens/>
              <w:rPr>
                <w:spacing w:val="-2"/>
              </w:rPr>
            </w:pPr>
          </w:p>
        </w:tc>
        <w:tc>
          <w:tcPr>
            <w:tcW w:w="4248" w:type="dxa"/>
          </w:tcPr>
          <w:p w14:paraId="24DD0954" w14:textId="77777777" w:rsidR="004C2EE3" w:rsidRDefault="004C2EE3">
            <w:pPr>
              <w:tabs>
                <w:tab w:val="center" w:pos="4680"/>
              </w:tabs>
              <w:suppressAutoHyphens/>
              <w:rPr>
                <w:spacing w:val="-2"/>
              </w:rPr>
            </w:pPr>
          </w:p>
          <w:p w14:paraId="4EBBA864" w14:textId="77777777" w:rsidR="004C2EE3" w:rsidRDefault="004C2EE3">
            <w:pPr>
              <w:pStyle w:val="TOAHeading"/>
              <w:tabs>
                <w:tab w:val="clear" w:pos="9360"/>
                <w:tab w:val="center" w:pos="4680"/>
              </w:tabs>
              <w:rPr>
                <w:spacing w:val="-2"/>
              </w:rPr>
            </w:pPr>
          </w:p>
          <w:p w14:paraId="1037EC1B" w14:textId="77777777" w:rsidR="004C2EE3" w:rsidRDefault="00842A17">
            <w:pPr>
              <w:tabs>
                <w:tab w:val="center" w:pos="4680"/>
              </w:tabs>
              <w:suppressAutoHyphens/>
              <w:rPr>
                <w:spacing w:val="-2"/>
              </w:rPr>
            </w:pPr>
            <w:r>
              <w:rPr>
                <w:spacing w:val="-2"/>
              </w:rPr>
              <w:t>File No: 0007055186</w:t>
            </w:r>
          </w:p>
          <w:p w14:paraId="4C69913D" w14:textId="77777777" w:rsidR="00842A17" w:rsidRDefault="00842A17">
            <w:pPr>
              <w:tabs>
                <w:tab w:val="center" w:pos="4680"/>
              </w:tabs>
              <w:suppressAutoHyphens/>
              <w:rPr>
                <w:spacing w:val="-2"/>
              </w:rPr>
            </w:pPr>
            <w:r>
              <w:rPr>
                <w:spacing w:val="-2"/>
              </w:rPr>
              <w:t>File No: 0007055189</w:t>
            </w:r>
          </w:p>
        </w:tc>
      </w:tr>
    </w:tbl>
    <w:p w14:paraId="53B97027" w14:textId="77777777" w:rsidR="004C2EE3" w:rsidRDefault="004C2EE3" w:rsidP="0070224F"/>
    <w:p w14:paraId="0C107771" w14:textId="77777777" w:rsidR="00841AB1" w:rsidRDefault="00842A17" w:rsidP="00F021FA">
      <w:pPr>
        <w:pStyle w:val="StyleBoldCentered"/>
      </w:pPr>
      <w:r>
        <w:t>Order on reconsideration</w:t>
      </w:r>
    </w:p>
    <w:p w14:paraId="6EC2D369" w14:textId="77777777" w:rsidR="004C2EE3" w:rsidRDefault="004C2EE3">
      <w:pPr>
        <w:tabs>
          <w:tab w:val="left" w:pos="-720"/>
        </w:tabs>
        <w:suppressAutoHyphens/>
        <w:spacing w:line="227" w:lineRule="auto"/>
        <w:rPr>
          <w:spacing w:val="-2"/>
        </w:rPr>
      </w:pPr>
    </w:p>
    <w:p w14:paraId="4335472D" w14:textId="29D0FCAD" w:rsidR="004C2EE3" w:rsidRDefault="004C2EE3" w:rsidP="00EF4B90">
      <w:pPr>
        <w:tabs>
          <w:tab w:val="left" w:pos="720"/>
          <w:tab w:val="right" w:pos="9360"/>
        </w:tabs>
        <w:suppressAutoHyphens/>
        <w:spacing w:line="228" w:lineRule="auto"/>
        <w:rPr>
          <w:spacing w:val="-2"/>
        </w:rPr>
      </w:pPr>
      <w:r>
        <w:rPr>
          <w:b/>
          <w:spacing w:val="-2"/>
        </w:rPr>
        <w:t xml:space="preserve">Adopted:  </w:t>
      </w:r>
      <w:r w:rsidR="00EC48D9">
        <w:rPr>
          <w:b/>
          <w:spacing w:val="-2"/>
        </w:rPr>
        <w:t>August 11</w:t>
      </w:r>
      <w:r w:rsidR="00EF4B90">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4B90">
        <w:rPr>
          <w:b/>
          <w:spacing w:val="-2"/>
        </w:rPr>
        <w:t xml:space="preserve">August </w:t>
      </w:r>
      <w:r w:rsidR="00EC48D9">
        <w:rPr>
          <w:b/>
          <w:spacing w:val="-2"/>
        </w:rPr>
        <w:t>12</w:t>
      </w:r>
      <w:r w:rsidR="00EF4B90">
        <w:rPr>
          <w:b/>
          <w:spacing w:val="-2"/>
        </w:rPr>
        <w:t>, 2016</w:t>
      </w:r>
    </w:p>
    <w:p w14:paraId="6DF84FB4" w14:textId="77777777" w:rsidR="00822CE0" w:rsidRDefault="00822CE0"/>
    <w:p w14:paraId="6A169BBB" w14:textId="77777777" w:rsidR="004C2EE3" w:rsidRDefault="004C2EE3">
      <w:pPr>
        <w:rPr>
          <w:spacing w:val="-2"/>
        </w:rPr>
      </w:pPr>
      <w:r>
        <w:t xml:space="preserve">By </w:t>
      </w:r>
      <w:r w:rsidR="004E4A22">
        <w:t>the</w:t>
      </w:r>
      <w:r w:rsidR="00F531FE">
        <w:t>:</w:t>
      </w:r>
      <w:r w:rsidR="00F531FE">
        <w:tab/>
      </w:r>
      <w:r w:rsidR="00EF4B90">
        <w:t xml:space="preserve">Deputy </w:t>
      </w:r>
      <w:r w:rsidR="00B649E3">
        <w:rPr>
          <w:spacing w:val="-2"/>
        </w:rPr>
        <w:t>Chief, Policy and Licensing Division, Public Safety and Homeland Security Bureau</w:t>
      </w:r>
    </w:p>
    <w:p w14:paraId="00615225" w14:textId="77777777" w:rsidR="00F531FE" w:rsidRDefault="00F531FE">
      <w:pPr>
        <w:rPr>
          <w:spacing w:val="-2"/>
        </w:rPr>
      </w:pPr>
      <w:r>
        <w:rPr>
          <w:spacing w:val="-2"/>
        </w:rPr>
        <w:tab/>
        <w:t>Chief, Broadband Division, Wireless Telecommunications Bureau</w:t>
      </w:r>
    </w:p>
    <w:p w14:paraId="3098F690" w14:textId="77777777" w:rsidR="00822CE0" w:rsidRDefault="00822CE0">
      <w:pPr>
        <w:rPr>
          <w:spacing w:val="-2"/>
        </w:rPr>
      </w:pPr>
    </w:p>
    <w:p w14:paraId="7737B0BA" w14:textId="77777777" w:rsidR="002D2905" w:rsidRDefault="00DE2766" w:rsidP="00DE2766">
      <w:pPr>
        <w:pStyle w:val="ParaNum"/>
      </w:pPr>
      <w:r>
        <w:t xml:space="preserve">In this </w:t>
      </w:r>
      <w:r>
        <w:rPr>
          <w:i/>
        </w:rPr>
        <w:t xml:space="preserve">Order on Reconsideration, </w:t>
      </w:r>
      <w:r w:rsidRPr="00DE2766">
        <w:t xml:space="preserve">we address </w:t>
      </w:r>
      <w:r w:rsidR="002D2905">
        <w:t xml:space="preserve">a </w:t>
      </w:r>
      <w:r w:rsidR="002F12BD">
        <w:t xml:space="preserve">petition for reconsideration filed by </w:t>
      </w:r>
      <w:r w:rsidR="002F12BD" w:rsidRPr="002F12BD">
        <w:t>LT-WR, LLC (LT-WR)</w:t>
      </w:r>
      <w:r w:rsidR="002F12BD">
        <w:t xml:space="preserve"> of the February 2, 2016 grant of the above-captioned applications filed by the </w:t>
      </w:r>
      <w:r w:rsidR="002F12BD" w:rsidRPr="002F12BD">
        <w:t>County of San Bernardino, California (San Bernardino)</w:t>
      </w:r>
      <w:r w:rsidR="002F12BD">
        <w:t xml:space="preserve">.  LT-WR contests the license grants to the extent that they authorize San Bernardino to use </w:t>
      </w:r>
      <w:r w:rsidR="002D2905">
        <w:t>microwave frequenc</w:t>
      </w:r>
      <w:r w:rsidR="002F12BD">
        <w:t xml:space="preserve">y pair </w:t>
      </w:r>
      <w:r w:rsidR="002F12BD" w:rsidRPr="002F12BD">
        <w:t>10,875/11,365 MHz.</w:t>
      </w:r>
      <w:r w:rsidR="002F12BD" w:rsidRPr="002F12BD">
        <w:rPr>
          <w:vertAlign w:val="superscript"/>
        </w:rPr>
        <w:footnoteReference w:id="2"/>
      </w:r>
      <w:r w:rsidR="002F12BD">
        <w:t xml:space="preserve">  For the reasons set out below, we deny the petition</w:t>
      </w:r>
      <w:r w:rsidR="00123AC1">
        <w:t xml:space="preserve"> for reconsideration</w:t>
      </w:r>
      <w:r w:rsidR="002F12BD">
        <w:t xml:space="preserve"> and affirm the contested grant. </w:t>
      </w:r>
    </w:p>
    <w:p w14:paraId="2E83C390" w14:textId="77777777" w:rsidR="00AF6BB1" w:rsidRDefault="00AF6BB1" w:rsidP="00AF6BB1">
      <w:pPr>
        <w:pStyle w:val="Heading1"/>
      </w:pPr>
      <w:r>
        <w:t>Background</w:t>
      </w:r>
    </w:p>
    <w:p w14:paraId="0FF225AF" w14:textId="77777777" w:rsidR="00AF6BB1" w:rsidRPr="00AF6BB1" w:rsidRDefault="00AF6BB1" w:rsidP="00AF6BB1">
      <w:pPr>
        <w:pStyle w:val="Heading2"/>
      </w:pPr>
      <w:r>
        <w:t>Procedural History</w:t>
      </w:r>
    </w:p>
    <w:p w14:paraId="579C7128" w14:textId="77777777" w:rsidR="00BB4022" w:rsidRDefault="00BB4022" w:rsidP="00DE2766">
      <w:pPr>
        <w:pStyle w:val="ParaNum"/>
      </w:pPr>
      <w:r>
        <w:t xml:space="preserve">On June 20, 2014, San </w:t>
      </w:r>
      <w:r w:rsidR="00AF6BB1">
        <w:t>Bernardino</w:t>
      </w:r>
      <w:r>
        <w:t xml:space="preserve"> requested and obtained a prior coordination notice (PCN) from its frequency coordinator Comsearch to add frequency pair 10,875/11,365 MHz to its existing microwave stations at Rialto East (call sign WNER235) and San Sevaine1 (call sign WPOS447).</w:t>
      </w:r>
      <w:r>
        <w:rPr>
          <w:rStyle w:val="FootnoteReference"/>
        </w:rPr>
        <w:footnoteReference w:id="3"/>
      </w:r>
      <w:r>
        <w:t xml:space="preserve">  On December 16, 2014, San </w:t>
      </w:r>
      <w:r w:rsidR="00AF6BB1">
        <w:t>Bernardino</w:t>
      </w:r>
      <w:r>
        <w:t xml:space="preserve"> received a six-month renewal of this PCN.</w:t>
      </w:r>
      <w:r>
        <w:rPr>
          <w:rStyle w:val="FootnoteReference"/>
        </w:rPr>
        <w:footnoteReference w:id="4"/>
      </w:r>
      <w:r>
        <w:t xml:space="preserve">  </w:t>
      </w:r>
      <w:r w:rsidR="001E0995">
        <w:t>On March 31, 2015, Comsearch submitted a major change PCN for this frequency pair, which it subsequently renewed on September 2, 2105.</w:t>
      </w:r>
      <w:r w:rsidR="001E0995">
        <w:rPr>
          <w:rStyle w:val="FootnoteReference"/>
        </w:rPr>
        <w:footnoteReference w:id="5"/>
      </w:r>
      <w:r w:rsidR="00A45F42">
        <w:t xml:space="preserve">  San </w:t>
      </w:r>
      <w:r w:rsidR="00AF6BB1">
        <w:t>Bernardino</w:t>
      </w:r>
      <w:r w:rsidR="00A45F42">
        <w:t xml:space="preserve"> states that it did not receive any objections or interference complaints </w:t>
      </w:r>
      <w:r w:rsidR="00123AC1">
        <w:t xml:space="preserve">relative to </w:t>
      </w:r>
      <w:r w:rsidR="00A45F42">
        <w:t xml:space="preserve">its proposed use of the </w:t>
      </w:r>
      <w:r w:rsidR="00123AC1">
        <w:t xml:space="preserve">contested </w:t>
      </w:r>
      <w:r w:rsidR="00A45F42">
        <w:t>frequency pair.</w:t>
      </w:r>
      <w:r w:rsidR="00A45F42">
        <w:rPr>
          <w:rStyle w:val="FootnoteReference"/>
        </w:rPr>
        <w:footnoteReference w:id="6"/>
      </w:r>
    </w:p>
    <w:p w14:paraId="27ADE96B" w14:textId="77777777" w:rsidR="00307529" w:rsidRDefault="00B40733" w:rsidP="00DE2766">
      <w:pPr>
        <w:pStyle w:val="ParaNum"/>
      </w:pPr>
      <w:r>
        <w:t xml:space="preserve">On November 20, 2015 LT-WR, through its frequency coordinator, Consolidated Spectrum Services (Consolidated) requested a PCN for the </w:t>
      </w:r>
      <w:r w:rsidR="00123AC1">
        <w:t xml:space="preserve">contested </w:t>
      </w:r>
      <w:r>
        <w:t>frequency pair to add the</w:t>
      </w:r>
      <w:r w:rsidR="00123AC1">
        <w:t xml:space="preserve"> pair </w:t>
      </w:r>
      <w:r>
        <w:t>to LT-WR’s existing microwave stations at Nob Hill (WQKK874) and San Sevaine (WQOJ846).</w:t>
      </w:r>
      <w:r w:rsidR="00307529">
        <w:rPr>
          <w:rStyle w:val="FootnoteReference"/>
        </w:rPr>
        <w:footnoteReference w:id="7"/>
      </w:r>
      <w:r>
        <w:t xml:space="preserve">  On November 24, 2015, Comsearch Frequency Protection Services (CFPS)</w:t>
      </w:r>
      <w:r w:rsidR="00123AC1">
        <w:t xml:space="preserve">, on behalf of San Bernardino, </w:t>
      </w:r>
      <w:r>
        <w:t xml:space="preserve"> notified Consolidated that </w:t>
      </w:r>
      <w:r w:rsidR="00123AC1">
        <w:t>the LT-WR PCN created frequency conflicts</w:t>
      </w:r>
      <w:r>
        <w:t>.</w:t>
      </w:r>
      <w:r w:rsidR="007F0458">
        <w:rPr>
          <w:rStyle w:val="FootnoteReference"/>
        </w:rPr>
        <w:footnoteReference w:id="8"/>
      </w:r>
      <w:r>
        <w:t xml:space="preserve">  </w:t>
      </w:r>
      <w:r w:rsidR="00307529">
        <w:t xml:space="preserve">On November 25, 2015, </w:t>
      </w:r>
      <w:r w:rsidR="00307529">
        <w:lastRenderedPageBreak/>
        <w:t>Consolidated</w:t>
      </w:r>
      <w:r w:rsidR="00EA2C96">
        <w:t xml:space="preserve"> responded</w:t>
      </w:r>
      <w:r w:rsidR="00307529">
        <w:t xml:space="preserve"> to CFPS’s objection</w:t>
      </w:r>
      <w:r w:rsidR="00123AC1">
        <w:t xml:space="preserve">.  It advised </w:t>
      </w:r>
      <w:r w:rsidR="00307529">
        <w:t xml:space="preserve">CFPS that LT-WR had an immediate need for the </w:t>
      </w:r>
      <w:r w:rsidR="00123AC1">
        <w:t xml:space="preserve">frequency pair and alleged that, </w:t>
      </w:r>
      <w:r w:rsidR="00307529">
        <w:t xml:space="preserve">because </w:t>
      </w:r>
      <w:r w:rsidR="00123AC1">
        <w:t xml:space="preserve">San Bernardino’s </w:t>
      </w:r>
      <w:r w:rsidR="00307529">
        <w:t>PCN was a renewal PCN, LT-WR had priority.</w:t>
      </w:r>
      <w:r w:rsidR="00307529">
        <w:rPr>
          <w:rStyle w:val="FootnoteReference"/>
        </w:rPr>
        <w:footnoteReference w:id="9"/>
      </w:r>
    </w:p>
    <w:p w14:paraId="55E07833" w14:textId="77777777" w:rsidR="00B40733" w:rsidRDefault="00B40733" w:rsidP="00DE2766">
      <w:pPr>
        <w:pStyle w:val="ParaNum"/>
      </w:pPr>
      <w:r>
        <w:t>Consolidated made two subsequent modification</w:t>
      </w:r>
      <w:r w:rsidR="00C000BB">
        <w:t>s</w:t>
      </w:r>
      <w:r>
        <w:t xml:space="preserve"> to its PCN</w:t>
      </w:r>
      <w:r w:rsidR="00123AC1">
        <w:t xml:space="preserve">.  However, </w:t>
      </w:r>
      <w:r>
        <w:t>on December 8, 2015</w:t>
      </w:r>
      <w:r w:rsidR="002C04FE">
        <w:t>,</w:t>
      </w:r>
      <w:r>
        <w:t xml:space="preserve"> CFPS informed Consolidated that the modifications did not cure the frequency conflict.</w:t>
      </w:r>
      <w:r w:rsidR="007F0458">
        <w:rPr>
          <w:rStyle w:val="FootnoteReference"/>
        </w:rPr>
        <w:footnoteReference w:id="10"/>
      </w:r>
      <w:r w:rsidR="00A45F42">
        <w:t xml:space="preserve">  On December 9, 2015, LT-WR filed applications </w:t>
      </w:r>
      <w:r w:rsidR="00C000BB">
        <w:t xml:space="preserve">with the FCC </w:t>
      </w:r>
      <w:r w:rsidR="00A45F42">
        <w:t xml:space="preserve">to add the </w:t>
      </w:r>
      <w:r w:rsidR="00123AC1">
        <w:t xml:space="preserve">contested </w:t>
      </w:r>
      <w:r w:rsidR="00A45F42">
        <w:t>frequency pairs to LT-WR’s existing microwave stations at Nob Hill (WQKK874) and San Sevaine (WQOJ846).</w:t>
      </w:r>
      <w:r w:rsidR="00A45F42">
        <w:rPr>
          <w:rStyle w:val="FootnoteReference"/>
        </w:rPr>
        <w:footnoteReference w:id="11"/>
      </w:r>
    </w:p>
    <w:p w14:paraId="1F701D90" w14:textId="77777777" w:rsidR="00DE2766" w:rsidRDefault="000B5A56" w:rsidP="00DE2766">
      <w:pPr>
        <w:pStyle w:val="ParaNum"/>
      </w:pPr>
      <w:r>
        <w:t>On December 28, 2015, San</w:t>
      </w:r>
      <w:r w:rsidR="002D2905">
        <w:t xml:space="preserve"> </w:t>
      </w:r>
      <w:r w:rsidR="00AF6BB1">
        <w:t>Bernardino</w:t>
      </w:r>
      <w:r>
        <w:t xml:space="preserve"> </w:t>
      </w:r>
      <w:r w:rsidR="00BA3E1B">
        <w:t xml:space="preserve">filed an amendment to its </w:t>
      </w:r>
      <w:r>
        <w:t xml:space="preserve">applications to add paths </w:t>
      </w:r>
      <w:r w:rsidR="00307529">
        <w:t>using</w:t>
      </w:r>
      <w:r>
        <w:t xml:space="preserve"> the </w:t>
      </w:r>
      <w:r w:rsidR="00BA3E1B">
        <w:t xml:space="preserve">contested </w:t>
      </w:r>
      <w:r>
        <w:t>frequency pair</w:t>
      </w:r>
      <w:r w:rsidR="00BA3E1B">
        <w:t>.  In its Petition,</w:t>
      </w:r>
      <w:r w:rsidR="00307529">
        <w:t xml:space="preserve"> LT-WR </w:t>
      </w:r>
      <w:r w:rsidR="007D3EDA">
        <w:t>contends</w:t>
      </w:r>
      <w:r w:rsidR="00307529">
        <w:t xml:space="preserve"> that San </w:t>
      </w:r>
      <w:r w:rsidR="00AF6BB1">
        <w:t>Bernardino</w:t>
      </w:r>
      <w:r w:rsidR="00307529">
        <w:t xml:space="preserve"> did not </w:t>
      </w:r>
      <w:r w:rsidR="00BA3E1B">
        <w:t xml:space="preserve">notify LT-WR </w:t>
      </w:r>
      <w:r w:rsidR="00307529">
        <w:t xml:space="preserve">that </w:t>
      </w:r>
      <w:r w:rsidR="00BA3E1B">
        <w:t xml:space="preserve">San Bernardino </w:t>
      </w:r>
      <w:r w:rsidR="00307529">
        <w:t xml:space="preserve">intended to file the amendments and that LT-WR first learned of the filings in a January 6, 2016 </w:t>
      </w:r>
      <w:r w:rsidR="00BA3E1B">
        <w:t xml:space="preserve">FCC </w:t>
      </w:r>
      <w:r w:rsidR="00307529">
        <w:t>Public Notice.</w:t>
      </w:r>
      <w:r w:rsidR="00307529">
        <w:rPr>
          <w:rStyle w:val="FootnoteReference"/>
        </w:rPr>
        <w:footnoteReference w:id="12"/>
      </w:r>
      <w:r w:rsidR="00307529">
        <w:t xml:space="preserve"> </w:t>
      </w:r>
      <w:r w:rsidR="008F024B">
        <w:t xml:space="preserve">Via e-mail dated January 14, 2016, Consolidated </w:t>
      </w:r>
      <w:r w:rsidR="00BA3E1B">
        <w:t xml:space="preserve">advised CFPS </w:t>
      </w:r>
      <w:r w:rsidR="00401A66">
        <w:t xml:space="preserve">that </w:t>
      </w:r>
      <w:r w:rsidR="00BA3E1B">
        <w:t xml:space="preserve">because </w:t>
      </w:r>
      <w:r w:rsidR="00401A66">
        <w:t xml:space="preserve">San </w:t>
      </w:r>
      <w:r w:rsidR="00AF6BB1">
        <w:t>Bernardino</w:t>
      </w:r>
      <w:r w:rsidR="008F024B">
        <w:t xml:space="preserve"> was maintaining the </w:t>
      </w:r>
      <w:r w:rsidR="00BA3E1B">
        <w:t xml:space="preserve">contested </w:t>
      </w:r>
      <w:r w:rsidR="008F024B">
        <w:t>frequency pair on a renewal PCN</w:t>
      </w:r>
      <w:r w:rsidR="00BA3E1B">
        <w:t xml:space="preserve">, and because </w:t>
      </w:r>
      <w:r w:rsidR="008F024B">
        <w:t xml:space="preserve">LT-WR had an immediate and urgent need for the </w:t>
      </w:r>
      <w:r w:rsidR="00BA3E1B">
        <w:t>contested frequency pair, LT-WR had licensing priority for use of the contested frequency pair.</w:t>
      </w:r>
      <w:r w:rsidR="00CA305C">
        <w:rPr>
          <w:rStyle w:val="FootnoteReference"/>
        </w:rPr>
        <w:footnoteReference w:id="13"/>
      </w:r>
      <w:r w:rsidR="008F024B">
        <w:t xml:space="preserve">  LT-WR </w:t>
      </w:r>
      <w:r w:rsidR="00BA3E1B">
        <w:t xml:space="preserve">also stated that </w:t>
      </w:r>
      <w:r w:rsidR="008F024B">
        <w:t>Con</w:t>
      </w:r>
      <w:r w:rsidR="00D8744E">
        <w:t xml:space="preserve">solidated </w:t>
      </w:r>
      <w:r w:rsidR="00BA3E1B">
        <w:t xml:space="preserve">had searched for an alternative </w:t>
      </w:r>
      <w:r w:rsidR="00D8744E">
        <w:t>channel pair</w:t>
      </w:r>
      <w:r w:rsidR="002A6AE5">
        <w:t xml:space="preserve"> and </w:t>
      </w:r>
      <w:r w:rsidR="00BA3E1B">
        <w:t xml:space="preserve">had identified one that might be workable for San Bernardino, although not for </w:t>
      </w:r>
      <w:r w:rsidR="00D8744E">
        <w:t>LT-WR.</w:t>
      </w:r>
      <w:r w:rsidR="007D3EDA">
        <w:rPr>
          <w:rStyle w:val="FootnoteReference"/>
        </w:rPr>
        <w:footnoteReference w:id="14"/>
      </w:r>
      <w:r w:rsidR="00D8744E">
        <w:t xml:space="preserve">  </w:t>
      </w:r>
    </w:p>
    <w:p w14:paraId="2B2AD968" w14:textId="77777777" w:rsidR="002B7313" w:rsidRDefault="000C6B22" w:rsidP="00AF6BB1">
      <w:pPr>
        <w:pStyle w:val="ParaNum"/>
      </w:pPr>
      <w:r>
        <w:t xml:space="preserve">On January </w:t>
      </w:r>
      <w:r w:rsidR="00D8744E">
        <w:t>15, 2016, Comsearch</w:t>
      </w:r>
      <w:r w:rsidR="00C57A10">
        <w:t xml:space="preserve">, on behalf of San Bernardino, </w:t>
      </w:r>
      <w:r w:rsidR="00D8744E">
        <w:t>filed an informal objection to LT-WR’s application</w:t>
      </w:r>
      <w:r w:rsidR="009C5473">
        <w:t>s</w:t>
      </w:r>
      <w:r w:rsidR="00C57A10">
        <w:t xml:space="preserve"> with the FCC</w:t>
      </w:r>
      <w:r w:rsidR="00D8744E">
        <w:t>.</w:t>
      </w:r>
      <w:r w:rsidR="00AB4591">
        <w:rPr>
          <w:rStyle w:val="FootnoteReference"/>
        </w:rPr>
        <w:footnoteReference w:id="15"/>
      </w:r>
      <w:r w:rsidR="009C5473">
        <w:t xml:space="preserve">  On February 1, 2106, San Bernardino</w:t>
      </w:r>
      <w:r w:rsidR="00C57A10">
        <w:t xml:space="preserve"> itself also</w:t>
      </w:r>
      <w:r w:rsidR="009C5473">
        <w:t xml:space="preserve"> filed an informal objection to LT-WR’s applications</w:t>
      </w:r>
      <w:r w:rsidR="00C57A10">
        <w:t xml:space="preserve"> with the FCC</w:t>
      </w:r>
      <w:r w:rsidR="009C5473">
        <w:t>.</w:t>
      </w:r>
      <w:r w:rsidR="009C5473">
        <w:rPr>
          <w:rStyle w:val="FootnoteReference"/>
        </w:rPr>
        <w:footnoteReference w:id="16"/>
      </w:r>
      <w:r w:rsidR="009C5473">
        <w:t xml:space="preserve"> </w:t>
      </w:r>
      <w:r>
        <w:t xml:space="preserve">  </w:t>
      </w:r>
      <w:r w:rsidR="008F024B">
        <w:t xml:space="preserve">On February 2, 2016 the Public Safety and Homeland Security Bureau </w:t>
      </w:r>
      <w:r w:rsidR="00C57A10">
        <w:t xml:space="preserve">(Bureau) </w:t>
      </w:r>
      <w:r w:rsidR="008F024B">
        <w:t xml:space="preserve">granted San </w:t>
      </w:r>
      <w:r w:rsidR="00AF6BB1">
        <w:t>Bernardino’s</w:t>
      </w:r>
      <w:r w:rsidR="008F024B">
        <w:t xml:space="preserve"> applications.  </w:t>
      </w:r>
      <w:r>
        <w:t>On February 8, 2016 LT-WR filed a timely Petition for Reconsideration</w:t>
      </w:r>
      <w:r w:rsidR="00C80281">
        <w:t xml:space="preserve"> of the grant.</w:t>
      </w:r>
      <w:r w:rsidR="00AB4591">
        <w:rPr>
          <w:rStyle w:val="FootnoteReference"/>
        </w:rPr>
        <w:footnoteReference w:id="17"/>
      </w:r>
      <w:r w:rsidR="00C80281">
        <w:t xml:space="preserve">  On February 18, 2016, San </w:t>
      </w:r>
      <w:r w:rsidR="00AF6BB1">
        <w:t>Bernardino</w:t>
      </w:r>
      <w:r w:rsidR="00C80281">
        <w:t xml:space="preserve"> filed an Opposition to </w:t>
      </w:r>
      <w:r w:rsidR="00C57A10">
        <w:t xml:space="preserve">the </w:t>
      </w:r>
      <w:r w:rsidR="00C80281">
        <w:t>Petition for Reconsideration.</w:t>
      </w:r>
      <w:r w:rsidR="00AB4591">
        <w:rPr>
          <w:rStyle w:val="FootnoteReference"/>
        </w:rPr>
        <w:footnoteReference w:id="18"/>
      </w:r>
      <w:r w:rsidR="00C80281">
        <w:t xml:space="preserve">  On March 1</w:t>
      </w:r>
      <w:r w:rsidR="00805CC8">
        <w:t>, 2016, LT-WR filed a Reply to Op</w:t>
      </w:r>
      <w:r w:rsidR="00C80281">
        <w:t>pos</w:t>
      </w:r>
      <w:r w:rsidR="00805CC8">
        <w:t>i</w:t>
      </w:r>
      <w:r w:rsidR="00C80281">
        <w:t>tion to Petition for Reconsideration</w:t>
      </w:r>
      <w:r w:rsidR="002B7313">
        <w:t>.</w:t>
      </w:r>
      <w:r w:rsidR="00AB4591">
        <w:rPr>
          <w:rStyle w:val="FootnoteReference"/>
        </w:rPr>
        <w:footnoteReference w:id="19"/>
      </w:r>
    </w:p>
    <w:p w14:paraId="25E3382F" w14:textId="77777777" w:rsidR="00401A66" w:rsidRDefault="00AF6BB1" w:rsidP="00401A66">
      <w:pPr>
        <w:pStyle w:val="Heading2"/>
      </w:pPr>
      <w:r>
        <w:lastRenderedPageBreak/>
        <w:t>LT-WR’s Petition for Reconsideration</w:t>
      </w:r>
    </w:p>
    <w:p w14:paraId="18EF2EE8" w14:textId="77777777" w:rsidR="005405E5" w:rsidRPr="00984D8A" w:rsidRDefault="00401A66" w:rsidP="00401A66">
      <w:pPr>
        <w:pStyle w:val="ParaNum"/>
      </w:pPr>
      <w:r w:rsidRPr="007C0D3D">
        <w:t xml:space="preserve">LT-WR asserts that the Bureau should had </w:t>
      </w:r>
      <w:r w:rsidR="00C57A10" w:rsidRPr="007C0D3D">
        <w:t xml:space="preserve">given LT-WR’s </w:t>
      </w:r>
      <w:r w:rsidRPr="007C0D3D">
        <w:t xml:space="preserve">applications priority </w:t>
      </w:r>
      <w:r w:rsidR="002E0B9B" w:rsidRPr="007C0D3D">
        <w:t xml:space="preserve">over San Bernardino’s </w:t>
      </w:r>
      <w:r w:rsidRPr="007C0D3D">
        <w:t xml:space="preserve">because LT-WR filed its applications three weeks before San </w:t>
      </w:r>
      <w:r w:rsidR="00AF6BB1" w:rsidRPr="007C0D3D">
        <w:t>Bernardino</w:t>
      </w:r>
      <w:r w:rsidR="00C57A10" w:rsidRPr="007C0D3D">
        <w:t>’s.</w:t>
      </w:r>
      <w:r w:rsidR="004D3F91" w:rsidRPr="007C0D3D">
        <w:rPr>
          <w:rStyle w:val="FootnoteReference"/>
        </w:rPr>
        <w:footnoteReference w:id="20"/>
      </w:r>
      <w:r w:rsidR="004D3F91" w:rsidRPr="007C0D3D">
        <w:t xml:space="preserve">  LT-WR contends </w:t>
      </w:r>
      <w:r w:rsidR="00DD144D" w:rsidRPr="007C0D3D">
        <w:t xml:space="preserve">that </w:t>
      </w:r>
      <w:r w:rsidR="00DD144D" w:rsidRPr="00984D8A">
        <w:t xml:space="preserve">because San </w:t>
      </w:r>
      <w:r w:rsidR="00AF6BB1" w:rsidRPr="00984D8A">
        <w:t>Bernardino’s</w:t>
      </w:r>
      <w:r w:rsidR="00DD144D" w:rsidRPr="00984D8A">
        <w:t xml:space="preserve"> prior notice was a renewal PCN and LT-WR had an immediate need for the </w:t>
      </w:r>
      <w:r w:rsidR="00C000BB">
        <w:t xml:space="preserve">contested frequencies, </w:t>
      </w:r>
      <w:r w:rsidR="007C0D3D">
        <w:t>S</w:t>
      </w:r>
      <w:r w:rsidR="005405E5" w:rsidRPr="00984D8A">
        <w:t xml:space="preserve">an </w:t>
      </w:r>
      <w:r w:rsidR="00AF6BB1" w:rsidRPr="00984D8A">
        <w:t>Bernardino’s</w:t>
      </w:r>
      <w:r w:rsidR="005405E5" w:rsidRPr="00984D8A">
        <w:t xml:space="preserve"> objection</w:t>
      </w:r>
      <w:r w:rsidR="00C000BB">
        <w:t>s</w:t>
      </w:r>
      <w:r w:rsidR="005405E5" w:rsidRPr="00984D8A">
        <w:t xml:space="preserve"> </w:t>
      </w:r>
      <w:r w:rsidR="007C0D3D">
        <w:t>to LT-WR’s application are irrelevant</w:t>
      </w:r>
      <w:r w:rsidR="005405E5" w:rsidRPr="00984D8A">
        <w:t>.</w:t>
      </w:r>
      <w:r w:rsidR="005405E5" w:rsidRPr="00984D8A">
        <w:rPr>
          <w:rStyle w:val="FootnoteReference"/>
        </w:rPr>
        <w:footnoteReference w:id="21"/>
      </w:r>
    </w:p>
    <w:p w14:paraId="2AE726DD" w14:textId="77777777" w:rsidR="007D0416" w:rsidRDefault="005405E5" w:rsidP="00401A66">
      <w:pPr>
        <w:pStyle w:val="ParaNum"/>
      </w:pPr>
      <w:r>
        <w:t xml:space="preserve">LT-WR </w:t>
      </w:r>
      <w:r w:rsidR="002E0B9B">
        <w:t xml:space="preserve">argues </w:t>
      </w:r>
      <w:r>
        <w:t xml:space="preserve">that this matter is governed by </w:t>
      </w:r>
      <w:r>
        <w:rPr>
          <w:i/>
        </w:rPr>
        <w:t>Geodesic Networks, LLC</w:t>
      </w:r>
      <w:r w:rsidR="00D512B9">
        <w:t>.</w:t>
      </w:r>
      <w:r w:rsidRPr="00D512B9">
        <w:rPr>
          <w:rStyle w:val="FootnoteReference"/>
        </w:rPr>
        <w:footnoteReference w:id="22"/>
      </w:r>
      <w:r w:rsidR="00D512B9">
        <w:t xml:space="preserve">  </w:t>
      </w:r>
      <w:r w:rsidR="00557A7A">
        <w:t xml:space="preserve">LT-WR asserts that </w:t>
      </w:r>
      <w:r w:rsidR="00557A7A">
        <w:rPr>
          <w:i/>
        </w:rPr>
        <w:t xml:space="preserve">Geodesic </w:t>
      </w:r>
      <w:r w:rsidR="00557A7A">
        <w:t xml:space="preserve">stands for the premise that a licensee with “unused ‘growth’ channels </w:t>
      </w:r>
      <w:r w:rsidR="009F2F60">
        <w:t xml:space="preserve">contained in </w:t>
      </w:r>
      <w:r w:rsidR="00557A7A">
        <w:t>repeated renewal PCN</w:t>
      </w:r>
      <w:r w:rsidR="009F2F60">
        <w:t>s</w:t>
      </w:r>
      <w:r w:rsidR="00557A7A">
        <w:t xml:space="preserve"> must relinquish </w:t>
      </w:r>
      <w:r w:rsidR="009F2F60">
        <w:t xml:space="preserve">those channels to </w:t>
      </w:r>
      <w:r w:rsidR="00557A7A">
        <w:t xml:space="preserve">an applicant having immediate need and </w:t>
      </w:r>
      <w:r w:rsidR="006A6430">
        <w:t>that</w:t>
      </w:r>
      <w:r w:rsidR="00557A7A">
        <w:t xml:space="preserve"> applies for </w:t>
      </w:r>
      <w:r w:rsidR="006A6430">
        <w:t xml:space="preserve">a </w:t>
      </w:r>
      <w:r w:rsidR="00557A7A">
        <w:t>license</w:t>
      </w:r>
      <w:r w:rsidR="00B523EB">
        <w:t xml:space="preserve"> to put the spectrum to actual use.”</w:t>
      </w:r>
      <w:r w:rsidR="00B523EB">
        <w:rPr>
          <w:rStyle w:val="FootnoteReference"/>
        </w:rPr>
        <w:footnoteReference w:id="23"/>
      </w:r>
      <w:r w:rsidR="00B523EB">
        <w:t xml:space="preserve">  LT-WR asserts that i</w:t>
      </w:r>
      <w:r w:rsidR="009F2F60">
        <w:t>t</w:t>
      </w:r>
      <w:r w:rsidR="00B523EB">
        <w:t xml:space="preserve"> has an immediate need for spectrum and that </w:t>
      </w:r>
      <w:r w:rsidR="000662F4">
        <w:t xml:space="preserve"> </w:t>
      </w:r>
      <w:r w:rsidR="00B523EB">
        <w:t>“[a]fter careful study, Consolidated h</w:t>
      </w:r>
      <w:r w:rsidR="007D0416">
        <w:t>as determined that there are no</w:t>
      </w:r>
      <w:r w:rsidR="00B523EB">
        <w:t xml:space="preserve"> other available channels that can be used in [LT-WR]’s system to meet this need.”</w:t>
      </w:r>
      <w:r w:rsidR="00B523EB">
        <w:rPr>
          <w:rStyle w:val="FootnoteReference"/>
        </w:rPr>
        <w:footnoteReference w:id="24"/>
      </w:r>
      <w:r w:rsidR="00B523EB">
        <w:t xml:space="preserve">  </w:t>
      </w:r>
    </w:p>
    <w:p w14:paraId="00CAC90D" w14:textId="77777777" w:rsidR="00A324B0" w:rsidRDefault="007D0416" w:rsidP="005C4307">
      <w:pPr>
        <w:pStyle w:val="ParaNum"/>
      </w:pPr>
      <w:r>
        <w:t xml:space="preserve">LT-WR </w:t>
      </w:r>
      <w:r w:rsidR="009E56BA">
        <w:t xml:space="preserve">claims that </w:t>
      </w:r>
      <w:r w:rsidR="006A6430">
        <w:t xml:space="preserve">San Bernardino’s use of the alternative channel that LT-WR identified, coupled </w:t>
      </w:r>
      <w:r w:rsidR="009E56BA">
        <w:t xml:space="preserve">with </w:t>
      </w:r>
      <w:r w:rsidR="00AF6BB1">
        <w:t>another a</w:t>
      </w:r>
      <w:r w:rsidR="009E56BA">
        <w:t xml:space="preserve"> channel pair San </w:t>
      </w:r>
      <w:r w:rsidR="00AF6BB1">
        <w:t>Bernardino</w:t>
      </w:r>
      <w:r w:rsidR="009E56BA">
        <w:t xml:space="preserve"> still has on a renewal PCN</w:t>
      </w:r>
      <w:r w:rsidR="006A6430">
        <w:t>,</w:t>
      </w:r>
      <w:r w:rsidR="009E56BA">
        <w:t xml:space="preserve"> would </w:t>
      </w:r>
      <w:r w:rsidR="006A6430">
        <w:t xml:space="preserve">provide </w:t>
      </w:r>
      <w:r w:rsidR="009E56BA">
        <w:t xml:space="preserve">San </w:t>
      </w:r>
      <w:r w:rsidR="00AF6BB1">
        <w:t>Bernardino</w:t>
      </w:r>
      <w:r w:rsidR="009E56BA">
        <w:t xml:space="preserve"> with three 30 MHz channels, leaving LT-WR with two channels.  LT-WR </w:t>
      </w:r>
      <w:r w:rsidR="006A6430">
        <w:t xml:space="preserve">alleges </w:t>
      </w:r>
      <w:r w:rsidR="009E56BA">
        <w:t xml:space="preserve">that San </w:t>
      </w:r>
      <w:r w:rsidR="00AF6BB1">
        <w:t>Bernardino</w:t>
      </w:r>
      <w:r w:rsidR="009E56BA">
        <w:t xml:space="preserve"> </w:t>
      </w:r>
      <w:r w:rsidR="006A6430">
        <w:t xml:space="preserve">is warehousing </w:t>
      </w:r>
      <w:r w:rsidR="009E56BA">
        <w:t xml:space="preserve">double the amount of spectrum </w:t>
      </w:r>
      <w:r w:rsidR="005405E5">
        <w:t xml:space="preserve">it </w:t>
      </w:r>
      <w:r w:rsidR="009E56BA">
        <w:t xml:space="preserve">is </w:t>
      </w:r>
      <w:r w:rsidR="002E0B9B">
        <w:t>actually</w:t>
      </w:r>
      <w:r w:rsidR="009E56BA">
        <w:t xml:space="preserve"> using</w:t>
      </w:r>
      <w:r w:rsidR="00A5564E">
        <w:t>.</w:t>
      </w:r>
      <w:r w:rsidR="00A5564E">
        <w:rPr>
          <w:rStyle w:val="FootnoteReference"/>
        </w:rPr>
        <w:footnoteReference w:id="25"/>
      </w:r>
      <w:r w:rsidR="00A5564E">
        <w:t xml:space="preserve">  </w:t>
      </w:r>
      <w:r w:rsidR="00047E35">
        <w:t xml:space="preserve">LT-WR concedes that </w:t>
      </w:r>
      <w:r w:rsidR="00DD144D">
        <w:t>t</w:t>
      </w:r>
      <w:r w:rsidR="00047E35">
        <w:t xml:space="preserve">here is a “limited place for renewal PCN’s” but </w:t>
      </w:r>
      <w:r w:rsidR="002E0B9B">
        <w:t>argues</w:t>
      </w:r>
      <w:r w:rsidR="00047E35">
        <w:t xml:space="preserve"> that the </w:t>
      </w:r>
      <w:r w:rsidR="00C000BB">
        <w:t xml:space="preserve">FCC </w:t>
      </w:r>
      <w:r w:rsidR="00047E35">
        <w:t>c</w:t>
      </w:r>
      <w:r w:rsidR="00DD144D">
        <w:t>o</w:t>
      </w:r>
      <w:r w:rsidR="00047E35">
        <w:t xml:space="preserve">ntemplated </w:t>
      </w:r>
      <w:r w:rsidR="00391871">
        <w:t>that growth channels would be held for “months, not years.”</w:t>
      </w:r>
      <w:r w:rsidR="0098317F">
        <w:rPr>
          <w:rStyle w:val="FootnoteReference"/>
        </w:rPr>
        <w:footnoteReference w:id="26"/>
      </w:r>
      <w:r w:rsidR="00DD144D">
        <w:t xml:space="preserve"> </w:t>
      </w:r>
      <w:r w:rsidR="00132FF6">
        <w:t xml:space="preserve">  </w:t>
      </w:r>
    </w:p>
    <w:p w14:paraId="7E8FA640" w14:textId="77777777" w:rsidR="00A324B0" w:rsidRDefault="009D2910" w:rsidP="00A324B0">
      <w:pPr>
        <w:pStyle w:val="ParaNum"/>
      </w:pPr>
      <w:r>
        <w:t xml:space="preserve">Finally, LT-WR </w:t>
      </w:r>
      <w:r w:rsidR="006A6430">
        <w:t xml:space="preserve">accuses </w:t>
      </w:r>
      <w:r>
        <w:t xml:space="preserve">San Bernardino </w:t>
      </w:r>
      <w:r w:rsidR="006A6430">
        <w:t xml:space="preserve">of </w:t>
      </w:r>
      <w:r>
        <w:t>bad faith and abuse of process</w:t>
      </w:r>
      <w:r w:rsidR="00C000BB">
        <w:t>,</w:t>
      </w:r>
      <w:r w:rsidR="00AB0618">
        <w:t xml:space="preserve"> claiming:</w:t>
      </w:r>
      <w:r w:rsidR="00A324B0">
        <w:t xml:space="preserve">  </w:t>
      </w:r>
      <w:r w:rsidR="006A6430">
        <w:t xml:space="preserve">(a) </w:t>
      </w:r>
      <w:r w:rsidR="00C000BB">
        <w:t xml:space="preserve">that </w:t>
      </w:r>
      <w:r w:rsidR="00A324B0">
        <w:t xml:space="preserve">San </w:t>
      </w:r>
      <w:r w:rsidR="00AF6BB1">
        <w:t>Bernardino</w:t>
      </w:r>
      <w:r w:rsidR="00A324B0">
        <w:t xml:space="preserve"> </w:t>
      </w:r>
      <w:r w:rsidR="00AF6BB1">
        <w:t>failed</w:t>
      </w:r>
      <w:r w:rsidR="00A324B0">
        <w:t xml:space="preserve"> </w:t>
      </w:r>
      <w:r w:rsidR="00073051">
        <w:t>t</w:t>
      </w:r>
      <w:r w:rsidR="00A324B0">
        <w:t xml:space="preserve">o </w:t>
      </w:r>
      <w:r w:rsidR="00AF6BB1">
        <w:t>communicate</w:t>
      </w:r>
      <w:r w:rsidR="00A324B0">
        <w:t xml:space="preserve"> to LT-WR that it intended to object to LT-WR’s application; </w:t>
      </w:r>
      <w:r w:rsidR="006A6430">
        <w:t xml:space="preserve">and (b) </w:t>
      </w:r>
      <w:r w:rsidR="00A324B0">
        <w:t xml:space="preserve">told the Commission that “there were no unresolved </w:t>
      </w:r>
      <w:r w:rsidR="00AF6BB1">
        <w:t>interference</w:t>
      </w:r>
      <w:r w:rsidR="00A324B0">
        <w:t xml:space="preserve"> objections” to its applications even though</w:t>
      </w:r>
      <w:r w:rsidR="006A6430">
        <w:t>, at the time,</w:t>
      </w:r>
      <w:r w:rsidR="00A324B0">
        <w:t xml:space="preserve"> LT-WR had</w:t>
      </w:r>
      <w:r w:rsidR="006A6430">
        <w:t xml:space="preserve"> conflicting, mutually exclusive,</w:t>
      </w:r>
      <w:r w:rsidR="00A324B0">
        <w:t xml:space="preserve"> applications </w:t>
      </w:r>
      <w:r w:rsidR="008A751C">
        <w:t>on file</w:t>
      </w:r>
      <w:r w:rsidR="006A6430">
        <w:t>.  LT-WR argues that San Bernardino knew its claim that there were no unresolved interference objections to its applications was false</w:t>
      </w:r>
      <w:r w:rsidR="007101BE">
        <w:t xml:space="preserve"> because, in San Bernardino’s </w:t>
      </w:r>
      <w:r w:rsidR="008A751C">
        <w:t>informal objection to</w:t>
      </w:r>
      <w:r w:rsidR="00A324B0">
        <w:t xml:space="preserve"> LT-WR</w:t>
      </w:r>
      <w:r w:rsidR="008A751C">
        <w:t>’s applications</w:t>
      </w:r>
      <w:r w:rsidR="007101BE">
        <w:t xml:space="preserve">, San Bernardino </w:t>
      </w:r>
      <w:r w:rsidR="008A751C">
        <w:t xml:space="preserve">stated that there were “Unresolved Issues with the </w:t>
      </w:r>
      <w:r w:rsidR="00AF6BB1">
        <w:t>County</w:t>
      </w:r>
      <w:r w:rsidR="008A751C">
        <w:t>…that were reported during the coordination process.”</w:t>
      </w:r>
      <w:r w:rsidR="002E0B9B">
        <w:rPr>
          <w:rStyle w:val="FootnoteReference"/>
        </w:rPr>
        <w:footnoteReference w:id="27"/>
      </w:r>
      <w:r w:rsidR="008A751C">
        <w:t xml:space="preserve"> </w:t>
      </w:r>
      <w:r w:rsidR="00A324B0">
        <w:t xml:space="preserve"> </w:t>
      </w:r>
    </w:p>
    <w:p w14:paraId="67E9DDBC" w14:textId="77777777" w:rsidR="00401A66" w:rsidRDefault="00AF6BB1" w:rsidP="00AF6BB1">
      <w:pPr>
        <w:pStyle w:val="Heading2"/>
      </w:pPr>
      <w:r>
        <w:t>San Bernardino’s Opposition to Petition for Reconsideration</w:t>
      </w:r>
    </w:p>
    <w:p w14:paraId="11EC5DAD" w14:textId="77777777" w:rsidR="00CE46F8" w:rsidRDefault="00AF6BB1" w:rsidP="003E6AB2">
      <w:pPr>
        <w:pStyle w:val="ParaNum"/>
      </w:pPr>
      <w:r>
        <w:t>San Bernardino</w:t>
      </w:r>
      <w:r w:rsidR="001749AF">
        <w:t xml:space="preserve"> notes that its application is part of a larger public safety/E911 project covering 92 paths throughout the county.</w:t>
      </w:r>
      <w:r w:rsidR="001749AF">
        <w:rPr>
          <w:rStyle w:val="FootnoteReference"/>
        </w:rPr>
        <w:footnoteReference w:id="28"/>
      </w:r>
      <w:r w:rsidR="00263AE7">
        <w:t xml:space="preserve">  </w:t>
      </w:r>
      <w:r w:rsidR="001749AF">
        <w:t xml:space="preserve">San Bernardino </w:t>
      </w:r>
      <w:r w:rsidR="00C000BB">
        <w:t xml:space="preserve">also observes </w:t>
      </w:r>
      <w:r w:rsidR="001749AF">
        <w:t xml:space="preserve">that Section 101.103(d)(2)(vii) of the Commission’s Rules </w:t>
      </w:r>
      <w:r w:rsidR="007101BE">
        <w:t xml:space="preserve">requires </w:t>
      </w:r>
      <w:r w:rsidR="001749AF">
        <w:t>that all technical problems that “come to light during coordination must be resolved unless a statement is included with the application to the effect that the applicant is unable or unwilling to resolve the conflict and briefly the reason therefor.”</w:t>
      </w:r>
      <w:r w:rsidR="001749AF">
        <w:rPr>
          <w:rStyle w:val="FootnoteReference"/>
        </w:rPr>
        <w:footnoteReference w:id="29"/>
      </w:r>
      <w:r w:rsidR="006D76ED">
        <w:t xml:space="preserve">  </w:t>
      </w:r>
      <w:r w:rsidR="00C000BB">
        <w:t xml:space="preserve">It </w:t>
      </w:r>
      <w:r w:rsidR="00CE46F8">
        <w:t>states</w:t>
      </w:r>
      <w:r w:rsidR="006D76ED">
        <w:t xml:space="preserve"> that LT-WR failed to include </w:t>
      </w:r>
      <w:r w:rsidR="007101BE">
        <w:t xml:space="preserve">such a </w:t>
      </w:r>
      <w:r w:rsidR="006D76ED">
        <w:t>statement</w:t>
      </w:r>
      <w:r w:rsidR="007101BE">
        <w:t xml:space="preserve"> with its application</w:t>
      </w:r>
      <w:r w:rsidR="006D76ED">
        <w:t>, but rather merely stated that “[LT-WR] has an immediate need for this link.  We considered this matter to be resolved.”</w:t>
      </w:r>
      <w:r w:rsidR="006D76ED">
        <w:rPr>
          <w:rStyle w:val="FootnoteReference"/>
        </w:rPr>
        <w:footnoteReference w:id="30"/>
      </w:r>
      <w:r w:rsidR="00CE46F8">
        <w:t xml:space="preserve">  San Bernardino argues that th</w:t>
      </w:r>
      <w:r w:rsidR="007101BE">
        <w:t xml:space="preserve">e quoted </w:t>
      </w:r>
      <w:r w:rsidR="00CE46F8">
        <w:t xml:space="preserve">statement </w:t>
      </w:r>
      <w:r w:rsidR="007101BE">
        <w:t xml:space="preserve">is insufficient to </w:t>
      </w:r>
      <w:r w:rsidR="00CE46F8">
        <w:t xml:space="preserve">satisfy the </w:t>
      </w:r>
      <w:r w:rsidR="00C000BB">
        <w:t xml:space="preserve">FCC’s </w:t>
      </w:r>
      <w:r w:rsidR="00CE46F8">
        <w:t>requirements</w:t>
      </w:r>
      <w:r w:rsidR="007101BE">
        <w:t xml:space="preserve">.  San Bernardino </w:t>
      </w:r>
      <w:r w:rsidR="00237A6B">
        <w:t xml:space="preserve">claims </w:t>
      </w:r>
      <w:r w:rsidR="007101BE">
        <w:t xml:space="preserve">that </w:t>
      </w:r>
      <w:r w:rsidR="00CE46F8">
        <w:t>LT-WR’s application</w:t>
      </w:r>
      <w:r w:rsidR="007101BE">
        <w:t>s</w:t>
      </w:r>
      <w:r w:rsidR="00CE46F8">
        <w:t xml:space="preserve"> were completely silent on the </w:t>
      </w:r>
      <w:r w:rsidR="007101BE">
        <w:t xml:space="preserve">known </w:t>
      </w:r>
      <w:r w:rsidR="00CE46F8">
        <w:t xml:space="preserve">interference conflict and </w:t>
      </w:r>
      <w:r w:rsidR="007101BE">
        <w:t xml:space="preserve">lacked </w:t>
      </w:r>
      <w:r w:rsidR="00CE46F8">
        <w:t xml:space="preserve">any </w:t>
      </w:r>
      <w:r w:rsidR="007101BE">
        <w:t xml:space="preserve">information on </w:t>
      </w:r>
      <w:r w:rsidR="00CE46F8">
        <w:t>LT-WR’s ability, or lack thereof, to resolve the conflict.</w:t>
      </w:r>
      <w:r w:rsidR="00CE46F8">
        <w:rPr>
          <w:rStyle w:val="FootnoteReference"/>
        </w:rPr>
        <w:footnoteReference w:id="31"/>
      </w:r>
      <w:r w:rsidR="00CE46F8">
        <w:t xml:space="preserve"> San Bernardino </w:t>
      </w:r>
      <w:r w:rsidR="00E31150">
        <w:t xml:space="preserve">argues </w:t>
      </w:r>
      <w:r w:rsidR="007101BE">
        <w:t xml:space="preserve">that </w:t>
      </w:r>
      <w:r w:rsidR="00E31150">
        <w:t xml:space="preserve">LT-WR’s applications </w:t>
      </w:r>
      <w:r w:rsidR="00527CEA">
        <w:t>contain</w:t>
      </w:r>
      <w:r w:rsidR="007101BE">
        <w:t>ed</w:t>
      </w:r>
      <w:r w:rsidR="00527CEA">
        <w:t xml:space="preserve"> no mention of San Bernardino’s admonition that LT-WR’s applications conflicted with San Bernardino’s request for the</w:t>
      </w:r>
      <w:r w:rsidR="007101BE">
        <w:t xml:space="preserve"> contested </w:t>
      </w:r>
      <w:r w:rsidR="00527CEA">
        <w:t>frequencies.</w:t>
      </w:r>
      <w:r w:rsidR="00527CEA">
        <w:rPr>
          <w:rStyle w:val="FootnoteReference"/>
        </w:rPr>
        <w:footnoteReference w:id="32"/>
      </w:r>
    </w:p>
    <w:p w14:paraId="33D26A4C" w14:textId="77777777" w:rsidR="00527CEA" w:rsidRDefault="00393044" w:rsidP="00E17367">
      <w:pPr>
        <w:pStyle w:val="ParaNum"/>
      </w:pPr>
      <w:r>
        <w:t xml:space="preserve">San Bernardino </w:t>
      </w:r>
      <w:r w:rsidR="00237A6B">
        <w:t xml:space="preserve">contends </w:t>
      </w:r>
      <w:r>
        <w:t xml:space="preserve">that LT-WR’s reliance on </w:t>
      </w:r>
      <w:r>
        <w:rPr>
          <w:i/>
        </w:rPr>
        <w:t>Geodesic</w:t>
      </w:r>
      <w:r>
        <w:t xml:space="preserve"> is misplaced</w:t>
      </w:r>
      <w:r w:rsidR="007101BE">
        <w:t xml:space="preserve">.  It points out that </w:t>
      </w:r>
      <w:r w:rsidR="007C500D">
        <w:t xml:space="preserve">in </w:t>
      </w:r>
      <w:r w:rsidR="007C500D">
        <w:rPr>
          <w:i/>
        </w:rPr>
        <w:t>Geodesic</w:t>
      </w:r>
      <w:r w:rsidR="007C500D">
        <w:t>, the entity holding the PCN (Auburn) never responded to the entity filing the subsequent PCN (Geodesic) and</w:t>
      </w:r>
      <w:r w:rsidR="007101BE">
        <w:t>,</w:t>
      </w:r>
      <w:r w:rsidR="007C500D">
        <w:t xml:space="preserve"> indeed</w:t>
      </w:r>
      <w:r w:rsidR="007101BE">
        <w:t>,</w:t>
      </w:r>
      <w:r w:rsidR="007C500D">
        <w:t xml:space="preserve"> only filed its application after Geodesic’s application</w:t>
      </w:r>
      <w:r w:rsidR="007101BE">
        <w:t xml:space="preserve"> was granted</w:t>
      </w:r>
      <w:r w:rsidR="007C500D">
        <w:t>.</w:t>
      </w:r>
      <w:r w:rsidR="00B83A25">
        <w:rPr>
          <w:rStyle w:val="FootnoteReference"/>
        </w:rPr>
        <w:footnoteReference w:id="33"/>
      </w:r>
      <w:r w:rsidR="00770E18">
        <w:t xml:space="preserve">  </w:t>
      </w:r>
      <w:r w:rsidR="007101BE">
        <w:t xml:space="preserve">Here, however, </w:t>
      </w:r>
      <w:r w:rsidR="00770E18">
        <w:t>San Bernardino</w:t>
      </w:r>
      <w:r w:rsidR="00AE24A0">
        <w:t xml:space="preserve">, </w:t>
      </w:r>
      <w:r w:rsidR="00770E18">
        <w:t xml:space="preserve">unlike Auburn, </w:t>
      </w:r>
      <w:r w:rsidR="00AE24A0">
        <w:t xml:space="preserve">twice </w:t>
      </w:r>
      <w:r w:rsidR="00770E18">
        <w:t xml:space="preserve">notified LT-WR that </w:t>
      </w:r>
      <w:r w:rsidR="00AE24A0">
        <w:t xml:space="preserve">San Bernardino’s </w:t>
      </w:r>
      <w:r w:rsidR="00770E18">
        <w:t>existing PCN conflicted with LT-WR’s PCN</w:t>
      </w:r>
      <w:r w:rsidR="00B83A25">
        <w:t>.</w:t>
      </w:r>
      <w:r w:rsidR="00B83A25">
        <w:rPr>
          <w:rStyle w:val="FootnoteReference"/>
        </w:rPr>
        <w:footnoteReference w:id="34"/>
      </w:r>
      <w:r w:rsidR="007C500D">
        <w:t xml:space="preserve"> </w:t>
      </w:r>
    </w:p>
    <w:p w14:paraId="2A44C525" w14:textId="77777777" w:rsidR="00376834" w:rsidRDefault="00106B79" w:rsidP="00E17367">
      <w:pPr>
        <w:pStyle w:val="ParaNum"/>
      </w:pPr>
      <w:r>
        <w:t xml:space="preserve">In support of its reading of </w:t>
      </w:r>
      <w:r w:rsidRPr="00106B79">
        <w:rPr>
          <w:i/>
        </w:rPr>
        <w:t>Geodesic</w:t>
      </w:r>
      <w:r>
        <w:t xml:space="preserve">, </w:t>
      </w:r>
      <w:r w:rsidR="00D82F63" w:rsidRPr="00106B79">
        <w:t>San</w:t>
      </w:r>
      <w:r w:rsidR="00D82F63">
        <w:t xml:space="preserve"> Bernardino cites a 2015</w:t>
      </w:r>
      <w:r w:rsidR="005D3265">
        <w:t xml:space="preserve"> joint</w:t>
      </w:r>
      <w:r w:rsidR="00D82F63">
        <w:t xml:space="preserve"> </w:t>
      </w:r>
      <w:r w:rsidR="005D3265">
        <w:rPr>
          <w:i/>
        </w:rPr>
        <w:t>Public Notice</w:t>
      </w:r>
      <w:r w:rsidR="00D82F63">
        <w:t xml:space="preserve"> </w:t>
      </w:r>
      <w:r w:rsidR="00AE24A0">
        <w:t>from</w:t>
      </w:r>
      <w:r>
        <w:t xml:space="preserve"> the Wireless Telecommunications Bureau</w:t>
      </w:r>
      <w:r w:rsidR="005D3265">
        <w:t xml:space="preserve"> and Public Safety and </w:t>
      </w:r>
      <w:r w:rsidR="00314E41">
        <w:t>Homeland Security Bureau</w:t>
      </w:r>
      <w:r>
        <w:t>.</w:t>
      </w:r>
      <w:r w:rsidR="00CB3BE2">
        <w:rPr>
          <w:rStyle w:val="FootnoteReference"/>
        </w:rPr>
        <w:footnoteReference w:id="35"/>
      </w:r>
      <w:r>
        <w:t xml:space="preserve">  In that</w:t>
      </w:r>
      <w:r w:rsidR="00C80D24">
        <w:t xml:space="preserve"> </w:t>
      </w:r>
      <w:r w:rsidR="00C80D24">
        <w:rPr>
          <w:i/>
        </w:rPr>
        <w:t>Public Notice</w:t>
      </w:r>
      <w:r>
        <w:t xml:space="preserve">, </w:t>
      </w:r>
      <w:r w:rsidR="00EE0A88">
        <w:t xml:space="preserve">the Bureaus clarified certain aspects of </w:t>
      </w:r>
      <w:r w:rsidR="00EE0A88">
        <w:rPr>
          <w:i/>
        </w:rPr>
        <w:t>Geodesic</w:t>
      </w:r>
      <w:r w:rsidR="00EE0A88" w:rsidRPr="00EE0A88">
        <w:t>.</w:t>
      </w:r>
      <w:r>
        <w:t xml:space="preserve"> </w:t>
      </w:r>
      <w:r w:rsidR="00EE0A88">
        <w:t xml:space="preserve"> </w:t>
      </w:r>
      <w:r w:rsidR="009E7A37">
        <w:t>San Bernardino quotes the</w:t>
      </w:r>
      <w:r w:rsidR="00AE24A0">
        <w:t xml:space="preserve"> </w:t>
      </w:r>
      <w:r w:rsidR="00AE24A0" w:rsidRPr="007C0D3D">
        <w:rPr>
          <w:i/>
        </w:rPr>
        <w:t>Public Notice</w:t>
      </w:r>
      <w:r w:rsidR="00AE24A0">
        <w:t xml:space="preserve"> </w:t>
      </w:r>
      <w:r w:rsidR="009E7A37">
        <w:t>as</w:t>
      </w:r>
      <w:r w:rsidR="00AE24A0">
        <w:t xml:space="preserve"> stating </w:t>
      </w:r>
      <w:r w:rsidR="009E7A37">
        <w:t>that “</w:t>
      </w:r>
      <w:r w:rsidR="009E7A37">
        <w:rPr>
          <w:i/>
        </w:rPr>
        <w:t>Geodesic</w:t>
      </w:r>
      <w:r w:rsidR="009E7A37" w:rsidRPr="009E7A37">
        <w:t xml:space="preserve"> was not intended to create a burden on the party holding </w:t>
      </w:r>
      <w:r w:rsidR="009E7A37">
        <w:t>the growth channel to make a demonstration that it should be allowed to keep the channel</w:t>
      </w:r>
      <w:r w:rsidR="00AE24A0">
        <w:t>.</w:t>
      </w:r>
      <w:r w:rsidR="009E7A37">
        <w:t xml:space="preserve">” </w:t>
      </w:r>
      <w:r w:rsidR="00AE24A0">
        <w:t xml:space="preserve">San Bernardino also points out that the </w:t>
      </w:r>
      <w:r w:rsidR="00AE24A0" w:rsidRPr="007C0D3D">
        <w:rPr>
          <w:i/>
        </w:rPr>
        <w:t xml:space="preserve">Public Notice </w:t>
      </w:r>
      <w:r w:rsidR="00AE24A0">
        <w:t xml:space="preserve">recited that </w:t>
      </w:r>
      <w:r w:rsidR="009E7A37">
        <w:t xml:space="preserve">the “findings in </w:t>
      </w:r>
      <w:r w:rsidR="009E7A37">
        <w:rPr>
          <w:i/>
        </w:rPr>
        <w:t>Geodesic</w:t>
      </w:r>
      <w:r w:rsidR="009E7A37" w:rsidRPr="009E7A37">
        <w:t xml:space="preserve"> </w:t>
      </w:r>
      <w:r w:rsidR="009E7A37">
        <w:t>simply articulated that the filing of an application in and of itself is sufficient to show that the applicant requires an additional frequency, which satisfies the first prong in Section 101.103(d)(2)(xii).”</w:t>
      </w:r>
      <w:r w:rsidR="009E7A37">
        <w:rPr>
          <w:rStyle w:val="FootnoteReference"/>
        </w:rPr>
        <w:footnoteReference w:id="36"/>
      </w:r>
      <w:r w:rsidR="00D82F63">
        <w:t xml:space="preserve"> </w:t>
      </w:r>
    </w:p>
    <w:p w14:paraId="2B4BE69F" w14:textId="77777777" w:rsidR="00D82F63" w:rsidRDefault="00AE24A0" w:rsidP="00E17367">
      <w:pPr>
        <w:pStyle w:val="ParaNum"/>
      </w:pPr>
      <w:r>
        <w:t xml:space="preserve">According to </w:t>
      </w:r>
      <w:r w:rsidR="00376834">
        <w:t>San Bernardino</w:t>
      </w:r>
      <w:r>
        <w:t xml:space="preserve">, </w:t>
      </w:r>
      <w:r w:rsidR="00376834">
        <w:t xml:space="preserve">Section 101.103(d)(2)(xii) </w:t>
      </w:r>
      <w:r>
        <w:t xml:space="preserve">establishes a </w:t>
      </w:r>
      <w:r w:rsidR="00376834">
        <w:t>two p</w:t>
      </w:r>
      <w:r>
        <w:t xml:space="preserve">ronged </w:t>
      </w:r>
      <w:r w:rsidR="00376834">
        <w:t>test</w:t>
      </w:r>
      <w:r>
        <w:t>,</w:t>
      </w:r>
      <w:r w:rsidR="00376834">
        <w:t xml:space="preserve"> with the second prong of the test </w:t>
      </w:r>
      <w:r>
        <w:t xml:space="preserve">being that </w:t>
      </w:r>
      <w:r w:rsidR="00376834">
        <w:t>“in order to demonstrate that an applicant cannot coordinate a channel that is not reserved for future use…” an applicant is required “to provide a statement from a frequency coordinator stating that it was not possible to coordinate a non-reserved channel.”</w:t>
      </w:r>
      <w:r w:rsidR="00F651CD">
        <w:rPr>
          <w:rStyle w:val="FootnoteReference"/>
        </w:rPr>
        <w:footnoteReference w:id="37"/>
      </w:r>
    </w:p>
    <w:p w14:paraId="19DB34DC" w14:textId="77777777" w:rsidR="0095174D" w:rsidRDefault="0095174D" w:rsidP="00E17367">
      <w:pPr>
        <w:pStyle w:val="ParaNum"/>
      </w:pPr>
      <w:r>
        <w:t>San Bernardino notes that Section 101.103(d)(2)(i) requires</w:t>
      </w:r>
      <w:r w:rsidR="00AE24A0">
        <w:t xml:space="preserve"> that</w:t>
      </w:r>
      <w:r>
        <w:t xml:space="preserve"> “[a]pplicants should make every reasonable effort to avoid blocking the growth </w:t>
      </w:r>
      <w:r w:rsidR="00AE24A0">
        <w:t>o</w:t>
      </w:r>
      <w:r>
        <w:t>f systems as prior coordinated…in the event that technical problems are not resolved, an explanation must be submitted with the application</w:t>
      </w:r>
      <w:r w:rsidR="00AE24A0">
        <w:t>.</w:t>
      </w:r>
      <w:r>
        <w:t xml:space="preserve">” </w:t>
      </w:r>
      <w:r w:rsidR="00AE24A0">
        <w:t xml:space="preserve"> In addition, San Bernardino </w:t>
      </w:r>
      <w:r w:rsidR="00A7253A">
        <w:t xml:space="preserve">points out that </w:t>
      </w:r>
      <w:r>
        <w:t xml:space="preserve">Section 101.103(d)(2)(vii) </w:t>
      </w:r>
      <w:r w:rsidR="00A7253A">
        <w:t xml:space="preserve">requires </w:t>
      </w:r>
      <w:r>
        <w:t>that all technical problems that “come to light during coordination must be resolved unless a statement is included with the application to the effect that the applicant is unable or unwilling to resolve the conflict and briefly the reason therefor.”</w:t>
      </w:r>
      <w:r>
        <w:rPr>
          <w:rStyle w:val="FootnoteReference"/>
        </w:rPr>
        <w:footnoteReference w:id="38"/>
      </w:r>
      <w:r>
        <w:t xml:space="preserve">  San Bernardino contends that LT-WR failed to comply with either of these requirements.</w:t>
      </w:r>
      <w:r w:rsidR="007A4BCC">
        <w:rPr>
          <w:rStyle w:val="FootnoteReference"/>
        </w:rPr>
        <w:footnoteReference w:id="39"/>
      </w:r>
      <w:r w:rsidR="007A4BCC">
        <w:t xml:space="preserve">  San Bernardino also questions whether LT-WR has an “immediate need” for the spectrum given that it is not using spectrally efficient equipment.</w:t>
      </w:r>
      <w:r w:rsidR="007A4BCC">
        <w:rPr>
          <w:rStyle w:val="FootnoteReference"/>
        </w:rPr>
        <w:footnoteReference w:id="40"/>
      </w:r>
    </w:p>
    <w:p w14:paraId="0987A043" w14:textId="77777777" w:rsidR="00263AE7" w:rsidRDefault="00263AE7" w:rsidP="00E17367">
      <w:pPr>
        <w:pStyle w:val="ParaNum"/>
      </w:pPr>
      <w:r>
        <w:t>San Bernardino states that</w:t>
      </w:r>
      <w:r w:rsidR="00A7253A">
        <w:t xml:space="preserve"> it</w:t>
      </w:r>
      <w:r>
        <w:t xml:space="preserve"> is not warehousing </w:t>
      </w:r>
      <w:r w:rsidR="00D869B2">
        <w:t xml:space="preserve">spectrum, but rather </w:t>
      </w:r>
      <w:r w:rsidR="00A7253A">
        <w:t xml:space="preserve">is </w:t>
      </w:r>
      <w:r w:rsidR="00D869B2">
        <w:t xml:space="preserve">licensing the </w:t>
      </w:r>
      <w:r w:rsidR="00A7253A">
        <w:t xml:space="preserve">contested channels </w:t>
      </w:r>
      <w:r w:rsidR="00D869B2">
        <w:t>as part of an ongoing $162 million upgrade to its Public Safety/E911 system.</w:t>
      </w:r>
      <w:r w:rsidR="00D869B2">
        <w:rPr>
          <w:rStyle w:val="FootnoteReference"/>
        </w:rPr>
        <w:footnoteReference w:id="41"/>
      </w:r>
      <w:r w:rsidR="00D869B2">
        <w:t xml:space="preserve">  I</w:t>
      </w:r>
      <w:r w:rsidR="00A7253A">
        <w:t>t</w:t>
      </w:r>
      <w:r w:rsidR="00D869B2">
        <w:t xml:space="preserve"> </w:t>
      </w:r>
      <w:r w:rsidR="00A7253A">
        <w:t xml:space="preserve">also rejects </w:t>
      </w:r>
      <w:r w:rsidR="00D869B2">
        <w:t>LT-WR’s accusations of misrepresentation and lack of candor a</w:t>
      </w:r>
      <w:r w:rsidR="00A7253A">
        <w:t>s</w:t>
      </w:r>
      <w:r w:rsidR="00D869B2">
        <w:t xml:space="preserve"> unfounded.</w:t>
      </w:r>
      <w:r w:rsidR="00D869B2">
        <w:rPr>
          <w:rStyle w:val="FootnoteReference"/>
        </w:rPr>
        <w:footnoteReference w:id="42"/>
      </w:r>
    </w:p>
    <w:p w14:paraId="331BD0A1" w14:textId="77777777" w:rsidR="008E438D" w:rsidRDefault="008E438D" w:rsidP="008E438D">
      <w:pPr>
        <w:pStyle w:val="Heading2"/>
      </w:pPr>
      <w:r>
        <w:t>LT-WR’s Reply to Opposition to Petition for Reconsideration</w:t>
      </w:r>
    </w:p>
    <w:p w14:paraId="4D1F835C" w14:textId="77777777" w:rsidR="008E438D" w:rsidRDefault="008E438D" w:rsidP="003F0AFC">
      <w:pPr>
        <w:pStyle w:val="ParaNum"/>
      </w:pPr>
      <w:r>
        <w:t xml:space="preserve">On March 1, 2016, LT-WR filed </w:t>
      </w:r>
      <w:r w:rsidR="00A667D2">
        <w:t>its Reply to the San Bernardino Opposition</w:t>
      </w:r>
      <w:r w:rsidR="00843562">
        <w:t>.</w:t>
      </w:r>
      <w:r w:rsidR="00800D84">
        <w:rPr>
          <w:rStyle w:val="FootnoteReference"/>
        </w:rPr>
        <w:footnoteReference w:id="43"/>
      </w:r>
      <w:r w:rsidR="00800D84">
        <w:t xml:space="preserve">  LT-WR states that</w:t>
      </w:r>
      <w:r w:rsidR="00A7253A">
        <w:t>,</w:t>
      </w:r>
      <w:r w:rsidR="00800D84">
        <w:t xml:space="preserve"> at the time it submitted its applications</w:t>
      </w:r>
      <w:r w:rsidR="00A7253A">
        <w:t>,</w:t>
      </w:r>
      <w:r w:rsidR="00800D84">
        <w:t xml:space="preserve"> it </w:t>
      </w:r>
      <w:r w:rsidR="00C65D74">
        <w:t xml:space="preserve">believed there was no outstanding </w:t>
      </w:r>
      <w:r w:rsidR="00A7253A">
        <w:t xml:space="preserve">frequency </w:t>
      </w:r>
      <w:r w:rsidR="00C65D74">
        <w:t>conflict</w:t>
      </w:r>
      <w:r w:rsidR="00A7253A">
        <w:t xml:space="preserve"> with San Bernardino</w:t>
      </w:r>
      <w:r w:rsidR="002E7AD4">
        <w:t>.</w:t>
      </w:r>
      <w:r w:rsidR="002E7AD4">
        <w:rPr>
          <w:rStyle w:val="FootnoteReference"/>
        </w:rPr>
        <w:footnoteReference w:id="44"/>
      </w:r>
      <w:r w:rsidR="002E7AD4">
        <w:t xml:space="preserve">  LT-WR argues </w:t>
      </w:r>
      <w:r w:rsidR="00C65D74">
        <w:t xml:space="preserve">that </w:t>
      </w:r>
      <w:r w:rsidR="00C65D74" w:rsidRPr="00C65D74">
        <w:rPr>
          <w:i/>
        </w:rPr>
        <w:t>Geodesic</w:t>
      </w:r>
      <w:r w:rsidR="00C65D74">
        <w:t xml:space="preserve"> controls because “the procedure and sequence here is exactly the same as that address</w:t>
      </w:r>
      <w:r w:rsidR="00A7253A">
        <w:t>ed</w:t>
      </w:r>
      <w:r w:rsidR="00C65D74">
        <w:t xml:space="preserve"> in [</w:t>
      </w:r>
      <w:r w:rsidR="00C65D74">
        <w:rPr>
          <w:i/>
        </w:rPr>
        <w:t>Geodesic</w:t>
      </w:r>
      <w:r w:rsidR="00C65D74">
        <w:t>].</w:t>
      </w:r>
      <w:r w:rsidR="00C65D74">
        <w:rPr>
          <w:rStyle w:val="FootnoteReference"/>
        </w:rPr>
        <w:footnoteReference w:id="45"/>
      </w:r>
      <w:r w:rsidR="003F0AFC">
        <w:t xml:space="preserve">  LT-WR argues that San Bernardino’s interpretation of </w:t>
      </w:r>
      <w:r w:rsidR="003F0AFC">
        <w:rPr>
          <w:i/>
        </w:rPr>
        <w:t xml:space="preserve">Geodesic </w:t>
      </w:r>
      <w:r w:rsidR="003F0AFC">
        <w:t>would render the case meaningless</w:t>
      </w:r>
      <w:r w:rsidR="00A7253A">
        <w:t xml:space="preserve"> and unenforceable because a </w:t>
      </w:r>
      <w:r w:rsidR="003F0AFC">
        <w:t>spectrum hoarder could always defeat a challenge by simply filing an application.</w:t>
      </w:r>
      <w:r w:rsidR="003F0AFC">
        <w:rPr>
          <w:rStyle w:val="FootnoteReference"/>
        </w:rPr>
        <w:footnoteReference w:id="46"/>
      </w:r>
    </w:p>
    <w:p w14:paraId="4CFF3637" w14:textId="77777777" w:rsidR="00B162D9" w:rsidRDefault="00B162D9" w:rsidP="003F0AFC">
      <w:pPr>
        <w:pStyle w:val="ParaNum"/>
      </w:pPr>
      <w:r>
        <w:t xml:space="preserve">LT-WR states that San Bernardino never questioned or disputed LT-WR’s claim of need or its assertion that the </w:t>
      </w:r>
      <w:r w:rsidR="00A7253A">
        <w:t xml:space="preserve">contested channels were the only </w:t>
      </w:r>
      <w:r>
        <w:t xml:space="preserve">the only unused </w:t>
      </w:r>
      <w:r w:rsidR="00A7253A">
        <w:t xml:space="preserve">channels </w:t>
      </w:r>
      <w:r>
        <w:t>available to meet that need.</w:t>
      </w:r>
      <w:r>
        <w:rPr>
          <w:rStyle w:val="FootnoteReference"/>
        </w:rPr>
        <w:footnoteReference w:id="47"/>
      </w:r>
      <w:r>
        <w:t xml:space="preserve">  LT-WR reiterates that it identified alternative </w:t>
      </w:r>
      <w:r w:rsidR="00A7253A">
        <w:t xml:space="preserve">channels </w:t>
      </w:r>
      <w:r>
        <w:t xml:space="preserve">for San Bernardino but </w:t>
      </w:r>
      <w:r w:rsidR="00A7253A">
        <w:t xml:space="preserve">that </w:t>
      </w:r>
      <w:r w:rsidR="004F2FCB">
        <w:t xml:space="preserve">San Bernardino </w:t>
      </w:r>
      <w:r>
        <w:t>never explained why it c</w:t>
      </w:r>
      <w:r w:rsidR="004F2FCB">
        <w:t>ould not use the alternative channels recommended by LT-WR.</w:t>
      </w:r>
      <w:r>
        <w:rPr>
          <w:rStyle w:val="FootnoteReference"/>
        </w:rPr>
        <w:footnoteReference w:id="48"/>
      </w:r>
    </w:p>
    <w:p w14:paraId="75CFB4FE" w14:textId="77777777" w:rsidR="00805CC8" w:rsidRDefault="00805CC8" w:rsidP="00805CC8">
      <w:pPr>
        <w:pStyle w:val="Heading1"/>
      </w:pPr>
      <w:r>
        <w:t>Discussion</w:t>
      </w:r>
    </w:p>
    <w:p w14:paraId="3C5F6C62" w14:textId="77777777" w:rsidR="009C5473" w:rsidRDefault="004F2FCB" w:rsidP="007E79D3">
      <w:pPr>
        <w:pStyle w:val="ParaNum"/>
      </w:pPr>
      <w:r>
        <w:t xml:space="preserve">In its Petition, </w:t>
      </w:r>
      <w:r w:rsidR="00805CC8">
        <w:t xml:space="preserve">LT-WR contends that the Bureau </w:t>
      </w:r>
      <w:r w:rsidR="00531BE8">
        <w:t xml:space="preserve">granted the </w:t>
      </w:r>
      <w:r w:rsidR="00805CC8">
        <w:t>San Bernardino application</w:t>
      </w:r>
      <w:r>
        <w:t>s</w:t>
      </w:r>
      <w:r w:rsidR="00805CC8">
        <w:t xml:space="preserve"> because it misapplied </w:t>
      </w:r>
      <w:r w:rsidR="00805CC8" w:rsidRPr="009C5473">
        <w:rPr>
          <w:i/>
        </w:rPr>
        <w:t>Geodesic</w:t>
      </w:r>
      <w:r w:rsidR="00805CC8">
        <w:t>.</w:t>
      </w:r>
      <w:r w:rsidR="0049231F">
        <w:t xml:space="preserve">  We disagree.  </w:t>
      </w:r>
      <w:r w:rsidR="00073051">
        <w:t xml:space="preserve">In </w:t>
      </w:r>
      <w:r w:rsidR="0049231F" w:rsidRPr="009C5473">
        <w:rPr>
          <w:i/>
        </w:rPr>
        <w:t>Geodesic</w:t>
      </w:r>
      <w:r w:rsidR="00073051">
        <w:t>,</w:t>
      </w:r>
      <w:r w:rsidR="0049231F" w:rsidRPr="009C5473">
        <w:rPr>
          <w:i/>
        </w:rPr>
        <w:t xml:space="preserve"> </w:t>
      </w:r>
      <w:r w:rsidR="00073051">
        <w:t>the</w:t>
      </w:r>
      <w:r w:rsidR="0049231F">
        <w:t xml:space="preserve"> </w:t>
      </w:r>
      <w:r w:rsidR="00CB40FC">
        <w:t xml:space="preserve">Bureau found that the </w:t>
      </w:r>
      <w:r w:rsidR="0049231F">
        <w:t xml:space="preserve">licensee </w:t>
      </w:r>
      <w:r w:rsidR="00073051">
        <w:t xml:space="preserve">that was seeking </w:t>
      </w:r>
      <w:r w:rsidR="00CB40FC">
        <w:t xml:space="preserve">relinquishment of </w:t>
      </w:r>
      <w:r>
        <w:t xml:space="preserve">another licensee’s </w:t>
      </w:r>
      <w:r w:rsidR="00CB40FC">
        <w:t xml:space="preserve">growth channels had substantially complied with the </w:t>
      </w:r>
      <w:r>
        <w:t xml:space="preserve">required </w:t>
      </w:r>
      <w:r w:rsidR="00CB40FC">
        <w:t>frequency coordination procedures.</w:t>
      </w:r>
      <w:r w:rsidR="00CB40FC">
        <w:rPr>
          <w:rStyle w:val="FootnoteReference"/>
        </w:rPr>
        <w:footnoteReference w:id="49"/>
      </w:r>
      <w:r w:rsidR="00CB40FC">
        <w:t xml:space="preserve">  </w:t>
      </w:r>
      <w:r>
        <w:t xml:space="preserve">Not so here. </w:t>
      </w:r>
    </w:p>
    <w:p w14:paraId="33CDCC09" w14:textId="77777777" w:rsidR="005B5DCB" w:rsidRDefault="005443D0" w:rsidP="007E79D3">
      <w:pPr>
        <w:pStyle w:val="ParaNum"/>
      </w:pPr>
      <w:r>
        <w:t>We find that</w:t>
      </w:r>
      <w:r w:rsidR="00F9082F">
        <w:t xml:space="preserve">, prior to filing </w:t>
      </w:r>
      <w:r w:rsidR="00CB40FC">
        <w:t>its application</w:t>
      </w:r>
      <w:r w:rsidR="00F9082F">
        <w:t xml:space="preserve"> for a major modification of </w:t>
      </w:r>
      <w:r w:rsidR="004F2FCB">
        <w:t xml:space="preserve">the facilities associated with </w:t>
      </w:r>
      <w:r w:rsidR="00F9082F">
        <w:t xml:space="preserve">call sign </w:t>
      </w:r>
      <w:r w:rsidR="00F9082F" w:rsidRPr="00F9082F">
        <w:t>WQOJ846</w:t>
      </w:r>
      <w:r w:rsidR="00F9082F">
        <w:t>, LT-WR failed to properly coordinate</w:t>
      </w:r>
      <w:r w:rsidR="00F9082F" w:rsidRPr="00F9082F">
        <w:t xml:space="preserve"> </w:t>
      </w:r>
      <w:r w:rsidR="00F9082F">
        <w:t xml:space="preserve">the application </w:t>
      </w:r>
      <w:r w:rsidR="00CB40FC">
        <w:t>with San Bernardino</w:t>
      </w:r>
      <w:r>
        <w:t xml:space="preserve"> </w:t>
      </w:r>
      <w:r w:rsidR="004F2FCB">
        <w:t xml:space="preserve">in recognition of San Bernardino’s </w:t>
      </w:r>
      <w:r w:rsidR="00F9082F">
        <w:t xml:space="preserve">PCN for growth channels on the </w:t>
      </w:r>
      <w:r w:rsidR="004F2FCB">
        <w:t xml:space="preserve">contested </w:t>
      </w:r>
      <w:r w:rsidR="00F9082F">
        <w:t xml:space="preserve">frequencies.  This failure to coordinate </w:t>
      </w:r>
      <w:r>
        <w:t xml:space="preserve">prior to filing </w:t>
      </w:r>
      <w:r w:rsidR="00F9082F">
        <w:t>violate</w:t>
      </w:r>
      <w:r w:rsidR="004F2FCB">
        <w:t>d</w:t>
      </w:r>
      <w:r>
        <w:t xml:space="preserve"> Section 101.103(d)(1) of the Commission’s Rules</w:t>
      </w:r>
      <w:r w:rsidR="00F9082F">
        <w:t>, which provides that: “</w:t>
      </w:r>
      <w:r w:rsidR="00F9082F" w:rsidRPr="00F9082F">
        <w:t xml:space="preserve">Proposed frequency usage must be prior coordinated with existing licensees, permittees and applicants in the area, and other applicants with previously filed applications, whose facilities could affect or be affected by the new proposal in terms of frequency interference on active channels, applied-for channels, </w:t>
      </w:r>
      <w:r w:rsidR="00F9082F" w:rsidRPr="009C5473">
        <w:rPr>
          <w:i/>
        </w:rPr>
        <w:t>or channels coordinated for future growth</w:t>
      </w:r>
      <w:r w:rsidR="00F9082F" w:rsidRPr="00F9082F">
        <w:t xml:space="preserve">. Coordination must be completed </w:t>
      </w:r>
      <w:r w:rsidR="00F9082F" w:rsidRPr="009C5473">
        <w:rPr>
          <w:i/>
        </w:rPr>
        <w:t>prior to filing an application</w:t>
      </w:r>
      <w:r w:rsidR="00F9082F" w:rsidRPr="00F9082F">
        <w:t xml:space="preserve"> </w:t>
      </w:r>
      <w:r w:rsidR="00F9082F" w:rsidRPr="009C5473">
        <w:rPr>
          <w:i/>
        </w:rPr>
        <w:t>for</w:t>
      </w:r>
      <w:r w:rsidR="00F9082F" w:rsidRPr="00F9082F">
        <w:t xml:space="preserve"> </w:t>
      </w:r>
      <w:r w:rsidR="00F9082F" w:rsidRPr="00984D8A">
        <w:rPr>
          <w:i/>
        </w:rPr>
        <w:t>regular authorization</w:t>
      </w:r>
      <w:r w:rsidR="00F9082F" w:rsidRPr="00F9082F">
        <w:t xml:space="preserve">, </w:t>
      </w:r>
      <w:r w:rsidR="00F9082F" w:rsidRPr="00984D8A">
        <w:rPr>
          <w:i/>
        </w:rPr>
        <w:t>or a major amendment to a pending application,</w:t>
      </w:r>
      <w:r w:rsidR="00F9082F" w:rsidRPr="00F9082F">
        <w:t xml:space="preserve"> or </w:t>
      </w:r>
      <w:r w:rsidR="00F9082F" w:rsidRPr="009C5473">
        <w:rPr>
          <w:i/>
        </w:rPr>
        <w:t>any major modification to a license</w:t>
      </w:r>
      <w:r w:rsidR="00F9082F" w:rsidRPr="00F9082F">
        <w:t>.</w:t>
      </w:r>
      <w:r w:rsidR="00F9082F">
        <w:t>”</w:t>
      </w:r>
      <w:r w:rsidR="00F9082F">
        <w:rPr>
          <w:rStyle w:val="FootnoteReference"/>
        </w:rPr>
        <w:footnoteReference w:id="50"/>
      </w:r>
      <w:r w:rsidR="00F9082F">
        <w:t xml:space="preserve"> </w:t>
      </w:r>
    </w:p>
    <w:p w14:paraId="79194657" w14:textId="77777777" w:rsidR="002C1245" w:rsidRDefault="005B5DCB" w:rsidP="00F9082F">
      <w:pPr>
        <w:pStyle w:val="ParaNum"/>
      </w:pPr>
      <w:r>
        <w:t>The record is clear that</w:t>
      </w:r>
      <w:r w:rsidR="00A76B2A">
        <w:t>,</w:t>
      </w:r>
      <w:r>
        <w:t xml:space="preserve"> upon receipt of LT-WR’s PCN for the</w:t>
      </w:r>
      <w:r w:rsidR="004F2FCB">
        <w:t xml:space="preserve"> contested channels, </w:t>
      </w:r>
      <w:r>
        <w:t xml:space="preserve">San Bernardino </w:t>
      </w:r>
      <w:r w:rsidR="004F2FCB">
        <w:t xml:space="preserve">notified </w:t>
      </w:r>
      <w:r>
        <w:t xml:space="preserve">LT-WR that </w:t>
      </w:r>
      <w:r w:rsidR="004F2FCB">
        <w:t xml:space="preserve">LT-WR’s </w:t>
      </w:r>
      <w:r>
        <w:t>proposed use of the channel pairs was incompatible with San Bernardino’s need to retain th</w:t>
      </w:r>
      <w:r w:rsidR="00A76B2A">
        <w:t>ose</w:t>
      </w:r>
      <w:r>
        <w:t xml:space="preserve"> channels for future growth.  </w:t>
      </w:r>
      <w:r w:rsidR="00C94551">
        <w:t>In response</w:t>
      </w:r>
      <w:r w:rsidR="004F2FCB">
        <w:t>,</w:t>
      </w:r>
      <w:r w:rsidR="00C94551">
        <w:t xml:space="preserve"> LT-WR </w:t>
      </w:r>
      <w:r w:rsidR="004F2FCB">
        <w:t xml:space="preserve">only stated </w:t>
      </w:r>
      <w:r w:rsidR="002C1245">
        <w:t xml:space="preserve">that LT-WR had an immediate need for the </w:t>
      </w:r>
      <w:r w:rsidR="004F2FCB">
        <w:t xml:space="preserve">contested channels </w:t>
      </w:r>
      <w:r w:rsidR="002C1245">
        <w:t>and that</w:t>
      </w:r>
      <w:r w:rsidR="004F2FCB">
        <w:t>,</w:t>
      </w:r>
      <w:r w:rsidR="002C1245">
        <w:t xml:space="preserve"> because the County’s PCN was a renewal PCN, LT-WR had priority over San Bernardino. LT-WR therefore </w:t>
      </w:r>
      <w:r w:rsidR="005A2641">
        <w:t xml:space="preserve">stated that it </w:t>
      </w:r>
      <w:r w:rsidR="002C1245">
        <w:t xml:space="preserve">considered the matter closed. </w:t>
      </w:r>
    </w:p>
    <w:p w14:paraId="59AC65F9" w14:textId="77777777" w:rsidR="007E0619" w:rsidRDefault="002C1245" w:rsidP="00E533CC">
      <w:pPr>
        <w:pStyle w:val="ParaNum"/>
      </w:pPr>
      <w:r>
        <w:t>LT-WR</w:t>
      </w:r>
      <w:r w:rsidR="005A2641">
        <w:t>’s claim to priority</w:t>
      </w:r>
      <w:r>
        <w:t xml:space="preserve"> was incorrect.  </w:t>
      </w:r>
      <w:r w:rsidR="00E533CC">
        <w:t>Section 10</w:t>
      </w:r>
      <w:r w:rsidR="007E0619">
        <w:t xml:space="preserve">1.103(d)(2)(xii) </w:t>
      </w:r>
      <w:r w:rsidR="00E533CC">
        <w:t xml:space="preserve">provides:  </w:t>
      </w:r>
      <w:r w:rsidR="00A76B2A">
        <w:t>“</w:t>
      </w:r>
      <w:r w:rsidR="00E533CC" w:rsidRPr="00E533CC">
        <w:t>Any frequency reserved by a licensee for future use in the bands subject to this part must be released for use by another licensee, permittee or applicant upon a showing by the latter that it requires an additional frequency and cannot coordinate one that is not reserved for future use.</w:t>
      </w:r>
      <w:r w:rsidR="00A76B2A">
        <w:t>”</w:t>
      </w:r>
      <w:r w:rsidR="007E0619" w:rsidRPr="007E0619">
        <w:rPr>
          <w:rStyle w:val="FootnoteReference"/>
        </w:rPr>
        <w:t xml:space="preserve"> </w:t>
      </w:r>
      <w:r w:rsidR="007E0619">
        <w:rPr>
          <w:rStyle w:val="FootnoteReference"/>
        </w:rPr>
        <w:footnoteReference w:id="51"/>
      </w:r>
      <w:r w:rsidR="00E533CC">
        <w:t xml:space="preserve">  </w:t>
      </w:r>
      <w:r w:rsidR="007E0619">
        <w:t xml:space="preserve">Therefore, </w:t>
      </w:r>
      <w:r>
        <w:t xml:space="preserve">to require San Bernardino to </w:t>
      </w:r>
      <w:r w:rsidR="00FA4D21">
        <w:t>release the</w:t>
      </w:r>
      <w:r w:rsidR="005A2641">
        <w:t xml:space="preserve"> contested</w:t>
      </w:r>
      <w:r w:rsidR="00FA4D21">
        <w:t xml:space="preserve"> channel pair for LT-WR’s immediate use, LT-WR needed to </w:t>
      </w:r>
      <w:r w:rsidR="007E0619">
        <w:t>make two separate showings</w:t>
      </w:r>
      <w:r w:rsidR="00A76B2A">
        <w:t xml:space="preserve"> with its applications</w:t>
      </w:r>
      <w:r w:rsidR="00FA4D21">
        <w:t xml:space="preserve">: </w:t>
      </w:r>
      <w:r w:rsidR="007E0619">
        <w:t xml:space="preserve">1) </w:t>
      </w:r>
      <w:r w:rsidR="00FA4D21" w:rsidRPr="00FA4D21">
        <w:t>that it require</w:t>
      </w:r>
      <w:r w:rsidR="007E0619">
        <w:t>d</w:t>
      </w:r>
      <w:r w:rsidR="00FA4D21" w:rsidRPr="00FA4D21">
        <w:t xml:space="preserve"> an additional </w:t>
      </w:r>
      <w:r w:rsidR="005A2641">
        <w:t xml:space="preserve">channel pair </w:t>
      </w:r>
      <w:r w:rsidR="00FA4D21" w:rsidRPr="00FA4D21">
        <w:t xml:space="preserve">and </w:t>
      </w:r>
      <w:r w:rsidR="007E0619">
        <w:t xml:space="preserve">2) that it could not </w:t>
      </w:r>
      <w:r w:rsidR="00FA4D21" w:rsidRPr="00FA4D21">
        <w:t xml:space="preserve">coordinate </w:t>
      </w:r>
      <w:r w:rsidR="005A2641">
        <w:t xml:space="preserve">a pair </w:t>
      </w:r>
      <w:r w:rsidR="00FA4D21" w:rsidRPr="00FA4D21">
        <w:t xml:space="preserve">that </w:t>
      </w:r>
      <w:r w:rsidR="007E0619">
        <w:t xml:space="preserve">was </w:t>
      </w:r>
      <w:r w:rsidR="00FA4D21" w:rsidRPr="00FA4D21">
        <w:t>not reserved for future use.</w:t>
      </w:r>
      <w:r w:rsidR="00FA4D21">
        <w:t xml:space="preserve"> </w:t>
      </w:r>
      <w:r>
        <w:t xml:space="preserve"> </w:t>
      </w:r>
    </w:p>
    <w:p w14:paraId="45D0F0BA" w14:textId="77777777" w:rsidR="00FF11D4" w:rsidRDefault="005A2641" w:rsidP="00F702CE">
      <w:pPr>
        <w:pStyle w:val="ParaNum"/>
      </w:pPr>
      <w:r>
        <w:t xml:space="preserve">When </w:t>
      </w:r>
      <w:r w:rsidR="00FA4D21">
        <w:t xml:space="preserve">LT-WR filed its PCN for the </w:t>
      </w:r>
      <w:r>
        <w:t xml:space="preserve">contested </w:t>
      </w:r>
      <w:r w:rsidR="00FA4D21">
        <w:t xml:space="preserve">frequency pair it </w:t>
      </w:r>
      <w:r>
        <w:t xml:space="preserve">failed – as the rules require </w:t>
      </w:r>
      <w:r w:rsidR="007C0D3D">
        <w:t>–</w:t>
      </w:r>
      <w:r>
        <w:t xml:space="preserve"> to </w:t>
      </w:r>
      <w:r w:rsidR="007E0619">
        <w:t xml:space="preserve">provide any information </w:t>
      </w:r>
      <w:r>
        <w:t xml:space="preserve">about </w:t>
      </w:r>
      <w:r w:rsidR="007E0619">
        <w:t xml:space="preserve">whether </w:t>
      </w:r>
      <w:r w:rsidR="00FA4D21">
        <w:t>it could coordinate a separate channel that was not reserved for future use</w:t>
      </w:r>
      <w:r>
        <w:t xml:space="preserve">.  Instead, </w:t>
      </w:r>
      <w:r w:rsidR="009C5473">
        <w:t xml:space="preserve">it merely claimed that it had a superior need for the channel pair.  </w:t>
      </w:r>
      <w:r w:rsidR="00FA4D21">
        <w:t xml:space="preserve">LT-WR’s </w:t>
      </w:r>
      <w:r w:rsidR="009C5473">
        <w:t xml:space="preserve">subsequently informing </w:t>
      </w:r>
      <w:r w:rsidR="00FA4D21">
        <w:t xml:space="preserve">San Bernardino </w:t>
      </w:r>
      <w:r w:rsidR="009C5473">
        <w:t xml:space="preserve">that </w:t>
      </w:r>
      <w:r w:rsidR="00FA4D21">
        <w:t xml:space="preserve">a channel pair </w:t>
      </w:r>
      <w:r>
        <w:t xml:space="preserve">perhaps </w:t>
      </w:r>
      <w:r w:rsidR="009C5473">
        <w:t xml:space="preserve">existed </w:t>
      </w:r>
      <w:r w:rsidR="00FA4D21">
        <w:t xml:space="preserve">that San Bernardino </w:t>
      </w:r>
      <w:r w:rsidR="00E533CC">
        <w:t>could use does not satisfy th</w:t>
      </w:r>
      <w:r>
        <w:t xml:space="preserve">e provisions of </w:t>
      </w:r>
      <w:r w:rsidRPr="005A2641">
        <w:t>Section 101.103(d)(2)(xii)</w:t>
      </w:r>
      <w:r>
        <w:t xml:space="preserve"> of the rules</w:t>
      </w:r>
      <w:r w:rsidR="00CB40FC">
        <w:t xml:space="preserve">.  </w:t>
      </w:r>
    </w:p>
    <w:p w14:paraId="7BAFDF4A" w14:textId="77777777" w:rsidR="007E0619" w:rsidRDefault="007E0619" w:rsidP="0022176B">
      <w:pPr>
        <w:pStyle w:val="ParaNum"/>
      </w:pPr>
      <w:r>
        <w:t xml:space="preserve">Since LT-WR </w:t>
      </w:r>
      <w:r w:rsidR="005A2641">
        <w:t xml:space="preserve">did not comply with either </w:t>
      </w:r>
      <w:r>
        <w:t>provision of Section 101.103(d)(2)(xii), it could not require San Bernardino to relinquish its growth channels</w:t>
      </w:r>
      <w:r w:rsidR="005A2641">
        <w:t xml:space="preserve"> merely by filing an application</w:t>
      </w:r>
      <w:r>
        <w:t>.</w:t>
      </w:r>
      <w:r>
        <w:rPr>
          <w:rStyle w:val="FootnoteReference"/>
        </w:rPr>
        <w:footnoteReference w:id="52"/>
      </w:r>
      <w:r>
        <w:t xml:space="preserve">  Therefore, </w:t>
      </w:r>
      <w:r w:rsidR="005A2641">
        <w:t xml:space="preserve">San Bernardino’s and LT-WR’s </w:t>
      </w:r>
      <w:r>
        <w:t xml:space="preserve">applications remained mutually exclusive, and </w:t>
      </w:r>
      <w:r w:rsidR="0022176B">
        <w:t>Section 101.103(d)(2)(v</w:t>
      </w:r>
      <w:r>
        <w:t>ii)</w:t>
      </w:r>
      <w:r w:rsidR="0022176B">
        <w:t xml:space="preserve"> </w:t>
      </w:r>
      <w:r>
        <w:t xml:space="preserve">required </w:t>
      </w:r>
      <w:r w:rsidR="0022176B">
        <w:t>the parties to resolve a</w:t>
      </w:r>
      <w:r w:rsidR="0022176B" w:rsidRPr="0022176B">
        <w:t>ll technical problems that c</w:t>
      </w:r>
      <w:r w:rsidR="0022176B">
        <w:t>a</w:t>
      </w:r>
      <w:r w:rsidR="0022176B" w:rsidRPr="0022176B">
        <w:t>me to light during coordination</w:t>
      </w:r>
      <w:r w:rsidR="00181FA6">
        <w:t>.</w:t>
      </w:r>
      <w:r w:rsidR="00181FA6" w:rsidRPr="00181FA6">
        <w:rPr>
          <w:rStyle w:val="FootnoteReference"/>
        </w:rPr>
        <w:t xml:space="preserve"> </w:t>
      </w:r>
      <w:r w:rsidR="00181FA6">
        <w:rPr>
          <w:rStyle w:val="FootnoteReference"/>
        </w:rPr>
        <w:footnoteReference w:id="53"/>
      </w:r>
      <w:r w:rsidR="00181FA6">
        <w:t xml:space="preserve">  Failing that, </w:t>
      </w:r>
      <w:r w:rsidR="0022176B">
        <w:t xml:space="preserve">LT-WR needed to include a </w:t>
      </w:r>
      <w:r w:rsidR="0022176B" w:rsidRPr="0022176B">
        <w:t xml:space="preserve">statement </w:t>
      </w:r>
      <w:r w:rsidR="0022176B">
        <w:t xml:space="preserve">with its </w:t>
      </w:r>
      <w:r w:rsidR="0022176B" w:rsidRPr="0022176B">
        <w:t xml:space="preserve">application to the effect that </w:t>
      </w:r>
      <w:r w:rsidR="0022176B">
        <w:t xml:space="preserve">it was </w:t>
      </w:r>
      <w:r w:rsidR="0022176B" w:rsidRPr="0022176B">
        <w:t>unable or unwilling to resolve the conflict and briefly the reason therefor</w:t>
      </w:r>
      <w:r w:rsidR="0022176B">
        <w:t>.</w:t>
      </w:r>
      <w:r w:rsidR="0022176B">
        <w:rPr>
          <w:rStyle w:val="FootnoteReference"/>
        </w:rPr>
        <w:footnoteReference w:id="54"/>
      </w:r>
      <w:r w:rsidR="00221446">
        <w:t xml:space="preserve">  It did not do so.</w:t>
      </w:r>
    </w:p>
    <w:p w14:paraId="25162447" w14:textId="77777777" w:rsidR="00221446" w:rsidRDefault="00221446" w:rsidP="007C0D3D">
      <w:pPr>
        <w:pStyle w:val="Heading1"/>
      </w:pPr>
      <w:r>
        <w:t>decision</w:t>
      </w:r>
    </w:p>
    <w:p w14:paraId="5D7A7E26" w14:textId="77777777" w:rsidR="00CC740A" w:rsidRDefault="00221446" w:rsidP="0022176B">
      <w:pPr>
        <w:pStyle w:val="ParaNum"/>
      </w:pPr>
      <w:r>
        <w:t xml:space="preserve">Because </w:t>
      </w:r>
      <w:r w:rsidR="00CC740A">
        <w:t>LT-WR did not satisfy the provisions of Section 101.103(d)(2)(vii) at the time it filed its application, its application was</w:t>
      </w:r>
      <w:r>
        <w:t xml:space="preserve"> unacceptable </w:t>
      </w:r>
      <w:r w:rsidRPr="007C0D3D">
        <w:rPr>
          <w:i/>
        </w:rPr>
        <w:t>ab initio</w:t>
      </w:r>
      <w:r>
        <w:t xml:space="preserve"> because </w:t>
      </w:r>
      <w:r w:rsidR="002C04FE">
        <w:t xml:space="preserve">it was </w:t>
      </w:r>
      <w:r w:rsidR="00CC740A">
        <w:t>not properly coordinated at the time it was filed.  Therefore the Bureau did not err when it granted San Bernardino’s later filed, properly coordinated, application for the channel pair.</w:t>
      </w:r>
    </w:p>
    <w:p w14:paraId="3F466726" w14:textId="77777777" w:rsidR="00221446" w:rsidRDefault="00221446" w:rsidP="007C0D3D">
      <w:pPr>
        <w:pStyle w:val="Heading1"/>
      </w:pPr>
      <w:r>
        <w:t>ordering clauses</w:t>
      </w:r>
    </w:p>
    <w:p w14:paraId="0AEFF380" w14:textId="77777777" w:rsidR="00F24E78" w:rsidRDefault="00CC740A" w:rsidP="00F24E78">
      <w:pPr>
        <w:pStyle w:val="ParaNum"/>
      </w:pPr>
      <w:r>
        <w:t xml:space="preserve">Accordingly, IT IS ORDERED that pursuant to Sections 4(i), 309, and 405 of the Communications Act of 1934, as amended, 47 U.S.C. §§ 154(i), 309, and 405, and Sections 1.106 and 1.939 of the Commission's rules, 47 C.F.R. §§ 1.106, 1.939, the Petition for Reconsideration filed by LT-WR, LLC on February 6, 2014 IS DENIED.  </w:t>
      </w:r>
    </w:p>
    <w:p w14:paraId="325D2F0C" w14:textId="77777777" w:rsidR="00F24E78" w:rsidRDefault="00F24E78" w:rsidP="00F24E78">
      <w:pPr>
        <w:pStyle w:val="ParaNum"/>
      </w:pPr>
      <w:r w:rsidRPr="00F24E78">
        <w:t>22.</w:t>
      </w:r>
      <w:r w:rsidRPr="00F24E78">
        <w:tab/>
        <w:t xml:space="preserve">IT IS FURTHER ORDERED that pursuant to Sections 4(i) and 309 of the Communications Act of 1934, as amended, 47 U.S.C. §§ 154(i), 309, and Sections 1.41 and 1.939 of the Commission's rules, 47 C.F.R. §§ 1.41, 1.939, that the </w:t>
      </w:r>
      <w:r>
        <w:t xml:space="preserve">Informal Objection </w:t>
      </w:r>
      <w:r w:rsidRPr="00F24E78">
        <w:t xml:space="preserve">filed by </w:t>
      </w:r>
      <w:r>
        <w:t>the County of San Bernardino, California</w:t>
      </w:r>
      <w:r w:rsidRPr="00F24E78">
        <w:t xml:space="preserve"> on </w:t>
      </w:r>
      <w:r>
        <w:t>February 1,</w:t>
      </w:r>
      <w:r w:rsidRPr="00F24E78">
        <w:t xml:space="preserve"> 201</w:t>
      </w:r>
      <w:r>
        <w:t xml:space="preserve">6 </w:t>
      </w:r>
      <w:r w:rsidRPr="00F24E78">
        <w:t>IS GRANTED.</w:t>
      </w:r>
    </w:p>
    <w:p w14:paraId="3BE2A604" w14:textId="77777777" w:rsidR="00CC740A" w:rsidRDefault="00CC740A" w:rsidP="00F24E78">
      <w:pPr>
        <w:pStyle w:val="ParaNum"/>
      </w:pPr>
      <w:r>
        <w:t>IT IS FURTHER ORDERED that, pursuant to Sections 4(i) and 309</w:t>
      </w:r>
      <w:r w:rsidRPr="00F24E78">
        <w:rPr>
          <w:b/>
        </w:rPr>
        <w:t xml:space="preserve"> </w:t>
      </w:r>
      <w:r>
        <w:t xml:space="preserve">of the Communications Act of 1934, as amended, 47 U.S.C. §§ 154(i), 309, and Section 1.934 of the Commission’s Rules, 47 C.F.R. § 1.946, that the licensing staff of the </w:t>
      </w:r>
      <w:r w:rsidR="00F531FE">
        <w:t>Wireless Telecommunications</w:t>
      </w:r>
      <w:r w:rsidR="00F24E78">
        <w:t xml:space="preserve"> Bureau</w:t>
      </w:r>
      <w:r>
        <w:t xml:space="preserve"> SHALL</w:t>
      </w:r>
      <w:r w:rsidR="00F24E78">
        <w:t xml:space="preserve"> </w:t>
      </w:r>
      <w:r>
        <w:t xml:space="preserve">DISMISS the applications filed by </w:t>
      </w:r>
      <w:r w:rsidR="00F24E78">
        <w:t>LT-WR</w:t>
      </w:r>
      <w:r>
        <w:t xml:space="preserve">, LLC on </w:t>
      </w:r>
      <w:r w:rsidR="00F24E78">
        <w:t>December 9 and December 10, 2015</w:t>
      </w:r>
      <w:r>
        <w:t xml:space="preserve"> (File Nos</w:t>
      </w:r>
      <w:r w:rsidR="00F24E78">
        <w:t>.</w:t>
      </w:r>
      <w:r w:rsidR="00F24E78" w:rsidRPr="00F24E78">
        <w:t xml:space="preserve"> 0007058024 &amp; 0007058135</w:t>
      </w:r>
      <w:r>
        <w:t>).</w:t>
      </w:r>
    </w:p>
    <w:p w14:paraId="0107CC50" w14:textId="77777777" w:rsidR="00CC740A" w:rsidRDefault="00CC740A" w:rsidP="00CC740A">
      <w:pPr>
        <w:pStyle w:val="ParaNum"/>
      </w:pPr>
      <w:r>
        <w:t>These actions are taken pursuant to the authority delegated by Sections 0.131</w:t>
      </w:r>
      <w:r w:rsidR="00F531FE">
        <w:t xml:space="preserve">, 0.191, </w:t>
      </w:r>
      <w:r>
        <w:t xml:space="preserve">0.331 </w:t>
      </w:r>
      <w:r w:rsidR="00F531FE">
        <w:t xml:space="preserve">and 0.392 </w:t>
      </w:r>
      <w:r>
        <w:t xml:space="preserve">of the Commission's Rules, 47 C.F.R. §§ 0.131, </w:t>
      </w:r>
      <w:r w:rsidR="00F531FE">
        <w:t xml:space="preserve">0.191, </w:t>
      </w:r>
      <w:r>
        <w:t>0.331</w:t>
      </w:r>
      <w:r w:rsidR="00F531FE">
        <w:t>, 0.392</w:t>
      </w:r>
      <w:r>
        <w:t>.</w:t>
      </w:r>
    </w:p>
    <w:p w14:paraId="2335B8E9" w14:textId="77777777" w:rsidR="00F531FE" w:rsidRDefault="00F531FE" w:rsidP="00F531FE">
      <w:pPr>
        <w:pStyle w:val="ParaNum"/>
        <w:numPr>
          <w:ilvl w:val="0"/>
          <w:numId w:val="0"/>
        </w:numPr>
      </w:pPr>
    </w:p>
    <w:p w14:paraId="5F037DB0" w14:textId="77777777" w:rsidR="00F24E78" w:rsidRDefault="00F24E78" w:rsidP="00F24E78">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FEDERAL COMMUNICATIONS COMMISSION</w:t>
      </w:r>
    </w:p>
    <w:p w14:paraId="23F9B360" w14:textId="77777777" w:rsidR="00F24E78" w:rsidRDefault="00F24E78" w:rsidP="00F24E78">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14:paraId="3D63315B" w14:textId="77777777" w:rsidR="00F24E78" w:rsidRDefault="00F24E78" w:rsidP="00F24E78">
      <w:pPr>
        <w:tabs>
          <w:tab w:val="left" w:pos="0"/>
        </w:tabs>
        <w:suppressAutoHyphens/>
        <w:spacing w:line="240" w:lineRule="atLeast"/>
        <w:rPr>
          <w:szCs w:val="22"/>
        </w:rPr>
      </w:pPr>
    </w:p>
    <w:p w14:paraId="216954D7" w14:textId="77777777" w:rsidR="00F24E78" w:rsidRDefault="00F24E78" w:rsidP="00F24E78">
      <w:pPr>
        <w:tabs>
          <w:tab w:val="left" w:pos="0"/>
        </w:tabs>
        <w:suppressAutoHyphens/>
        <w:spacing w:line="240" w:lineRule="atLeast"/>
        <w:rPr>
          <w:szCs w:val="22"/>
        </w:rPr>
      </w:pPr>
    </w:p>
    <w:p w14:paraId="60E87B58" w14:textId="77777777" w:rsidR="00F24E78" w:rsidRDefault="00F24E78" w:rsidP="00F24E78">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Michael J. Wilhelm</w:t>
      </w:r>
    </w:p>
    <w:p w14:paraId="51D0C47F" w14:textId="77777777" w:rsidR="00F24E78" w:rsidRDefault="00F24E78" w:rsidP="00F24E78">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Deputy Chief, Policy and Licensing Division </w:t>
      </w:r>
    </w:p>
    <w:p w14:paraId="510F1AB2" w14:textId="77777777" w:rsidR="00F24E78" w:rsidRDefault="00F24E78" w:rsidP="00F24E78">
      <w:pPr>
        <w:pStyle w:val="ParaNum"/>
        <w:numPr>
          <w:ilvl w:val="0"/>
          <w:numId w:val="0"/>
        </w:numPr>
        <w:ind w:left="2880" w:firstLine="720"/>
      </w:pPr>
      <w:r>
        <w:t>Public Safety and Homeland Security Bureau</w:t>
      </w:r>
    </w:p>
    <w:p w14:paraId="4B800158" w14:textId="77777777" w:rsidR="00F531FE" w:rsidRDefault="00F531FE" w:rsidP="00F24E78">
      <w:pPr>
        <w:pStyle w:val="ParaNum"/>
        <w:numPr>
          <w:ilvl w:val="0"/>
          <w:numId w:val="0"/>
        </w:numPr>
        <w:ind w:left="2880" w:firstLine="720"/>
      </w:pPr>
    </w:p>
    <w:p w14:paraId="08C06F47" w14:textId="77777777" w:rsidR="00F531FE" w:rsidRDefault="00F531FE" w:rsidP="00F531FE">
      <w:pPr>
        <w:tabs>
          <w:tab w:val="left" w:pos="0"/>
        </w:tabs>
        <w:suppressAutoHyphens/>
        <w:spacing w:line="240" w:lineRule="atLeast"/>
        <w:rPr>
          <w:szCs w:val="22"/>
        </w:rPr>
      </w:pPr>
    </w:p>
    <w:p w14:paraId="5979B642" w14:textId="77777777" w:rsidR="00F531FE" w:rsidRDefault="00F531FE" w:rsidP="00F531FE">
      <w:pPr>
        <w:tabs>
          <w:tab w:val="left" w:pos="0"/>
        </w:tabs>
        <w:suppressAutoHyphens/>
        <w:spacing w:line="240" w:lineRule="atLeast"/>
        <w:rPr>
          <w:szCs w:val="22"/>
        </w:rPr>
      </w:pPr>
    </w:p>
    <w:p w14:paraId="2D51D60C" w14:textId="77777777" w:rsidR="00F531FE" w:rsidRDefault="00F531FE" w:rsidP="00F531FE">
      <w:pPr>
        <w:tabs>
          <w:tab w:val="left" w:pos="0"/>
        </w:tabs>
        <w:suppressAutoHyphens/>
        <w:spacing w:line="240" w:lineRule="atLeast"/>
        <w:rPr>
          <w:szCs w:val="22"/>
        </w:rPr>
      </w:pPr>
    </w:p>
    <w:p w14:paraId="378D5C8E" w14:textId="77777777" w:rsidR="00F531FE" w:rsidRDefault="00F531FE" w:rsidP="00F531FE">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Blaise A. Scinto</w:t>
      </w:r>
    </w:p>
    <w:p w14:paraId="45249764" w14:textId="77777777" w:rsidR="00F531FE" w:rsidRDefault="00F531FE" w:rsidP="00F531FE">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Chief, Broadband Division </w:t>
      </w:r>
    </w:p>
    <w:p w14:paraId="27D0AF12" w14:textId="77777777" w:rsidR="00F531FE" w:rsidRDefault="00F531FE" w:rsidP="00F531FE">
      <w:pPr>
        <w:pStyle w:val="ParaNum"/>
        <w:numPr>
          <w:ilvl w:val="0"/>
          <w:numId w:val="0"/>
        </w:numPr>
        <w:ind w:left="2880" w:firstLine="720"/>
      </w:pPr>
      <w:r>
        <w:t>Wireless Telecommunications Bureau</w:t>
      </w:r>
    </w:p>
    <w:p w14:paraId="0BD913EB" w14:textId="77777777" w:rsidR="00F531FE" w:rsidRDefault="00F531FE" w:rsidP="00F24E78">
      <w:pPr>
        <w:pStyle w:val="ParaNum"/>
        <w:numPr>
          <w:ilvl w:val="0"/>
          <w:numId w:val="0"/>
        </w:numPr>
        <w:ind w:left="2880" w:firstLine="720"/>
      </w:pPr>
    </w:p>
    <w:sectPr w:rsidR="00F531F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1459" w14:textId="77777777" w:rsidR="0051461C" w:rsidRDefault="0051461C">
      <w:pPr>
        <w:spacing w:line="20" w:lineRule="exact"/>
      </w:pPr>
    </w:p>
  </w:endnote>
  <w:endnote w:type="continuationSeparator" w:id="0">
    <w:p w14:paraId="4E02A794" w14:textId="77777777" w:rsidR="0051461C" w:rsidRDefault="0051461C">
      <w:r>
        <w:t xml:space="preserve"> </w:t>
      </w:r>
    </w:p>
  </w:endnote>
  <w:endnote w:type="continuationNotice" w:id="1">
    <w:p w14:paraId="77EE99FD" w14:textId="77777777" w:rsidR="0051461C" w:rsidRDefault="005146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E2F4" w14:textId="77777777" w:rsidR="006F7393" w:rsidRDefault="006F7393" w:rsidP="0055614C">
    <w:pPr>
      <w:pStyle w:val="Footer"/>
      <w:framePr w:wrap="around" w:vAnchor="text" w:hAnchor="margin" w:xAlign="center" w:y="1"/>
    </w:pPr>
    <w:r>
      <w:fldChar w:fldCharType="begin"/>
    </w:r>
    <w:r>
      <w:instrText xml:space="preserve">PAGE  </w:instrText>
    </w:r>
    <w:r>
      <w:fldChar w:fldCharType="end"/>
    </w:r>
  </w:p>
  <w:p w14:paraId="055E9531" w14:textId="77777777"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9E11" w14:textId="77777777" w:rsidR="006F7393" w:rsidRDefault="006F7393" w:rsidP="0055614C">
    <w:pPr>
      <w:pStyle w:val="Footer"/>
      <w:framePr w:wrap="around" w:vAnchor="text" w:hAnchor="margin" w:xAlign="center" w:y="1"/>
    </w:pPr>
    <w:r>
      <w:fldChar w:fldCharType="begin"/>
    </w:r>
    <w:r>
      <w:instrText xml:space="preserve">PAGE  </w:instrText>
    </w:r>
    <w:r>
      <w:fldChar w:fldCharType="separate"/>
    </w:r>
    <w:r w:rsidR="0096110C">
      <w:rPr>
        <w:noProof/>
      </w:rPr>
      <w:t>2</w:t>
    </w:r>
    <w:r>
      <w:fldChar w:fldCharType="end"/>
    </w:r>
  </w:p>
  <w:p w14:paraId="1D60C739" w14:textId="77777777" w:rsidR="006F7393" w:rsidRDefault="006F7393">
    <w:pPr>
      <w:spacing w:before="140" w:line="100" w:lineRule="exact"/>
      <w:rPr>
        <w:sz w:val="10"/>
      </w:rPr>
    </w:pPr>
  </w:p>
  <w:p w14:paraId="24C78F67" w14:textId="77777777" w:rsidR="006F7393" w:rsidRDefault="006F7393">
    <w:pPr>
      <w:suppressAutoHyphens/>
      <w:spacing w:line="227" w:lineRule="auto"/>
    </w:pPr>
  </w:p>
  <w:p w14:paraId="16D53704" w14:textId="77777777"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2AC1" w14:textId="77777777"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6388" w14:textId="77777777" w:rsidR="0051461C" w:rsidRDefault="0051461C">
      <w:r>
        <w:separator/>
      </w:r>
    </w:p>
  </w:footnote>
  <w:footnote w:type="continuationSeparator" w:id="0">
    <w:p w14:paraId="1A6ADB91" w14:textId="77777777" w:rsidR="0051461C" w:rsidRDefault="0051461C">
      <w:pPr>
        <w:rPr>
          <w:sz w:val="20"/>
        </w:rPr>
      </w:pPr>
      <w:r>
        <w:rPr>
          <w:sz w:val="20"/>
        </w:rPr>
        <w:t xml:space="preserve">(Continued from previous page)  </w:t>
      </w:r>
      <w:r>
        <w:rPr>
          <w:sz w:val="20"/>
        </w:rPr>
        <w:separator/>
      </w:r>
    </w:p>
  </w:footnote>
  <w:footnote w:type="continuationNotice" w:id="1">
    <w:p w14:paraId="196F337D" w14:textId="77777777" w:rsidR="0051461C" w:rsidRDefault="0051461C">
      <w:pPr>
        <w:rPr>
          <w:sz w:val="20"/>
        </w:rPr>
      </w:pPr>
      <w:r>
        <w:rPr>
          <w:sz w:val="20"/>
        </w:rPr>
        <w:t>(continued….)</w:t>
      </w:r>
    </w:p>
  </w:footnote>
  <w:footnote w:id="2">
    <w:p w14:paraId="33BD3434" w14:textId="77777777" w:rsidR="002F12BD" w:rsidRDefault="002F12BD" w:rsidP="002F12BD">
      <w:pPr>
        <w:pStyle w:val="FootnoteText"/>
      </w:pPr>
      <w:r>
        <w:rPr>
          <w:rStyle w:val="FootnoteReference"/>
        </w:rPr>
        <w:footnoteRef/>
      </w:r>
      <w:r>
        <w:t xml:space="preserve"> Petition for Reconsideration, File Nos. 0007055186, 0007055189 (filed Feb. 8, 2016)(Petition).</w:t>
      </w:r>
    </w:p>
  </w:footnote>
  <w:footnote w:id="3">
    <w:p w14:paraId="7C888415" w14:textId="77777777" w:rsidR="00BB4022" w:rsidRDefault="00BB4022">
      <w:pPr>
        <w:pStyle w:val="FootnoteText"/>
      </w:pPr>
      <w:r>
        <w:rPr>
          <w:rStyle w:val="FootnoteReference"/>
        </w:rPr>
        <w:footnoteRef/>
      </w:r>
      <w:r>
        <w:t xml:space="preserve"> Opposition to Petition for Reconsideration, File Nos. 0007055186, 0007055189 (filed Feb. 18, 2016</w:t>
      </w:r>
      <w:r w:rsidR="00AF6BB1">
        <w:t>)(</w:t>
      </w:r>
      <w:r>
        <w:t>Opposition).</w:t>
      </w:r>
    </w:p>
  </w:footnote>
  <w:footnote w:id="4">
    <w:p w14:paraId="1C4007A0" w14:textId="77777777" w:rsidR="00BB4022" w:rsidRPr="00BB4022" w:rsidRDefault="00BB4022">
      <w:pPr>
        <w:pStyle w:val="FootnoteText"/>
        <w:rPr>
          <w:i/>
        </w:rPr>
      </w:pPr>
      <w:r>
        <w:rPr>
          <w:rStyle w:val="FootnoteReference"/>
        </w:rPr>
        <w:footnoteRef/>
      </w:r>
      <w:r>
        <w:t xml:space="preserve"> </w:t>
      </w:r>
      <w:r>
        <w:rPr>
          <w:i/>
        </w:rPr>
        <w:t xml:space="preserve">Id. </w:t>
      </w:r>
      <w:r w:rsidRPr="00BB4022">
        <w:t>at 2.</w:t>
      </w:r>
    </w:p>
  </w:footnote>
  <w:footnote w:id="5">
    <w:p w14:paraId="5F71517A" w14:textId="77777777" w:rsidR="001E0995" w:rsidRPr="001E0995" w:rsidRDefault="001E0995">
      <w:pPr>
        <w:pStyle w:val="FootnoteText"/>
        <w:rPr>
          <w:i/>
        </w:rPr>
      </w:pPr>
      <w:r>
        <w:rPr>
          <w:rStyle w:val="FootnoteReference"/>
        </w:rPr>
        <w:footnoteRef/>
      </w:r>
      <w:r>
        <w:t xml:space="preserve"> </w:t>
      </w:r>
      <w:r>
        <w:rPr>
          <w:i/>
        </w:rPr>
        <w:t>Id.</w:t>
      </w:r>
    </w:p>
  </w:footnote>
  <w:footnote w:id="6">
    <w:p w14:paraId="194F92AF" w14:textId="77777777" w:rsidR="00A45F42" w:rsidRPr="00A45F42" w:rsidRDefault="00A45F42">
      <w:pPr>
        <w:pStyle w:val="FootnoteText"/>
        <w:rPr>
          <w:i/>
        </w:rPr>
      </w:pPr>
      <w:r>
        <w:rPr>
          <w:rStyle w:val="FootnoteReference"/>
        </w:rPr>
        <w:footnoteRef/>
      </w:r>
      <w:r>
        <w:t xml:space="preserve"> </w:t>
      </w:r>
      <w:r>
        <w:rPr>
          <w:i/>
        </w:rPr>
        <w:t>Id.</w:t>
      </w:r>
    </w:p>
  </w:footnote>
  <w:footnote w:id="7">
    <w:p w14:paraId="1CBB037E" w14:textId="77777777" w:rsidR="00307529" w:rsidRDefault="00307529">
      <w:pPr>
        <w:pStyle w:val="FootnoteText"/>
      </w:pPr>
      <w:r>
        <w:rPr>
          <w:rStyle w:val="FootnoteReference"/>
        </w:rPr>
        <w:footnoteRef/>
      </w:r>
      <w:r>
        <w:t xml:space="preserve"> Petition at 3.</w:t>
      </w:r>
    </w:p>
  </w:footnote>
  <w:footnote w:id="8">
    <w:p w14:paraId="4D81A9ED" w14:textId="77777777" w:rsidR="007F0458" w:rsidRDefault="007F0458">
      <w:pPr>
        <w:pStyle w:val="FootnoteText"/>
      </w:pPr>
      <w:r>
        <w:rPr>
          <w:rStyle w:val="FootnoteReference"/>
        </w:rPr>
        <w:footnoteRef/>
      </w:r>
      <w:r>
        <w:t xml:space="preserve"> Letter from</w:t>
      </w:r>
      <w:r w:rsidRPr="007F0458">
        <w:t xml:space="preserve"> </w:t>
      </w:r>
      <w:r>
        <w:t>Mr. Francis Ndjoumbe, Engineer II</w:t>
      </w:r>
      <w:r w:rsidR="00CA305C">
        <w:t>,</w:t>
      </w:r>
      <w:r>
        <w:t xml:space="preserve"> Frequency Protection Services, Comsearch</w:t>
      </w:r>
      <w:r w:rsidR="00221446">
        <w:t>,</w:t>
      </w:r>
      <w:r>
        <w:t xml:space="preserve"> to Howard Epstein, President, Consolidated Spectrum Services, LLC (Nov. 24, 2015).</w:t>
      </w:r>
    </w:p>
  </w:footnote>
  <w:footnote w:id="9">
    <w:p w14:paraId="0260C8EF" w14:textId="77777777" w:rsidR="00307529" w:rsidRDefault="00307529">
      <w:pPr>
        <w:pStyle w:val="FootnoteText"/>
      </w:pPr>
      <w:r>
        <w:rPr>
          <w:rStyle w:val="FootnoteReference"/>
        </w:rPr>
        <w:footnoteRef/>
      </w:r>
      <w:r>
        <w:t xml:space="preserve"> Petition at 4</w:t>
      </w:r>
      <w:r w:rsidR="00EA2C96">
        <w:t xml:space="preserve"> </w:t>
      </w:r>
      <w:r w:rsidR="00EA2C96">
        <w:rPr>
          <w:i/>
        </w:rPr>
        <w:t xml:space="preserve">citing </w:t>
      </w:r>
      <w:r w:rsidR="00EA2C96">
        <w:t>Letter from Howard Epstein, President, Consolidated Spectrum Services to Mr. Francis Ndjoumbe, Frequency Protection Service, Comsearch (Nov. 25, 2015).</w:t>
      </w:r>
    </w:p>
  </w:footnote>
  <w:footnote w:id="10">
    <w:p w14:paraId="56093883" w14:textId="77777777" w:rsidR="007F0458" w:rsidRPr="007F0458" w:rsidRDefault="007F0458">
      <w:pPr>
        <w:pStyle w:val="FootnoteText"/>
      </w:pPr>
      <w:r>
        <w:rPr>
          <w:rStyle w:val="FootnoteReference"/>
        </w:rPr>
        <w:footnoteRef/>
      </w:r>
      <w:r>
        <w:t xml:space="preserve"> </w:t>
      </w:r>
      <w:r>
        <w:rPr>
          <w:i/>
        </w:rPr>
        <w:t xml:space="preserve">See </w:t>
      </w:r>
      <w:r>
        <w:t xml:space="preserve">Opposition at 2; </w:t>
      </w:r>
      <w:r>
        <w:rPr>
          <w:i/>
        </w:rPr>
        <w:t>see also</w:t>
      </w:r>
      <w:r>
        <w:t xml:space="preserve"> </w:t>
      </w:r>
      <w:r w:rsidR="00CA305C">
        <w:t>Letter from</w:t>
      </w:r>
      <w:r w:rsidR="00CA305C" w:rsidRPr="007F0458">
        <w:t xml:space="preserve"> </w:t>
      </w:r>
      <w:r w:rsidR="00CA305C">
        <w:t>Mr. David L. Wiggins, Frequency Analyst, Frequency Protection Services, Comsearch</w:t>
      </w:r>
      <w:r w:rsidR="00221446">
        <w:t>,</w:t>
      </w:r>
      <w:r w:rsidR="00CA305C">
        <w:t xml:space="preserve"> to Howard Epstein, President, Consolidated Spectrum Services, LLC (Dec. 8, 2015)</w:t>
      </w:r>
      <w:r w:rsidR="00221446">
        <w:t>.</w:t>
      </w:r>
    </w:p>
  </w:footnote>
  <w:footnote w:id="11">
    <w:p w14:paraId="3AC9E291" w14:textId="77777777" w:rsidR="00A45F42" w:rsidRPr="00A45F42" w:rsidRDefault="00A45F42">
      <w:pPr>
        <w:pStyle w:val="FootnoteText"/>
        <w:rPr>
          <w:i/>
        </w:rPr>
      </w:pPr>
      <w:r>
        <w:rPr>
          <w:rStyle w:val="FootnoteReference"/>
        </w:rPr>
        <w:footnoteRef/>
      </w:r>
      <w:r>
        <w:t xml:space="preserve"> </w:t>
      </w:r>
      <w:r>
        <w:rPr>
          <w:i/>
        </w:rPr>
        <w:t xml:space="preserve">See </w:t>
      </w:r>
      <w:r w:rsidRPr="00A45F42">
        <w:t>FCC F</w:t>
      </w:r>
      <w:r>
        <w:t>ile</w:t>
      </w:r>
      <w:r w:rsidRPr="00A45F42">
        <w:t xml:space="preserve"> Nos.</w:t>
      </w:r>
      <w:r>
        <w:t xml:space="preserve"> 0007058024 and 0007058135.</w:t>
      </w:r>
    </w:p>
  </w:footnote>
  <w:footnote w:id="12">
    <w:p w14:paraId="6E05B182" w14:textId="77777777" w:rsidR="00307529" w:rsidRPr="00307529" w:rsidRDefault="00307529">
      <w:pPr>
        <w:pStyle w:val="FootnoteText"/>
      </w:pPr>
      <w:r>
        <w:rPr>
          <w:rStyle w:val="FootnoteReference"/>
        </w:rPr>
        <w:footnoteRef/>
      </w:r>
      <w:r>
        <w:t xml:space="preserve"> Petition at 4 </w:t>
      </w:r>
      <w:r>
        <w:rPr>
          <w:i/>
        </w:rPr>
        <w:t xml:space="preserve">citing </w:t>
      </w:r>
      <w:r w:rsidR="009E5136" w:rsidRPr="009E5136">
        <w:rPr>
          <w:i/>
        </w:rPr>
        <w:t>Public Safety and Homeland Security Bureau Site-By-Site Action</w:t>
      </w:r>
      <w:r w:rsidR="009E5136">
        <w:t xml:space="preserve">, </w:t>
      </w:r>
      <w:r w:rsidR="009E5136" w:rsidRPr="009E5136">
        <w:t>Public Notice</w:t>
      </w:r>
      <w:r w:rsidR="009E5136">
        <w:t>,</w:t>
      </w:r>
      <w:r w:rsidR="009E5136" w:rsidRPr="009E5136">
        <w:t xml:space="preserve"> PSHSB</w:t>
      </w:r>
      <w:r w:rsidR="009E5136">
        <w:t xml:space="preserve"> (rel. Jan.6, 2016).</w:t>
      </w:r>
    </w:p>
  </w:footnote>
  <w:footnote w:id="13">
    <w:p w14:paraId="6B77CA73" w14:textId="77777777" w:rsidR="00CA305C" w:rsidRDefault="00CA305C">
      <w:pPr>
        <w:pStyle w:val="FootnoteText"/>
      </w:pPr>
      <w:r>
        <w:rPr>
          <w:rStyle w:val="FootnoteReference"/>
        </w:rPr>
        <w:footnoteRef/>
      </w:r>
      <w:r>
        <w:t xml:space="preserve"> </w:t>
      </w:r>
      <w:r w:rsidR="007D3EDA">
        <w:t>E-mail from Howard Epstein, President, Consolidated Spectrum Services, LLC to David Meyer, (Jan. 14</w:t>
      </w:r>
      <w:r w:rsidR="002277CF">
        <w:t>, 2016, 9:25 PM)</w:t>
      </w:r>
      <w:r w:rsidR="00221446">
        <w:t>.</w:t>
      </w:r>
    </w:p>
  </w:footnote>
  <w:footnote w:id="14">
    <w:p w14:paraId="6D9E924A" w14:textId="77777777" w:rsidR="007D3EDA" w:rsidRPr="002277CF" w:rsidRDefault="007D3EDA">
      <w:pPr>
        <w:pStyle w:val="FootnoteText"/>
        <w:rPr>
          <w:i/>
        </w:rPr>
      </w:pPr>
      <w:r>
        <w:rPr>
          <w:rStyle w:val="FootnoteReference"/>
        </w:rPr>
        <w:footnoteRef/>
      </w:r>
      <w:r>
        <w:t xml:space="preserve"> </w:t>
      </w:r>
      <w:r w:rsidR="002A6AE5">
        <w:t>Petition at 5.</w:t>
      </w:r>
    </w:p>
  </w:footnote>
  <w:footnote w:id="15">
    <w:p w14:paraId="775F0C1A" w14:textId="77777777" w:rsidR="00AB4591" w:rsidRDefault="00AB4591">
      <w:pPr>
        <w:pStyle w:val="FootnoteText"/>
      </w:pPr>
      <w:r>
        <w:rPr>
          <w:rStyle w:val="FootnoteReference"/>
        </w:rPr>
        <w:footnoteRef/>
      </w:r>
      <w:r>
        <w:t xml:space="preserve"> </w:t>
      </w:r>
      <w:r w:rsidRPr="00AB4591">
        <w:t xml:space="preserve">Letter from Mr. David </w:t>
      </w:r>
      <w:r>
        <w:t>E. Meyer</w:t>
      </w:r>
      <w:r w:rsidRPr="00AB4591">
        <w:t xml:space="preserve">, </w:t>
      </w:r>
      <w:r>
        <w:t xml:space="preserve">Senior Manager, </w:t>
      </w:r>
      <w:r w:rsidRPr="00AB4591">
        <w:t>Frequency Protection Services, Comsearch</w:t>
      </w:r>
      <w:r w:rsidR="00221446">
        <w:t>,</w:t>
      </w:r>
      <w:r w:rsidRPr="00AB4591">
        <w:t xml:space="preserve"> to </w:t>
      </w:r>
      <w:r>
        <w:t>Office of the Secretary, FCC</w:t>
      </w:r>
      <w:r w:rsidRPr="00AB4591">
        <w:t xml:space="preserve"> (</w:t>
      </w:r>
      <w:r>
        <w:t>Jan</w:t>
      </w:r>
      <w:r w:rsidRPr="00AB4591">
        <w:t xml:space="preserve">. </w:t>
      </w:r>
      <w:r>
        <w:t>15</w:t>
      </w:r>
      <w:r w:rsidRPr="00AB4591">
        <w:t>, 201</w:t>
      </w:r>
      <w:r>
        <w:t>6)</w:t>
      </w:r>
      <w:r w:rsidR="00221446">
        <w:t>.</w:t>
      </w:r>
    </w:p>
  </w:footnote>
  <w:footnote w:id="16">
    <w:p w14:paraId="14603EF4" w14:textId="77777777" w:rsidR="009C5473" w:rsidRDefault="009C5473" w:rsidP="009C5473">
      <w:pPr>
        <w:pStyle w:val="FootnoteText"/>
      </w:pPr>
      <w:r>
        <w:rPr>
          <w:rStyle w:val="FootnoteReference"/>
        </w:rPr>
        <w:footnoteRef/>
      </w:r>
      <w:r>
        <w:t xml:space="preserve"> </w:t>
      </w:r>
      <w:r w:rsidRPr="00AB4591">
        <w:t xml:space="preserve">Letter from </w:t>
      </w:r>
      <w:r>
        <w:t>Alan S. Tilles and Georgina L.O. Feigen, counsel for San Bernardino</w:t>
      </w:r>
      <w:r w:rsidR="00221446">
        <w:t>,</w:t>
      </w:r>
      <w:r>
        <w:t xml:space="preserve"> </w:t>
      </w:r>
      <w:r w:rsidRPr="00AB4591">
        <w:t xml:space="preserve">to </w:t>
      </w:r>
      <w:r>
        <w:t>Marlene H. Dortch, Secretary, FCC</w:t>
      </w:r>
      <w:r w:rsidRPr="00AB4591">
        <w:t xml:space="preserve"> (</w:t>
      </w:r>
      <w:r>
        <w:t>Feb</w:t>
      </w:r>
      <w:r w:rsidRPr="00AB4591">
        <w:t xml:space="preserve">. </w:t>
      </w:r>
      <w:r>
        <w:t>1</w:t>
      </w:r>
      <w:r w:rsidRPr="00AB4591">
        <w:t>, 201</w:t>
      </w:r>
      <w:r>
        <w:t>6)</w:t>
      </w:r>
      <w:r w:rsidR="00221446">
        <w:t>.</w:t>
      </w:r>
    </w:p>
  </w:footnote>
  <w:footnote w:id="17">
    <w:p w14:paraId="4B5BD3B5" w14:textId="77777777" w:rsidR="00AB4591" w:rsidRPr="00AB4591" w:rsidRDefault="00AB4591">
      <w:pPr>
        <w:pStyle w:val="FootnoteText"/>
      </w:pPr>
      <w:r>
        <w:rPr>
          <w:rStyle w:val="FootnoteReference"/>
        </w:rPr>
        <w:footnoteRef/>
      </w:r>
      <w:r>
        <w:t xml:space="preserve"> </w:t>
      </w:r>
      <w:r>
        <w:rPr>
          <w:i/>
        </w:rPr>
        <w:t xml:space="preserve">See generally </w:t>
      </w:r>
      <w:r>
        <w:t>Petition.</w:t>
      </w:r>
    </w:p>
  </w:footnote>
  <w:footnote w:id="18">
    <w:p w14:paraId="1CD5A205" w14:textId="77777777" w:rsidR="00AB4591" w:rsidRPr="00AB4591" w:rsidRDefault="00AB4591">
      <w:pPr>
        <w:pStyle w:val="FootnoteText"/>
      </w:pPr>
      <w:r>
        <w:rPr>
          <w:rStyle w:val="FootnoteReference"/>
        </w:rPr>
        <w:footnoteRef/>
      </w:r>
      <w:r>
        <w:t xml:space="preserve"> </w:t>
      </w:r>
      <w:r>
        <w:rPr>
          <w:i/>
        </w:rPr>
        <w:t xml:space="preserve">See generally </w:t>
      </w:r>
      <w:r>
        <w:t>Opposition</w:t>
      </w:r>
      <w:r w:rsidR="00810B83">
        <w:t>.</w:t>
      </w:r>
    </w:p>
  </w:footnote>
  <w:footnote w:id="19">
    <w:p w14:paraId="4AB5566F" w14:textId="77777777" w:rsidR="00AB4591" w:rsidRDefault="00AB4591">
      <w:pPr>
        <w:pStyle w:val="FootnoteText"/>
      </w:pPr>
      <w:r>
        <w:rPr>
          <w:rStyle w:val="FootnoteReference"/>
        </w:rPr>
        <w:footnoteRef/>
      </w:r>
      <w:r>
        <w:t xml:space="preserve"> </w:t>
      </w:r>
      <w:r w:rsidR="002E0B9B">
        <w:t>Reply to Opposition to Petition for Reconsideration, File Nos. 0007055186, 0007055189</w:t>
      </w:r>
      <w:r w:rsidR="00984D8A">
        <w:t xml:space="preserve"> </w:t>
      </w:r>
      <w:r w:rsidR="002E0B9B">
        <w:t>(filed Mar. 1, 2016)(Reply).</w:t>
      </w:r>
    </w:p>
  </w:footnote>
  <w:footnote w:id="20">
    <w:p w14:paraId="29C1B824" w14:textId="77777777" w:rsidR="004D3F91" w:rsidRDefault="004D3F91">
      <w:pPr>
        <w:pStyle w:val="FootnoteText"/>
      </w:pPr>
      <w:r>
        <w:rPr>
          <w:rStyle w:val="FootnoteReference"/>
        </w:rPr>
        <w:footnoteRef/>
      </w:r>
      <w:r>
        <w:t xml:space="preserve"> </w:t>
      </w:r>
      <w:r w:rsidR="00AB4591">
        <w:t>Petition at 5.</w:t>
      </w:r>
    </w:p>
  </w:footnote>
  <w:footnote w:id="21">
    <w:p w14:paraId="07C2126D" w14:textId="77777777" w:rsidR="005405E5" w:rsidRPr="005405E5" w:rsidRDefault="005405E5">
      <w:pPr>
        <w:pStyle w:val="FootnoteText"/>
      </w:pPr>
      <w:r>
        <w:rPr>
          <w:rStyle w:val="FootnoteReference"/>
        </w:rPr>
        <w:footnoteRef/>
      </w:r>
      <w:r>
        <w:t xml:space="preserve"> </w:t>
      </w:r>
      <w:r>
        <w:rPr>
          <w:i/>
        </w:rPr>
        <w:t>Id.</w:t>
      </w:r>
    </w:p>
  </w:footnote>
  <w:footnote w:id="22">
    <w:p w14:paraId="3B498ECE" w14:textId="77777777" w:rsidR="005405E5" w:rsidRPr="00D512B9" w:rsidRDefault="005405E5">
      <w:pPr>
        <w:pStyle w:val="FootnoteText"/>
      </w:pPr>
      <w:r>
        <w:rPr>
          <w:rStyle w:val="FootnoteReference"/>
        </w:rPr>
        <w:footnoteRef/>
      </w:r>
      <w:r>
        <w:t xml:space="preserve"> </w:t>
      </w:r>
      <w:r w:rsidR="00D512B9">
        <w:rPr>
          <w:i/>
        </w:rPr>
        <w:t xml:space="preserve">Geodesic Networks, LLC, </w:t>
      </w:r>
      <w:r w:rsidR="00D512B9">
        <w:t>Memorandum Opinion and Order and Order on Reconsideration, 29 FCC Rcd 10429 (WTB 2014</w:t>
      </w:r>
      <w:r w:rsidR="00AF6BB1">
        <w:t>) (</w:t>
      </w:r>
      <w:r w:rsidR="00D512B9">
        <w:rPr>
          <w:i/>
        </w:rPr>
        <w:t>Geodesic</w:t>
      </w:r>
      <w:r w:rsidR="00D512B9">
        <w:t>).</w:t>
      </w:r>
    </w:p>
  </w:footnote>
  <w:footnote w:id="23">
    <w:p w14:paraId="0FF838F3" w14:textId="77777777" w:rsidR="00B523EB" w:rsidRPr="00B523EB" w:rsidRDefault="00B523EB">
      <w:pPr>
        <w:pStyle w:val="FootnoteText"/>
        <w:rPr>
          <w:i/>
        </w:rPr>
      </w:pPr>
      <w:r>
        <w:rPr>
          <w:rStyle w:val="FootnoteReference"/>
        </w:rPr>
        <w:footnoteRef/>
      </w:r>
      <w:r>
        <w:t xml:space="preserve"> Petition at 6 </w:t>
      </w:r>
      <w:r>
        <w:rPr>
          <w:i/>
        </w:rPr>
        <w:t xml:space="preserve">citing Geodesic </w:t>
      </w:r>
      <w:r>
        <w:t>at 10433-34.</w:t>
      </w:r>
      <w:r>
        <w:rPr>
          <w:i/>
        </w:rPr>
        <w:t xml:space="preserve"> </w:t>
      </w:r>
    </w:p>
  </w:footnote>
  <w:footnote w:id="24">
    <w:p w14:paraId="40AD7A06" w14:textId="77777777" w:rsidR="00B523EB" w:rsidRDefault="00B523EB">
      <w:pPr>
        <w:pStyle w:val="FootnoteText"/>
      </w:pPr>
      <w:r>
        <w:rPr>
          <w:rStyle w:val="FootnoteReference"/>
        </w:rPr>
        <w:footnoteRef/>
      </w:r>
      <w:r>
        <w:t xml:space="preserve"> Petition at 6.</w:t>
      </w:r>
    </w:p>
  </w:footnote>
  <w:footnote w:id="25">
    <w:p w14:paraId="5A2F176A" w14:textId="77777777" w:rsidR="00A5564E" w:rsidRPr="00A5564E" w:rsidRDefault="00A5564E">
      <w:pPr>
        <w:pStyle w:val="FootnoteText"/>
      </w:pPr>
      <w:r>
        <w:rPr>
          <w:rStyle w:val="FootnoteReference"/>
        </w:rPr>
        <w:footnoteRef/>
      </w:r>
      <w:r>
        <w:t xml:space="preserve"> </w:t>
      </w:r>
      <w:r>
        <w:rPr>
          <w:i/>
        </w:rPr>
        <w:t>Id.</w:t>
      </w:r>
    </w:p>
  </w:footnote>
  <w:footnote w:id="26">
    <w:p w14:paraId="5BA2122D" w14:textId="77777777" w:rsidR="0098317F" w:rsidRPr="00132FF6" w:rsidRDefault="0098317F">
      <w:pPr>
        <w:pStyle w:val="FootnoteText"/>
      </w:pPr>
      <w:r>
        <w:rPr>
          <w:rStyle w:val="FootnoteReference"/>
        </w:rPr>
        <w:footnoteRef/>
      </w:r>
      <w:r>
        <w:t xml:space="preserve"> </w:t>
      </w:r>
      <w:r w:rsidR="00132FF6">
        <w:rPr>
          <w:i/>
        </w:rPr>
        <w:t xml:space="preserve">Id. </w:t>
      </w:r>
      <w:r w:rsidR="00132FF6" w:rsidRPr="00132FF6">
        <w:rPr>
          <w:i/>
        </w:rPr>
        <w:t>citing</w:t>
      </w:r>
      <w:r w:rsidR="00132FF6">
        <w:rPr>
          <w:i/>
        </w:rPr>
        <w:t xml:space="preserve"> Geodesic.</w:t>
      </w:r>
    </w:p>
  </w:footnote>
  <w:footnote w:id="27">
    <w:p w14:paraId="73A02BED" w14:textId="77777777" w:rsidR="002E0B9B" w:rsidRPr="002E0B9B" w:rsidRDefault="002E0B9B">
      <w:pPr>
        <w:pStyle w:val="FootnoteText"/>
        <w:rPr>
          <w:i/>
        </w:rPr>
      </w:pPr>
      <w:r>
        <w:rPr>
          <w:rStyle w:val="FootnoteReference"/>
        </w:rPr>
        <w:footnoteRef/>
      </w:r>
      <w:r>
        <w:t xml:space="preserve"> </w:t>
      </w:r>
      <w:r>
        <w:rPr>
          <w:i/>
        </w:rPr>
        <w:t xml:space="preserve">Id. </w:t>
      </w:r>
      <w:r w:rsidRPr="002E0B9B">
        <w:t>at 7-8.</w:t>
      </w:r>
    </w:p>
  </w:footnote>
  <w:footnote w:id="28">
    <w:p w14:paraId="62C20C4C" w14:textId="77777777" w:rsidR="001749AF" w:rsidRDefault="001749AF">
      <w:pPr>
        <w:pStyle w:val="FootnoteText"/>
      </w:pPr>
      <w:r>
        <w:rPr>
          <w:rStyle w:val="FootnoteReference"/>
        </w:rPr>
        <w:footnoteRef/>
      </w:r>
      <w:r>
        <w:t xml:space="preserve"> </w:t>
      </w:r>
      <w:r w:rsidR="00AB4591">
        <w:t xml:space="preserve">Opposition at 2, </w:t>
      </w:r>
      <w:r>
        <w:t>3.</w:t>
      </w:r>
    </w:p>
  </w:footnote>
  <w:footnote w:id="29">
    <w:p w14:paraId="495E9A59" w14:textId="77777777" w:rsidR="001749AF" w:rsidRPr="006D76ED" w:rsidRDefault="001749AF">
      <w:pPr>
        <w:pStyle w:val="FootnoteText"/>
      </w:pPr>
      <w:r>
        <w:rPr>
          <w:rStyle w:val="FootnoteReference"/>
        </w:rPr>
        <w:footnoteRef/>
      </w:r>
      <w:r>
        <w:t xml:space="preserve"> </w:t>
      </w:r>
      <w:r>
        <w:rPr>
          <w:i/>
        </w:rPr>
        <w:t xml:space="preserve">Id. </w:t>
      </w:r>
      <w:r w:rsidRPr="001749AF">
        <w:t>at 3</w:t>
      </w:r>
      <w:r>
        <w:t xml:space="preserve"> </w:t>
      </w:r>
      <w:r>
        <w:rPr>
          <w:i/>
        </w:rPr>
        <w:t xml:space="preserve">citing </w:t>
      </w:r>
      <w:r w:rsidR="006D76ED">
        <w:t>47 CFR §101.103(d)(2)(vii).</w:t>
      </w:r>
    </w:p>
  </w:footnote>
  <w:footnote w:id="30">
    <w:p w14:paraId="4D5420E6" w14:textId="77777777" w:rsidR="006D76ED" w:rsidRPr="006D76ED" w:rsidRDefault="006D76ED">
      <w:pPr>
        <w:pStyle w:val="FootnoteText"/>
      </w:pPr>
      <w:r>
        <w:rPr>
          <w:rStyle w:val="FootnoteReference"/>
        </w:rPr>
        <w:footnoteRef/>
      </w:r>
      <w:r>
        <w:t xml:space="preserve"> Opposition at 3 </w:t>
      </w:r>
      <w:r>
        <w:rPr>
          <w:i/>
        </w:rPr>
        <w:t xml:space="preserve">citing </w:t>
      </w:r>
      <w:r>
        <w:t>Letter from Howard Epstein, President, Consolidated Spectrum Services to Mr. Francis Ndjoumbe, Frequency Protection Service</w:t>
      </w:r>
      <w:r w:rsidR="00CE46F8">
        <w:t>, Comsearch (Nov. 25, 2015)</w:t>
      </w:r>
      <w:r>
        <w:t>.</w:t>
      </w:r>
    </w:p>
  </w:footnote>
  <w:footnote w:id="31">
    <w:p w14:paraId="2F7EE5DB" w14:textId="77777777" w:rsidR="00CE46F8" w:rsidRDefault="00CE46F8">
      <w:pPr>
        <w:pStyle w:val="FootnoteText"/>
      </w:pPr>
      <w:r>
        <w:rPr>
          <w:rStyle w:val="FootnoteReference"/>
        </w:rPr>
        <w:footnoteRef/>
      </w:r>
      <w:r>
        <w:t xml:space="preserve"> </w:t>
      </w:r>
      <w:r w:rsidR="00E31150">
        <w:t>Opposition at 3-4.</w:t>
      </w:r>
    </w:p>
  </w:footnote>
  <w:footnote w:id="32">
    <w:p w14:paraId="3244D548" w14:textId="77777777" w:rsidR="00527CEA" w:rsidRPr="00527CEA" w:rsidRDefault="00527CEA">
      <w:pPr>
        <w:pStyle w:val="FootnoteText"/>
      </w:pPr>
      <w:r>
        <w:rPr>
          <w:rStyle w:val="FootnoteReference"/>
        </w:rPr>
        <w:footnoteRef/>
      </w:r>
      <w:r>
        <w:t xml:space="preserve"> </w:t>
      </w:r>
      <w:r>
        <w:rPr>
          <w:i/>
        </w:rPr>
        <w:t>Id.</w:t>
      </w:r>
      <w:r>
        <w:t xml:space="preserve"> at 4.</w:t>
      </w:r>
    </w:p>
  </w:footnote>
  <w:footnote w:id="33">
    <w:p w14:paraId="15B6F304" w14:textId="77777777" w:rsidR="00B83A25" w:rsidRDefault="00B83A25">
      <w:pPr>
        <w:pStyle w:val="FootnoteText"/>
      </w:pPr>
      <w:r>
        <w:rPr>
          <w:rStyle w:val="FootnoteReference"/>
        </w:rPr>
        <w:footnoteRef/>
      </w:r>
      <w:r>
        <w:t xml:space="preserve"> Opposition at 4-5.</w:t>
      </w:r>
    </w:p>
  </w:footnote>
  <w:footnote w:id="34">
    <w:p w14:paraId="26959B59" w14:textId="77777777" w:rsidR="00B83A25" w:rsidRPr="00B83A25" w:rsidRDefault="00B83A25">
      <w:pPr>
        <w:pStyle w:val="FootnoteText"/>
        <w:rPr>
          <w:i/>
        </w:rPr>
      </w:pPr>
      <w:r>
        <w:rPr>
          <w:rStyle w:val="FootnoteReference"/>
        </w:rPr>
        <w:footnoteRef/>
      </w:r>
      <w:r>
        <w:t xml:space="preserve"> </w:t>
      </w:r>
      <w:r>
        <w:rPr>
          <w:i/>
        </w:rPr>
        <w:t>Id. at 5.</w:t>
      </w:r>
    </w:p>
  </w:footnote>
  <w:footnote w:id="35">
    <w:p w14:paraId="54757654" w14:textId="77777777" w:rsidR="00CB3BE2" w:rsidRPr="00CB3BE2" w:rsidRDefault="00CB3BE2">
      <w:pPr>
        <w:pStyle w:val="FootnoteText"/>
      </w:pPr>
      <w:r>
        <w:rPr>
          <w:rStyle w:val="FootnoteReference"/>
        </w:rPr>
        <w:footnoteRef/>
      </w:r>
      <w:r>
        <w:t xml:space="preserve"> </w:t>
      </w:r>
      <w:r w:rsidRPr="00CB3BE2">
        <w:rPr>
          <w:i/>
        </w:rPr>
        <w:t>Wireless Telecommunications Bureau’s Broadband Division and Public Safety and Homeland Security Bureau’s Policy and Licensing Division Issue Declaratory Ruling on Microwave Frequency Coordination and Seek Comment on Portion of Petition for Declaratory Ruling Filed by the Fixed Wireless Communications Coalition, Inc.</w:t>
      </w:r>
      <w:r>
        <w:t xml:space="preserve">, </w:t>
      </w:r>
      <w:r w:rsidR="00314E41">
        <w:t xml:space="preserve">Public Notice, 30 FCC Rcd 355 </w:t>
      </w:r>
      <w:r w:rsidR="00C80D24">
        <w:t>(WTB PSHSB 2015)(Microwave Coordination PN).</w:t>
      </w:r>
    </w:p>
  </w:footnote>
  <w:footnote w:id="36">
    <w:p w14:paraId="39495BEB" w14:textId="77777777" w:rsidR="009E7A37" w:rsidRPr="009E7A37" w:rsidRDefault="009E7A37">
      <w:pPr>
        <w:pStyle w:val="FootnoteText"/>
      </w:pPr>
      <w:r>
        <w:rPr>
          <w:rStyle w:val="FootnoteReference"/>
        </w:rPr>
        <w:footnoteRef/>
      </w:r>
      <w:r>
        <w:t xml:space="preserve"> Opposition at 6-7 </w:t>
      </w:r>
      <w:r>
        <w:rPr>
          <w:i/>
        </w:rPr>
        <w:t xml:space="preserve">citing </w:t>
      </w:r>
      <w:r>
        <w:t>Microwave Coordination PN</w:t>
      </w:r>
      <w:r w:rsidR="00984D8A">
        <w:t>,</w:t>
      </w:r>
      <w:r>
        <w:t xml:space="preserve"> </w:t>
      </w:r>
      <w:r w:rsidR="00376834">
        <w:t xml:space="preserve">30 FCC Rcd </w:t>
      </w:r>
      <w:r>
        <w:t>at</w:t>
      </w:r>
      <w:r w:rsidR="00376834">
        <w:t xml:space="preserve"> 36</w:t>
      </w:r>
      <w:r w:rsidR="00237A6B">
        <w:t>1</w:t>
      </w:r>
      <w:r w:rsidR="00376834">
        <w:t>.</w:t>
      </w:r>
      <w:r>
        <w:t xml:space="preserve"> </w:t>
      </w:r>
    </w:p>
  </w:footnote>
  <w:footnote w:id="37">
    <w:p w14:paraId="4E581352" w14:textId="77777777" w:rsidR="00F651CD" w:rsidRPr="00F651CD" w:rsidRDefault="00F651CD">
      <w:pPr>
        <w:pStyle w:val="FootnoteText"/>
      </w:pPr>
      <w:r>
        <w:rPr>
          <w:rStyle w:val="FootnoteReference"/>
        </w:rPr>
        <w:footnoteRef/>
      </w:r>
      <w:r>
        <w:t xml:space="preserve"> Opposition at 7 </w:t>
      </w:r>
      <w:r>
        <w:rPr>
          <w:i/>
        </w:rPr>
        <w:t xml:space="preserve">citing </w:t>
      </w:r>
      <w:r>
        <w:t>47 CFR §101.013(d)(2)(xii).</w:t>
      </w:r>
    </w:p>
  </w:footnote>
  <w:footnote w:id="38">
    <w:p w14:paraId="23EA1F89" w14:textId="77777777" w:rsidR="0095174D" w:rsidRPr="00C4101E" w:rsidRDefault="0095174D">
      <w:pPr>
        <w:pStyle w:val="FootnoteText"/>
        <w:rPr>
          <w:i/>
        </w:rPr>
      </w:pPr>
      <w:r>
        <w:rPr>
          <w:rStyle w:val="FootnoteReference"/>
        </w:rPr>
        <w:footnoteRef/>
      </w:r>
      <w:r>
        <w:t xml:space="preserve"> </w:t>
      </w:r>
      <w:r w:rsidR="00C4101E">
        <w:rPr>
          <w:i/>
        </w:rPr>
        <w:t>Id.</w:t>
      </w:r>
      <w:r w:rsidR="00C4101E" w:rsidRPr="00C4101E">
        <w:rPr>
          <w:i/>
        </w:rPr>
        <w:t xml:space="preserve"> </w:t>
      </w:r>
      <w:r w:rsidR="00C4101E">
        <w:rPr>
          <w:i/>
        </w:rPr>
        <w:t xml:space="preserve">citing </w:t>
      </w:r>
      <w:r w:rsidR="00C4101E">
        <w:t>47 CFR §§ 101.013(d)(2)(viii).</w:t>
      </w:r>
    </w:p>
  </w:footnote>
  <w:footnote w:id="39">
    <w:p w14:paraId="67C89013" w14:textId="77777777" w:rsidR="007A4BCC" w:rsidRDefault="007A4BCC">
      <w:pPr>
        <w:pStyle w:val="FootnoteText"/>
      </w:pPr>
      <w:r>
        <w:rPr>
          <w:rStyle w:val="FootnoteReference"/>
        </w:rPr>
        <w:footnoteRef/>
      </w:r>
      <w:r>
        <w:t xml:space="preserve"> Opposition at 7.</w:t>
      </w:r>
    </w:p>
  </w:footnote>
  <w:footnote w:id="40">
    <w:p w14:paraId="144C29C8" w14:textId="77777777" w:rsidR="007A4BCC" w:rsidRPr="00263AE7" w:rsidRDefault="007A4BCC">
      <w:pPr>
        <w:pStyle w:val="FootnoteText"/>
      </w:pPr>
      <w:r>
        <w:rPr>
          <w:rStyle w:val="FootnoteReference"/>
        </w:rPr>
        <w:footnoteRef/>
      </w:r>
      <w:r>
        <w:t xml:space="preserve"> </w:t>
      </w:r>
      <w:r>
        <w:rPr>
          <w:i/>
        </w:rPr>
        <w:t>Id.</w:t>
      </w:r>
      <w:r w:rsidR="00263AE7">
        <w:rPr>
          <w:i/>
        </w:rPr>
        <w:t xml:space="preserve"> </w:t>
      </w:r>
      <w:r w:rsidR="00263AE7">
        <w:t>at 8.</w:t>
      </w:r>
    </w:p>
  </w:footnote>
  <w:footnote w:id="41">
    <w:p w14:paraId="48EBA151" w14:textId="77777777" w:rsidR="00D869B2" w:rsidRPr="00D869B2" w:rsidRDefault="00D869B2">
      <w:pPr>
        <w:pStyle w:val="FootnoteText"/>
        <w:rPr>
          <w:i/>
        </w:rPr>
      </w:pPr>
      <w:r>
        <w:rPr>
          <w:rStyle w:val="FootnoteReference"/>
        </w:rPr>
        <w:footnoteRef/>
      </w:r>
      <w:r>
        <w:t xml:space="preserve"> </w:t>
      </w:r>
      <w:r>
        <w:rPr>
          <w:i/>
        </w:rPr>
        <w:t xml:space="preserve">Id. </w:t>
      </w:r>
      <w:r w:rsidRPr="00D869B2">
        <w:t>at 8-9.</w:t>
      </w:r>
    </w:p>
  </w:footnote>
  <w:footnote w:id="42">
    <w:p w14:paraId="12987B18" w14:textId="77777777" w:rsidR="00D869B2" w:rsidRPr="00D869B2" w:rsidRDefault="00D869B2">
      <w:pPr>
        <w:pStyle w:val="FootnoteText"/>
        <w:rPr>
          <w:i/>
        </w:rPr>
      </w:pPr>
      <w:r>
        <w:rPr>
          <w:rStyle w:val="FootnoteReference"/>
        </w:rPr>
        <w:footnoteRef/>
      </w:r>
      <w:r>
        <w:t xml:space="preserve"> </w:t>
      </w:r>
      <w:r>
        <w:rPr>
          <w:i/>
        </w:rPr>
        <w:t xml:space="preserve">Id. </w:t>
      </w:r>
      <w:r w:rsidRPr="00D869B2">
        <w:t>at 9-10.</w:t>
      </w:r>
    </w:p>
  </w:footnote>
  <w:footnote w:id="43">
    <w:p w14:paraId="7EB6F2F3" w14:textId="77777777" w:rsidR="00800D84" w:rsidRDefault="00800D84">
      <w:pPr>
        <w:pStyle w:val="FootnoteText"/>
      </w:pPr>
      <w:r>
        <w:rPr>
          <w:rStyle w:val="FootnoteReference"/>
        </w:rPr>
        <w:footnoteRef/>
      </w:r>
      <w:r>
        <w:t xml:space="preserve"> </w:t>
      </w:r>
      <w:r w:rsidR="002E0B9B">
        <w:rPr>
          <w:i/>
        </w:rPr>
        <w:t xml:space="preserve">See generally </w:t>
      </w:r>
      <w:r>
        <w:t>Reply.</w:t>
      </w:r>
    </w:p>
  </w:footnote>
  <w:footnote w:id="44">
    <w:p w14:paraId="4B934D10" w14:textId="77777777" w:rsidR="002E7AD4" w:rsidRDefault="002E7AD4">
      <w:pPr>
        <w:pStyle w:val="FootnoteText"/>
      </w:pPr>
      <w:r>
        <w:rPr>
          <w:rStyle w:val="FootnoteReference"/>
        </w:rPr>
        <w:footnoteRef/>
      </w:r>
      <w:r>
        <w:t xml:space="preserve"> Reply at 1.</w:t>
      </w:r>
    </w:p>
  </w:footnote>
  <w:footnote w:id="45">
    <w:p w14:paraId="6D003128" w14:textId="77777777" w:rsidR="00C65D74" w:rsidRPr="00C65D74" w:rsidRDefault="00C65D74">
      <w:pPr>
        <w:pStyle w:val="FootnoteText"/>
        <w:rPr>
          <w:i/>
        </w:rPr>
      </w:pPr>
      <w:r>
        <w:rPr>
          <w:rStyle w:val="FootnoteReference"/>
        </w:rPr>
        <w:footnoteRef/>
      </w:r>
      <w:r>
        <w:t xml:space="preserve"> </w:t>
      </w:r>
      <w:r>
        <w:rPr>
          <w:i/>
        </w:rPr>
        <w:t>Id.</w:t>
      </w:r>
      <w:r w:rsidRPr="003F0AFC">
        <w:t xml:space="preserve"> at 2.</w:t>
      </w:r>
    </w:p>
  </w:footnote>
  <w:footnote w:id="46">
    <w:p w14:paraId="3B6ABD46" w14:textId="77777777" w:rsidR="003F0AFC" w:rsidRPr="003F0AFC" w:rsidRDefault="003F0AFC">
      <w:pPr>
        <w:pStyle w:val="FootnoteText"/>
        <w:rPr>
          <w:i/>
        </w:rPr>
      </w:pPr>
      <w:r>
        <w:rPr>
          <w:rStyle w:val="FootnoteReference"/>
        </w:rPr>
        <w:footnoteRef/>
      </w:r>
      <w:r>
        <w:t xml:space="preserve"> </w:t>
      </w:r>
      <w:r>
        <w:rPr>
          <w:i/>
        </w:rPr>
        <w:t>Id.</w:t>
      </w:r>
    </w:p>
  </w:footnote>
  <w:footnote w:id="47">
    <w:p w14:paraId="08EBF615" w14:textId="77777777" w:rsidR="00B162D9" w:rsidRPr="00B162D9" w:rsidRDefault="00B162D9">
      <w:pPr>
        <w:pStyle w:val="FootnoteText"/>
      </w:pPr>
      <w:r>
        <w:rPr>
          <w:rStyle w:val="FootnoteReference"/>
        </w:rPr>
        <w:footnoteRef/>
      </w:r>
      <w:r>
        <w:t xml:space="preserve"> </w:t>
      </w:r>
      <w:r>
        <w:rPr>
          <w:i/>
        </w:rPr>
        <w:t>Id.</w:t>
      </w:r>
      <w:r>
        <w:t xml:space="preserve"> at 3.</w:t>
      </w:r>
    </w:p>
  </w:footnote>
  <w:footnote w:id="48">
    <w:p w14:paraId="5F4C3A53" w14:textId="77777777" w:rsidR="00B162D9" w:rsidRPr="00B162D9" w:rsidRDefault="00B162D9">
      <w:pPr>
        <w:pStyle w:val="FootnoteText"/>
      </w:pPr>
      <w:r>
        <w:rPr>
          <w:rStyle w:val="FootnoteReference"/>
        </w:rPr>
        <w:footnoteRef/>
      </w:r>
      <w:r>
        <w:t xml:space="preserve"> </w:t>
      </w:r>
      <w:r>
        <w:rPr>
          <w:i/>
        </w:rPr>
        <w:t>Id.</w:t>
      </w:r>
      <w:r>
        <w:t xml:space="preserve"> at 3-4.</w:t>
      </w:r>
    </w:p>
  </w:footnote>
  <w:footnote w:id="49">
    <w:p w14:paraId="0A6672EC" w14:textId="77777777" w:rsidR="00CB40FC" w:rsidRPr="00CB40FC" w:rsidRDefault="00CB40FC">
      <w:pPr>
        <w:pStyle w:val="FootnoteText"/>
        <w:rPr>
          <w:i/>
        </w:rPr>
      </w:pPr>
      <w:r>
        <w:rPr>
          <w:rStyle w:val="FootnoteReference"/>
        </w:rPr>
        <w:footnoteRef/>
      </w:r>
      <w:r>
        <w:t xml:space="preserve"> </w:t>
      </w:r>
      <w:r>
        <w:rPr>
          <w:i/>
        </w:rPr>
        <w:t xml:space="preserve">Geodesic, </w:t>
      </w:r>
      <w:r>
        <w:t xml:space="preserve">29 FCC Rcd </w:t>
      </w:r>
      <w:r w:rsidR="00810B83">
        <w:t xml:space="preserve">at </w:t>
      </w:r>
      <w:r>
        <w:t>10433</w:t>
      </w:r>
      <w:r w:rsidR="00810B83">
        <w:t>,</w:t>
      </w:r>
      <w:r>
        <w:t xml:space="preserve"> para.13.</w:t>
      </w:r>
    </w:p>
  </w:footnote>
  <w:footnote w:id="50">
    <w:p w14:paraId="17538960" w14:textId="77777777" w:rsidR="00F9082F" w:rsidRDefault="00F9082F">
      <w:pPr>
        <w:pStyle w:val="FootnoteText"/>
      </w:pPr>
      <w:r>
        <w:rPr>
          <w:rStyle w:val="FootnoteReference"/>
        </w:rPr>
        <w:footnoteRef/>
      </w:r>
      <w:r>
        <w:t xml:space="preserve"> 47 </w:t>
      </w:r>
      <w:r w:rsidR="00810B83">
        <w:t>CFR</w:t>
      </w:r>
      <w:r>
        <w:t xml:space="preserve"> § 101.013(d)(1)(emphasis added).</w:t>
      </w:r>
    </w:p>
  </w:footnote>
  <w:footnote w:id="51">
    <w:p w14:paraId="7AC9DFD8" w14:textId="77777777" w:rsidR="007E0619" w:rsidRDefault="007E0619" w:rsidP="007E0619">
      <w:pPr>
        <w:pStyle w:val="FootnoteText"/>
      </w:pPr>
      <w:r>
        <w:rPr>
          <w:rStyle w:val="FootnoteReference"/>
        </w:rPr>
        <w:footnoteRef/>
      </w:r>
      <w:r>
        <w:t xml:space="preserve"> 47 </w:t>
      </w:r>
      <w:r w:rsidR="00810B83">
        <w:t>CFR</w:t>
      </w:r>
      <w:r>
        <w:t xml:space="preserve"> § 101.013(d)(2)(xii)</w:t>
      </w:r>
      <w:r w:rsidR="0022176B">
        <w:t>.</w:t>
      </w:r>
    </w:p>
  </w:footnote>
  <w:footnote w:id="52">
    <w:p w14:paraId="2D9D559C" w14:textId="77777777" w:rsidR="007E0619" w:rsidRDefault="007E0619">
      <w:pPr>
        <w:pStyle w:val="FootnoteText"/>
      </w:pPr>
      <w:r>
        <w:rPr>
          <w:rStyle w:val="FootnoteReference"/>
        </w:rPr>
        <w:footnoteRef/>
      </w:r>
      <w:r>
        <w:t xml:space="preserve"> We note that</w:t>
      </w:r>
      <w:r w:rsidR="00984D8A">
        <w:t>,</w:t>
      </w:r>
      <w:r>
        <w:t xml:space="preserve"> because we find that LT-WR failed to show</w:t>
      </w:r>
      <w:r w:rsidRPr="007E0619">
        <w:t xml:space="preserve"> that it could not coordinate </w:t>
      </w:r>
      <w:r>
        <w:t xml:space="preserve">a channel </w:t>
      </w:r>
      <w:r w:rsidRPr="007E0619">
        <w:t>that was not reserved for future use</w:t>
      </w:r>
      <w:r>
        <w:t>, we need not address whether the mere assertion of need is a sufficient showing for the purposes of the rule</w:t>
      </w:r>
      <w:r w:rsidRPr="007E0619">
        <w:t xml:space="preserve">.  </w:t>
      </w:r>
    </w:p>
  </w:footnote>
  <w:footnote w:id="53">
    <w:p w14:paraId="07EA0A22" w14:textId="77777777" w:rsidR="00181FA6" w:rsidRDefault="00181FA6" w:rsidP="00181FA6">
      <w:pPr>
        <w:pStyle w:val="FootnoteText"/>
      </w:pPr>
      <w:r>
        <w:rPr>
          <w:rStyle w:val="FootnoteReference"/>
        </w:rPr>
        <w:footnoteRef/>
      </w:r>
      <w:r>
        <w:t xml:space="preserve"> </w:t>
      </w:r>
      <w:r w:rsidRPr="0022176B">
        <w:t xml:space="preserve">47 </w:t>
      </w:r>
      <w:r w:rsidR="00810B83">
        <w:t>CFR</w:t>
      </w:r>
      <w:r w:rsidRPr="0022176B">
        <w:t xml:space="preserve"> § 101.013(d)(2)(</w:t>
      </w:r>
      <w:r>
        <w:t>vii</w:t>
      </w:r>
      <w:r w:rsidRPr="0022176B">
        <w:t>)</w:t>
      </w:r>
      <w:r>
        <w:t>.</w:t>
      </w:r>
    </w:p>
  </w:footnote>
  <w:footnote w:id="54">
    <w:p w14:paraId="38936044" w14:textId="77777777" w:rsidR="0022176B" w:rsidRDefault="0022176B">
      <w:pPr>
        <w:pStyle w:val="FootnoteText"/>
      </w:pPr>
      <w:r>
        <w:rPr>
          <w:rStyle w:val="FootnoteReference"/>
        </w:rPr>
        <w:footnoteRef/>
      </w:r>
      <w:r>
        <w:t xml:space="preserve"> </w:t>
      </w:r>
      <w:r w:rsidR="00181FA6">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1C7C" w14:textId="77777777" w:rsidR="001E055D" w:rsidRDefault="001E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9625" w14:textId="77777777" w:rsidR="006F7393" w:rsidRDefault="006F7393">
    <w:pPr>
      <w:pStyle w:val="Header"/>
      <w:pBdr>
        <w:bottom w:val="single" w:sz="12" w:space="1" w:color="auto"/>
      </w:pBdr>
      <w:rPr>
        <w:b w:val="0"/>
      </w:rPr>
    </w:pPr>
    <w:r>
      <w:tab/>
      <w:t>Federal Communications Commission</w:t>
    </w:r>
    <w:r>
      <w:tab/>
    </w:r>
    <w:r w:rsidR="00EF4B90">
      <w:rPr>
        <w:spacing w:val="-2"/>
      </w:rPr>
      <w:t>DA 16-897</w:t>
    </w:r>
  </w:p>
  <w:p w14:paraId="63E5B68C" w14:textId="77777777" w:rsidR="006F7393" w:rsidRDefault="006F7393">
    <w:pPr>
      <w:tabs>
        <w:tab w:val="left" w:pos="-720"/>
      </w:tabs>
      <w:suppressAutoHyphens/>
      <w:spacing w:line="19" w:lineRule="exact"/>
      <w:rPr>
        <w:spacing w:val="-2"/>
      </w:rPr>
    </w:pPr>
  </w:p>
  <w:p w14:paraId="7E990008" w14:textId="77777777"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A259" w14:textId="77777777" w:rsidR="006F7393" w:rsidRDefault="006F7393">
    <w:pPr>
      <w:pStyle w:val="Header"/>
      <w:pBdr>
        <w:bottom w:val="single" w:sz="12" w:space="1" w:color="auto"/>
      </w:pBdr>
      <w:rPr>
        <w:b w:val="0"/>
      </w:rPr>
    </w:pPr>
    <w:r>
      <w:tab/>
      <w:t>Federal Communications Commission</w:t>
    </w:r>
    <w:r>
      <w:tab/>
    </w:r>
    <w:r w:rsidR="00EF4B90">
      <w:rPr>
        <w:spacing w:val="-2"/>
      </w:rPr>
      <w:t>DA 16-897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9"/>
    <w:rsid w:val="00036039"/>
    <w:rsid w:val="00037F90"/>
    <w:rsid w:val="00047E35"/>
    <w:rsid w:val="000662F4"/>
    <w:rsid w:val="00073051"/>
    <w:rsid w:val="00086AD6"/>
    <w:rsid w:val="000875BF"/>
    <w:rsid w:val="00096D8C"/>
    <w:rsid w:val="000B5A56"/>
    <w:rsid w:val="000C0B65"/>
    <w:rsid w:val="000C6B22"/>
    <w:rsid w:val="000E3D42"/>
    <w:rsid w:val="00106B79"/>
    <w:rsid w:val="00122BD5"/>
    <w:rsid w:val="00123AC1"/>
    <w:rsid w:val="00132FF6"/>
    <w:rsid w:val="001749AF"/>
    <w:rsid w:val="00181FA6"/>
    <w:rsid w:val="001C781B"/>
    <w:rsid w:val="001D6BCF"/>
    <w:rsid w:val="001E01CA"/>
    <w:rsid w:val="001E055D"/>
    <w:rsid w:val="001E0995"/>
    <w:rsid w:val="00210776"/>
    <w:rsid w:val="00221446"/>
    <w:rsid w:val="0022176B"/>
    <w:rsid w:val="0022739D"/>
    <w:rsid w:val="002277CF"/>
    <w:rsid w:val="00237A6B"/>
    <w:rsid w:val="00263AE7"/>
    <w:rsid w:val="00285017"/>
    <w:rsid w:val="002A2D2E"/>
    <w:rsid w:val="002A6AE5"/>
    <w:rsid w:val="002B7313"/>
    <w:rsid w:val="002C04FE"/>
    <w:rsid w:val="002C1245"/>
    <w:rsid w:val="002D2905"/>
    <w:rsid w:val="002E0B9B"/>
    <w:rsid w:val="002E7AD4"/>
    <w:rsid w:val="002F12BD"/>
    <w:rsid w:val="00307529"/>
    <w:rsid w:val="00314E41"/>
    <w:rsid w:val="00343749"/>
    <w:rsid w:val="00376834"/>
    <w:rsid w:val="003870A7"/>
    <w:rsid w:val="00391871"/>
    <w:rsid w:val="00393044"/>
    <w:rsid w:val="003B0550"/>
    <w:rsid w:val="003B2629"/>
    <w:rsid w:val="003B694F"/>
    <w:rsid w:val="003F0AFC"/>
    <w:rsid w:val="003F171C"/>
    <w:rsid w:val="00401A66"/>
    <w:rsid w:val="00412FC5"/>
    <w:rsid w:val="00422276"/>
    <w:rsid w:val="004242F1"/>
    <w:rsid w:val="00445A00"/>
    <w:rsid w:val="0045125A"/>
    <w:rsid w:val="00451B0F"/>
    <w:rsid w:val="0049231F"/>
    <w:rsid w:val="004C2EE3"/>
    <w:rsid w:val="004D3F91"/>
    <w:rsid w:val="004E4A22"/>
    <w:rsid w:val="004F2FCB"/>
    <w:rsid w:val="00511968"/>
    <w:rsid w:val="0051461C"/>
    <w:rsid w:val="00527CEA"/>
    <w:rsid w:val="00530971"/>
    <w:rsid w:val="00531BE8"/>
    <w:rsid w:val="005405E5"/>
    <w:rsid w:val="005443D0"/>
    <w:rsid w:val="0055614C"/>
    <w:rsid w:val="00557A7A"/>
    <w:rsid w:val="005A2641"/>
    <w:rsid w:val="005B190B"/>
    <w:rsid w:val="005B5DCB"/>
    <w:rsid w:val="005D3265"/>
    <w:rsid w:val="00607BA5"/>
    <w:rsid w:val="00626EB6"/>
    <w:rsid w:val="00655D03"/>
    <w:rsid w:val="00683F84"/>
    <w:rsid w:val="006A6430"/>
    <w:rsid w:val="006A6A81"/>
    <w:rsid w:val="006D76ED"/>
    <w:rsid w:val="006F7393"/>
    <w:rsid w:val="0070224F"/>
    <w:rsid w:val="00707133"/>
    <w:rsid w:val="007101BE"/>
    <w:rsid w:val="007115F7"/>
    <w:rsid w:val="00770E18"/>
    <w:rsid w:val="00785689"/>
    <w:rsid w:val="0079754B"/>
    <w:rsid w:val="007A1E6D"/>
    <w:rsid w:val="007A4BCC"/>
    <w:rsid w:val="007C0D3D"/>
    <w:rsid w:val="007C500D"/>
    <w:rsid w:val="007D0416"/>
    <w:rsid w:val="007D3EDA"/>
    <w:rsid w:val="007E0619"/>
    <w:rsid w:val="007F0458"/>
    <w:rsid w:val="00800D84"/>
    <w:rsid w:val="00805CC8"/>
    <w:rsid w:val="00810B83"/>
    <w:rsid w:val="00822CE0"/>
    <w:rsid w:val="00841AB1"/>
    <w:rsid w:val="00842A17"/>
    <w:rsid w:val="00843562"/>
    <w:rsid w:val="008721F2"/>
    <w:rsid w:val="008A751C"/>
    <w:rsid w:val="008E438D"/>
    <w:rsid w:val="008F024B"/>
    <w:rsid w:val="009013C6"/>
    <w:rsid w:val="00921803"/>
    <w:rsid w:val="00926503"/>
    <w:rsid w:val="00943C2D"/>
    <w:rsid w:val="0095174D"/>
    <w:rsid w:val="0096110C"/>
    <w:rsid w:val="0098317F"/>
    <w:rsid w:val="00984D8A"/>
    <w:rsid w:val="009C5473"/>
    <w:rsid w:val="009D2910"/>
    <w:rsid w:val="009E5136"/>
    <w:rsid w:val="009E56BA"/>
    <w:rsid w:val="009E7A37"/>
    <w:rsid w:val="009F2F60"/>
    <w:rsid w:val="00A324B0"/>
    <w:rsid w:val="00A45F42"/>
    <w:rsid w:val="00A45F4F"/>
    <w:rsid w:val="00A5564E"/>
    <w:rsid w:val="00A600A9"/>
    <w:rsid w:val="00A667D2"/>
    <w:rsid w:val="00A7253A"/>
    <w:rsid w:val="00A76B2A"/>
    <w:rsid w:val="00AA55B7"/>
    <w:rsid w:val="00AA5B9E"/>
    <w:rsid w:val="00AB0618"/>
    <w:rsid w:val="00AB0655"/>
    <w:rsid w:val="00AB2407"/>
    <w:rsid w:val="00AB4591"/>
    <w:rsid w:val="00AB53DF"/>
    <w:rsid w:val="00AE24A0"/>
    <w:rsid w:val="00AF6BB1"/>
    <w:rsid w:val="00B07E5C"/>
    <w:rsid w:val="00B162D9"/>
    <w:rsid w:val="00B40733"/>
    <w:rsid w:val="00B523EB"/>
    <w:rsid w:val="00B649E3"/>
    <w:rsid w:val="00B811F7"/>
    <w:rsid w:val="00B83A25"/>
    <w:rsid w:val="00BA3E1B"/>
    <w:rsid w:val="00BA5DC6"/>
    <w:rsid w:val="00BA6196"/>
    <w:rsid w:val="00BB4022"/>
    <w:rsid w:val="00BC6D8C"/>
    <w:rsid w:val="00C000BB"/>
    <w:rsid w:val="00C12108"/>
    <w:rsid w:val="00C34006"/>
    <w:rsid w:val="00C4101E"/>
    <w:rsid w:val="00C426B1"/>
    <w:rsid w:val="00C57A10"/>
    <w:rsid w:val="00C65D74"/>
    <w:rsid w:val="00C666B8"/>
    <w:rsid w:val="00C80281"/>
    <w:rsid w:val="00C80D24"/>
    <w:rsid w:val="00C90D6A"/>
    <w:rsid w:val="00C94551"/>
    <w:rsid w:val="00CA247E"/>
    <w:rsid w:val="00CA305C"/>
    <w:rsid w:val="00CB3BE2"/>
    <w:rsid w:val="00CB40FC"/>
    <w:rsid w:val="00CC6BD8"/>
    <w:rsid w:val="00CC72B6"/>
    <w:rsid w:val="00CC740A"/>
    <w:rsid w:val="00CE46F8"/>
    <w:rsid w:val="00D0218D"/>
    <w:rsid w:val="00D512B9"/>
    <w:rsid w:val="00D6760E"/>
    <w:rsid w:val="00D70DCF"/>
    <w:rsid w:val="00D82F63"/>
    <w:rsid w:val="00D869B2"/>
    <w:rsid w:val="00D8744E"/>
    <w:rsid w:val="00DA2529"/>
    <w:rsid w:val="00DA2C88"/>
    <w:rsid w:val="00DB130A"/>
    <w:rsid w:val="00DB63E4"/>
    <w:rsid w:val="00DC10A1"/>
    <w:rsid w:val="00DC655F"/>
    <w:rsid w:val="00DD0B59"/>
    <w:rsid w:val="00DD144D"/>
    <w:rsid w:val="00DD7EBD"/>
    <w:rsid w:val="00DE2766"/>
    <w:rsid w:val="00DF62B6"/>
    <w:rsid w:val="00E07225"/>
    <w:rsid w:val="00E31150"/>
    <w:rsid w:val="00E533CC"/>
    <w:rsid w:val="00E5409F"/>
    <w:rsid w:val="00EA2C96"/>
    <w:rsid w:val="00EC48D9"/>
    <w:rsid w:val="00EE0A88"/>
    <w:rsid w:val="00EE6488"/>
    <w:rsid w:val="00EF4B90"/>
    <w:rsid w:val="00F021FA"/>
    <w:rsid w:val="00F06BE8"/>
    <w:rsid w:val="00F24E78"/>
    <w:rsid w:val="00F37315"/>
    <w:rsid w:val="00F531FE"/>
    <w:rsid w:val="00F62E97"/>
    <w:rsid w:val="00F64209"/>
    <w:rsid w:val="00F651CD"/>
    <w:rsid w:val="00F9082F"/>
    <w:rsid w:val="00F93BF5"/>
    <w:rsid w:val="00FA4D21"/>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FA3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semiHidden/>
    <w:rsid w:val="000E3D42"/>
    <w:pPr>
      <w:spacing w:after="120"/>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ParaNumChar">
    <w:name w:val="ParaNum Char"/>
    <w:link w:val="ParaNum"/>
    <w:locked/>
    <w:rsid w:val="00CC740A"/>
    <w:rPr>
      <w:snapToGrid w:val="0"/>
      <w:kern w:val="28"/>
      <w:sz w:val="22"/>
    </w:rPr>
  </w:style>
  <w:style w:type="paragraph" w:styleId="BalloonText">
    <w:name w:val="Balloon Text"/>
    <w:basedOn w:val="Normal"/>
    <w:link w:val="BalloonTextChar"/>
    <w:semiHidden/>
    <w:unhideWhenUsed/>
    <w:rsid w:val="002F12BD"/>
    <w:rPr>
      <w:rFonts w:ascii="Segoe UI" w:hAnsi="Segoe UI" w:cs="Segoe UI"/>
      <w:sz w:val="18"/>
      <w:szCs w:val="18"/>
    </w:rPr>
  </w:style>
  <w:style w:type="character" w:customStyle="1" w:styleId="BalloonTextChar">
    <w:name w:val="Balloon Text Char"/>
    <w:basedOn w:val="DefaultParagraphFont"/>
    <w:link w:val="BalloonText"/>
    <w:semiHidden/>
    <w:rsid w:val="002F12BD"/>
    <w:rPr>
      <w:rFonts w:ascii="Segoe UI" w:hAnsi="Segoe UI" w:cs="Segoe UI"/>
      <w:snapToGrid w:val="0"/>
      <w:kern w:val="28"/>
      <w:sz w:val="18"/>
      <w:szCs w:val="18"/>
    </w:rPr>
  </w:style>
  <w:style w:type="character" w:styleId="CommentReference">
    <w:name w:val="annotation reference"/>
    <w:basedOn w:val="DefaultParagraphFont"/>
    <w:semiHidden/>
    <w:unhideWhenUsed/>
    <w:rsid w:val="00C57A10"/>
    <w:rPr>
      <w:sz w:val="16"/>
      <w:szCs w:val="16"/>
    </w:rPr>
  </w:style>
  <w:style w:type="paragraph" w:styleId="CommentText">
    <w:name w:val="annotation text"/>
    <w:basedOn w:val="Normal"/>
    <w:link w:val="CommentTextChar"/>
    <w:semiHidden/>
    <w:unhideWhenUsed/>
    <w:rsid w:val="00C57A10"/>
    <w:rPr>
      <w:sz w:val="20"/>
    </w:rPr>
  </w:style>
  <w:style w:type="character" w:customStyle="1" w:styleId="CommentTextChar">
    <w:name w:val="Comment Text Char"/>
    <w:basedOn w:val="DefaultParagraphFont"/>
    <w:link w:val="CommentText"/>
    <w:semiHidden/>
    <w:rsid w:val="00C57A10"/>
    <w:rPr>
      <w:snapToGrid w:val="0"/>
      <w:kern w:val="28"/>
    </w:rPr>
  </w:style>
  <w:style w:type="paragraph" w:styleId="CommentSubject">
    <w:name w:val="annotation subject"/>
    <w:basedOn w:val="CommentText"/>
    <w:next w:val="CommentText"/>
    <w:link w:val="CommentSubjectChar"/>
    <w:semiHidden/>
    <w:unhideWhenUsed/>
    <w:rsid w:val="00C57A10"/>
    <w:rPr>
      <w:b/>
      <w:bCs/>
    </w:rPr>
  </w:style>
  <w:style w:type="character" w:customStyle="1" w:styleId="CommentSubjectChar">
    <w:name w:val="Comment Subject Char"/>
    <w:basedOn w:val="CommentTextChar"/>
    <w:link w:val="CommentSubject"/>
    <w:semiHidden/>
    <w:rsid w:val="00C57A1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semiHidden/>
    <w:rsid w:val="000E3D42"/>
    <w:pPr>
      <w:spacing w:after="120"/>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ParaNumChar">
    <w:name w:val="ParaNum Char"/>
    <w:link w:val="ParaNum"/>
    <w:locked/>
    <w:rsid w:val="00CC740A"/>
    <w:rPr>
      <w:snapToGrid w:val="0"/>
      <w:kern w:val="28"/>
      <w:sz w:val="22"/>
    </w:rPr>
  </w:style>
  <w:style w:type="paragraph" w:styleId="BalloonText">
    <w:name w:val="Balloon Text"/>
    <w:basedOn w:val="Normal"/>
    <w:link w:val="BalloonTextChar"/>
    <w:semiHidden/>
    <w:unhideWhenUsed/>
    <w:rsid w:val="002F12BD"/>
    <w:rPr>
      <w:rFonts w:ascii="Segoe UI" w:hAnsi="Segoe UI" w:cs="Segoe UI"/>
      <w:sz w:val="18"/>
      <w:szCs w:val="18"/>
    </w:rPr>
  </w:style>
  <w:style w:type="character" w:customStyle="1" w:styleId="BalloonTextChar">
    <w:name w:val="Balloon Text Char"/>
    <w:basedOn w:val="DefaultParagraphFont"/>
    <w:link w:val="BalloonText"/>
    <w:semiHidden/>
    <w:rsid w:val="002F12BD"/>
    <w:rPr>
      <w:rFonts w:ascii="Segoe UI" w:hAnsi="Segoe UI" w:cs="Segoe UI"/>
      <w:snapToGrid w:val="0"/>
      <w:kern w:val="28"/>
      <w:sz w:val="18"/>
      <w:szCs w:val="18"/>
    </w:rPr>
  </w:style>
  <w:style w:type="character" w:styleId="CommentReference">
    <w:name w:val="annotation reference"/>
    <w:basedOn w:val="DefaultParagraphFont"/>
    <w:semiHidden/>
    <w:unhideWhenUsed/>
    <w:rsid w:val="00C57A10"/>
    <w:rPr>
      <w:sz w:val="16"/>
      <w:szCs w:val="16"/>
    </w:rPr>
  </w:style>
  <w:style w:type="paragraph" w:styleId="CommentText">
    <w:name w:val="annotation text"/>
    <w:basedOn w:val="Normal"/>
    <w:link w:val="CommentTextChar"/>
    <w:semiHidden/>
    <w:unhideWhenUsed/>
    <w:rsid w:val="00C57A10"/>
    <w:rPr>
      <w:sz w:val="20"/>
    </w:rPr>
  </w:style>
  <w:style w:type="character" w:customStyle="1" w:styleId="CommentTextChar">
    <w:name w:val="Comment Text Char"/>
    <w:basedOn w:val="DefaultParagraphFont"/>
    <w:link w:val="CommentText"/>
    <w:semiHidden/>
    <w:rsid w:val="00C57A10"/>
    <w:rPr>
      <w:snapToGrid w:val="0"/>
      <w:kern w:val="28"/>
    </w:rPr>
  </w:style>
  <w:style w:type="paragraph" w:styleId="CommentSubject">
    <w:name w:val="annotation subject"/>
    <w:basedOn w:val="CommentText"/>
    <w:next w:val="CommentText"/>
    <w:link w:val="CommentSubjectChar"/>
    <w:semiHidden/>
    <w:unhideWhenUsed/>
    <w:rsid w:val="00C57A10"/>
    <w:rPr>
      <w:b/>
      <w:bCs/>
    </w:rPr>
  </w:style>
  <w:style w:type="character" w:customStyle="1" w:styleId="CommentSubjectChar">
    <w:name w:val="Comment Subject Char"/>
    <w:basedOn w:val="CommentTextChar"/>
    <w:link w:val="CommentSubject"/>
    <w:semiHidden/>
    <w:rsid w:val="00C57A1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2558</Words>
  <Characters>14153</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16768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2016-08-11T14:34:00Z</cp:lastPrinted>
  <dcterms:created xsi:type="dcterms:W3CDTF">2016-08-11T18:08:00Z</dcterms:created>
  <dcterms:modified xsi:type="dcterms:W3CDTF">2016-08-11T18:08:00Z</dcterms:modified>
  <cp:category> </cp:category>
  <cp:contentStatus> </cp:contentStatus>
</cp:coreProperties>
</file>