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4468AA" w14:textId="77777777" w:rsidR="008B73C1" w:rsidRPr="001D2456" w:rsidRDefault="007818B9" w:rsidP="004E4609">
      <w:pPr>
        <w:tabs>
          <w:tab w:val="center" w:pos="4680"/>
          <w:tab w:val="left" w:pos="5944"/>
          <w:tab w:val="left" w:pos="7560"/>
          <w:tab w:val="left" w:pos="7834"/>
        </w:tabs>
        <w:rPr>
          <w:b/>
          <w:szCs w:val="22"/>
        </w:rPr>
      </w:pPr>
      <w:bookmarkStart w:id="0" w:name="_GoBack"/>
      <w:bookmarkEnd w:id="0"/>
      <w:r>
        <w:rPr>
          <w:b/>
          <w:szCs w:val="22"/>
        </w:rPr>
        <w:tab/>
      </w:r>
      <w:r w:rsidR="008B73C1" w:rsidRPr="001D2456">
        <w:rPr>
          <w:b/>
          <w:szCs w:val="22"/>
        </w:rPr>
        <w:t>Before the</w:t>
      </w:r>
      <w:r>
        <w:rPr>
          <w:b/>
          <w:szCs w:val="22"/>
        </w:rPr>
        <w:tab/>
      </w:r>
      <w:r w:rsidR="004E4609">
        <w:rPr>
          <w:b/>
          <w:szCs w:val="22"/>
        </w:rPr>
        <w:tab/>
      </w:r>
    </w:p>
    <w:p w14:paraId="2A4468AB" w14:textId="77777777" w:rsidR="004B7183" w:rsidRPr="001D2456" w:rsidRDefault="004B7183">
      <w:pPr>
        <w:jc w:val="center"/>
        <w:rPr>
          <w:b/>
          <w:szCs w:val="22"/>
        </w:rPr>
      </w:pPr>
      <w:r w:rsidRPr="001D2456">
        <w:rPr>
          <w:b/>
          <w:szCs w:val="22"/>
        </w:rPr>
        <w:t>Federal Communications Commission</w:t>
      </w:r>
    </w:p>
    <w:p w14:paraId="2A4468AC" w14:textId="77777777" w:rsidR="004B7183" w:rsidRPr="001D2456" w:rsidRDefault="004B7183">
      <w:pPr>
        <w:jc w:val="center"/>
        <w:rPr>
          <w:b/>
          <w:szCs w:val="22"/>
        </w:rPr>
      </w:pPr>
      <w:smartTag w:uri="urn:schemas-microsoft-com:office:smarttags" w:element="place">
        <w:smartTag w:uri="urn:schemas-microsoft-com:office:smarttags" w:element="City">
          <w:r w:rsidRPr="001D2456">
            <w:rPr>
              <w:b/>
              <w:szCs w:val="22"/>
            </w:rPr>
            <w:t>Washington</w:t>
          </w:r>
        </w:smartTag>
        <w:r w:rsidRPr="001D2456">
          <w:rPr>
            <w:b/>
            <w:szCs w:val="22"/>
          </w:rPr>
          <w:t xml:space="preserve">, </w:t>
        </w:r>
        <w:smartTag w:uri="urn:schemas-microsoft-com:office:smarttags" w:element="State">
          <w:r w:rsidRPr="001D2456">
            <w:rPr>
              <w:b/>
              <w:szCs w:val="22"/>
            </w:rPr>
            <w:t>D.C.</w:t>
          </w:r>
        </w:smartTag>
        <w:r w:rsidRPr="001D2456">
          <w:rPr>
            <w:b/>
            <w:szCs w:val="22"/>
          </w:rPr>
          <w:t xml:space="preserve"> </w:t>
        </w:r>
        <w:smartTag w:uri="urn:schemas-microsoft-com:office:smarttags" w:element="PostalCode">
          <w:r w:rsidRPr="001D2456">
            <w:rPr>
              <w:b/>
              <w:szCs w:val="22"/>
            </w:rPr>
            <w:t>20554</w:t>
          </w:r>
        </w:smartTag>
      </w:smartTag>
    </w:p>
    <w:p w14:paraId="2A4468AD" w14:textId="77777777" w:rsidR="004B7183" w:rsidRPr="001D2456" w:rsidRDefault="004B7183">
      <w:pPr>
        <w:rPr>
          <w:szCs w:val="22"/>
        </w:rPr>
      </w:pPr>
    </w:p>
    <w:tbl>
      <w:tblPr>
        <w:tblW w:w="9648" w:type="dxa"/>
        <w:tblLayout w:type="fixed"/>
        <w:tblLook w:val="0000" w:firstRow="0" w:lastRow="0" w:firstColumn="0" w:lastColumn="0" w:noHBand="0" w:noVBand="0"/>
      </w:tblPr>
      <w:tblGrid>
        <w:gridCol w:w="4698"/>
        <w:gridCol w:w="720"/>
        <w:gridCol w:w="4230"/>
      </w:tblGrid>
      <w:tr w:rsidR="004B7183" w:rsidRPr="001D2456" w14:paraId="2A4468BE" w14:textId="77777777">
        <w:tc>
          <w:tcPr>
            <w:tcW w:w="4698" w:type="dxa"/>
          </w:tcPr>
          <w:p w14:paraId="2A4468AE" w14:textId="77777777" w:rsidR="004B7183" w:rsidRPr="001D2456" w:rsidRDefault="004B7183">
            <w:pPr>
              <w:ind w:right="-18"/>
              <w:rPr>
                <w:szCs w:val="22"/>
              </w:rPr>
            </w:pPr>
            <w:r w:rsidRPr="001D2456">
              <w:rPr>
                <w:szCs w:val="22"/>
              </w:rPr>
              <w:t xml:space="preserve">In </w:t>
            </w:r>
            <w:r w:rsidR="00F8279A" w:rsidRPr="001D2456">
              <w:rPr>
                <w:szCs w:val="22"/>
              </w:rPr>
              <w:t xml:space="preserve">the Matter of </w:t>
            </w:r>
            <w:r w:rsidR="001917C4" w:rsidRPr="001D2456">
              <w:rPr>
                <w:szCs w:val="22"/>
              </w:rPr>
              <w:t xml:space="preserve"> </w:t>
            </w:r>
          </w:p>
          <w:p w14:paraId="2A4468AF" w14:textId="77777777" w:rsidR="004B7183" w:rsidRPr="001D2456" w:rsidRDefault="004B7183">
            <w:pPr>
              <w:ind w:right="-18"/>
              <w:rPr>
                <w:szCs w:val="22"/>
              </w:rPr>
            </w:pPr>
          </w:p>
          <w:p w14:paraId="2A4468B0" w14:textId="42B43D65" w:rsidR="004B7183" w:rsidRPr="001D2456" w:rsidRDefault="00AE11A7">
            <w:pPr>
              <w:ind w:right="-18"/>
              <w:rPr>
                <w:b/>
                <w:szCs w:val="22"/>
              </w:rPr>
            </w:pPr>
            <w:r>
              <w:rPr>
                <w:b/>
                <w:szCs w:val="22"/>
              </w:rPr>
              <w:t>Fidelity Cablevis</w:t>
            </w:r>
            <w:r w:rsidR="00D36540">
              <w:rPr>
                <w:b/>
                <w:szCs w:val="22"/>
              </w:rPr>
              <w:t>i</w:t>
            </w:r>
            <w:r>
              <w:rPr>
                <w:b/>
                <w:szCs w:val="22"/>
              </w:rPr>
              <w:t>on</w:t>
            </w:r>
            <w:r w:rsidR="005D74C3">
              <w:rPr>
                <w:b/>
                <w:szCs w:val="22"/>
              </w:rPr>
              <w:t>, Inc.</w:t>
            </w:r>
          </w:p>
          <w:p w14:paraId="2A4468B1" w14:textId="036BD0D6" w:rsidR="00642433" w:rsidRPr="001D2456" w:rsidRDefault="00AE11A7">
            <w:pPr>
              <w:ind w:right="-18"/>
              <w:rPr>
                <w:b/>
                <w:szCs w:val="22"/>
              </w:rPr>
            </w:pPr>
            <w:r>
              <w:rPr>
                <w:b/>
                <w:szCs w:val="22"/>
              </w:rPr>
              <w:t>Lawton, Oklahoma</w:t>
            </w:r>
          </w:p>
        </w:tc>
        <w:tc>
          <w:tcPr>
            <w:tcW w:w="720" w:type="dxa"/>
          </w:tcPr>
          <w:p w14:paraId="2A4468B2" w14:textId="77777777" w:rsidR="004B7183" w:rsidRPr="001D2456" w:rsidRDefault="004B7183">
            <w:pPr>
              <w:rPr>
                <w:b/>
                <w:szCs w:val="22"/>
              </w:rPr>
            </w:pPr>
            <w:r w:rsidRPr="001D2456">
              <w:rPr>
                <w:b/>
                <w:szCs w:val="22"/>
              </w:rPr>
              <w:t>)</w:t>
            </w:r>
          </w:p>
          <w:p w14:paraId="2A4468B3" w14:textId="77777777" w:rsidR="004B7183" w:rsidRPr="001D2456" w:rsidRDefault="004B7183">
            <w:pPr>
              <w:rPr>
                <w:b/>
                <w:szCs w:val="22"/>
              </w:rPr>
            </w:pPr>
            <w:r w:rsidRPr="001D2456">
              <w:rPr>
                <w:b/>
                <w:szCs w:val="22"/>
              </w:rPr>
              <w:t>)</w:t>
            </w:r>
          </w:p>
          <w:p w14:paraId="2A4468B4" w14:textId="77777777" w:rsidR="004B7183" w:rsidRPr="001D2456" w:rsidRDefault="004B7183">
            <w:pPr>
              <w:rPr>
                <w:b/>
                <w:szCs w:val="22"/>
              </w:rPr>
            </w:pPr>
            <w:r w:rsidRPr="001D2456">
              <w:rPr>
                <w:b/>
                <w:szCs w:val="22"/>
              </w:rPr>
              <w:t>)</w:t>
            </w:r>
          </w:p>
          <w:p w14:paraId="2A4468B5" w14:textId="77777777" w:rsidR="004B7183" w:rsidRPr="001D2456" w:rsidRDefault="004B7183">
            <w:pPr>
              <w:rPr>
                <w:b/>
                <w:szCs w:val="22"/>
              </w:rPr>
            </w:pPr>
            <w:r w:rsidRPr="001D2456">
              <w:rPr>
                <w:b/>
                <w:szCs w:val="22"/>
              </w:rPr>
              <w:t>)</w:t>
            </w:r>
          </w:p>
          <w:p w14:paraId="2A4468B6" w14:textId="77777777" w:rsidR="004B7183" w:rsidRPr="001D2456" w:rsidRDefault="004B7183">
            <w:pPr>
              <w:rPr>
                <w:b/>
                <w:szCs w:val="22"/>
              </w:rPr>
            </w:pPr>
            <w:r w:rsidRPr="001D2456">
              <w:rPr>
                <w:b/>
                <w:szCs w:val="22"/>
              </w:rPr>
              <w:t>)</w:t>
            </w:r>
          </w:p>
          <w:p w14:paraId="2A4468B7" w14:textId="77777777" w:rsidR="006C6037" w:rsidRPr="001D2456" w:rsidRDefault="006C6037">
            <w:pPr>
              <w:rPr>
                <w:b/>
                <w:szCs w:val="22"/>
              </w:rPr>
            </w:pPr>
          </w:p>
        </w:tc>
        <w:tc>
          <w:tcPr>
            <w:tcW w:w="4230" w:type="dxa"/>
          </w:tcPr>
          <w:p w14:paraId="2A4468B8" w14:textId="77777777" w:rsidR="004B7183" w:rsidRPr="001D2456" w:rsidRDefault="004B7183">
            <w:pPr>
              <w:rPr>
                <w:szCs w:val="22"/>
              </w:rPr>
            </w:pPr>
          </w:p>
          <w:p w14:paraId="2A4468B9" w14:textId="77777777" w:rsidR="004B7183" w:rsidRPr="001D2456" w:rsidRDefault="004B7183">
            <w:pPr>
              <w:rPr>
                <w:szCs w:val="22"/>
              </w:rPr>
            </w:pPr>
          </w:p>
          <w:p w14:paraId="2A4468BA" w14:textId="439E31FE" w:rsidR="007E0A34" w:rsidRPr="001D2456" w:rsidRDefault="00034248" w:rsidP="003A56A4">
            <w:pPr>
              <w:ind w:right="-18"/>
              <w:rPr>
                <w:szCs w:val="22"/>
              </w:rPr>
            </w:pPr>
            <w:r>
              <w:rPr>
                <w:szCs w:val="22"/>
              </w:rPr>
              <w:t xml:space="preserve">NAL/Acct. No. </w:t>
            </w:r>
            <w:r w:rsidR="00EA6767">
              <w:rPr>
                <w:szCs w:val="22"/>
              </w:rPr>
              <w:t>201641420018</w:t>
            </w:r>
          </w:p>
          <w:p w14:paraId="2A4468BB" w14:textId="4E182807" w:rsidR="007E0A34" w:rsidRPr="001D2456" w:rsidRDefault="007E0A34" w:rsidP="003A56A4">
            <w:pPr>
              <w:ind w:right="-18"/>
              <w:rPr>
                <w:szCs w:val="22"/>
              </w:rPr>
            </w:pPr>
            <w:r w:rsidRPr="001D2456">
              <w:rPr>
                <w:szCs w:val="22"/>
              </w:rPr>
              <w:t xml:space="preserve">FRN:  </w:t>
            </w:r>
            <w:r w:rsidR="00AE11A7" w:rsidRPr="00AE11A7">
              <w:rPr>
                <w:szCs w:val="22"/>
              </w:rPr>
              <w:t>000</w:t>
            </w:r>
            <w:r w:rsidR="00DF0E89">
              <w:rPr>
                <w:szCs w:val="22"/>
              </w:rPr>
              <w:t>0013326</w:t>
            </w:r>
          </w:p>
          <w:p w14:paraId="2A4468BC" w14:textId="4EDC72E4" w:rsidR="004B7183" w:rsidRPr="001D2456" w:rsidRDefault="003A56A4" w:rsidP="003A56A4">
            <w:pPr>
              <w:ind w:right="-18"/>
              <w:rPr>
                <w:b/>
                <w:szCs w:val="22"/>
              </w:rPr>
            </w:pPr>
            <w:r w:rsidRPr="001D2456">
              <w:rPr>
                <w:szCs w:val="22"/>
              </w:rPr>
              <w:t xml:space="preserve">Employment Unit </w:t>
            </w:r>
            <w:r w:rsidR="00993870" w:rsidRPr="001D2456">
              <w:rPr>
                <w:szCs w:val="22"/>
              </w:rPr>
              <w:t xml:space="preserve">I.D. </w:t>
            </w:r>
            <w:r w:rsidRPr="001D2456">
              <w:rPr>
                <w:szCs w:val="22"/>
              </w:rPr>
              <w:t>No.</w:t>
            </w:r>
            <w:r w:rsidR="00AE11A7">
              <w:rPr>
                <w:szCs w:val="22"/>
              </w:rPr>
              <w:t xml:space="preserve"> 1575</w:t>
            </w:r>
          </w:p>
          <w:p w14:paraId="2A4468BD" w14:textId="77777777" w:rsidR="00B5418F" w:rsidRPr="001D2456" w:rsidRDefault="00B5418F">
            <w:pPr>
              <w:rPr>
                <w:szCs w:val="22"/>
              </w:rPr>
            </w:pPr>
          </w:p>
        </w:tc>
      </w:tr>
    </w:tbl>
    <w:p w14:paraId="2A4468BF" w14:textId="77777777" w:rsidR="004B7183" w:rsidRPr="001D2456" w:rsidRDefault="004B7183">
      <w:pPr>
        <w:rPr>
          <w:szCs w:val="22"/>
        </w:rPr>
      </w:pPr>
    </w:p>
    <w:p w14:paraId="34CD6690" w14:textId="46303545" w:rsidR="0076691B" w:rsidRPr="0076691B" w:rsidRDefault="0076691B" w:rsidP="0076691B">
      <w:pPr>
        <w:jc w:val="center"/>
        <w:rPr>
          <w:b/>
          <w:spacing w:val="-2"/>
          <w:szCs w:val="22"/>
        </w:rPr>
      </w:pPr>
    </w:p>
    <w:p w14:paraId="2A4468C1" w14:textId="46E46419" w:rsidR="004B7183" w:rsidRDefault="0076691B" w:rsidP="0076691B">
      <w:pPr>
        <w:jc w:val="center"/>
        <w:rPr>
          <w:b/>
          <w:spacing w:val="-2"/>
          <w:szCs w:val="22"/>
        </w:rPr>
      </w:pPr>
      <w:r w:rsidRPr="0076691B">
        <w:rPr>
          <w:b/>
          <w:spacing w:val="-2"/>
          <w:szCs w:val="22"/>
        </w:rPr>
        <w:t>NOTICE OF APPARENT LIABILITY FOR FORFEITURE</w:t>
      </w:r>
    </w:p>
    <w:p w14:paraId="42E0FF5B" w14:textId="77777777" w:rsidR="0076691B" w:rsidRPr="001D2456" w:rsidRDefault="0076691B" w:rsidP="0076691B">
      <w:pPr>
        <w:jc w:val="center"/>
        <w:rPr>
          <w:szCs w:val="22"/>
        </w:rPr>
      </w:pPr>
    </w:p>
    <w:p w14:paraId="2A4468C2" w14:textId="78D4705D" w:rsidR="004B7183" w:rsidRPr="001D2456" w:rsidRDefault="004B7183">
      <w:pPr>
        <w:tabs>
          <w:tab w:val="left" w:pos="5760"/>
        </w:tabs>
        <w:rPr>
          <w:b/>
          <w:szCs w:val="22"/>
        </w:rPr>
      </w:pPr>
      <w:r w:rsidRPr="001D2456">
        <w:rPr>
          <w:b/>
          <w:szCs w:val="22"/>
        </w:rPr>
        <w:t xml:space="preserve">   Adopted:  </w:t>
      </w:r>
      <w:r w:rsidR="00EA6767">
        <w:rPr>
          <w:b/>
          <w:szCs w:val="22"/>
        </w:rPr>
        <w:t>August 8, 2016</w:t>
      </w:r>
      <w:r w:rsidR="00642433" w:rsidRPr="001D2456">
        <w:rPr>
          <w:b/>
          <w:szCs w:val="22"/>
        </w:rPr>
        <w:tab/>
      </w:r>
      <w:r w:rsidR="00EA6767">
        <w:rPr>
          <w:b/>
          <w:szCs w:val="22"/>
        </w:rPr>
        <w:t>Released:  August 8, 2016</w:t>
      </w:r>
    </w:p>
    <w:p w14:paraId="2A4468C3" w14:textId="77777777" w:rsidR="004B7183" w:rsidRPr="001D2456" w:rsidRDefault="004B7183">
      <w:pPr>
        <w:tabs>
          <w:tab w:val="left" w:pos="5760"/>
        </w:tabs>
        <w:rPr>
          <w:b/>
          <w:szCs w:val="22"/>
        </w:rPr>
      </w:pPr>
    </w:p>
    <w:p w14:paraId="2A4468C4" w14:textId="5E29E5F3" w:rsidR="004B7183" w:rsidRPr="001D2456" w:rsidRDefault="004B7183">
      <w:pPr>
        <w:tabs>
          <w:tab w:val="left" w:pos="5760"/>
        </w:tabs>
        <w:rPr>
          <w:spacing w:val="-2"/>
          <w:szCs w:val="22"/>
        </w:rPr>
      </w:pPr>
      <w:r w:rsidRPr="001D2456">
        <w:rPr>
          <w:szCs w:val="22"/>
        </w:rPr>
        <w:t xml:space="preserve">By the </w:t>
      </w:r>
      <w:r w:rsidR="005633DE" w:rsidRPr="001D2456">
        <w:rPr>
          <w:szCs w:val="22"/>
        </w:rPr>
        <w:t>Chief, Media Bureau</w:t>
      </w:r>
      <w:r w:rsidRPr="001D2456">
        <w:rPr>
          <w:spacing w:val="-2"/>
          <w:szCs w:val="22"/>
        </w:rPr>
        <w:t>:</w:t>
      </w:r>
    </w:p>
    <w:p w14:paraId="2A4468C5" w14:textId="77777777" w:rsidR="00642433" w:rsidRPr="001D2456" w:rsidRDefault="00642433">
      <w:pPr>
        <w:tabs>
          <w:tab w:val="left" w:pos="5760"/>
        </w:tabs>
        <w:rPr>
          <w:szCs w:val="22"/>
        </w:rPr>
      </w:pPr>
    </w:p>
    <w:p w14:paraId="2A4468C6" w14:textId="77777777" w:rsidR="00642433" w:rsidRPr="001D2456" w:rsidRDefault="00642433" w:rsidP="008B73C1">
      <w:pPr>
        <w:tabs>
          <w:tab w:val="left" w:pos="5760"/>
        </w:tabs>
        <w:rPr>
          <w:b/>
          <w:szCs w:val="22"/>
        </w:rPr>
      </w:pPr>
      <w:r w:rsidRPr="001D2456">
        <w:rPr>
          <w:b/>
          <w:szCs w:val="22"/>
        </w:rPr>
        <w:t xml:space="preserve">I.  </w:t>
      </w:r>
      <w:r w:rsidR="008B73C1" w:rsidRPr="001D2456">
        <w:rPr>
          <w:b/>
          <w:szCs w:val="22"/>
        </w:rPr>
        <w:t xml:space="preserve">    IN</w:t>
      </w:r>
      <w:r w:rsidRPr="001D2456">
        <w:rPr>
          <w:b/>
          <w:szCs w:val="22"/>
        </w:rPr>
        <w:t>TRODUCTION</w:t>
      </w:r>
    </w:p>
    <w:p w14:paraId="2A4468C7" w14:textId="77777777" w:rsidR="00642433" w:rsidRPr="001D2456" w:rsidRDefault="00642433" w:rsidP="009B0654">
      <w:pPr>
        <w:tabs>
          <w:tab w:val="left" w:pos="5760"/>
        </w:tabs>
        <w:jc w:val="both"/>
        <w:rPr>
          <w:b/>
          <w:szCs w:val="22"/>
        </w:rPr>
      </w:pPr>
    </w:p>
    <w:p w14:paraId="5C5A1CE1" w14:textId="724CFD78" w:rsidR="009B0654" w:rsidRPr="00DB672D" w:rsidRDefault="00C10943" w:rsidP="00DB672D">
      <w:pPr>
        <w:pStyle w:val="ParaNum"/>
        <w:ind w:left="0" w:firstLine="810"/>
        <w:jc w:val="left"/>
      </w:pPr>
      <w:r>
        <w:t>We propose a penalty of eleven thousand dollars ($11,000) against Fidelity Cablevision, Inc. (Fidelity Cablevision)</w:t>
      </w:r>
      <w:r w:rsidR="009B0654" w:rsidRPr="009B0654">
        <w:t>, operator of Employment Unit 1575, Lawton, Oklahoma (the Fidelity Cablevision Unit or Unit)</w:t>
      </w:r>
      <w:r w:rsidR="009B0654">
        <w:t xml:space="preserve">, </w:t>
      </w:r>
      <w:r>
        <w:t xml:space="preserve">for </w:t>
      </w:r>
      <w:r w:rsidR="009B0654">
        <w:t xml:space="preserve">apparently </w:t>
      </w:r>
      <w:r>
        <w:t xml:space="preserve">violating </w:t>
      </w:r>
      <w:r w:rsidR="009B0654">
        <w:t xml:space="preserve">the </w:t>
      </w:r>
      <w:r w:rsidR="009B0654" w:rsidRPr="001D2456">
        <w:t>C</w:t>
      </w:r>
      <w:r w:rsidR="009B0654">
        <w:t>ommission’s equal employment opportunity (EEO) rules</w:t>
      </w:r>
      <w:r>
        <w:t>.</w:t>
      </w:r>
      <w:r w:rsidR="009B0654">
        <w:t xml:space="preserve"> </w:t>
      </w:r>
      <w:r>
        <w:t xml:space="preserve"> Specifically, we find that the Unit apparently willfully and repeatedly</w:t>
      </w:r>
      <w:r w:rsidR="000268F1">
        <w:t xml:space="preserve"> </w:t>
      </w:r>
      <w:r>
        <w:t>failed</w:t>
      </w:r>
      <w:r w:rsidR="009B0654" w:rsidRPr="001D2456">
        <w:t xml:space="preserve"> to comply with the Commission’s </w:t>
      </w:r>
      <w:r w:rsidR="009B0654">
        <w:t xml:space="preserve">recruitment and self-assessment </w:t>
      </w:r>
      <w:r w:rsidR="009B0654" w:rsidRPr="001D2456">
        <w:t>requirements.</w:t>
      </w:r>
      <w:r w:rsidR="00F67203">
        <w:rPr>
          <w:rStyle w:val="FootnoteReference"/>
        </w:rPr>
        <w:footnoteReference w:id="2"/>
      </w:r>
      <w:r w:rsidR="009B0654">
        <w:t xml:space="preserve">  </w:t>
      </w:r>
      <w:r w:rsidR="00DB672D" w:rsidRPr="00DB672D">
        <w:t>To prevent future violations of these requirements, we also impose reporting conditions on the Unit and any successor</w:t>
      </w:r>
      <w:r w:rsidR="00DB672D" w:rsidRPr="00DB672D">
        <w:rPr>
          <w:b/>
        </w:rPr>
        <w:t xml:space="preserve"> </w:t>
      </w:r>
      <w:r w:rsidR="00DB672D" w:rsidRPr="00DB672D">
        <w:t xml:space="preserve">owner of the Unit.  </w:t>
      </w:r>
      <w:r>
        <w:t>In addition, w</w:t>
      </w:r>
      <w:r w:rsidR="00DB672D" w:rsidRPr="00DB672D">
        <w:t>e adjudge the Unit not certifi</w:t>
      </w:r>
      <w:r w:rsidR="00BC0236">
        <w:t>ed for compliance with our EEO r</w:t>
      </w:r>
      <w:r w:rsidR="00DB672D" w:rsidRPr="00DB672D">
        <w:t>ules</w:t>
      </w:r>
      <w:r w:rsidR="00DB672D">
        <w:t xml:space="preserve"> for the year 2015</w:t>
      </w:r>
      <w:r w:rsidR="00DB672D" w:rsidRPr="00DB672D">
        <w:t>.</w:t>
      </w:r>
    </w:p>
    <w:p w14:paraId="2A4468CA" w14:textId="0812BABC" w:rsidR="000C2EFA" w:rsidRPr="009B0654" w:rsidRDefault="000C2EFA" w:rsidP="00E14146">
      <w:pPr>
        <w:pStyle w:val="ParaNum"/>
        <w:numPr>
          <w:ilvl w:val="0"/>
          <w:numId w:val="0"/>
        </w:numPr>
        <w:tabs>
          <w:tab w:val="left" w:pos="0"/>
        </w:tabs>
        <w:ind w:left="90"/>
        <w:jc w:val="left"/>
        <w:rPr>
          <w:b/>
          <w:szCs w:val="22"/>
        </w:rPr>
      </w:pPr>
      <w:r w:rsidRPr="009B0654">
        <w:rPr>
          <w:b/>
          <w:szCs w:val="22"/>
        </w:rPr>
        <w:t xml:space="preserve">II.  </w:t>
      </w:r>
      <w:r w:rsidR="008B73C1" w:rsidRPr="009B0654">
        <w:rPr>
          <w:b/>
          <w:szCs w:val="22"/>
        </w:rPr>
        <w:t xml:space="preserve">   </w:t>
      </w:r>
      <w:r w:rsidRPr="009B0654">
        <w:rPr>
          <w:b/>
          <w:szCs w:val="22"/>
        </w:rPr>
        <w:t>BACKGROUND</w:t>
      </w:r>
    </w:p>
    <w:p w14:paraId="41028323" w14:textId="6F4613BC" w:rsidR="00252933" w:rsidRDefault="00252933" w:rsidP="008F1CD7">
      <w:pPr>
        <w:pStyle w:val="ParaNum"/>
        <w:ind w:left="0"/>
        <w:jc w:val="left"/>
      </w:pPr>
      <w:r w:rsidRPr="00695270">
        <w:t xml:space="preserve">Section 76.75(b)(1)(i) of </w:t>
      </w:r>
      <w:r>
        <w:t>the Commission’s</w:t>
      </w:r>
      <w:r w:rsidRPr="00695270">
        <w:t xml:space="preserve"> rules requires </w:t>
      </w:r>
      <w:r w:rsidRPr="001D2456">
        <w:rPr>
          <w:spacing w:val="-2"/>
        </w:rPr>
        <w:t>multichannel video program</w:t>
      </w:r>
      <w:r>
        <w:rPr>
          <w:spacing w:val="-2"/>
        </w:rPr>
        <w:t>ming</w:t>
      </w:r>
      <w:r w:rsidRPr="001D2456">
        <w:rPr>
          <w:spacing w:val="-2"/>
        </w:rPr>
        <w:t xml:space="preserve"> distributor </w:t>
      </w:r>
      <w:r>
        <w:rPr>
          <w:spacing w:val="-2"/>
        </w:rPr>
        <w:t>(</w:t>
      </w:r>
      <w:r w:rsidRPr="001D2456">
        <w:t>MVPD</w:t>
      </w:r>
      <w:r>
        <w:t xml:space="preserve">) </w:t>
      </w:r>
      <w:r w:rsidRPr="00695270">
        <w:t>employment units to use recruitment sources for each vacancy in a manner sufficient, in their reasonable, good faith judgment, to “widely disseminate information concerning the vacancy.”</w:t>
      </w:r>
      <w:r w:rsidRPr="00695270">
        <w:rPr>
          <w:vertAlign w:val="superscript"/>
        </w:rPr>
        <w:footnoteReference w:id="3"/>
      </w:r>
      <w:r w:rsidRPr="00B97051">
        <w:t xml:space="preserve">  </w:t>
      </w:r>
      <w:r w:rsidRPr="00D07427">
        <w:t xml:space="preserve">While the Commission does not require the use of a specific number of recruitment sources, if a source or sources cannot reasonably be expected, collectively, to reach the entire community, a </w:t>
      </w:r>
      <w:r>
        <w:t>u</w:t>
      </w:r>
      <w:r w:rsidRPr="00D07427">
        <w:t xml:space="preserve">nit will be found in noncompliance with </w:t>
      </w:r>
      <w:r w:rsidR="00952D09">
        <w:t>this rule</w:t>
      </w:r>
      <w:r w:rsidRPr="00D07427">
        <w:t>.</w:t>
      </w:r>
      <w:r w:rsidRPr="00D07427">
        <w:rPr>
          <w:vertAlign w:val="superscript"/>
        </w:rPr>
        <w:footnoteReference w:id="4"/>
      </w:r>
      <w:r>
        <w:t xml:space="preserve">  In addition, </w:t>
      </w:r>
      <w:r w:rsidRPr="00B81671">
        <w:t xml:space="preserve">Section 76.75(f) </w:t>
      </w:r>
      <w:r>
        <w:t xml:space="preserve">of our rules </w:t>
      </w:r>
      <w:r w:rsidRPr="00B81671">
        <w:t>requires a unit to “analyze its recruitment program on an ongoing basis to ensure that it is effective in achieving broad outreach, and address any problems found as a result of its analysis.”</w:t>
      </w:r>
      <w:r w:rsidRPr="00B81671">
        <w:rPr>
          <w:vertAlign w:val="superscript"/>
        </w:rPr>
        <w:footnoteReference w:id="5"/>
      </w:r>
      <w:r>
        <w:t xml:space="preserve">  </w:t>
      </w:r>
    </w:p>
    <w:p w14:paraId="731AAF3D" w14:textId="2951D1C1" w:rsidR="008F1CD7" w:rsidRDefault="00C661C2" w:rsidP="008F1CD7">
      <w:pPr>
        <w:pStyle w:val="ParaNum"/>
        <w:ind w:left="0"/>
        <w:jc w:val="left"/>
      </w:pPr>
      <w:r w:rsidRPr="001D2456">
        <w:t xml:space="preserve">The </w:t>
      </w:r>
      <w:r w:rsidR="00BB436D">
        <w:t xml:space="preserve">Media </w:t>
      </w:r>
      <w:r w:rsidRPr="001D2456">
        <w:t xml:space="preserve">Bureau </w:t>
      </w:r>
      <w:r w:rsidR="00B71AF2">
        <w:t xml:space="preserve">(Bureau) </w:t>
      </w:r>
      <w:r w:rsidRPr="001D2456">
        <w:t xml:space="preserve">audited the </w:t>
      </w:r>
      <w:r w:rsidR="00DB672D">
        <w:t>Fidelity Cablevision Unit</w:t>
      </w:r>
      <w:r w:rsidRPr="001D2456">
        <w:t xml:space="preserve"> for its compliance with </w:t>
      </w:r>
      <w:r w:rsidRPr="001D2456">
        <w:lastRenderedPageBreak/>
        <w:t xml:space="preserve">the Commission’s </w:t>
      </w:r>
      <w:r w:rsidR="00252933">
        <w:t xml:space="preserve">MVPD </w:t>
      </w:r>
      <w:r w:rsidR="00E73393">
        <w:t>EEO</w:t>
      </w:r>
      <w:r w:rsidR="001B45B5">
        <w:t xml:space="preserve"> </w:t>
      </w:r>
      <w:r w:rsidR="00DF0E89">
        <w:t>r</w:t>
      </w:r>
      <w:r w:rsidRPr="001D2456">
        <w:t>u</w:t>
      </w:r>
      <w:r w:rsidR="00955658">
        <w:t>les</w:t>
      </w:r>
      <w:r w:rsidR="00DB672D">
        <w:t xml:space="preserve"> in 2015</w:t>
      </w:r>
      <w:r w:rsidRPr="001D2456">
        <w:t>.</w:t>
      </w:r>
      <w:r w:rsidR="00955658">
        <w:rPr>
          <w:rStyle w:val="FootnoteReference"/>
        </w:rPr>
        <w:footnoteReference w:id="6"/>
      </w:r>
      <w:r w:rsidRPr="001D2456">
        <w:t xml:space="preserve"> </w:t>
      </w:r>
      <w:r w:rsidR="001B45B5">
        <w:t xml:space="preserve"> </w:t>
      </w:r>
      <w:r w:rsidR="00502747">
        <w:t>Th</w:t>
      </w:r>
      <w:r w:rsidR="00BC0236">
        <w:t xml:space="preserve">e Unit submitted its response </w:t>
      </w:r>
      <w:r w:rsidR="002E5451">
        <w:t xml:space="preserve">on </w:t>
      </w:r>
      <w:r w:rsidR="00483C8D">
        <w:t>November 24, 2015</w:t>
      </w:r>
      <w:r w:rsidR="000F7C42">
        <w:t>, for the reporting period of</w:t>
      </w:r>
      <w:r w:rsidR="00483C8D">
        <w:t xml:space="preserve"> September 1, 2014 </w:t>
      </w:r>
      <w:r w:rsidR="000F7C42">
        <w:t>through</w:t>
      </w:r>
      <w:r w:rsidR="00483C8D">
        <w:t xml:space="preserve"> August 31, 2015</w:t>
      </w:r>
      <w:r w:rsidR="000F7C42">
        <w:t>.</w:t>
      </w:r>
      <w:r w:rsidR="00887F58">
        <w:rPr>
          <w:rStyle w:val="FootnoteReference"/>
        </w:rPr>
        <w:footnoteReference w:id="7"/>
      </w:r>
      <w:r w:rsidR="00BB436D">
        <w:t xml:space="preserve">  </w:t>
      </w:r>
      <w:r w:rsidR="001B3C79">
        <w:t>The Unit submitted a further response on July 8, 2016.</w:t>
      </w:r>
      <w:r w:rsidR="001B3C79">
        <w:rPr>
          <w:rStyle w:val="FootnoteReference"/>
        </w:rPr>
        <w:footnoteReference w:id="8"/>
      </w:r>
    </w:p>
    <w:p w14:paraId="1E41EFA5" w14:textId="56D163E8" w:rsidR="008F1CD7" w:rsidRPr="008F1CD7" w:rsidRDefault="00C44759" w:rsidP="00C44759">
      <w:pPr>
        <w:pStyle w:val="ParaNum"/>
        <w:numPr>
          <w:ilvl w:val="0"/>
          <w:numId w:val="0"/>
        </w:numPr>
        <w:tabs>
          <w:tab w:val="clear" w:pos="1440"/>
          <w:tab w:val="left" w:pos="630"/>
        </w:tabs>
        <w:jc w:val="left"/>
        <w:rPr>
          <w:b/>
        </w:rPr>
      </w:pPr>
      <w:r>
        <w:rPr>
          <w:b/>
        </w:rPr>
        <w:t xml:space="preserve">III. </w:t>
      </w:r>
      <w:r>
        <w:rPr>
          <w:b/>
        </w:rPr>
        <w:tab/>
      </w:r>
      <w:r w:rsidR="008F1CD7" w:rsidRPr="008F1CD7">
        <w:rPr>
          <w:b/>
        </w:rPr>
        <w:t>DISCUSSION</w:t>
      </w:r>
    </w:p>
    <w:p w14:paraId="6FA0BD6C" w14:textId="42E89E1F" w:rsidR="00252933" w:rsidRDefault="00252933" w:rsidP="002E77F6">
      <w:pPr>
        <w:pStyle w:val="ParaNum"/>
        <w:ind w:left="0"/>
        <w:jc w:val="left"/>
      </w:pPr>
      <w:r>
        <w:t>Section 503(b) of the Act provides that any person who willfully or repeatedly fails to comply substantially with the terms and conditions of any license, or willfully or repeatedly fails to comply with any of the provisions of the Act or of any rule, regulation, or order issued by the Commission thereunder, shall be liable for a forfeiture penalty.</w:t>
      </w:r>
      <w:r>
        <w:rPr>
          <w:rStyle w:val="FootnoteReference"/>
          <w:spacing w:val="-3"/>
          <w:szCs w:val="22"/>
        </w:rPr>
        <w:footnoteReference w:id="9"/>
      </w:r>
      <w:r>
        <w:t xml:space="preserve">  </w:t>
      </w:r>
      <w:r>
        <w:rPr>
          <w:color w:val="000000"/>
        </w:rPr>
        <w:t>Section 312(f)(1) of the Act defines “willful” as the “conscious and deliberate commission or omission of [any] act, irrespective of any intent to violate” the law.</w:t>
      </w:r>
      <w:r>
        <w:rPr>
          <w:rStyle w:val="FootnoteReference"/>
          <w:color w:val="000000"/>
          <w:spacing w:val="-3"/>
          <w:szCs w:val="22"/>
        </w:rPr>
        <w:footnoteReference w:id="10"/>
      </w:r>
      <w:r>
        <w:rPr>
          <w:color w:val="000000"/>
        </w:rPr>
        <w:t xml:space="preserve">  The legislative history of Section 312(f)(1) clarifies that this definition of willful applies to both Sections 312 and 503(b) of the Act,</w:t>
      </w:r>
      <w:r>
        <w:rPr>
          <w:rStyle w:val="FootnoteReference"/>
          <w:color w:val="000000"/>
          <w:spacing w:val="-3"/>
          <w:szCs w:val="22"/>
        </w:rPr>
        <w:footnoteReference w:id="11"/>
      </w:r>
      <w:r>
        <w:rPr>
          <w:color w:val="000000"/>
        </w:rPr>
        <w:t xml:space="preserve"> and the Commission has so interpreted the term in the Section 503(b) context.</w:t>
      </w:r>
      <w:r>
        <w:rPr>
          <w:rStyle w:val="FootnoteReference"/>
          <w:color w:val="000000"/>
          <w:spacing w:val="-3"/>
          <w:szCs w:val="22"/>
        </w:rPr>
        <w:footnoteReference w:id="12"/>
      </w:r>
      <w:r>
        <w:rPr>
          <w:color w:val="000000"/>
        </w:rPr>
        <w:t xml:space="preserve">  The Commission may also assess a forfeiture for violations that are merely repeated, and not willful.</w:t>
      </w:r>
      <w:r>
        <w:rPr>
          <w:rStyle w:val="FootnoteReference"/>
          <w:color w:val="000000"/>
          <w:szCs w:val="22"/>
        </w:rPr>
        <w:footnoteReference w:id="13"/>
      </w:r>
      <w:r>
        <w:rPr>
          <w:color w:val="000000"/>
        </w:rPr>
        <w:t xml:space="preserve">  </w:t>
      </w:r>
      <w:r>
        <w:t>The term “repeated” means the commission or omission of such act more than once or more than one day.</w:t>
      </w:r>
      <w:r>
        <w:rPr>
          <w:rStyle w:val="FootnoteReference"/>
          <w:spacing w:val="-3"/>
          <w:szCs w:val="22"/>
        </w:rPr>
        <w:footnoteReference w:id="14"/>
      </w:r>
    </w:p>
    <w:p w14:paraId="76A32137" w14:textId="3A83A09D" w:rsidR="00954AB3" w:rsidRPr="00571AA8" w:rsidRDefault="00954AB3" w:rsidP="00571AA8">
      <w:pPr>
        <w:pStyle w:val="ParaNum"/>
        <w:numPr>
          <w:ilvl w:val="1"/>
          <w:numId w:val="29"/>
        </w:numPr>
        <w:jc w:val="left"/>
        <w:rPr>
          <w:b/>
        </w:rPr>
      </w:pPr>
      <w:r>
        <w:rPr>
          <w:b/>
        </w:rPr>
        <w:t xml:space="preserve">EEO Rule </w:t>
      </w:r>
      <w:r w:rsidRPr="00571AA8">
        <w:rPr>
          <w:b/>
        </w:rPr>
        <w:t>Violations</w:t>
      </w:r>
    </w:p>
    <w:p w14:paraId="3881B8D5" w14:textId="6107E47E" w:rsidR="005C47BE" w:rsidRDefault="005E3EB7" w:rsidP="00695270">
      <w:pPr>
        <w:pStyle w:val="ParaNum"/>
        <w:ind w:left="0"/>
        <w:jc w:val="left"/>
      </w:pPr>
      <w:r>
        <w:t>We find</w:t>
      </w:r>
      <w:r w:rsidR="00130F64">
        <w:t xml:space="preserve"> that</w:t>
      </w:r>
      <w:r w:rsidR="00954AB3">
        <w:t>,</w:t>
      </w:r>
      <w:r w:rsidR="00130F64">
        <w:t xml:space="preserve"> during the reporting period</w:t>
      </w:r>
      <w:r w:rsidR="00954AB3">
        <w:t xml:space="preserve"> investigated</w:t>
      </w:r>
      <w:r w:rsidR="00130F64">
        <w:t>, the Unit</w:t>
      </w:r>
      <w:r w:rsidR="00C44759">
        <w:t xml:space="preserve"> </w:t>
      </w:r>
      <w:r w:rsidR="00130F64">
        <w:t xml:space="preserve">failed to recruit widely for 13 </w:t>
      </w:r>
      <w:r w:rsidR="001C067C">
        <w:t>full-time</w:t>
      </w:r>
      <w:r w:rsidR="00790326">
        <w:t xml:space="preserve"> </w:t>
      </w:r>
      <w:r w:rsidR="00130F64">
        <w:t>vacancies</w:t>
      </w:r>
      <w:r w:rsidR="00252933">
        <w:t xml:space="preserve"> in apparent violation of </w:t>
      </w:r>
      <w:r w:rsidR="00252933" w:rsidRPr="00695270">
        <w:t>Section 76.75(b)(1)(i)</w:t>
      </w:r>
      <w:r w:rsidR="00130F64">
        <w:t xml:space="preserve">.  </w:t>
      </w:r>
      <w:r w:rsidR="00EB551E">
        <w:t>Specifically, the U</w:t>
      </w:r>
      <w:r w:rsidR="00130F64">
        <w:t xml:space="preserve">nit </w:t>
      </w:r>
      <w:r w:rsidR="00C44759">
        <w:t>filled</w:t>
      </w:r>
      <w:r w:rsidR="00130F64">
        <w:t xml:space="preserve"> </w:t>
      </w:r>
      <w:r>
        <w:t xml:space="preserve">a total of </w:t>
      </w:r>
      <w:r w:rsidR="00130F64">
        <w:t xml:space="preserve">nine full-time vacancies </w:t>
      </w:r>
      <w:r>
        <w:t xml:space="preserve">using referrals from existing employees and walk-in applicants </w:t>
      </w:r>
      <w:r w:rsidR="00130F64">
        <w:t xml:space="preserve">on </w:t>
      </w:r>
      <w:r>
        <w:t>the foll</w:t>
      </w:r>
      <w:r w:rsidR="00B072A2">
        <w:t>o</w:t>
      </w:r>
      <w:r>
        <w:t xml:space="preserve">wing dates: </w:t>
      </w:r>
      <w:r w:rsidR="00130F64">
        <w:t xml:space="preserve">September 2, 2014, October 6, 2014, October 28, 2014, December 2, 2014, January </w:t>
      </w:r>
      <w:r w:rsidR="00C44759">
        <w:t xml:space="preserve">27, </w:t>
      </w:r>
      <w:r w:rsidR="00C44759">
        <w:lastRenderedPageBreak/>
        <w:t xml:space="preserve">2015, February 9, 2015, </w:t>
      </w:r>
      <w:r w:rsidR="00130F64">
        <w:t>March 16, 2015 (two vacancies), and March 26, 2015</w:t>
      </w:r>
      <w:r w:rsidR="00EB551E">
        <w:t>.  The U</w:t>
      </w:r>
      <w:r w:rsidR="008B583A">
        <w:t>nit hired another employee on July 20, 2015, using an unspecified referral.  I</w:t>
      </w:r>
      <w:r>
        <w:t>n addition, i</w:t>
      </w:r>
      <w:r w:rsidR="008B583A">
        <w:t>t hired two employees on October 28, 2014 and December 22, 2014, respectively, using applications on file from walk-in applicants.</w:t>
      </w:r>
      <w:r w:rsidR="00EB551E">
        <w:t xml:space="preserve">  Finally, it hired an employee on August 24, 2015, </w:t>
      </w:r>
      <w:r w:rsidR="00252933">
        <w:t xml:space="preserve">based on a combination of </w:t>
      </w:r>
      <w:r w:rsidR="00EB551E">
        <w:t>walk-ins</w:t>
      </w:r>
      <w:r w:rsidR="00536184">
        <w:t>,</w:t>
      </w:r>
      <w:r w:rsidR="009D766B">
        <w:t xml:space="preserve"> </w:t>
      </w:r>
      <w:r w:rsidR="00EB551E">
        <w:t>internal posting</w:t>
      </w:r>
      <w:r w:rsidR="000F2F7D">
        <w:t>s</w:t>
      </w:r>
      <w:r w:rsidR="00EB551E">
        <w:t>,</w:t>
      </w:r>
      <w:r w:rsidR="009D766B">
        <w:t xml:space="preserve"> </w:t>
      </w:r>
      <w:r w:rsidR="00536184">
        <w:t>and</w:t>
      </w:r>
      <w:r w:rsidR="00EB551E">
        <w:t xml:space="preserve"> </w:t>
      </w:r>
      <w:r w:rsidR="00C44759">
        <w:t xml:space="preserve">Internet </w:t>
      </w:r>
      <w:r w:rsidR="00EB551E">
        <w:t>website</w:t>
      </w:r>
      <w:r w:rsidR="009D766B">
        <w:t>s</w:t>
      </w:r>
      <w:r w:rsidR="004F41A0">
        <w:t>.</w:t>
      </w:r>
      <w:r w:rsidR="00536184">
        <w:rPr>
          <w:rStyle w:val="FootnoteReference"/>
        </w:rPr>
        <w:footnoteReference w:id="15"/>
      </w:r>
    </w:p>
    <w:p w14:paraId="0C629C43" w14:textId="529EC6A8" w:rsidR="00B97051" w:rsidRDefault="0052022C" w:rsidP="00695270">
      <w:pPr>
        <w:pStyle w:val="ParaNum"/>
        <w:ind w:left="0"/>
        <w:jc w:val="left"/>
      </w:pPr>
      <w:r>
        <w:t>None of the procedures the Unit used to fill these positions appears to satis</w:t>
      </w:r>
      <w:r w:rsidR="009F7E13">
        <w:t>f</w:t>
      </w:r>
      <w:r>
        <w:t xml:space="preserve">y the Commission’s rules.  </w:t>
      </w:r>
      <w:r w:rsidR="00692228">
        <w:t>While it is permissible for a unit to interview or hire a</w:t>
      </w:r>
      <w:r w:rsidR="00EB153B" w:rsidRPr="00EB153B">
        <w:t xml:space="preserve"> </w:t>
      </w:r>
      <w:r w:rsidR="008A6B6C">
        <w:t>“</w:t>
      </w:r>
      <w:r w:rsidR="00EB153B" w:rsidRPr="00EB153B">
        <w:t>walk-in</w:t>
      </w:r>
      <w:r w:rsidR="008A6B6C">
        <w:t>” applicant</w:t>
      </w:r>
      <w:r w:rsidR="00692228">
        <w:t>,</w:t>
      </w:r>
      <w:r w:rsidR="008A6B6C">
        <w:t xml:space="preserve"> </w:t>
      </w:r>
      <w:r w:rsidR="00EB153B" w:rsidRPr="00EB153B">
        <w:t>walk-ins do no</w:t>
      </w:r>
      <w:r w:rsidR="00EB153B">
        <w:t xml:space="preserve">t </w:t>
      </w:r>
      <w:r w:rsidR="008A6B6C" w:rsidRPr="008A6B6C">
        <w:t>constitute a recruitment effort under the Commission’s rules</w:t>
      </w:r>
      <w:r w:rsidR="00EB153B">
        <w:t>.</w:t>
      </w:r>
      <w:r w:rsidR="007815F1">
        <w:rPr>
          <w:rStyle w:val="FootnoteReference"/>
        </w:rPr>
        <w:footnoteReference w:id="16"/>
      </w:r>
      <w:r w:rsidR="00EB153B">
        <w:t xml:space="preserve">  </w:t>
      </w:r>
      <w:r>
        <w:t>Similarly, r</w:t>
      </w:r>
      <w:r w:rsidR="008A6B6C" w:rsidRPr="008A6B6C">
        <w:t xml:space="preserve">elying only on a </w:t>
      </w:r>
      <w:r w:rsidR="008A6B6C">
        <w:t>unit’s</w:t>
      </w:r>
      <w:r w:rsidR="008A6B6C" w:rsidRPr="008A6B6C">
        <w:t xml:space="preserve"> own private conta</w:t>
      </w:r>
      <w:r w:rsidR="00C44759">
        <w:t xml:space="preserve">cts, such as employee </w:t>
      </w:r>
      <w:r w:rsidR="008A6B6C" w:rsidRPr="008A6B6C">
        <w:t>referrals, does not constitute recruitment as conte</w:t>
      </w:r>
      <w:r w:rsidR="008A6B6C">
        <w:t>mplated under the Commission’s r</w:t>
      </w:r>
      <w:r w:rsidR="008A6B6C" w:rsidRPr="008A6B6C">
        <w:t>ules, which require public outreach.</w:t>
      </w:r>
      <w:r w:rsidR="008A6B6C">
        <w:rPr>
          <w:rStyle w:val="FootnoteReference"/>
        </w:rPr>
        <w:footnoteReference w:id="17"/>
      </w:r>
      <w:r w:rsidR="008A6B6C">
        <w:t xml:space="preserve">  </w:t>
      </w:r>
      <w:r w:rsidR="007815F1" w:rsidRPr="007815F1">
        <w:t xml:space="preserve">Internal postings do not result in sufficient public outreach to inform job seekers who </w:t>
      </w:r>
      <w:r w:rsidR="007815F1">
        <w:t xml:space="preserve">are unconnected to Unit </w:t>
      </w:r>
      <w:r w:rsidR="007815F1" w:rsidRPr="007815F1">
        <w:t xml:space="preserve">staff that </w:t>
      </w:r>
      <w:r w:rsidR="007815F1">
        <w:t>positions</w:t>
      </w:r>
      <w:r w:rsidR="007815F1" w:rsidRPr="007815F1">
        <w:t xml:space="preserve"> </w:t>
      </w:r>
      <w:r w:rsidR="000F2F7D">
        <w:t xml:space="preserve">at the Unit </w:t>
      </w:r>
      <w:r w:rsidR="007815F1" w:rsidRPr="007815F1">
        <w:t>are available.</w:t>
      </w:r>
      <w:r w:rsidR="007815F1">
        <w:rPr>
          <w:rStyle w:val="FootnoteReference"/>
        </w:rPr>
        <w:footnoteReference w:id="18"/>
      </w:r>
      <w:r w:rsidR="007815F1" w:rsidRPr="007815F1">
        <w:t xml:space="preserve"> </w:t>
      </w:r>
      <w:r w:rsidR="007815F1">
        <w:t xml:space="preserve"> </w:t>
      </w:r>
      <w:r w:rsidR="00B97051" w:rsidRPr="00B97051">
        <w:t xml:space="preserve">Further, </w:t>
      </w:r>
      <w:r>
        <w:t>the Commis</w:t>
      </w:r>
      <w:r w:rsidR="009F7E13">
        <w:t>s</w:t>
      </w:r>
      <w:r>
        <w:t xml:space="preserve">ion has made clear that </w:t>
      </w:r>
      <w:r w:rsidR="00B97051" w:rsidRPr="00B97051">
        <w:t>recruit</w:t>
      </w:r>
      <w:r>
        <w:t>ing</w:t>
      </w:r>
      <w:r w:rsidR="00B97051" w:rsidRPr="00B97051">
        <w:t xml:space="preserve"> solely from Internet sources </w:t>
      </w:r>
      <w:r>
        <w:t>does not satisfy</w:t>
      </w:r>
      <w:r w:rsidR="00B97051" w:rsidRPr="00B97051">
        <w:t xml:space="preserve"> the requirement to widely disseminate information concerning vacancies.</w:t>
      </w:r>
      <w:r w:rsidR="00B97051" w:rsidRPr="00B97051">
        <w:rPr>
          <w:vertAlign w:val="superscript"/>
        </w:rPr>
        <w:footnoteReference w:id="19"/>
      </w:r>
    </w:p>
    <w:p w14:paraId="1CD16CCE" w14:textId="091D61EA" w:rsidR="00130F64" w:rsidRDefault="00130F64" w:rsidP="004D351B">
      <w:pPr>
        <w:pStyle w:val="ParaNum"/>
        <w:ind w:left="0"/>
        <w:jc w:val="left"/>
      </w:pPr>
      <w:r>
        <w:t xml:space="preserve">  </w:t>
      </w:r>
      <w:r w:rsidR="007D398A">
        <w:t>Because of the Unit’s ongoing failure to widely recruit, we find that it was not possible for the Unit to have adequately analyzed its recruitment program on an ongoing basis to ensure that it was effective in achieving broad outreach or addressing any problems found as a result of this analysis, in apparent violation of Section 76.75(f).</w:t>
      </w:r>
      <w:r w:rsidR="00DF24BA" w:rsidRPr="00DF24BA">
        <w:rPr>
          <w:vertAlign w:val="superscript"/>
        </w:rPr>
        <w:footnoteReference w:id="20"/>
      </w:r>
      <w:r w:rsidR="00B072A2">
        <w:t xml:space="preserve">  Although the Unit states</w:t>
      </w:r>
      <w:r w:rsidR="00B072A2" w:rsidRPr="00B81671">
        <w:t xml:space="preserve"> that</w:t>
      </w:r>
      <w:r w:rsidR="00B072A2">
        <w:t xml:space="preserve"> it “strongly believe(s)” that its “general outreach initiatives did result in the recruitment of candidates,” it acknowledges that it is “not able to confirm that these specific hirees were recruited through those outreach initiatives.”</w:t>
      </w:r>
      <w:r w:rsidR="00B072A2">
        <w:rPr>
          <w:rStyle w:val="FootnoteReference"/>
        </w:rPr>
        <w:footnoteReference w:id="21"/>
      </w:r>
      <w:r w:rsidR="00B072A2">
        <w:t xml:space="preserve">  </w:t>
      </w:r>
    </w:p>
    <w:p w14:paraId="7ABC9AFC" w14:textId="008ADE1B" w:rsidR="00954AB3" w:rsidRPr="009F7E13" w:rsidRDefault="00892B6A" w:rsidP="008529FF">
      <w:pPr>
        <w:pStyle w:val="ParaNum"/>
        <w:numPr>
          <w:ilvl w:val="1"/>
          <w:numId w:val="29"/>
        </w:numPr>
        <w:jc w:val="left"/>
        <w:rPr>
          <w:b/>
        </w:rPr>
      </w:pPr>
      <w:r w:rsidRPr="009F7E13">
        <w:rPr>
          <w:b/>
        </w:rPr>
        <w:t>Proposed Forfeiture</w:t>
      </w:r>
    </w:p>
    <w:p w14:paraId="6A26A221" w14:textId="0461AA1B" w:rsidR="0067251C" w:rsidRDefault="007D398A" w:rsidP="007D398A">
      <w:pPr>
        <w:pStyle w:val="ParaNum"/>
        <w:ind w:left="0"/>
        <w:jc w:val="left"/>
      </w:pPr>
      <w:r w:rsidRPr="007D398A">
        <w:rPr>
          <w:szCs w:val="22"/>
        </w:rPr>
        <w:t xml:space="preserve">In light of the one-year statute of limitations on the Commission’s authority to issue </w:t>
      </w:r>
      <w:r w:rsidR="00777CCB">
        <w:rPr>
          <w:szCs w:val="22"/>
        </w:rPr>
        <w:t>forfeitures</w:t>
      </w:r>
      <w:r w:rsidR="009F7E13">
        <w:rPr>
          <w:szCs w:val="22"/>
        </w:rPr>
        <w:t xml:space="preserve"> </w:t>
      </w:r>
      <w:r w:rsidRPr="007D398A">
        <w:rPr>
          <w:szCs w:val="22"/>
        </w:rPr>
        <w:t>for MVPD EEO violations,</w:t>
      </w:r>
      <w:r>
        <w:rPr>
          <w:szCs w:val="22"/>
        </w:rPr>
        <w:t xml:space="preserve"> 12 </w:t>
      </w:r>
      <w:r w:rsidRPr="007D398A">
        <w:rPr>
          <w:szCs w:val="22"/>
        </w:rPr>
        <w:t xml:space="preserve">of the Unit’s recruiting </w:t>
      </w:r>
      <w:r>
        <w:rPr>
          <w:szCs w:val="22"/>
        </w:rPr>
        <w:t xml:space="preserve">failures </w:t>
      </w:r>
      <w:r w:rsidRPr="007D398A">
        <w:rPr>
          <w:szCs w:val="22"/>
        </w:rPr>
        <w:t xml:space="preserve">cannot be redressed through </w:t>
      </w:r>
      <w:r w:rsidR="007B006F">
        <w:rPr>
          <w:szCs w:val="22"/>
        </w:rPr>
        <w:t xml:space="preserve">a </w:t>
      </w:r>
      <w:r w:rsidRPr="007D398A">
        <w:rPr>
          <w:szCs w:val="22"/>
        </w:rPr>
        <w:t xml:space="preserve">monetary </w:t>
      </w:r>
      <w:r w:rsidR="007B006F">
        <w:rPr>
          <w:szCs w:val="22"/>
        </w:rPr>
        <w:t>penalty</w:t>
      </w:r>
      <w:r w:rsidRPr="007D398A">
        <w:rPr>
          <w:szCs w:val="22"/>
        </w:rPr>
        <w:t>.</w:t>
      </w:r>
      <w:r>
        <w:rPr>
          <w:rStyle w:val="FootnoteReference"/>
          <w:szCs w:val="22"/>
        </w:rPr>
        <w:footnoteReference w:id="22"/>
      </w:r>
      <w:r w:rsidRPr="007D398A">
        <w:rPr>
          <w:szCs w:val="22"/>
        </w:rPr>
        <w:t xml:space="preserve">  With respect to the</w:t>
      </w:r>
      <w:r w:rsidR="00E14146">
        <w:rPr>
          <w:szCs w:val="22"/>
        </w:rPr>
        <w:t xml:space="preserve"> thirteenth</w:t>
      </w:r>
      <w:r>
        <w:rPr>
          <w:szCs w:val="22"/>
        </w:rPr>
        <w:t xml:space="preserve"> </w:t>
      </w:r>
      <w:r w:rsidR="00FC2DAC">
        <w:rPr>
          <w:szCs w:val="22"/>
        </w:rPr>
        <w:t>recruiting failure</w:t>
      </w:r>
      <w:r w:rsidRPr="007D398A">
        <w:rPr>
          <w:szCs w:val="22"/>
        </w:rPr>
        <w:t xml:space="preserve">, however, which occurred on </w:t>
      </w:r>
      <w:r w:rsidR="00FC2DAC">
        <w:rPr>
          <w:szCs w:val="22"/>
        </w:rPr>
        <w:t>August 24, 2015</w:t>
      </w:r>
      <w:r w:rsidRPr="007D398A">
        <w:rPr>
          <w:szCs w:val="22"/>
        </w:rPr>
        <w:t xml:space="preserve">, we issue </w:t>
      </w:r>
      <w:r w:rsidR="007B006F">
        <w:rPr>
          <w:szCs w:val="22"/>
        </w:rPr>
        <w:t>a Notice of Apparent Liability</w:t>
      </w:r>
      <w:r w:rsidR="009E6555">
        <w:rPr>
          <w:szCs w:val="22"/>
        </w:rPr>
        <w:t xml:space="preserve"> and propose a monetary forfeiture</w:t>
      </w:r>
      <w:r w:rsidRPr="007D398A">
        <w:rPr>
          <w:szCs w:val="22"/>
        </w:rPr>
        <w:t xml:space="preserve">.  </w:t>
      </w:r>
    </w:p>
    <w:p w14:paraId="1188AA7D" w14:textId="70CA1336" w:rsidR="00FD7C37" w:rsidRDefault="00FD7C37" w:rsidP="00FD7C37">
      <w:pPr>
        <w:pStyle w:val="ParaNum"/>
        <w:ind w:left="0"/>
        <w:jc w:val="left"/>
      </w:pPr>
      <w:r w:rsidRPr="001D2456">
        <w:t>The</w:t>
      </w:r>
      <w:r w:rsidRPr="00FD7C37">
        <w:rPr>
          <w:i/>
        </w:rPr>
        <w:t xml:space="preserve"> </w:t>
      </w:r>
      <w:r w:rsidRPr="001D2456">
        <w:t>Commission’s</w:t>
      </w:r>
      <w:r w:rsidRPr="00FD7C37">
        <w:rPr>
          <w:i/>
        </w:rPr>
        <w:t xml:space="preserve"> Forfeiture Policy Statement</w:t>
      </w:r>
      <w:r w:rsidR="00F96489">
        <w:t xml:space="preserve"> and Section 1.80(b)(4) of the r</w:t>
      </w:r>
      <w:r w:rsidRPr="001D2456">
        <w:t>ules do not establish a base forfeiture amount for EEO violations</w:t>
      </w:r>
      <w:r w:rsidR="00D7196F">
        <w:t>,</w:t>
      </w:r>
      <w:r w:rsidRPr="001D2456">
        <w:t xml:space="preserve"> such as a failure to self-assess EEO performance</w:t>
      </w:r>
      <w:r>
        <w:t xml:space="preserve">  or perform adequate EEO recruitment</w:t>
      </w:r>
      <w:r w:rsidRPr="001D2456">
        <w:t>.</w:t>
      </w:r>
      <w:r>
        <w:rPr>
          <w:rStyle w:val="FootnoteReference"/>
          <w:szCs w:val="22"/>
        </w:rPr>
        <w:footnoteReference w:id="23"/>
      </w:r>
      <w:r w:rsidRPr="001D2456">
        <w:t xml:space="preserve">  </w:t>
      </w:r>
      <w:r>
        <w:t>In determining the appropriate forfeiture amount, we may adjust the amount upward or downward by considering the factors enumerated in Section 503(b)(2)(D) of the Act, including “the nature, circumstances, extent and gravity of the violation, and, with respect to the violator, the degree of culpability, any history of prior offenses, ability to pay, and such other matters as justice may require.”</w:t>
      </w:r>
      <w:r>
        <w:rPr>
          <w:rStyle w:val="FootnoteReference"/>
          <w:szCs w:val="22"/>
        </w:rPr>
        <w:footnoteReference w:id="24"/>
      </w:r>
      <w:r>
        <w:t xml:space="preserve">  </w:t>
      </w:r>
    </w:p>
    <w:p w14:paraId="13E6E26F" w14:textId="47F0C44B" w:rsidR="005068EA" w:rsidRDefault="005068EA" w:rsidP="005068EA">
      <w:pPr>
        <w:pStyle w:val="ParaNum"/>
        <w:ind w:left="0"/>
        <w:jc w:val="left"/>
      </w:pPr>
      <w:r>
        <w:t>Based upon the facts before us</w:t>
      </w:r>
      <w:r w:rsidR="00D7196F">
        <w:t xml:space="preserve"> and</w:t>
      </w:r>
      <w:r w:rsidR="00E23D92">
        <w:t xml:space="preserve"> </w:t>
      </w:r>
      <w:r>
        <w:t>pertinent precedent</w:t>
      </w:r>
      <w:r w:rsidR="009E6555">
        <w:t>,</w:t>
      </w:r>
      <w:r>
        <w:t xml:space="preserve"> </w:t>
      </w:r>
      <w:r w:rsidRPr="009B0AC8">
        <w:t xml:space="preserve">we find that the </w:t>
      </w:r>
      <w:r>
        <w:t>Unit</w:t>
      </w:r>
      <w:r w:rsidRPr="009B0AC8">
        <w:t xml:space="preserve"> is apparently liable for </w:t>
      </w:r>
      <w:r>
        <w:t>$</w:t>
      </w:r>
      <w:r w:rsidR="00422101">
        <w:t>10</w:t>
      </w:r>
      <w:r>
        <w:t xml:space="preserve">,000 for its </w:t>
      </w:r>
      <w:r w:rsidR="001E7C76">
        <w:t xml:space="preserve">apparent </w:t>
      </w:r>
      <w:r>
        <w:t>violat</w:t>
      </w:r>
      <w:r w:rsidR="00B00B5E">
        <w:t xml:space="preserve">ion of </w:t>
      </w:r>
      <w:r>
        <w:t>Section 76.75(b)(1)(i) and $1</w:t>
      </w:r>
      <w:r w:rsidRPr="0007666B">
        <w:t xml:space="preserve">,000 for its </w:t>
      </w:r>
      <w:r w:rsidR="001E7C76">
        <w:t xml:space="preserve">apparent </w:t>
      </w:r>
      <w:r>
        <w:t>violation of Section</w:t>
      </w:r>
      <w:r w:rsidRPr="00CF13DC">
        <w:t xml:space="preserve"> 76.75(f)</w:t>
      </w:r>
      <w:r w:rsidRPr="0007666B">
        <w:t>, for a total proposed</w:t>
      </w:r>
      <w:r>
        <w:t xml:space="preserve"> forfeiture of $11</w:t>
      </w:r>
      <w:r w:rsidRPr="0007666B">
        <w:t xml:space="preserve">,000.  </w:t>
      </w:r>
      <w:r w:rsidR="00D7196F">
        <w:t>In proposing this amount</w:t>
      </w:r>
      <w:r>
        <w:t>,</w:t>
      </w:r>
      <w:r w:rsidRPr="001D2456">
        <w:t xml:space="preserve"> </w:t>
      </w:r>
      <w:r w:rsidR="00BB65AA">
        <w:t>we take cognizance of the fact that the</w:t>
      </w:r>
      <w:r w:rsidR="00D7196F">
        <w:t xml:space="preserve"> Unit recruited inadequately on a number</w:t>
      </w:r>
      <w:r w:rsidR="00D9419D">
        <w:t xml:space="preserve"> </w:t>
      </w:r>
      <w:r w:rsidR="00D7196F">
        <w:t xml:space="preserve">of occasions </w:t>
      </w:r>
      <w:r>
        <w:t xml:space="preserve">prior to August 2015 </w:t>
      </w:r>
      <w:r w:rsidR="00D7196F">
        <w:t>and upwardly adjus</w:t>
      </w:r>
      <w:r w:rsidR="00BB65AA">
        <w:t>t</w:t>
      </w:r>
      <w:r w:rsidRPr="001D2456">
        <w:t xml:space="preserve"> </w:t>
      </w:r>
      <w:r w:rsidR="00D7196F">
        <w:t>the penalty</w:t>
      </w:r>
      <w:r w:rsidRPr="001D2456">
        <w:t xml:space="preserve"> accordingly.</w:t>
      </w:r>
      <w:r w:rsidR="0066279E" w:rsidRPr="0066279E">
        <w:rPr>
          <w:rStyle w:val="FootnoteReference"/>
          <w:szCs w:val="22"/>
        </w:rPr>
        <w:t xml:space="preserve"> </w:t>
      </w:r>
      <w:r w:rsidR="0066279E">
        <w:rPr>
          <w:szCs w:val="22"/>
        </w:rPr>
        <w:t xml:space="preserve"> </w:t>
      </w:r>
      <w:r w:rsidR="0066279E">
        <w:t>Specifically, the Unit failed to recruit widely for 13 of its 16 total vacancies (81%) during the relevant period, and we therefore find its recruitment failures to be egregious.</w:t>
      </w:r>
      <w:r w:rsidR="0066279E" w:rsidRPr="009B0AC8">
        <w:rPr>
          <w:rStyle w:val="FootnoteReference"/>
          <w:szCs w:val="22"/>
        </w:rPr>
        <w:footnoteReference w:id="25"/>
      </w:r>
      <w:r>
        <w:t xml:space="preserve">  </w:t>
      </w:r>
      <w:r w:rsidR="00F96489">
        <w:t>In accordance with Section 76.77(b), w</w:t>
      </w:r>
      <w:r w:rsidRPr="00293F71">
        <w:t>e</w:t>
      </w:r>
      <w:r w:rsidRPr="0007666B">
        <w:t xml:space="preserve"> also </w:t>
      </w:r>
      <w:r>
        <w:t xml:space="preserve">adjudge the Unit not certified and </w:t>
      </w:r>
      <w:r w:rsidRPr="0007666B">
        <w:t xml:space="preserve">impose reporting conditions as set forth below to ensure that the </w:t>
      </w:r>
      <w:r>
        <w:t>Unit</w:t>
      </w:r>
      <w:r w:rsidRPr="0007666B">
        <w:t xml:space="preserve">, </w:t>
      </w:r>
      <w:r>
        <w:t>and</w:t>
      </w:r>
      <w:r w:rsidRPr="0007666B">
        <w:t xml:space="preserve"> any successor </w:t>
      </w:r>
      <w:r>
        <w:t>owner</w:t>
      </w:r>
      <w:r w:rsidRPr="0007666B">
        <w:t>, maintains an adequate EEO program</w:t>
      </w:r>
      <w:r w:rsidR="00535AF7">
        <w:t xml:space="preserve"> in compliance with the r</w:t>
      </w:r>
      <w:r>
        <w:t>ules.</w:t>
      </w:r>
      <w:r w:rsidR="00F96489">
        <w:rPr>
          <w:rStyle w:val="FootnoteReference"/>
        </w:rPr>
        <w:footnoteReference w:id="26"/>
      </w:r>
    </w:p>
    <w:p w14:paraId="2A4468EC" w14:textId="10106E61" w:rsidR="004558BB" w:rsidRPr="001D2456" w:rsidRDefault="0075272C" w:rsidP="008B73C1">
      <w:pPr>
        <w:rPr>
          <w:b/>
          <w:szCs w:val="22"/>
        </w:rPr>
      </w:pPr>
      <w:r>
        <w:rPr>
          <w:b/>
          <w:szCs w:val="22"/>
        </w:rPr>
        <w:tab/>
      </w:r>
      <w:r w:rsidR="004558BB" w:rsidRPr="001D2456">
        <w:rPr>
          <w:b/>
          <w:szCs w:val="22"/>
        </w:rPr>
        <w:t xml:space="preserve">IV.  </w:t>
      </w:r>
      <w:r w:rsidR="008B73C1" w:rsidRPr="001D2456">
        <w:rPr>
          <w:b/>
          <w:szCs w:val="22"/>
        </w:rPr>
        <w:t xml:space="preserve">    </w:t>
      </w:r>
      <w:r w:rsidR="004558BB" w:rsidRPr="001D2456">
        <w:rPr>
          <w:b/>
          <w:szCs w:val="22"/>
        </w:rPr>
        <w:t>ORDERING CLAUSES</w:t>
      </w:r>
    </w:p>
    <w:p w14:paraId="2A4468ED" w14:textId="77777777" w:rsidR="004558BB" w:rsidRPr="001D2456" w:rsidRDefault="004558BB" w:rsidP="004558BB">
      <w:pPr>
        <w:jc w:val="center"/>
        <w:rPr>
          <w:b/>
          <w:szCs w:val="22"/>
        </w:rPr>
      </w:pPr>
    </w:p>
    <w:p w14:paraId="44849A1B" w14:textId="131022C6" w:rsidR="00B53314" w:rsidRDefault="00B53314" w:rsidP="00B53314">
      <w:pPr>
        <w:pStyle w:val="ParaNum"/>
        <w:ind w:left="0"/>
        <w:jc w:val="left"/>
      </w:pPr>
      <w:r>
        <w:t xml:space="preserve">  </w:t>
      </w:r>
      <w:r w:rsidRPr="00B53314">
        <w:t xml:space="preserve">Accordingly, we find that </w:t>
      </w:r>
      <w:r w:rsidR="009B0654" w:rsidRPr="00B53314">
        <w:t>Fidelity Cablevision</w:t>
      </w:r>
      <w:r>
        <w:t>, Inc</w:t>
      </w:r>
      <w:r w:rsidRPr="00B53314">
        <w:t>.’s employment unit No. 1575</w:t>
      </w:r>
      <w:r>
        <w:t xml:space="preserve"> </w:t>
      </w:r>
      <w:r w:rsidRPr="00B53314">
        <w:t xml:space="preserve">is adjudged </w:t>
      </w:r>
      <w:r w:rsidRPr="0066279E">
        <w:rPr>
          <w:b/>
        </w:rPr>
        <w:t>NOT CERTIFIED</w:t>
      </w:r>
      <w:r w:rsidRPr="00B53314">
        <w:t xml:space="preserve"> for compliance with our EEO rules for </w:t>
      </w:r>
      <w:r>
        <w:t>2015</w:t>
      </w:r>
      <w:r w:rsidRPr="00B53314">
        <w:t xml:space="preserve">, in accordance with 47 C.F.R. § 76.77(b).  </w:t>
      </w:r>
    </w:p>
    <w:p w14:paraId="099C6B18" w14:textId="58F1D4EC" w:rsidR="00B53314" w:rsidRDefault="00B53314" w:rsidP="00B53314">
      <w:pPr>
        <w:pStyle w:val="ParaNum"/>
        <w:ind w:left="0"/>
        <w:jc w:val="left"/>
      </w:pPr>
      <w:r w:rsidRPr="0066279E">
        <w:rPr>
          <w:b/>
        </w:rPr>
        <w:t>IT IS FURTHER ORDERED</w:t>
      </w:r>
      <w:r w:rsidRPr="001D2456">
        <w:t>, pursuant to Section 503(b) of the Communications Act of 1934, as amended, and Section</w:t>
      </w:r>
      <w:r>
        <w:t>s 0.283 and</w:t>
      </w:r>
      <w:r w:rsidR="00C35B80">
        <w:t xml:space="preserve"> 1.80 of the Commission’s r</w:t>
      </w:r>
      <w:r w:rsidRPr="001D2456">
        <w:t xml:space="preserve">ules, that </w:t>
      </w:r>
      <w:r w:rsidRPr="00B53314">
        <w:t>Fidelity Cablevision, Inc</w:t>
      </w:r>
      <w:r>
        <w:t xml:space="preserve">. </w:t>
      </w:r>
      <w:r w:rsidRPr="001D2456">
        <w:t xml:space="preserve">is hereby NOTIFIED of its </w:t>
      </w:r>
      <w:r w:rsidRPr="0066279E">
        <w:rPr>
          <w:b/>
        </w:rPr>
        <w:t>APPARENT LIABILITY FOR FORFEITURE</w:t>
      </w:r>
      <w:r w:rsidRPr="001D2456">
        <w:t xml:space="preserve"> in the amount of</w:t>
      </w:r>
      <w:r>
        <w:t xml:space="preserve"> eleven</w:t>
      </w:r>
      <w:r w:rsidRPr="001D2456">
        <w:t xml:space="preserve"> thousand dollars </w:t>
      </w:r>
      <w:r>
        <w:t>($11</w:t>
      </w:r>
      <w:r w:rsidRPr="001D2456">
        <w:t xml:space="preserve">,000) for its apparent willful and repeated violation of Sections </w:t>
      </w:r>
      <w:r>
        <w:t xml:space="preserve">76.75(b)(1)(i) and </w:t>
      </w:r>
      <w:r w:rsidRPr="00CF13DC">
        <w:t>76.75(f)</w:t>
      </w:r>
      <w:r>
        <w:t xml:space="preserve"> </w:t>
      </w:r>
      <w:r w:rsidR="00C35B80">
        <w:t>of the Commission’s r</w:t>
      </w:r>
      <w:r w:rsidRPr="001D2456">
        <w:t>ules.</w:t>
      </w:r>
    </w:p>
    <w:p w14:paraId="5D79B696" w14:textId="248F73CF" w:rsidR="00FF565E" w:rsidRDefault="00FF565E" w:rsidP="00FF565E">
      <w:pPr>
        <w:pStyle w:val="ParaNum"/>
        <w:ind w:left="0"/>
        <w:jc w:val="left"/>
      </w:pPr>
      <w:r w:rsidRPr="0066279E">
        <w:rPr>
          <w:b/>
        </w:rPr>
        <w:t>IT IS FURTHER ORDERED</w:t>
      </w:r>
      <w:r w:rsidRPr="001D2456">
        <w:t>, pursuant to Se</w:t>
      </w:r>
      <w:r w:rsidR="00C35B80">
        <w:t>ction 1.80 of the Commission’s r</w:t>
      </w:r>
      <w:r w:rsidRPr="001D2456">
        <w:t xml:space="preserve">ules, that, within thirty (30) days of the release date of this </w:t>
      </w:r>
      <w:r w:rsidRPr="00C35B80">
        <w:t>NAL</w:t>
      </w:r>
      <w:r w:rsidRPr="00FF565E">
        <w:rPr>
          <w:i/>
        </w:rPr>
        <w:t>,</w:t>
      </w:r>
      <w:r w:rsidRPr="001D2456">
        <w:t xml:space="preserve"> </w:t>
      </w:r>
      <w:r w:rsidRPr="00FF565E">
        <w:t>Fidelity Cablevision, Inc</w:t>
      </w:r>
      <w:r>
        <w:t xml:space="preserve">. </w:t>
      </w:r>
      <w:r w:rsidRPr="001D2456">
        <w:t xml:space="preserve">SHALL PAY the full amount of the proposed forfeiture or SHALL FILE a written statement seeking reduction or cancellation of the proposed forfeiture. </w:t>
      </w:r>
    </w:p>
    <w:p w14:paraId="2A4468F1" w14:textId="55B1D99B" w:rsidR="009161FB" w:rsidRDefault="009161FB" w:rsidP="00985572">
      <w:pPr>
        <w:pStyle w:val="ParaNum"/>
        <w:ind w:left="0"/>
        <w:jc w:val="left"/>
      </w:pPr>
      <w:r w:rsidRPr="009161FB">
        <w:t>The payment must be made by check or similar instrument, wire transfer, or credit card, and must include the NAL/Account number and FRN referenced above.  Regardless of the form of payment, a completed FCC Form 159 (Remittance Advice) must be submitted.</w:t>
      </w:r>
      <w:r w:rsidRPr="009161FB">
        <w:rPr>
          <w:vertAlign w:val="superscript"/>
        </w:rPr>
        <w:footnoteReference w:id="27"/>
      </w:r>
      <w:r w:rsidRPr="009161FB">
        <w:t xml:space="preserve">  When completing the FCC Form 159, enter the Account Number in block number 23A (call sign/other ID) and enter the letters “FORF” in block number 24A (payment type code).  Below are additional instructions you should follow based on the form of payment you select:</w:t>
      </w:r>
    </w:p>
    <w:p w14:paraId="2A4468F3" w14:textId="77777777" w:rsidR="009161FB" w:rsidRPr="009161FB" w:rsidRDefault="009161FB" w:rsidP="00985572">
      <w:pPr>
        <w:numPr>
          <w:ilvl w:val="0"/>
          <w:numId w:val="26"/>
        </w:numPr>
        <w:ind w:left="1080"/>
      </w:pPr>
      <w:r w:rsidRPr="009161FB">
        <w:t>Payment by check or money order must be made payable to the order of the Federal Communications Commission.  Such payments (along with the completed Form 159) must</w:t>
      </w:r>
      <w:r w:rsidRPr="009161FB" w:rsidDel="000E164A">
        <w:t xml:space="preserve"> </w:t>
      </w:r>
      <w:r w:rsidRPr="009161FB">
        <w:t xml:space="preserve">be mailed to Federal Communications Commission, P.O. Box 979088, St. Louis, MO 63197-9000, or sent via overnight mail to U.S. Bank – Government Lockbox #979088, SL-MO-C2-GL, 1005 Convention Plaza, St. Louis, MO 63101.  </w:t>
      </w:r>
    </w:p>
    <w:p w14:paraId="2A4468F4" w14:textId="77777777" w:rsidR="009161FB" w:rsidRPr="009161FB" w:rsidRDefault="009161FB" w:rsidP="00985572">
      <w:pPr>
        <w:numPr>
          <w:ilvl w:val="0"/>
          <w:numId w:val="26"/>
        </w:numPr>
        <w:ind w:left="1008" w:right="-288"/>
      </w:pPr>
      <w:r w:rsidRPr="009161FB">
        <w:t xml:space="preserve">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  </w:t>
      </w:r>
    </w:p>
    <w:p w14:paraId="2A4468F5" w14:textId="77777777" w:rsidR="009161FB" w:rsidRPr="009161FB" w:rsidRDefault="009161FB" w:rsidP="00985572">
      <w:pPr>
        <w:numPr>
          <w:ilvl w:val="0"/>
          <w:numId w:val="26"/>
        </w:numPr>
        <w:ind w:left="1008" w:right="-288"/>
      </w:pPr>
      <w:r w:rsidRPr="009161FB">
        <w:t>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w:t>
      </w:r>
    </w:p>
    <w:p w14:paraId="2A4468F6" w14:textId="548ADD62" w:rsidR="009161FB" w:rsidRDefault="009161FB" w:rsidP="00985572">
      <w:pPr>
        <w:ind w:left="1008" w:right="-288"/>
      </w:pPr>
      <w:r w:rsidRPr="009161FB">
        <w:t xml:space="preserve">Any requests for full payment under an installment plan should be sent to:  Chief Financial Officer –  Financial Operations, Federal Communications Commission, 445 12th Street, S.W., Room 1-A625, Washington, D.C.  20554.  If you have questions regarding payment procedures, please contact the Financial Operations Group Help Desk by phone, 1-877-480-3201, or by e-mail, </w:t>
      </w:r>
      <w:hyperlink r:id="rId8" w:tooltip="mailto:ARINQUIRIES@fcc.gov" w:history="1">
        <w:r w:rsidRPr="009161FB">
          <w:rPr>
            <w:rStyle w:val="Hyperlink"/>
          </w:rPr>
          <w:t>ARINQUIRIES@fcc.gov</w:t>
        </w:r>
      </w:hyperlink>
      <w:r w:rsidRPr="009161FB">
        <w:t xml:space="preserve">.  </w:t>
      </w:r>
    </w:p>
    <w:p w14:paraId="2A4468F7" w14:textId="77777777" w:rsidR="00B07162" w:rsidRDefault="00B07162" w:rsidP="00985572">
      <w:pPr>
        <w:ind w:left="1152" w:right="-288"/>
      </w:pPr>
    </w:p>
    <w:p w14:paraId="42E15B85" w14:textId="67E804FA" w:rsidR="00FF565E" w:rsidRDefault="00FF565E" w:rsidP="00B92EA0">
      <w:pPr>
        <w:pStyle w:val="ParaNum"/>
        <w:ind w:left="0" w:firstLine="810"/>
        <w:jc w:val="left"/>
      </w:pPr>
      <w:r w:rsidRPr="00FF565E">
        <w:t>The response, if any, must be mailed to Office of the Secretary, Federal Communications Commission, 445 12th Street, S.W., Washington D.C. 20554, ATTN: Lewis Pulley, Assistant Chief, Policy Division, Media Bureau and MUST INCLUDE the NAL/Acct. No. referenced above.</w:t>
      </w:r>
    </w:p>
    <w:p w14:paraId="1A6D8592" w14:textId="76AA026F" w:rsidR="00C054EC" w:rsidRDefault="00C054EC" w:rsidP="00B92EA0">
      <w:pPr>
        <w:pStyle w:val="ParaNum"/>
        <w:ind w:left="0" w:firstLine="810"/>
        <w:jc w:val="left"/>
      </w:pPr>
      <w:r w:rsidRPr="001D2456">
        <w:t>The Commission will not consider reducing or canceling a forfeiture in response to a claim of inability to pay unless the respondent submits: (1) federal tax returns for the most recent three-year period; (2) financial statements prepared according to generally accepted accounting practices (“GAAP”); or (3) some other reliable and objective documentation that accurately reflects the respondent’s current financial status.  Any claim of inability to pay must specifically identify the basis for the claim by reference to the financial documentation submitted.</w:t>
      </w:r>
    </w:p>
    <w:p w14:paraId="7CDCD229" w14:textId="24A16476" w:rsidR="00C054EC" w:rsidRPr="00DC3B38" w:rsidRDefault="00C054EC" w:rsidP="00B92EA0">
      <w:pPr>
        <w:pStyle w:val="ParaNum"/>
        <w:ind w:left="0"/>
        <w:jc w:val="left"/>
      </w:pPr>
      <w:r w:rsidRPr="0066279E">
        <w:rPr>
          <w:b/>
        </w:rPr>
        <w:t>IT IS FURTHER ORDERED</w:t>
      </w:r>
      <w:r>
        <w:t xml:space="preserve"> that the Unit and any successor owner, SHALL SUBMIT to the Federal Communications Commission, Media Bureau, EEO Staff, an original and one copy of a filing, sworn to by an officer of the Unit, containing the following information on October </w:t>
      </w:r>
      <w:r w:rsidR="00183320">
        <w:t>3</w:t>
      </w:r>
      <w:r>
        <w:t xml:space="preserve">, 2016; October </w:t>
      </w:r>
      <w:r w:rsidR="00183320">
        <w:t>2</w:t>
      </w:r>
      <w:r>
        <w:t xml:space="preserve">, 2017; and October </w:t>
      </w:r>
      <w:r w:rsidR="00183320">
        <w:t>1</w:t>
      </w:r>
      <w:r>
        <w:t xml:space="preserve">, 2018: </w:t>
      </w:r>
    </w:p>
    <w:p w14:paraId="3E777BD6" w14:textId="77777777" w:rsidR="00C054EC" w:rsidRDefault="00C054EC" w:rsidP="00C054EC">
      <w:pPr>
        <w:rPr>
          <w:szCs w:val="22"/>
        </w:rPr>
      </w:pPr>
      <w:r>
        <w:rPr>
          <w:szCs w:val="22"/>
        </w:rPr>
        <w:tab/>
        <w:t xml:space="preserve">(a)  the unit’s most recent EEO public file report; </w:t>
      </w:r>
    </w:p>
    <w:p w14:paraId="08D68DD9" w14:textId="77777777" w:rsidR="00C054EC" w:rsidRDefault="00C054EC" w:rsidP="00C054EC">
      <w:pPr>
        <w:suppressAutoHyphens/>
        <w:spacing w:line="240" w:lineRule="atLeast"/>
        <w:rPr>
          <w:szCs w:val="22"/>
        </w:rPr>
      </w:pPr>
    </w:p>
    <w:p w14:paraId="2A0C6DCA" w14:textId="77777777" w:rsidR="00C054EC" w:rsidRDefault="00C054EC" w:rsidP="00C054EC">
      <w:pPr>
        <w:rPr>
          <w:szCs w:val="22"/>
        </w:rPr>
      </w:pPr>
      <w:r>
        <w:rPr>
          <w:szCs w:val="22"/>
        </w:rPr>
        <w:tab/>
        <w:t xml:space="preserve">(b)  dated copies of all advertisements, bulletins, letters, faxes, e-mails, or other communications announcing each full-time vacancy for the preceding reporting year;  </w:t>
      </w:r>
    </w:p>
    <w:p w14:paraId="39DC9B73" w14:textId="77777777" w:rsidR="00C054EC" w:rsidRDefault="00C054EC" w:rsidP="00C054EC">
      <w:pPr>
        <w:rPr>
          <w:szCs w:val="22"/>
        </w:rPr>
      </w:pPr>
    </w:p>
    <w:p w14:paraId="5F44660A" w14:textId="77777777" w:rsidR="00C054EC" w:rsidRDefault="00C054EC" w:rsidP="00C054EC">
      <w:pPr>
        <w:ind w:firstLine="720"/>
        <w:rPr>
          <w:szCs w:val="22"/>
        </w:rPr>
      </w:pPr>
      <w:r>
        <w:rPr>
          <w:szCs w:val="22"/>
        </w:rPr>
        <w:t xml:space="preserve">(c)  the recruitment source that referred the hiree for each full-time vacancy, the job title of each full-time vacancy filled, and the date each full-time vacancy was filled; </w:t>
      </w:r>
    </w:p>
    <w:p w14:paraId="5E0B709D" w14:textId="77777777" w:rsidR="00C054EC" w:rsidRDefault="00C054EC" w:rsidP="00C054EC">
      <w:pPr>
        <w:rPr>
          <w:szCs w:val="22"/>
        </w:rPr>
      </w:pPr>
    </w:p>
    <w:p w14:paraId="77EC0ED9" w14:textId="77777777" w:rsidR="00C054EC" w:rsidRDefault="00C054EC" w:rsidP="00C054EC">
      <w:r>
        <w:rPr>
          <w:szCs w:val="22"/>
        </w:rPr>
        <w:tab/>
        <w:t xml:space="preserve">(d)  </w:t>
      </w:r>
      <w:r>
        <w:t>the total number of interviewees for each full-time vacancy for the preceding reporting year and the referral source for each interviewee; and</w:t>
      </w:r>
    </w:p>
    <w:p w14:paraId="3602968A" w14:textId="77777777" w:rsidR="00C054EC" w:rsidRDefault="00C054EC" w:rsidP="00C054EC"/>
    <w:p w14:paraId="1C5601C7" w14:textId="77777777" w:rsidR="00C054EC" w:rsidRDefault="00C054EC" w:rsidP="00C054EC">
      <w:r>
        <w:tab/>
        <w:t>(e)  the sources contacted for each full-time opening during the reporting year.</w:t>
      </w:r>
    </w:p>
    <w:p w14:paraId="5E97D5E3" w14:textId="77777777" w:rsidR="00E368F7" w:rsidRDefault="00E368F7" w:rsidP="00C054EC"/>
    <w:p w14:paraId="732C58B4" w14:textId="7696AF09" w:rsidR="00C054EC" w:rsidRPr="00FF565E" w:rsidRDefault="00E368F7" w:rsidP="00B92EA0">
      <w:pPr>
        <w:pStyle w:val="ParaNum"/>
        <w:ind w:left="0" w:firstLine="810"/>
      </w:pPr>
      <w:r w:rsidRPr="0066279E">
        <w:rPr>
          <w:b/>
        </w:rPr>
        <w:t>IT IS FURTHER ORDERED</w:t>
      </w:r>
      <w:r w:rsidRPr="00E368F7">
        <w:t xml:space="preserve"> that copies of this </w:t>
      </w:r>
      <w:r w:rsidRPr="00E14146">
        <w:t>NAL</w:t>
      </w:r>
      <w:r w:rsidRPr="00E368F7">
        <w:t xml:space="preserve"> shall be sent, by First Class and Certified Mail, Return Receipt Requested, to</w:t>
      </w:r>
      <w:r>
        <w:t xml:space="preserve"> </w:t>
      </w:r>
      <w:r w:rsidR="00B92EA0" w:rsidRPr="00B92EA0">
        <w:t>Jason Ross, General Counsel and Vice President - Legal, Fidelity Communications</w:t>
      </w:r>
      <w:r w:rsidR="00B92EA0">
        <w:t>, 64 N Clark, Sullivan, Missouri 63080 and Scott Friedman, Esquire, Cinnamon Mueller, 307 N. Michigan Ave., Suite 1020, Chicago, Illinois 60601.</w:t>
      </w:r>
    </w:p>
    <w:p w14:paraId="2A4468F9" w14:textId="77777777" w:rsidR="003376BA" w:rsidRPr="001D2456" w:rsidRDefault="003376BA" w:rsidP="001F1494">
      <w:pPr>
        <w:ind w:firstLine="720"/>
      </w:pPr>
    </w:p>
    <w:p w14:paraId="2A4468FA" w14:textId="77777777" w:rsidR="00F02A9C" w:rsidRDefault="00F02A9C" w:rsidP="009F12F9">
      <w:pPr>
        <w:tabs>
          <w:tab w:val="left" w:pos="0"/>
        </w:tabs>
        <w:suppressAutoHyphens/>
        <w:jc w:val="right"/>
        <w:rPr>
          <w:szCs w:val="22"/>
        </w:rPr>
      </w:pPr>
    </w:p>
    <w:p w14:paraId="2A4468FB" w14:textId="77777777" w:rsidR="004F0A53" w:rsidRDefault="004F0A53" w:rsidP="004F0A53">
      <w:pPr>
        <w:ind w:right="-18" w:firstLine="3690"/>
        <w:rPr>
          <w:b/>
          <w:szCs w:val="22"/>
        </w:rPr>
      </w:pPr>
      <w:r>
        <w:rPr>
          <w:b/>
          <w:szCs w:val="22"/>
        </w:rPr>
        <w:t>FEDERAL COMMUNICATIONS COMMISSION</w:t>
      </w:r>
    </w:p>
    <w:p w14:paraId="2A4468FC" w14:textId="77777777" w:rsidR="004F0A53" w:rsidRDefault="004F0A53" w:rsidP="004F0A53">
      <w:pPr>
        <w:ind w:right="-18" w:firstLine="3690"/>
        <w:rPr>
          <w:b/>
          <w:szCs w:val="22"/>
        </w:rPr>
      </w:pPr>
    </w:p>
    <w:p w14:paraId="2A4468FD" w14:textId="77777777" w:rsidR="004F0A53" w:rsidRDefault="004F0A53" w:rsidP="004F0A53">
      <w:pPr>
        <w:ind w:right="-18" w:firstLine="3690"/>
        <w:rPr>
          <w:b/>
          <w:szCs w:val="22"/>
        </w:rPr>
      </w:pPr>
    </w:p>
    <w:p w14:paraId="2A4468FE" w14:textId="77777777" w:rsidR="007B60EB" w:rsidRDefault="007B60EB" w:rsidP="004F0A53">
      <w:pPr>
        <w:ind w:right="-18" w:firstLine="3690"/>
        <w:rPr>
          <w:b/>
          <w:szCs w:val="22"/>
        </w:rPr>
      </w:pPr>
    </w:p>
    <w:p w14:paraId="2A4468FF" w14:textId="77777777" w:rsidR="007B60EB" w:rsidRDefault="007B60EB" w:rsidP="004F0A53">
      <w:pPr>
        <w:ind w:right="-18" w:firstLine="3690"/>
        <w:rPr>
          <w:b/>
          <w:szCs w:val="22"/>
        </w:rPr>
      </w:pPr>
    </w:p>
    <w:p w14:paraId="2A446900" w14:textId="793FA8D0" w:rsidR="007B60EB" w:rsidRDefault="004F0A53" w:rsidP="004F0A53">
      <w:pPr>
        <w:ind w:right="-18" w:firstLine="3690"/>
        <w:jc w:val="both"/>
        <w:rPr>
          <w:szCs w:val="22"/>
        </w:rPr>
      </w:pPr>
      <w:smartTag w:uri="urn:schemas-microsoft-com:office:smarttags" w:element="PlaceName">
        <w:r>
          <w:rPr>
            <w:szCs w:val="22"/>
          </w:rPr>
          <w:t>William</w:t>
        </w:r>
      </w:smartTag>
      <w:r>
        <w:rPr>
          <w:szCs w:val="22"/>
        </w:rPr>
        <w:t xml:space="preserve"> </w:t>
      </w:r>
      <w:smartTag w:uri="urn:schemas-microsoft-com:office:smarttags" w:element="PlaceName">
        <w:r>
          <w:rPr>
            <w:szCs w:val="22"/>
          </w:rPr>
          <w:t>T.</w:t>
        </w:r>
      </w:smartTag>
      <w:r>
        <w:rPr>
          <w:szCs w:val="22"/>
        </w:rPr>
        <w:t xml:space="preserve"> Lake</w:t>
      </w:r>
    </w:p>
    <w:p w14:paraId="2A446901" w14:textId="77777777" w:rsidR="004F0A53" w:rsidRDefault="004F0A53" w:rsidP="004F0A53">
      <w:pPr>
        <w:ind w:right="-18" w:firstLine="3690"/>
        <w:jc w:val="both"/>
        <w:rPr>
          <w:szCs w:val="22"/>
        </w:rPr>
      </w:pPr>
      <w:r>
        <w:rPr>
          <w:szCs w:val="22"/>
        </w:rPr>
        <w:t>Chief</w:t>
      </w:r>
    </w:p>
    <w:p w14:paraId="2A446902" w14:textId="1CC60DEB" w:rsidR="004F0A53" w:rsidRDefault="000D593E" w:rsidP="004F0A53">
      <w:pPr>
        <w:ind w:left="2880" w:firstLine="720"/>
        <w:rPr>
          <w:b/>
        </w:rPr>
      </w:pPr>
      <w:r>
        <w:rPr>
          <w:szCs w:val="22"/>
        </w:rPr>
        <w:t xml:space="preserve">  </w:t>
      </w:r>
      <w:r w:rsidR="004F0A53">
        <w:rPr>
          <w:szCs w:val="22"/>
        </w:rPr>
        <w:t>Media Bureau</w:t>
      </w:r>
      <w:r w:rsidR="004F0A53">
        <w:t xml:space="preserve"> </w:t>
      </w:r>
    </w:p>
    <w:p w14:paraId="2A446903" w14:textId="77777777" w:rsidR="009F12F9" w:rsidRPr="001D2456" w:rsidRDefault="009F12F9" w:rsidP="004F0A53">
      <w:pPr>
        <w:tabs>
          <w:tab w:val="left" w:pos="0"/>
        </w:tabs>
        <w:suppressAutoHyphens/>
        <w:jc w:val="right"/>
      </w:pPr>
    </w:p>
    <w:sectPr w:rsidR="009F12F9" w:rsidRPr="001D245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ABB9F7" w14:textId="77777777" w:rsidR="000C0177" w:rsidRDefault="000C0177">
      <w:r>
        <w:separator/>
      </w:r>
    </w:p>
  </w:endnote>
  <w:endnote w:type="continuationSeparator" w:id="0">
    <w:p w14:paraId="0B861E99" w14:textId="77777777" w:rsidR="000C0177" w:rsidRDefault="000C0177">
      <w:r>
        <w:continuationSeparator/>
      </w:r>
    </w:p>
  </w:endnote>
  <w:endnote w:type="continuationNotice" w:id="1">
    <w:p w14:paraId="341D9354" w14:textId="77777777" w:rsidR="000C0177" w:rsidRDefault="000C01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4691A" w14:textId="77777777" w:rsidR="00DD6EAB" w:rsidRDefault="00DD6EAB" w:rsidP="005633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44691B" w14:textId="77777777" w:rsidR="00DD6EAB" w:rsidRDefault="00DD6EAB" w:rsidP="0064243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4691C" w14:textId="0CEF2CBE" w:rsidR="00DD6EAB" w:rsidRDefault="00DD6EAB" w:rsidP="005633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30C04">
      <w:rPr>
        <w:rStyle w:val="PageNumber"/>
        <w:noProof/>
      </w:rPr>
      <w:t>2</w:t>
    </w:r>
    <w:r>
      <w:rPr>
        <w:rStyle w:val="PageNumber"/>
      </w:rPr>
      <w:fldChar w:fldCharType="end"/>
    </w:r>
  </w:p>
  <w:p w14:paraId="2A44691D" w14:textId="77777777" w:rsidR="00DD6EAB" w:rsidRPr="000C2EFA" w:rsidRDefault="00DD6EAB" w:rsidP="00642433">
    <w:pPr>
      <w:pStyle w:val="Footer"/>
      <w:ind w:right="360"/>
      <w:jc w:val="center"/>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46921" w14:textId="77777777" w:rsidR="00DD6EAB" w:rsidRPr="00642433" w:rsidRDefault="00DD6EAB" w:rsidP="00642433">
    <w:pPr>
      <w:pStyle w:val="Footer"/>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7B918C" w14:textId="77777777" w:rsidR="000C0177" w:rsidRDefault="000C0177">
      <w:pPr>
        <w:rPr>
          <w:sz w:val="20"/>
        </w:rPr>
      </w:pPr>
      <w:r>
        <w:rPr>
          <w:sz w:val="20"/>
        </w:rPr>
        <w:separator/>
      </w:r>
    </w:p>
  </w:footnote>
  <w:footnote w:type="continuationSeparator" w:id="0">
    <w:p w14:paraId="6EBC247F" w14:textId="77777777" w:rsidR="000C0177" w:rsidRDefault="000C0177">
      <w:pPr>
        <w:rPr>
          <w:sz w:val="20"/>
        </w:rPr>
      </w:pPr>
      <w:r>
        <w:rPr>
          <w:sz w:val="20"/>
        </w:rPr>
        <w:separator/>
      </w:r>
    </w:p>
    <w:p w14:paraId="42D10C4E" w14:textId="77777777" w:rsidR="000C0177" w:rsidRDefault="000C0177">
      <w:pPr>
        <w:rPr>
          <w:sz w:val="20"/>
        </w:rPr>
      </w:pPr>
      <w:r>
        <w:rPr>
          <w:sz w:val="20"/>
        </w:rPr>
        <w:t>(...continued from previous page)</w:t>
      </w:r>
    </w:p>
  </w:footnote>
  <w:footnote w:type="continuationNotice" w:id="1">
    <w:p w14:paraId="56FF6373" w14:textId="77777777" w:rsidR="000C0177" w:rsidRDefault="000C0177">
      <w:pPr>
        <w:jc w:val="right"/>
        <w:rPr>
          <w:sz w:val="20"/>
        </w:rPr>
      </w:pPr>
      <w:r>
        <w:rPr>
          <w:sz w:val="20"/>
        </w:rPr>
        <w:t>(continued....)</w:t>
      </w:r>
    </w:p>
  </w:footnote>
  <w:footnote w:id="2">
    <w:p w14:paraId="504B77D2" w14:textId="2D6E8F82" w:rsidR="00F67203" w:rsidRDefault="00F67203" w:rsidP="00697ED0">
      <w:pPr>
        <w:pStyle w:val="FootnoteText"/>
        <w:jc w:val="left"/>
      </w:pPr>
      <w:r>
        <w:rPr>
          <w:rStyle w:val="FootnoteReference"/>
        </w:rPr>
        <w:footnoteRef/>
      </w:r>
      <w:r>
        <w:t xml:space="preserve"> 47 C.F.R. §§ 76.75(b)(1)(i) and 76.75(f).</w:t>
      </w:r>
      <w:r w:rsidR="00697ED0">
        <w:t xml:space="preserve"> </w:t>
      </w:r>
      <w:r w:rsidR="00697ED0" w:rsidRPr="00697ED0">
        <w:t xml:space="preserve"> Section 76.75(b)(1)(i) requires that an MVPD employment unit use recruitment sources for each vacancy in a manner sufficient, in its reasonable, good faith judgment, to widely disseminate information concerning the vacancy.  Section 76.75(f) requires that an MVPD unit analyze its recruitment program on an ongoing basis to ensure that it is effective in achieving broad outreach, and address any problems found as a result of its analysis.</w:t>
      </w:r>
    </w:p>
  </w:footnote>
  <w:footnote w:id="3">
    <w:p w14:paraId="2FD35DBE" w14:textId="77777777" w:rsidR="00252933" w:rsidRDefault="00252933" w:rsidP="00252933">
      <w:pPr>
        <w:pStyle w:val="FootnoteText"/>
      </w:pPr>
      <w:r>
        <w:rPr>
          <w:rStyle w:val="FootnoteReference"/>
        </w:rPr>
        <w:footnoteRef/>
      </w:r>
      <w:r>
        <w:t xml:space="preserve"> 47 CFR </w:t>
      </w:r>
      <w:r w:rsidRPr="00CF0159">
        <w:t>§</w:t>
      </w:r>
      <w:r>
        <w:t xml:space="preserve"> </w:t>
      </w:r>
      <w:r w:rsidRPr="00CF0159">
        <w:t>76.75(b)(1)(i)</w:t>
      </w:r>
      <w:r>
        <w:t>.</w:t>
      </w:r>
    </w:p>
  </w:footnote>
  <w:footnote w:id="4">
    <w:p w14:paraId="5AC01199" w14:textId="44C6F6F6" w:rsidR="00252933" w:rsidRDefault="00252933" w:rsidP="00252933">
      <w:pPr>
        <w:pStyle w:val="FootnoteText"/>
        <w:jc w:val="left"/>
      </w:pPr>
      <w:r>
        <w:rPr>
          <w:rStyle w:val="FootnoteReference"/>
        </w:rPr>
        <w:footnoteRef/>
      </w:r>
      <w:r>
        <w:t xml:space="preserve"> </w:t>
      </w:r>
      <w:r>
        <w:rPr>
          <w:i/>
        </w:rPr>
        <w:t>See Review of the Commission’s Broadcast and Cable Equal Employment Opportunity Rules and Policies,</w:t>
      </w:r>
      <w:r>
        <w:t xml:space="preserve"> MM Docket No. 98-204, </w:t>
      </w:r>
      <w:r w:rsidRPr="00972D17">
        <w:rPr>
          <w:i/>
        </w:rPr>
        <w:t>Second Report and Order and Third Notice of Proposed Rulemaking</w:t>
      </w:r>
      <w:r>
        <w:t xml:space="preserve">, 17 FCC Rcd 24018, 24047, para. 86 (2002), </w:t>
      </w:r>
      <w:r>
        <w:rPr>
          <w:i/>
        </w:rPr>
        <w:t>recon. pending</w:t>
      </w:r>
      <w:r>
        <w:t xml:space="preserve"> (</w:t>
      </w:r>
      <w:r w:rsidRPr="00972D17">
        <w:rPr>
          <w:i/>
        </w:rPr>
        <w:t>Second Report and Order</w:t>
      </w:r>
      <w:r>
        <w:t>).</w:t>
      </w:r>
    </w:p>
  </w:footnote>
  <w:footnote w:id="5">
    <w:p w14:paraId="731280D5" w14:textId="77777777" w:rsidR="00252933" w:rsidRDefault="00252933" w:rsidP="00252933">
      <w:pPr>
        <w:pStyle w:val="FootnoteText"/>
      </w:pPr>
      <w:r>
        <w:rPr>
          <w:rStyle w:val="FootnoteReference"/>
        </w:rPr>
        <w:footnoteRef/>
      </w:r>
      <w:r>
        <w:t xml:space="preserve"> </w:t>
      </w:r>
      <w:r w:rsidRPr="003F59E5">
        <w:rPr>
          <w:i/>
        </w:rPr>
        <w:t>See</w:t>
      </w:r>
      <w:r>
        <w:t xml:space="preserve"> 47 C.F.R. § </w:t>
      </w:r>
      <w:r w:rsidRPr="00CF13DC">
        <w:rPr>
          <w:szCs w:val="22"/>
        </w:rPr>
        <w:t>76.75(f)</w:t>
      </w:r>
      <w:r>
        <w:rPr>
          <w:szCs w:val="22"/>
        </w:rPr>
        <w:t>.</w:t>
      </w:r>
    </w:p>
  </w:footnote>
  <w:footnote w:id="6">
    <w:p w14:paraId="2A446927" w14:textId="18A146BF" w:rsidR="00DD6EAB" w:rsidRDefault="00DD6EAB" w:rsidP="004D351B">
      <w:pPr>
        <w:pStyle w:val="FootnoteText"/>
        <w:jc w:val="left"/>
      </w:pPr>
      <w:r>
        <w:rPr>
          <w:rStyle w:val="FootnoteReference"/>
        </w:rPr>
        <w:footnoteRef/>
      </w:r>
      <w:r>
        <w:t xml:space="preserve"> Letter from Lewis Pulley, Assistant Chief, Policy Division, </w:t>
      </w:r>
      <w:r w:rsidR="009F45AC">
        <w:t xml:space="preserve">FCC </w:t>
      </w:r>
      <w:r>
        <w:t xml:space="preserve">Media Bureau, to </w:t>
      </w:r>
      <w:r w:rsidR="00DB672D">
        <w:t>Fidelity Cablevision, Inc.</w:t>
      </w:r>
      <w:r>
        <w:t xml:space="preserve"> </w:t>
      </w:r>
      <w:r w:rsidR="00263106">
        <w:t>(October 9, 2015)</w:t>
      </w:r>
      <w:r w:rsidR="00DF0E89">
        <w:t>.</w:t>
      </w:r>
    </w:p>
  </w:footnote>
  <w:footnote w:id="7">
    <w:p w14:paraId="2A446928" w14:textId="73C27942" w:rsidR="00DD6EAB" w:rsidRDefault="00DD6EAB" w:rsidP="004D351B">
      <w:pPr>
        <w:pStyle w:val="FootnoteText"/>
        <w:jc w:val="left"/>
      </w:pPr>
      <w:r>
        <w:rPr>
          <w:rStyle w:val="FootnoteReference"/>
        </w:rPr>
        <w:footnoteRef/>
      </w:r>
      <w:r>
        <w:t xml:space="preserve"> </w:t>
      </w:r>
      <w:r w:rsidRPr="008830FE">
        <w:t xml:space="preserve">Letter </w:t>
      </w:r>
      <w:r>
        <w:t>from</w:t>
      </w:r>
      <w:r w:rsidR="001B3C79">
        <w:t xml:space="preserve"> Kathy Ruwwe, Director of Human Resources, Fidelity Communications, </w:t>
      </w:r>
      <w:r w:rsidRPr="008830FE">
        <w:t xml:space="preserve">to EEO Staff, Policy Division, </w:t>
      </w:r>
      <w:r w:rsidR="009F45AC">
        <w:t xml:space="preserve">FCC </w:t>
      </w:r>
      <w:r w:rsidRPr="008830FE">
        <w:t>Media Bureau (</w:t>
      </w:r>
      <w:r w:rsidR="001B3C79">
        <w:t>November 24, 2015</w:t>
      </w:r>
      <w:r w:rsidRPr="008830FE">
        <w:t>)</w:t>
      </w:r>
      <w:r>
        <w:t>.</w:t>
      </w:r>
    </w:p>
  </w:footnote>
  <w:footnote w:id="8">
    <w:p w14:paraId="47A6381B" w14:textId="375E0C0B" w:rsidR="001B3C79" w:rsidRDefault="001B3C79" w:rsidP="00BC0236">
      <w:pPr>
        <w:pStyle w:val="FootnoteText"/>
        <w:jc w:val="left"/>
      </w:pPr>
      <w:r>
        <w:rPr>
          <w:rStyle w:val="FootnoteReference"/>
        </w:rPr>
        <w:footnoteRef/>
      </w:r>
      <w:r>
        <w:t xml:space="preserve"> </w:t>
      </w:r>
      <w:r w:rsidRPr="001B3C79">
        <w:t xml:space="preserve">Letter from </w:t>
      </w:r>
      <w:r>
        <w:t>Jason Ross, General Counsel and Vice President - Legal</w:t>
      </w:r>
      <w:r w:rsidRPr="001B3C79">
        <w:t xml:space="preserve">, Fidelity </w:t>
      </w:r>
      <w:r>
        <w:t>Communications</w:t>
      </w:r>
      <w:r w:rsidRPr="001B3C79">
        <w:t>, to EEO Staff, Policy Division, FCC Media Bureau (</w:t>
      </w:r>
      <w:r>
        <w:t>July 8, 2016</w:t>
      </w:r>
      <w:r w:rsidRPr="001B3C79">
        <w:t>)</w:t>
      </w:r>
      <w:r w:rsidR="00AF12C4">
        <w:t xml:space="preserve"> (</w:t>
      </w:r>
      <w:r w:rsidR="00F61C3C">
        <w:t>Ross L</w:t>
      </w:r>
      <w:r w:rsidR="00AF12C4">
        <w:t>etter</w:t>
      </w:r>
      <w:r w:rsidR="00F61C3C">
        <w:t>)</w:t>
      </w:r>
      <w:r w:rsidRPr="001B3C79">
        <w:t>.</w:t>
      </w:r>
    </w:p>
  </w:footnote>
  <w:footnote w:id="9">
    <w:p w14:paraId="048FC628" w14:textId="77777777" w:rsidR="00252933" w:rsidRPr="00D77314" w:rsidRDefault="00252933" w:rsidP="00252933">
      <w:pPr>
        <w:pStyle w:val="FootnoteText"/>
      </w:pPr>
      <w:r w:rsidRPr="00D77314">
        <w:rPr>
          <w:rStyle w:val="FootnoteReference"/>
        </w:rPr>
        <w:footnoteRef/>
      </w:r>
      <w:r w:rsidRPr="00D77314">
        <w:t xml:space="preserve"> 47 U.S.C. § 503(b).</w:t>
      </w:r>
    </w:p>
  </w:footnote>
  <w:footnote w:id="10">
    <w:p w14:paraId="1AB1B1FE" w14:textId="77777777" w:rsidR="00252933" w:rsidRPr="00D77314" w:rsidRDefault="00252933" w:rsidP="00252933">
      <w:pPr>
        <w:pStyle w:val="FootnoteText"/>
      </w:pPr>
      <w:r w:rsidRPr="00D77314">
        <w:rPr>
          <w:rStyle w:val="FootnoteReference"/>
        </w:rPr>
        <w:footnoteRef/>
      </w:r>
      <w:r w:rsidRPr="00D77314">
        <w:t xml:space="preserve"> 47 U.S.C. § 312(f)(1).</w:t>
      </w:r>
    </w:p>
  </w:footnote>
  <w:footnote w:id="11">
    <w:p w14:paraId="2E061F5D" w14:textId="77777777" w:rsidR="00252933" w:rsidRPr="00D77314" w:rsidRDefault="00252933" w:rsidP="00252933">
      <w:pPr>
        <w:pStyle w:val="FootnoteText"/>
      </w:pPr>
      <w:r w:rsidRPr="00D77314">
        <w:rPr>
          <w:rStyle w:val="FootnoteReference"/>
        </w:rPr>
        <w:footnoteRef/>
      </w:r>
      <w:r w:rsidRPr="00D77314">
        <w:t xml:space="preserve"> H.R. Rep. No. 97-765, 97</w:t>
      </w:r>
      <w:r w:rsidRPr="00D77314">
        <w:rPr>
          <w:vertAlign w:val="superscript"/>
        </w:rPr>
        <w:t>th</w:t>
      </w:r>
      <w:r w:rsidRPr="00D77314">
        <w:t xml:space="preserve"> Cong. 2d Sess. 51 (1982) (“</w:t>
      </w:r>
      <w:r w:rsidRPr="00D77314">
        <w:rPr>
          <w:rStyle w:val="documentbody"/>
        </w:rPr>
        <w:t xml:space="preserve">This provision [inserted in Section 312] defines the terms ‘willful’ and ‘repeated’ for purposes of section </w:t>
      </w:r>
      <w:r w:rsidRPr="00D77314">
        <w:rPr>
          <w:rStyle w:val="searchterm"/>
        </w:rPr>
        <w:t>312</w:t>
      </w:r>
      <w:r w:rsidRPr="00D77314">
        <w:rPr>
          <w:rStyle w:val="documentbody"/>
        </w:rPr>
        <w:t xml:space="preserve">, and for any other relevant section of the act (e.g., Section 503)   . . . .  As defined[,] . . . ‘willful’ means that the licensee knew that he was doing the act in question, regardless of whether there was an intent to violate the law.  ‘Repeated’ means more than once, or where the act is continuous, for more than one day.  Whether an act is considered to be ‘continuous’ would depend upon the circumstances in each case.  The definitions are intended primarily to clarify the language in Sections </w:t>
      </w:r>
      <w:r w:rsidRPr="00D77314">
        <w:rPr>
          <w:rStyle w:val="searchterm"/>
        </w:rPr>
        <w:t>312</w:t>
      </w:r>
      <w:r w:rsidRPr="00D77314">
        <w:rPr>
          <w:rStyle w:val="documentbody"/>
        </w:rPr>
        <w:t xml:space="preserve"> and 503, and are consistent with the Commission’s application of those terms . . . .”).</w:t>
      </w:r>
    </w:p>
  </w:footnote>
  <w:footnote w:id="12">
    <w:p w14:paraId="3BEDEE34" w14:textId="77777777" w:rsidR="00252933" w:rsidRPr="00D77314" w:rsidRDefault="00252933" w:rsidP="00252933">
      <w:pPr>
        <w:pStyle w:val="FootnoteText"/>
      </w:pPr>
      <w:r w:rsidRPr="00D77314">
        <w:rPr>
          <w:rStyle w:val="FootnoteReference"/>
        </w:rPr>
        <w:footnoteRef/>
      </w:r>
      <w:r w:rsidRPr="00D77314">
        <w:t xml:space="preserve"> </w:t>
      </w:r>
      <w:r>
        <w:rPr>
          <w:i/>
        </w:rPr>
        <w:t>See, e.g.</w:t>
      </w:r>
      <w:r w:rsidRPr="00DC69C4">
        <w:t>,</w:t>
      </w:r>
      <w:r w:rsidRPr="00D77314">
        <w:rPr>
          <w:i/>
        </w:rPr>
        <w:t xml:space="preserve"> Southern California Broadcasting Co.</w:t>
      </w:r>
      <w:r w:rsidRPr="00D77314">
        <w:t>, Memorandum Opinion and Order, 6 FCC Rcd 4387, 4388</w:t>
      </w:r>
      <w:r>
        <w:t>, para. 5</w:t>
      </w:r>
      <w:r w:rsidRPr="00D77314">
        <w:t xml:space="preserve"> (1991), </w:t>
      </w:r>
      <w:r>
        <w:rPr>
          <w:i/>
        </w:rPr>
        <w:t>recons. denied</w:t>
      </w:r>
      <w:r w:rsidRPr="00DC69C4">
        <w:t>,</w:t>
      </w:r>
      <w:r w:rsidRPr="00D77314">
        <w:rPr>
          <w:i/>
        </w:rPr>
        <w:t xml:space="preserve"> </w:t>
      </w:r>
      <w:r w:rsidRPr="00D77314">
        <w:t>7 FCC Rcd 3454 (1992).</w:t>
      </w:r>
    </w:p>
  </w:footnote>
  <w:footnote w:id="13">
    <w:p w14:paraId="31D81C4E" w14:textId="77777777" w:rsidR="00252933" w:rsidRPr="00D77314" w:rsidRDefault="00252933" w:rsidP="00252933">
      <w:pPr>
        <w:pStyle w:val="FootnoteText"/>
      </w:pPr>
      <w:r w:rsidRPr="00D77314">
        <w:rPr>
          <w:rStyle w:val="FootnoteReference"/>
        </w:rPr>
        <w:footnoteRef/>
      </w:r>
      <w:r w:rsidRPr="00D77314">
        <w:t xml:space="preserve"> </w:t>
      </w:r>
      <w:r w:rsidRPr="00D77314">
        <w:rPr>
          <w:i/>
        </w:rPr>
        <w:t>See, e.g.</w:t>
      </w:r>
      <w:r w:rsidRPr="00DC69C4">
        <w:t>,</w:t>
      </w:r>
      <w:r w:rsidRPr="00D77314">
        <w:t xml:space="preserve"> </w:t>
      </w:r>
      <w:r w:rsidRPr="00D77314">
        <w:rPr>
          <w:i/>
        </w:rPr>
        <w:t>Callais Cablevision, Inc.</w:t>
      </w:r>
      <w:r w:rsidRPr="00D77314">
        <w:t>, Notice of Apparent Liability for Monetary Forfeiture, 16 FCC Rcd 1359, 1362, para. 10 (2001) (</w:t>
      </w:r>
      <w:r w:rsidRPr="00D77314">
        <w:rPr>
          <w:i/>
        </w:rPr>
        <w:t>Callais Cablevision, Inc.</w:t>
      </w:r>
      <w:r w:rsidRPr="00D77314">
        <w:t xml:space="preserve">) (proposing a forfeiture for, </w:t>
      </w:r>
      <w:r w:rsidRPr="00D77314">
        <w:rPr>
          <w:i/>
        </w:rPr>
        <w:t>inter alia</w:t>
      </w:r>
      <w:r w:rsidRPr="00D77314">
        <w:t xml:space="preserve">, a cable television operator’s repeated signal leakage). </w:t>
      </w:r>
    </w:p>
  </w:footnote>
  <w:footnote w:id="14">
    <w:p w14:paraId="4AC2A6E4" w14:textId="77777777" w:rsidR="00252933" w:rsidRPr="00D77314" w:rsidRDefault="00252933" w:rsidP="00252933">
      <w:pPr>
        <w:pStyle w:val="FootnoteText"/>
      </w:pPr>
      <w:r w:rsidRPr="00D77314">
        <w:rPr>
          <w:rStyle w:val="FootnoteReference"/>
        </w:rPr>
        <w:footnoteRef/>
      </w:r>
      <w:r w:rsidRPr="00D77314">
        <w:t xml:space="preserve"> Section 312(f)(2) of the Act, 47 U.S.C. § 312(f)(2), which also applies to violations for which forfeitures are assessed under Section 503(b) of the Act, provides that “[t]he term ‘repeated’, when used with reference to the commission or omission of any act, means the commission or omission of such act more than once or, if such commission or omission is continuous, for more than one day.”  </w:t>
      </w:r>
      <w:r w:rsidRPr="00D77314">
        <w:rPr>
          <w:i/>
        </w:rPr>
        <w:t>See Callais Cablevision, Inc.</w:t>
      </w:r>
      <w:r w:rsidRPr="00D77314">
        <w:t>, 16 FCC Rcd</w:t>
      </w:r>
      <w:r w:rsidRPr="00D77314">
        <w:rPr>
          <w:i/>
        </w:rPr>
        <w:t xml:space="preserve"> </w:t>
      </w:r>
      <w:r w:rsidRPr="00D77314">
        <w:t>at 1362</w:t>
      </w:r>
      <w:r>
        <w:t>, para. 9</w:t>
      </w:r>
      <w:r w:rsidRPr="00D77314">
        <w:t xml:space="preserve">. </w:t>
      </w:r>
    </w:p>
  </w:footnote>
  <w:footnote w:id="15">
    <w:p w14:paraId="2C19E05C" w14:textId="49133278" w:rsidR="00536184" w:rsidRPr="00BE7E00" w:rsidRDefault="00536184">
      <w:pPr>
        <w:pStyle w:val="FootnoteText"/>
        <w:rPr>
          <w:b/>
        </w:rPr>
      </w:pPr>
      <w:r>
        <w:rPr>
          <w:rStyle w:val="FootnoteReference"/>
        </w:rPr>
        <w:footnoteRef/>
      </w:r>
      <w:r>
        <w:t xml:space="preserve"> </w:t>
      </w:r>
      <w:r w:rsidR="0066279E">
        <w:t>T</w:t>
      </w:r>
      <w:r>
        <w:t xml:space="preserve">he Unit reports that it used the following </w:t>
      </w:r>
      <w:r w:rsidR="004F41A0">
        <w:t xml:space="preserve">websites to recruit for this position:  </w:t>
      </w:r>
      <w:r>
        <w:t>Career Builder, Indeed, Fidelity Co</w:t>
      </w:r>
      <w:r w:rsidR="00BE7E00">
        <w:t xml:space="preserve">mmunications, careerrookie.com, </w:t>
      </w:r>
      <w:r>
        <w:t xml:space="preserve">headhunter.com, jobsinmotion.com, miracleworkers.com, moneyjobs.com, sologig.com, workinretail.com.  </w:t>
      </w:r>
    </w:p>
  </w:footnote>
  <w:footnote w:id="16">
    <w:p w14:paraId="7E3D30F7" w14:textId="6ABF3824" w:rsidR="007815F1" w:rsidRDefault="007815F1">
      <w:pPr>
        <w:pStyle w:val="FootnoteText"/>
      </w:pPr>
      <w:r>
        <w:rPr>
          <w:rStyle w:val="FootnoteReference"/>
        </w:rPr>
        <w:footnoteRef/>
      </w:r>
      <w:r>
        <w:t xml:space="preserve"> </w:t>
      </w:r>
      <w:r w:rsidR="002A7F35" w:rsidRPr="002A7F35">
        <w:rPr>
          <w:i/>
        </w:rPr>
        <w:t>See</w:t>
      </w:r>
      <w:r w:rsidR="002A7F35">
        <w:t xml:space="preserve"> </w:t>
      </w:r>
      <w:r w:rsidRPr="007815F1">
        <w:rPr>
          <w:i/>
        </w:rPr>
        <w:t>New Northwest Broadcasters LLC</w:t>
      </w:r>
      <w:r w:rsidRPr="007815F1">
        <w:t xml:space="preserve">, </w:t>
      </w:r>
      <w:r w:rsidRPr="007815F1">
        <w:rPr>
          <w:i/>
        </w:rPr>
        <w:t>Memorandum Opinion and Order and Notice of Apparent Liability</w:t>
      </w:r>
      <w:r w:rsidRPr="007815F1">
        <w:t>, 21 FCC Rcd 10748,</w:t>
      </w:r>
      <w:r>
        <w:t xml:space="preserve"> 10749 (2006) (forfeiture paid)</w:t>
      </w:r>
      <w:r w:rsidR="00B00B5E">
        <w:t xml:space="preserve"> (</w:t>
      </w:r>
      <w:r w:rsidR="00B00B5E" w:rsidRPr="00B00B5E">
        <w:rPr>
          <w:i/>
        </w:rPr>
        <w:t>New Northwest Broadcasters LLC</w:t>
      </w:r>
      <w:r w:rsidR="00B00B5E">
        <w:t>).</w:t>
      </w:r>
    </w:p>
  </w:footnote>
  <w:footnote w:id="17">
    <w:p w14:paraId="528574C4" w14:textId="0D89D0C4" w:rsidR="008A6B6C" w:rsidRDefault="008A6B6C">
      <w:pPr>
        <w:pStyle w:val="FootnoteText"/>
      </w:pPr>
      <w:r>
        <w:rPr>
          <w:rStyle w:val="FootnoteReference"/>
        </w:rPr>
        <w:footnoteRef/>
      </w:r>
      <w:r>
        <w:t xml:space="preserve"> </w:t>
      </w:r>
      <w:r w:rsidRPr="008A6B6C">
        <w:rPr>
          <w:i/>
        </w:rPr>
        <w:t>Id.</w:t>
      </w:r>
    </w:p>
  </w:footnote>
  <w:footnote w:id="18">
    <w:p w14:paraId="5DF2C4AA" w14:textId="73A73906" w:rsidR="007815F1" w:rsidRDefault="007815F1">
      <w:pPr>
        <w:pStyle w:val="FootnoteText"/>
      </w:pPr>
      <w:r>
        <w:rPr>
          <w:rStyle w:val="FootnoteReference"/>
        </w:rPr>
        <w:footnoteRef/>
      </w:r>
      <w:r>
        <w:t xml:space="preserve"> </w:t>
      </w:r>
      <w:r w:rsidR="000F2F7D" w:rsidRPr="000F2F7D">
        <w:rPr>
          <w:i/>
        </w:rPr>
        <w:t xml:space="preserve">See </w:t>
      </w:r>
      <w:r w:rsidR="000F2F7D" w:rsidRPr="000F2F7D">
        <w:rPr>
          <w:i/>
          <w:iCs/>
        </w:rPr>
        <w:t>Cox Radio, Inc.</w:t>
      </w:r>
      <w:r w:rsidR="000F2F7D" w:rsidRPr="000F2F7D">
        <w:t xml:space="preserve">, </w:t>
      </w:r>
      <w:r w:rsidR="000F2F7D" w:rsidRPr="000F2F7D">
        <w:rPr>
          <w:i/>
        </w:rPr>
        <w:t>Notice of Apparent Liability for Forfeiture</w:t>
      </w:r>
      <w:r w:rsidR="000F2F7D" w:rsidRPr="000F2F7D">
        <w:t xml:space="preserve">, 24 FCC Rcd 8889, 8890 (MB 2009) </w:t>
      </w:r>
      <w:r w:rsidR="002A7F35" w:rsidRPr="002A7F35">
        <w:t>(forfeiture paid)</w:t>
      </w:r>
      <w:r w:rsidR="00B00B5E">
        <w:rPr>
          <w:i/>
          <w:iCs/>
        </w:rPr>
        <w:t xml:space="preserve"> </w:t>
      </w:r>
      <w:r w:rsidR="00B00B5E" w:rsidRPr="00B00B5E">
        <w:rPr>
          <w:iCs/>
        </w:rPr>
        <w:t>(</w:t>
      </w:r>
      <w:r w:rsidR="00B00B5E" w:rsidRPr="00B00B5E">
        <w:rPr>
          <w:i/>
          <w:iCs/>
        </w:rPr>
        <w:t>Cox Radio, Inc.</w:t>
      </w:r>
      <w:r w:rsidR="00B00B5E" w:rsidRPr="00B00B5E">
        <w:rPr>
          <w:iCs/>
        </w:rPr>
        <w:t>).</w:t>
      </w:r>
    </w:p>
  </w:footnote>
  <w:footnote w:id="19">
    <w:p w14:paraId="3EAD763C" w14:textId="1FFD02B4" w:rsidR="00B97051" w:rsidRDefault="00B97051" w:rsidP="00B97051">
      <w:pPr>
        <w:pStyle w:val="FootnoteText"/>
        <w:jc w:val="left"/>
        <w:rPr>
          <w:i/>
        </w:rPr>
      </w:pPr>
      <w:r>
        <w:rPr>
          <w:rStyle w:val="FootnoteReference"/>
        </w:rPr>
        <w:footnoteRef/>
      </w:r>
      <w:r>
        <w:t xml:space="preserve"> </w:t>
      </w:r>
      <w:r>
        <w:rPr>
          <w:i/>
        </w:rPr>
        <w:t xml:space="preserve">See Second Report and Order, </w:t>
      </w:r>
      <w:r>
        <w:t xml:space="preserve">17 FCC Rcd at 24051, </w:t>
      </w:r>
      <w:r w:rsidR="004F41A0">
        <w:t xml:space="preserve">para. </w:t>
      </w:r>
      <w:r>
        <w:t>99.</w:t>
      </w:r>
    </w:p>
  </w:footnote>
  <w:footnote w:id="20">
    <w:p w14:paraId="5249D046" w14:textId="3778CB44" w:rsidR="00DF24BA" w:rsidRDefault="00DF24BA" w:rsidP="00DF24BA">
      <w:pPr>
        <w:pStyle w:val="FootnoteText"/>
        <w:jc w:val="left"/>
      </w:pPr>
      <w:r>
        <w:rPr>
          <w:rStyle w:val="FootnoteReference"/>
        </w:rPr>
        <w:footnoteRef/>
      </w:r>
      <w:r>
        <w:t xml:space="preserve"> 47 CFR</w:t>
      </w:r>
      <w:r w:rsidRPr="00A04754">
        <w:t xml:space="preserve"> §</w:t>
      </w:r>
      <w:r>
        <w:t> </w:t>
      </w:r>
      <w:r w:rsidRPr="00A04754">
        <w:t>76.75(f)</w:t>
      </w:r>
      <w:r>
        <w:t>.</w:t>
      </w:r>
    </w:p>
  </w:footnote>
  <w:footnote w:id="21">
    <w:p w14:paraId="4A80DA28" w14:textId="38FC23C9" w:rsidR="00B072A2" w:rsidRDefault="00B072A2" w:rsidP="00B072A2">
      <w:pPr>
        <w:pStyle w:val="FootnoteText"/>
      </w:pPr>
      <w:r>
        <w:rPr>
          <w:rStyle w:val="FootnoteReference"/>
        </w:rPr>
        <w:footnoteRef/>
      </w:r>
      <w:r>
        <w:t xml:space="preserve"> </w:t>
      </w:r>
      <w:r w:rsidR="00F61C3C">
        <w:t>Ross Letter.</w:t>
      </w:r>
    </w:p>
  </w:footnote>
  <w:footnote w:id="22">
    <w:p w14:paraId="656C7224" w14:textId="77777777" w:rsidR="007D398A" w:rsidRDefault="007D398A" w:rsidP="007D398A">
      <w:pPr>
        <w:pStyle w:val="FootnoteText"/>
        <w:jc w:val="left"/>
      </w:pPr>
      <w:r>
        <w:rPr>
          <w:rStyle w:val="FootnoteReference"/>
        </w:rPr>
        <w:footnoteRef/>
      </w:r>
      <w:r>
        <w:t xml:space="preserve"> </w:t>
      </w:r>
      <w:r>
        <w:rPr>
          <w:szCs w:val="22"/>
        </w:rPr>
        <w:t xml:space="preserve">Section 503(b)(6)(B) of the </w:t>
      </w:r>
      <w:r w:rsidRPr="00BF2E44">
        <w:rPr>
          <w:szCs w:val="22"/>
        </w:rPr>
        <w:t>Act</w:t>
      </w:r>
      <w:r>
        <w:rPr>
          <w:szCs w:val="22"/>
        </w:rPr>
        <w:t xml:space="preserve"> limits the time period within which the Commission can initiate a forfeiture proceeding against non-broadcast entities to only those violations that occur within one year prior to the issuance date of a notice of apparent liability for forfeiture</w:t>
      </w:r>
      <w:r w:rsidRPr="00356DB9">
        <w:rPr>
          <w:szCs w:val="22"/>
        </w:rPr>
        <w:t>.</w:t>
      </w:r>
      <w:r w:rsidRPr="004A76FA">
        <w:rPr>
          <w:szCs w:val="22"/>
        </w:rPr>
        <w:t xml:space="preserve">  </w:t>
      </w:r>
    </w:p>
  </w:footnote>
  <w:footnote w:id="23">
    <w:p w14:paraId="43013575" w14:textId="77777777" w:rsidR="00FD7C37" w:rsidRDefault="00FD7C37" w:rsidP="00FD7C37">
      <w:pPr>
        <w:pStyle w:val="FootnoteText"/>
        <w:jc w:val="left"/>
      </w:pPr>
      <w:r>
        <w:rPr>
          <w:rStyle w:val="FootnoteReference"/>
        </w:rPr>
        <w:footnoteRef/>
      </w:r>
      <w:r>
        <w:t xml:space="preserve"> 47 U.S.C. § 503(b)(2)(D); </w:t>
      </w:r>
      <w:r>
        <w:rPr>
          <w:i/>
        </w:rPr>
        <w:t>see also Forfeiture Policy Statement</w:t>
      </w:r>
      <w:r w:rsidRPr="000A7AD3">
        <w:rPr>
          <w:i/>
        </w:rPr>
        <w:t xml:space="preserve"> </w:t>
      </w:r>
      <w:r>
        <w:rPr>
          <w:i/>
        </w:rPr>
        <w:t>and Amendment of Section 1.80 of the Rules to Incorporate the Forfeiture Guidelines</w:t>
      </w:r>
      <w:r>
        <w:t xml:space="preserve">, </w:t>
      </w:r>
      <w:r w:rsidRPr="004845F4">
        <w:rPr>
          <w:i/>
        </w:rPr>
        <w:t>Report and Order</w:t>
      </w:r>
      <w:r>
        <w:t xml:space="preserve">, 12 FCC Rcd 17087, 17100-01, ¶27; 17113-16 (1997) </w:t>
      </w:r>
      <w:r>
        <w:rPr>
          <w:i/>
        </w:rPr>
        <w:t>(“Forfeiture Policy Statement”),</w:t>
      </w:r>
      <w:r>
        <w:t xml:space="preserve"> </w:t>
      </w:r>
      <w:r>
        <w:rPr>
          <w:i/>
        </w:rPr>
        <w:t>recon. denied</w:t>
      </w:r>
      <w:r>
        <w:t xml:space="preserve">, 15 FCC Rcd 303 (1999); 47 C.F.R. § 1.80(b)(4); 47 C.F.R. § 1.80(b)(4), note to paragraph (b)(4), Section II.    </w:t>
      </w:r>
    </w:p>
  </w:footnote>
  <w:footnote w:id="24">
    <w:p w14:paraId="03B8FDA0" w14:textId="77777777" w:rsidR="00FD7C37" w:rsidRDefault="00FD7C37" w:rsidP="00FD7C37">
      <w:pPr>
        <w:pStyle w:val="FootnoteText"/>
        <w:jc w:val="left"/>
      </w:pPr>
      <w:r>
        <w:rPr>
          <w:rStyle w:val="FootnoteReference"/>
        </w:rPr>
        <w:footnoteRef/>
      </w:r>
      <w:r>
        <w:t xml:space="preserve"> 47 C.F.R. § 1.80(b)(4).    </w:t>
      </w:r>
    </w:p>
  </w:footnote>
  <w:footnote w:id="25">
    <w:p w14:paraId="00EA0D64" w14:textId="0944E805" w:rsidR="0066279E" w:rsidRPr="00E64606" w:rsidRDefault="0066279E" w:rsidP="0066279E">
      <w:pPr>
        <w:pStyle w:val="FootnoteText"/>
        <w:jc w:val="left"/>
      </w:pPr>
      <w:r>
        <w:rPr>
          <w:rStyle w:val="FootnoteReference"/>
        </w:rPr>
        <w:footnoteRef/>
      </w:r>
      <w:r>
        <w:t xml:space="preserve"> </w:t>
      </w:r>
      <w:r w:rsidRPr="00B27E62">
        <w:rPr>
          <w:i/>
        </w:rPr>
        <w:t>See New Northwest Broadcasters</w:t>
      </w:r>
      <w:r>
        <w:rPr>
          <w:i/>
        </w:rPr>
        <w:t xml:space="preserve">, LLC </w:t>
      </w:r>
      <w:r>
        <w:t>at 10749</w:t>
      </w:r>
      <w:r w:rsidRPr="00B27E62">
        <w:t xml:space="preserve"> (Licensee paid a $5,000 forfeiture for failing to recruit for eight out of 25 vacancies (32%) by relying solely on walk-in applicants or referrals as recruitment sources); </w:t>
      </w:r>
      <w:r w:rsidRPr="00B27E62">
        <w:rPr>
          <w:i/>
        </w:rPr>
        <w:t>Cox Radio Inc</w:t>
      </w:r>
      <w:r w:rsidRPr="00B27E62">
        <w:t xml:space="preserve">. at 8891 (Licensee paid a $1,000 forfeiture for failing to recruit properly for one out of 25 vacancies (4%) by relying on industry and employee referrals, and a separate $6,000 forfeiture for failing to recruit widely for seven out of 25 vacancies (28%) by relying on websites and internal postings, industry or employee referrals, or walk-in applicants); </w:t>
      </w:r>
      <w:r w:rsidRPr="00B27E62">
        <w:rPr>
          <w:i/>
        </w:rPr>
        <w:t>MHR License LLC, Memorandum Opinion and Order and Notice of Apparent Liability for Forfeiture</w:t>
      </w:r>
      <w:r w:rsidRPr="00B27E62">
        <w:t xml:space="preserve">, 26 FCC Rcd 17144 (MB 2011) (Licensee paid a $6,000 forfeiture for failing to recruit widely for five out of 14 vacancies (36%) by relying solely on Internet websites to fill two vacancies, and websites, word-of-mouth referrals and vacancy postings on its employee board to fill three vacancies.)  </w:t>
      </w:r>
    </w:p>
  </w:footnote>
  <w:footnote w:id="26">
    <w:p w14:paraId="28C274BD" w14:textId="5A5BE628" w:rsidR="00F96489" w:rsidRDefault="00F96489" w:rsidP="00B22F12">
      <w:pPr>
        <w:pStyle w:val="FootnoteText"/>
        <w:jc w:val="left"/>
      </w:pPr>
      <w:r>
        <w:rPr>
          <w:rStyle w:val="FootnoteReference"/>
        </w:rPr>
        <w:footnoteRef/>
      </w:r>
      <w:r>
        <w:t xml:space="preserve"> </w:t>
      </w:r>
      <w:r w:rsidRPr="00F96489">
        <w:t>47 C.F.R. § 76.77(b)</w:t>
      </w:r>
      <w:r w:rsidR="002623B5">
        <w:t>.</w:t>
      </w:r>
      <w:r w:rsidRPr="00F96489">
        <w:t xml:space="preserve"> </w:t>
      </w:r>
      <w:r w:rsidR="002623B5">
        <w:t xml:space="preserve"> </w:t>
      </w:r>
      <w:r w:rsidR="002623B5" w:rsidRPr="002623B5">
        <w:t xml:space="preserve">Section 76.77(b) </w:t>
      </w:r>
      <w:r w:rsidRPr="00F96489">
        <w:t>requires the Commission to determine, based on information submitted on a unit’s EEO program annual report, whether the unit is in compliance with the Commission’s EEO rules.  If the unit is found to be in compliance, the Commission is required to send a Certificate of Compliance to the unit; if it is found to not be in compliance, the Commission must notify the unit that it is not so certified for the year in question.</w:t>
      </w:r>
    </w:p>
  </w:footnote>
  <w:footnote w:id="27">
    <w:p w14:paraId="2A446955" w14:textId="4E03DD38" w:rsidR="009161FB" w:rsidRDefault="009161FB" w:rsidP="009161FB">
      <w:pPr>
        <w:pStyle w:val="FootnoteText"/>
        <w:jc w:val="left"/>
      </w:pPr>
      <w:r>
        <w:rPr>
          <w:rStyle w:val="FootnoteReference"/>
        </w:rPr>
        <w:footnoteRef/>
      </w:r>
      <w:r>
        <w:t xml:space="preserve"> </w:t>
      </w:r>
      <w:r w:rsidRPr="00626BA2">
        <w:rPr>
          <w:rFonts w:eastAsia="MS Mincho" w:cs="Arial"/>
        </w:rPr>
        <w:t>FCC Form 159</w:t>
      </w:r>
      <w:r>
        <w:rPr>
          <w:rFonts w:eastAsia="MS Mincho" w:cs="Arial"/>
        </w:rPr>
        <w:t xml:space="preserve"> and detailed </w:t>
      </w:r>
      <w:r w:rsidRPr="00626BA2">
        <w:rPr>
          <w:rFonts w:eastAsia="MS Mincho" w:cs="Arial"/>
        </w:rPr>
        <w:t>instructions</w:t>
      </w:r>
      <w:r>
        <w:rPr>
          <w:rFonts w:eastAsia="MS Mincho" w:cs="Arial"/>
        </w:rPr>
        <w:t xml:space="preserve"> </w:t>
      </w:r>
      <w:r w:rsidRPr="00626BA2">
        <w:rPr>
          <w:rFonts w:eastAsia="MS Mincho" w:cs="Arial"/>
        </w:rPr>
        <w:t xml:space="preserve">for completing the form may be obtained at </w:t>
      </w:r>
      <w:hyperlink r:id="rId1" w:history="1">
        <w:r w:rsidRPr="00D626E0">
          <w:rPr>
            <w:rStyle w:val="Hyperlink"/>
            <w:rFonts w:eastAsia="MS Mincho" w:cs="Arial"/>
          </w:rPr>
          <w:t>http://www.fcc.gov/Forms/Form159/159.pdf</w:t>
        </w:r>
      </w:hyperlink>
      <w:r w:rsidRPr="00626BA2">
        <w:rPr>
          <w:rFonts w:eastAsia="MS Mincho"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1432B2" w14:textId="77777777" w:rsidR="00292116" w:rsidRDefault="002921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46916" w14:textId="026FD385" w:rsidR="00DD6EAB" w:rsidRDefault="00DD6EAB">
    <w:pPr>
      <w:pStyle w:val="Header"/>
      <w:tabs>
        <w:tab w:val="clear" w:pos="4320"/>
        <w:tab w:val="clear" w:pos="8640"/>
        <w:tab w:val="center" w:pos="4680"/>
        <w:tab w:val="right" w:pos="9360"/>
      </w:tabs>
      <w:rPr>
        <w:b/>
        <w:sz w:val="24"/>
        <w:szCs w:val="24"/>
      </w:rPr>
    </w:pPr>
    <w:r>
      <w:rPr>
        <w:b/>
      </w:rPr>
      <w:tab/>
    </w:r>
    <w:r w:rsidRPr="000C2EFA">
      <w:rPr>
        <w:b/>
        <w:sz w:val="24"/>
        <w:szCs w:val="24"/>
      </w:rPr>
      <w:t xml:space="preserve">Federal </w:t>
    </w:r>
    <w:r>
      <w:rPr>
        <w:b/>
        <w:sz w:val="24"/>
        <w:szCs w:val="24"/>
      </w:rPr>
      <w:t>Communications Commission</w:t>
    </w:r>
    <w:r w:rsidR="007A7B7E">
      <w:rPr>
        <w:b/>
        <w:sz w:val="24"/>
        <w:szCs w:val="24"/>
      </w:rPr>
      <w:tab/>
      <w:t xml:space="preserve">                        DA 16</w:t>
    </w:r>
    <w:r w:rsidRPr="000C2EFA">
      <w:rPr>
        <w:b/>
        <w:sz w:val="24"/>
        <w:szCs w:val="24"/>
      </w:rPr>
      <w:t>-</w:t>
    </w:r>
    <w:r w:rsidR="00EA6767">
      <w:rPr>
        <w:b/>
        <w:sz w:val="24"/>
        <w:szCs w:val="24"/>
      </w:rPr>
      <w:t>901</w:t>
    </w:r>
  </w:p>
  <w:p w14:paraId="2A446917" w14:textId="77777777" w:rsidR="007A7B7E" w:rsidRPr="000C2EFA" w:rsidRDefault="007A7B7E">
    <w:pPr>
      <w:pStyle w:val="Header"/>
      <w:tabs>
        <w:tab w:val="clear" w:pos="4320"/>
        <w:tab w:val="clear" w:pos="8640"/>
        <w:tab w:val="center" w:pos="4680"/>
        <w:tab w:val="right" w:pos="9360"/>
      </w:tabs>
      <w:rPr>
        <w:b/>
        <w:sz w:val="24"/>
        <w:szCs w:val="24"/>
      </w:rPr>
    </w:pPr>
  </w:p>
  <w:p w14:paraId="2A446918" w14:textId="77777777" w:rsidR="00DD6EAB" w:rsidRDefault="00CA3BB3">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2A446922" wp14:editId="2A446923">
              <wp:simplePos x="0" y="0"/>
              <wp:positionH relativeFrom="column">
                <wp:posOffset>0</wp:posOffset>
              </wp:positionH>
              <wp:positionV relativeFrom="paragraph">
                <wp:posOffset>22225</wp:posOffset>
              </wp:positionV>
              <wp:extent cx="59436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90DD64F"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14:paraId="2A446919" w14:textId="77777777" w:rsidR="00DD6EAB" w:rsidRDefault="00DD6E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4691E" w14:textId="3AE90AC5" w:rsidR="00DD6EAB" w:rsidRPr="00642433" w:rsidRDefault="00DD6EAB">
    <w:pPr>
      <w:pStyle w:val="Header"/>
      <w:tabs>
        <w:tab w:val="clear" w:pos="4320"/>
        <w:tab w:val="clear" w:pos="8640"/>
        <w:tab w:val="center" w:pos="4680"/>
        <w:tab w:val="right" w:pos="9360"/>
      </w:tabs>
      <w:rPr>
        <w:b/>
        <w:sz w:val="24"/>
        <w:szCs w:val="24"/>
      </w:rPr>
    </w:pPr>
    <w:r>
      <w:rPr>
        <w:b/>
      </w:rPr>
      <w:tab/>
    </w:r>
    <w:r w:rsidRPr="00642433">
      <w:rPr>
        <w:b/>
        <w:sz w:val="24"/>
        <w:szCs w:val="24"/>
      </w:rPr>
      <w:t xml:space="preserve">Federal </w:t>
    </w:r>
    <w:r>
      <w:rPr>
        <w:b/>
        <w:sz w:val="24"/>
        <w:szCs w:val="24"/>
      </w:rPr>
      <w:t>Communications Commission</w:t>
    </w:r>
    <w:r w:rsidR="007A7B7E">
      <w:rPr>
        <w:b/>
        <w:sz w:val="24"/>
        <w:szCs w:val="24"/>
      </w:rPr>
      <w:tab/>
      <w:t xml:space="preserve">                          DA 16</w:t>
    </w:r>
    <w:r w:rsidRPr="00642433">
      <w:rPr>
        <w:b/>
        <w:sz w:val="24"/>
        <w:szCs w:val="24"/>
      </w:rPr>
      <w:t>-</w:t>
    </w:r>
    <w:r w:rsidR="00EA6767">
      <w:rPr>
        <w:b/>
        <w:sz w:val="24"/>
        <w:szCs w:val="24"/>
      </w:rPr>
      <w:t>901</w:t>
    </w:r>
  </w:p>
  <w:p w14:paraId="2A44691F" w14:textId="77777777" w:rsidR="007A7B7E" w:rsidRDefault="007A7B7E">
    <w:pPr>
      <w:pStyle w:val="Header"/>
      <w:tabs>
        <w:tab w:val="clear" w:pos="8640"/>
        <w:tab w:val="right" w:pos="9360"/>
      </w:tabs>
    </w:pPr>
  </w:p>
  <w:p w14:paraId="2A446920" w14:textId="77777777" w:rsidR="00DD6EAB" w:rsidRDefault="00CA3BB3">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14:anchorId="2A446924" wp14:editId="2A446925">
              <wp:simplePos x="0" y="0"/>
              <wp:positionH relativeFrom="column">
                <wp:posOffset>0</wp:posOffset>
              </wp:positionH>
              <wp:positionV relativeFrom="paragraph">
                <wp:posOffset>22225</wp:posOffset>
              </wp:positionV>
              <wp:extent cx="59436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021FB66"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CBAB0A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
    <w:nsid w:val="18F36252"/>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5">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7">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8">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9">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3">
    <w:nsid w:val="3D0F1B3D"/>
    <w:multiLevelType w:val="singleLevel"/>
    <w:tmpl w:val="577C8B4C"/>
    <w:lvl w:ilvl="0">
      <w:start w:val="1"/>
      <w:numFmt w:val="decimal"/>
      <w:pStyle w:val="ParaNum"/>
      <w:lvlText w:val="%1."/>
      <w:lvlJc w:val="left"/>
      <w:pPr>
        <w:tabs>
          <w:tab w:val="num" w:pos="1890"/>
        </w:tabs>
        <w:ind w:left="810" w:firstLine="720"/>
      </w:pPr>
      <w:rPr>
        <w:rFonts w:ascii="Times New Roman" w:hAnsi="Times New Roman" w:hint="default"/>
        <w:b w:val="0"/>
        <w:i w:val="0"/>
        <w:caps w:val="0"/>
        <w:strike w:val="0"/>
        <w:dstrike w:val="0"/>
        <w:vanish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5">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6">
    <w:nsid w:val="4C906BBB"/>
    <w:multiLevelType w:val="hybridMultilevel"/>
    <w:tmpl w:val="44FAA1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52C05EDF"/>
    <w:multiLevelType w:val="hybridMultilevel"/>
    <w:tmpl w:val="5AEEF898"/>
    <w:lvl w:ilvl="0" w:tplc="A23EAC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9">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20">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1">
    <w:nsid w:val="56B40596"/>
    <w:multiLevelType w:val="hybridMultilevel"/>
    <w:tmpl w:val="60CAADFC"/>
    <w:lvl w:ilvl="0" w:tplc="A9C8CB40">
      <w:start w:val="4"/>
      <w:numFmt w:val="bullet"/>
      <w:lvlText w:val="•"/>
      <w:lvlJc w:val="left"/>
      <w:pPr>
        <w:ind w:left="1080" w:hanging="360"/>
      </w:pPr>
      <w:rPr>
        <w:rFonts w:ascii="Times New Roman Bold" w:eastAsia="Times New Roman" w:hAnsi="Times New Roman Bold" w:hint="default"/>
      </w:rPr>
    </w:lvl>
    <w:lvl w:ilvl="1" w:tplc="EBD617A0" w:tentative="1">
      <w:start w:val="1"/>
      <w:numFmt w:val="bullet"/>
      <w:lvlText w:val="o"/>
      <w:lvlJc w:val="left"/>
      <w:pPr>
        <w:ind w:left="1800" w:hanging="360"/>
      </w:pPr>
      <w:rPr>
        <w:rFonts w:ascii="Courier New" w:hAnsi="Courier New" w:hint="default"/>
      </w:rPr>
    </w:lvl>
    <w:lvl w:ilvl="2" w:tplc="A50078CC" w:tentative="1">
      <w:start w:val="1"/>
      <w:numFmt w:val="bullet"/>
      <w:lvlText w:val=""/>
      <w:lvlJc w:val="left"/>
      <w:pPr>
        <w:ind w:left="2520" w:hanging="360"/>
      </w:pPr>
      <w:rPr>
        <w:rFonts w:ascii="Wingdings" w:hAnsi="Wingdings" w:hint="default"/>
      </w:rPr>
    </w:lvl>
    <w:lvl w:ilvl="3" w:tplc="972C0A64" w:tentative="1">
      <w:start w:val="1"/>
      <w:numFmt w:val="bullet"/>
      <w:lvlText w:val=""/>
      <w:lvlJc w:val="left"/>
      <w:pPr>
        <w:ind w:left="3240" w:hanging="360"/>
      </w:pPr>
      <w:rPr>
        <w:rFonts w:ascii="Symbol" w:hAnsi="Symbol" w:hint="default"/>
      </w:rPr>
    </w:lvl>
    <w:lvl w:ilvl="4" w:tplc="11901192" w:tentative="1">
      <w:start w:val="1"/>
      <w:numFmt w:val="bullet"/>
      <w:lvlText w:val="o"/>
      <w:lvlJc w:val="left"/>
      <w:pPr>
        <w:ind w:left="3960" w:hanging="360"/>
      </w:pPr>
      <w:rPr>
        <w:rFonts w:ascii="Courier New" w:hAnsi="Courier New" w:hint="default"/>
      </w:rPr>
    </w:lvl>
    <w:lvl w:ilvl="5" w:tplc="7304E72E" w:tentative="1">
      <w:start w:val="1"/>
      <w:numFmt w:val="bullet"/>
      <w:lvlText w:val=""/>
      <w:lvlJc w:val="left"/>
      <w:pPr>
        <w:ind w:left="4680" w:hanging="360"/>
      </w:pPr>
      <w:rPr>
        <w:rFonts w:ascii="Wingdings" w:hAnsi="Wingdings" w:hint="default"/>
      </w:rPr>
    </w:lvl>
    <w:lvl w:ilvl="6" w:tplc="5874ABA2" w:tentative="1">
      <w:start w:val="1"/>
      <w:numFmt w:val="bullet"/>
      <w:lvlText w:val=""/>
      <w:lvlJc w:val="left"/>
      <w:pPr>
        <w:ind w:left="5400" w:hanging="360"/>
      </w:pPr>
      <w:rPr>
        <w:rFonts w:ascii="Symbol" w:hAnsi="Symbol" w:hint="default"/>
      </w:rPr>
    </w:lvl>
    <w:lvl w:ilvl="7" w:tplc="08C6E2FA" w:tentative="1">
      <w:start w:val="1"/>
      <w:numFmt w:val="bullet"/>
      <w:lvlText w:val="o"/>
      <w:lvlJc w:val="left"/>
      <w:pPr>
        <w:ind w:left="6120" w:hanging="360"/>
      </w:pPr>
      <w:rPr>
        <w:rFonts w:ascii="Courier New" w:hAnsi="Courier New" w:hint="default"/>
      </w:rPr>
    </w:lvl>
    <w:lvl w:ilvl="8" w:tplc="5014791A" w:tentative="1">
      <w:start w:val="1"/>
      <w:numFmt w:val="bullet"/>
      <w:lvlText w:val=""/>
      <w:lvlJc w:val="left"/>
      <w:pPr>
        <w:ind w:left="6840" w:hanging="360"/>
      </w:pPr>
      <w:rPr>
        <w:rFonts w:ascii="Wingdings" w:hAnsi="Wingdings" w:hint="default"/>
      </w:rPr>
    </w:lvl>
  </w:abstractNum>
  <w:abstractNum w:abstractNumId="22">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23">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4">
    <w:nsid w:val="61182925"/>
    <w:multiLevelType w:val="singleLevel"/>
    <w:tmpl w:val="A9EE9842"/>
    <w:lvl w:ilvl="0">
      <w:start w:val="1"/>
      <w:numFmt w:val="decimal"/>
      <w:lvlText w:val="%1."/>
      <w:lvlJc w:val="left"/>
      <w:pPr>
        <w:tabs>
          <w:tab w:val="num" w:pos="1080"/>
        </w:tabs>
        <w:ind w:left="0" w:firstLine="720"/>
      </w:pPr>
    </w:lvl>
  </w:abstractNum>
  <w:abstractNum w:abstractNumId="25">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7">
    <w:nsid w:val="7A874DBA"/>
    <w:multiLevelType w:val="hybridMultilevel"/>
    <w:tmpl w:val="A5D42454"/>
    <w:lvl w:ilvl="0" w:tplc="6E1CC568">
      <w:start w:val="2"/>
      <w:numFmt w:val="bullet"/>
      <w:lvlText w:val=""/>
      <w:lvlJc w:val="left"/>
      <w:pPr>
        <w:tabs>
          <w:tab w:val="num" w:pos="1890"/>
        </w:tabs>
        <w:ind w:left="1890" w:hanging="360"/>
      </w:pPr>
      <w:rPr>
        <w:rFonts w:ascii="Symbol" w:eastAsia="Times New Roman" w:hAnsi="Symbol" w:cs="Times New Roman" w:hint="default"/>
      </w:rPr>
    </w:lvl>
    <w:lvl w:ilvl="1" w:tplc="04090003" w:tentative="1">
      <w:start w:val="1"/>
      <w:numFmt w:val="bullet"/>
      <w:lvlText w:val="o"/>
      <w:lvlJc w:val="left"/>
      <w:pPr>
        <w:tabs>
          <w:tab w:val="num" w:pos="2610"/>
        </w:tabs>
        <w:ind w:left="2610" w:hanging="360"/>
      </w:pPr>
      <w:rPr>
        <w:rFonts w:ascii="Courier New" w:hAnsi="Courier New" w:cs="Courier New" w:hint="default"/>
      </w:rPr>
    </w:lvl>
    <w:lvl w:ilvl="2" w:tplc="04090005" w:tentative="1">
      <w:start w:val="1"/>
      <w:numFmt w:val="bullet"/>
      <w:lvlText w:val=""/>
      <w:lvlJc w:val="left"/>
      <w:pPr>
        <w:tabs>
          <w:tab w:val="num" w:pos="3330"/>
        </w:tabs>
        <w:ind w:left="3330" w:hanging="360"/>
      </w:pPr>
      <w:rPr>
        <w:rFonts w:ascii="Wingdings" w:hAnsi="Wingdings" w:hint="default"/>
      </w:rPr>
    </w:lvl>
    <w:lvl w:ilvl="3" w:tplc="04090001" w:tentative="1">
      <w:start w:val="1"/>
      <w:numFmt w:val="bullet"/>
      <w:lvlText w:val=""/>
      <w:lvlJc w:val="left"/>
      <w:pPr>
        <w:tabs>
          <w:tab w:val="num" w:pos="4050"/>
        </w:tabs>
        <w:ind w:left="4050" w:hanging="360"/>
      </w:pPr>
      <w:rPr>
        <w:rFonts w:ascii="Symbol" w:hAnsi="Symbol" w:hint="default"/>
      </w:rPr>
    </w:lvl>
    <w:lvl w:ilvl="4" w:tplc="04090003" w:tentative="1">
      <w:start w:val="1"/>
      <w:numFmt w:val="bullet"/>
      <w:lvlText w:val="o"/>
      <w:lvlJc w:val="left"/>
      <w:pPr>
        <w:tabs>
          <w:tab w:val="num" w:pos="4770"/>
        </w:tabs>
        <w:ind w:left="4770" w:hanging="360"/>
      </w:pPr>
      <w:rPr>
        <w:rFonts w:ascii="Courier New" w:hAnsi="Courier New" w:cs="Courier New" w:hint="default"/>
      </w:rPr>
    </w:lvl>
    <w:lvl w:ilvl="5" w:tplc="04090005" w:tentative="1">
      <w:start w:val="1"/>
      <w:numFmt w:val="bullet"/>
      <w:lvlText w:val=""/>
      <w:lvlJc w:val="left"/>
      <w:pPr>
        <w:tabs>
          <w:tab w:val="num" w:pos="5490"/>
        </w:tabs>
        <w:ind w:left="5490" w:hanging="360"/>
      </w:pPr>
      <w:rPr>
        <w:rFonts w:ascii="Wingdings" w:hAnsi="Wingdings" w:hint="default"/>
      </w:rPr>
    </w:lvl>
    <w:lvl w:ilvl="6" w:tplc="04090001" w:tentative="1">
      <w:start w:val="1"/>
      <w:numFmt w:val="bullet"/>
      <w:lvlText w:val=""/>
      <w:lvlJc w:val="left"/>
      <w:pPr>
        <w:tabs>
          <w:tab w:val="num" w:pos="6210"/>
        </w:tabs>
        <w:ind w:left="6210" w:hanging="360"/>
      </w:pPr>
      <w:rPr>
        <w:rFonts w:ascii="Symbol" w:hAnsi="Symbol" w:hint="default"/>
      </w:rPr>
    </w:lvl>
    <w:lvl w:ilvl="7" w:tplc="04090003" w:tentative="1">
      <w:start w:val="1"/>
      <w:numFmt w:val="bullet"/>
      <w:lvlText w:val="o"/>
      <w:lvlJc w:val="left"/>
      <w:pPr>
        <w:tabs>
          <w:tab w:val="num" w:pos="6930"/>
        </w:tabs>
        <w:ind w:left="6930" w:hanging="360"/>
      </w:pPr>
      <w:rPr>
        <w:rFonts w:ascii="Courier New" w:hAnsi="Courier New" w:cs="Courier New" w:hint="default"/>
      </w:rPr>
    </w:lvl>
    <w:lvl w:ilvl="8" w:tplc="04090005" w:tentative="1">
      <w:start w:val="1"/>
      <w:numFmt w:val="bullet"/>
      <w:lvlText w:val=""/>
      <w:lvlJc w:val="left"/>
      <w:pPr>
        <w:tabs>
          <w:tab w:val="num" w:pos="7650"/>
        </w:tabs>
        <w:ind w:left="7650" w:hanging="360"/>
      </w:pPr>
      <w:rPr>
        <w:rFonts w:ascii="Wingdings" w:hAnsi="Wingdings" w:hint="default"/>
      </w:rPr>
    </w:lvl>
  </w:abstractNum>
  <w:num w:numId="1">
    <w:abstractNumId w:val="25"/>
  </w:num>
  <w:num w:numId="2">
    <w:abstractNumId w:val="26"/>
  </w:num>
  <w:num w:numId="3">
    <w:abstractNumId w:val="5"/>
  </w:num>
  <w:num w:numId="4">
    <w:abstractNumId w:val="19"/>
  </w:num>
  <w:num w:numId="5">
    <w:abstractNumId w:val="6"/>
  </w:num>
  <w:num w:numId="6">
    <w:abstractNumId w:val="23"/>
  </w:num>
  <w:num w:numId="7">
    <w:abstractNumId w:val="14"/>
  </w:num>
  <w:num w:numId="8">
    <w:abstractNumId w:val="7"/>
  </w:num>
  <w:num w:numId="9">
    <w:abstractNumId w:val="22"/>
  </w:num>
  <w:num w:numId="10">
    <w:abstractNumId w:val="12"/>
  </w:num>
  <w:num w:numId="11">
    <w:abstractNumId w:val="11"/>
  </w:num>
  <w:num w:numId="12">
    <w:abstractNumId w:val="8"/>
  </w:num>
  <w:num w:numId="13">
    <w:abstractNumId w:val="13"/>
  </w:num>
  <w:num w:numId="14">
    <w:abstractNumId w:val="20"/>
  </w:num>
  <w:num w:numId="15">
    <w:abstractNumId w:val="3"/>
  </w:num>
  <w:num w:numId="16">
    <w:abstractNumId w:val="4"/>
  </w:num>
  <w:num w:numId="17">
    <w:abstractNumId w:val="9"/>
  </w:num>
  <w:num w:numId="18">
    <w:abstractNumId w:val="1"/>
  </w:num>
  <w:num w:numId="19">
    <w:abstractNumId w:val="10"/>
  </w:num>
  <w:num w:numId="20">
    <w:abstractNumId w:val="15"/>
  </w:num>
  <w:num w:numId="21">
    <w:abstractNumId w:val="18"/>
  </w:num>
  <w:num w:numId="22">
    <w:abstractNumId w:val="27"/>
  </w:num>
  <w:num w:numId="23">
    <w:abstractNumId w:val="0"/>
  </w:num>
  <w:num w:numId="24">
    <w:abstractNumId w:val="17"/>
  </w:num>
  <w:num w:numId="25">
    <w:abstractNumId w:val="24"/>
  </w:num>
  <w:num w:numId="26">
    <w:abstractNumId w:val="16"/>
  </w:num>
  <w:num w:numId="27">
    <w:abstractNumId w:val="21"/>
  </w:num>
  <w:num w:numId="28">
    <w:abstractNumId w:val="13"/>
  </w:num>
  <w:num w:numId="29">
    <w:abstractNumId w:val="2"/>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419"/>
    <w:rsid w:val="00002B16"/>
    <w:rsid w:val="0000545C"/>
    <w:rsid w:val="00007F3B"/>
    <w:rsid w:val="000100ED"/>
    <w:rsid w:val="000160A9"/>
    <w:rsid w:val="000161FE"/>
    <w:rsid w:val="000176EC"/>
    <w:rsid w:val="000178C1"/>
    <w:rsid w:val="00020E77"/>
    <w:rsid w:val="00024EF5"/>
    <w:rsid w:val="000268F1"/>
    <w:rsid w:val="00030C0F"/>
    <w:rsid w:val="00030E23"/>
    <w:rsid w:val="00034248"/>
    <w:rsid w:val="00034577"/>
    <w:rsid w:val="0003566E"/>
    <w:rsid w:val="000402D5"/>
    <w:rsid w:val="000413D1"/>
    <w:rsid w:val="00041DE9"/>
    <w:rsid w:val="00045225"/>
    <w:rsid w:val="00051C16"/>
    <w:rsid w:val="0005209A"/>
    <w:rsid w:val="000551AA"/>
    <w:rsid w:val="000654E0"/>
    <w:rsid w:val="0007719F"/>
    <w:rsid w:val="00081131"/>
    <w:rsid w:val="000837F8"/>
    <w:rsid w:val="0008568F"/>
    <w:rsid w:val="00085BA3"/>
    <w:rsid w:val="00086C95"/>
    <w:rsid w:val="000872E4"/>
    <w:rsid w:val="00087B0B"/>
    <w:rsid w:val="00091876"/>
    <w:rsid w:val="00092AF2"/>
    <w:rsid w:val="00094B6A"/>
    <w:rsid w:val="0009635C"/>
    <w:rsid w:val="000A60AD"/>
    <w:rsid w:val="000B07C4"/>
    <w:rsid w:val="000B1C4F"/>
    <w:rsid w:val="000B5F7E"/>
    <w:rsid w:val="000B7349"/>
    <w:rsid w:val="000C0177"/>
    <w:rsid w:val="000C12E7"/>
    <w:rsid w:val="000C2EFA"/>
    <w:rsid w:val="000C7955"/>
    <w:rsid w:val="000D4876"/>
    <w:rsid w:val="000D5676"/>
    <w:rsid w:val="000D593E"/>
    <w:rsid w:val="000D670E"/>
    <w:rsid w:val="000E1DE3"/>
    <w:rsid w:val="000E4A71"/>
    <w:rsid w:val="000E5087"/>
    <w:rsid w:val="000F10B8"/>
    <w:rsid w:val="000F2F7D"/>
    <w:rsid w:val="000F3C2B"/>
    <w:rsid w:val="000F7016"/>
    <w:rsid w:val="000F7C42"/>
    <w:rsid w:val="0010291D"/>
    <w:rsid w:val="00103191"/>
    <w:rsid w:val="00104675"/>
    <w:rsid w:val="00112D30"/>
    <w:rsid w:val="001222CF"/>
    <w:rsid w:val="00122977"/>
    <w:rsid w:val="001230B4"/>
    <w:rsid w:val="00127619"/>
    <w:rsid w:val="00130677"/>
    <w:rsid w:val="00130C85"/>
    <w:rsid w:val="00130F20"/>
    <w:rsid w:val="00130F64"/>
    <w:rsid w:val="00131C88"/>
    <w:rsid w:val="00133330"/>
    <w:rsid w:val="00134DF9"/>
    <w:rsid w:val="00135FD3"/>
    <w:rsid w:val="00141820"/>
    <w:rsid w:val="00144325"/>
    <w:rsid w:val="00144CA7"/>
    <w:rsid w:val="00145377"/>
    <w:rsid w:val="001460AE"/>
    <w:rsid w:val="001468A9"/>
    <w:rsid w:val="001600F3"/>
    <w:rsid w:val="00162B48"/>
    <w:rsid w:val="0016351A"/>
    <w:rsid w:val="0016372E"/>
    <w:rsid w:val="00177A18"/>
    <w:rsid w:val="00182812"/>
    <w:rsid w:val="0018292D"/>
    <w:rsid w:val="00183320"/>
    <w:rsid w:val="001833BB"/>
    <w:rsid w:val="001846AC"/>
    <w:rsid w:val="00187C20"/>
    <w:rsid w:val="001917C4"/>
    <w:rsid w:val="00192053"/>
    <w:rsid w:val="001929F4"/>
    <w:rsid w:val="00193FE1"/>
    <w:rsid w:val="0019410E"/>
    <w:rsid w:val="001A312C"/>
    <w:rsid w:val="001A652E"/>
    <w:rsid w:val="001B29A3"/>
    <w:rsid w:val="001B3C79"/>
    <w:rsid w:val="001B45B5"/>
    <w:rsid w:val="001B48A4"/>
    <w:rsid w:val="001B7750"/>
    <w:rsid w:val="001C067C"/>
    <w:rsid w:val="001C1C21"/>
    <w:rsid w:val="001C3DA0"/>
    <w:rsid w:val="001C405C"/>
    <w:rsid w:val="001C7DD6"/>
    <w:rsid w:val="001D13F8"/>
    <w:rsid w:val="001D1C89"/>
    <w:rsid w:val="001D2456"/>
    <w:rsid w:val="001D2503"/>
    <w:rsid w:val="001D46FF"/>
    <w:rsid w:val="001E08C8"/>
    <w:rsid w:val="001E3938"/>
    <w:rsid w:val="001E3F78"/>
    <w:rsid w:val="001E4D73"/>
    <w:rsid w:val="001E54C5"/>
    <w:rsid w:val="001E7C76"/>
    <w:rsid w:val="001F1494"/>
    <w:rsid w:val="001F28B8"/>
    <w:rsid w:val="001F33E0"/>
    <w:rsid w:val="00202C09"/>
    <w:rsid w:val="00202D4F"/>
    <w:rsid w:val="002037C5"/>
    <w:rsid w:val="00203B1F"/>
    <w:rsid w:val="0020691D"/>
    <w:rsid w:val="00212A73"/>
    <w:rsid w:val="002141DC"/>
    <w:rsid w:val="00214686"/>
    <w:rsid w:val="002154E6"/>
    <w:rsid w:val="002167A6"/>
    <w:rsid w:val="00220419"/>
    <w:rsid w:val="00224E3F"/>
    <w:rsid w:val="00226AF8"/>
    <w:rsid w:val="00235D57"/>
    <w:rsid w:val="00252933"/>
    <w:rsid w:val="00254DFA"/>
    <w:rsid w:val="002552E5"/>
    <w:rsid w:val="00255FB9"/>
    <w:rsid w:val="0026056D"/>
    <w:rsid w:val="00262178"/>
    <w:rsid w:val="002623B5"/>
    <w:rsid w:val="00262A89"/>
    <w:rsid w:val="00263106"/>
    <w:rsid w:val="00276ADA"/>
    <w:rsid w:val="00280378"/>
    <w:rsid w:val="0028390B"/>
    <w:rsid w:val="00284545"/>
    <w:rsid w:val="002850B2"/>
    <w:rsid w:val="00290789"/>
    <w:rsid w:val="002918D2"/>
    <w:rsid w:val="00292116"/>
    <w:rsid w:val="00293F71"/>
    <w:rsid w:val="002940BD"/>
    <w:rsid w:val="002943C8"/>
    <w:rsid w:val="00294A01"/>
    <w:rsid w:val="002A016B"/>
    <w:rsid w:val="002A2021"/>
    <w:rsid w:val="002A3581"/>
    <w:rsid w:val="002A36FC"/>
    <w:rsid w:val="002A7F35"/>
    <w:rsid w:val="002B1E32"/>
    <w:rsid w:val="002B2490"/>
    <w:rsid w:val="002B345D"/>
    <w:rsid w:val="002B3E5E"/>
    <w:rsid w:val="002B3F69"/>
    <w:rsid w:val="002B651A"/>
    <w:rsid w:val="002C1E07"/>
    <w:rsid w:val="002C1F68"/>
    <w:rsid w:val="002C6580"/>
    <w:rsid w:val="002C77BC"/>
    <w:rsid w:val="002D0230"/>
    <w:rsid w:val="002D2DC9"/>
    <w:rsid w:val="002D44AF"/>
    <w:rsid w:val="002D57AF"/>
    <w:rsid w:val="002D7A3C"/>
    <w:rsid w:val="002E24DC"/>
    <w:rsid w:val="002E3F2E"/>
    <w:rsid w:val="002E4AB6"/>
    <w:rsid w:val="002E5451"/>
    <w:rsid w:val="002E5A5E"/>
    <w:rsid w:val="002E77F6"/>
    <w:rsid w:val="002E7D67"/>
    <w:rsid w:val="002F0670"/>
    <w:rsid w:val="002F302D"/>
    <w:rsid w:val="002F3114"/>
    <w:rsid w:val="002F5242"/>
    <w:rsid w:val="002F5858"/>
    <w:rsid w:val="00300443"/>
    <w:rsid w:val="00301C0B"/>
    <w:rsid w:val="00302214"/>
    <w:rsid w:val="0030680E"/>
    <w:rsid w:val="00314595"/>
    <w:rsid w:val="00323F70"/>
    <w:rsid w:val="00324D04"/>
    <w:rsid w:val="003260A1"/>
    <w:rsid w:val="00330567"/>
    <w:rsid w:val="00334E7D"/>
    <w:rsid w:val="0033562D"/>
    <w:rsid w:val="003376BA"/>
    <w:rsid w:val="003417D3"/>
    <w:rsid w:val="0034499E"/>
    <w:rsid w:val="00350E23"/>
    <w:rsid w:val="00351D84"/>
    <w:rsid w:val="003530E7"/>
    <w:rsid w:val="003555BC"/>
    <w:rsid w:val="00356DB9"/>
    <w:rsid w:val="00360A89"/>
    <w:rsid w:val="00361C21"/>
    <w:rsid w:val="00362205"/>
    <w:rsid w:val="00367F5A"/>
    <w:rsid w:val="00367FA8"/>
    <w:rsid w:val="00371301"/>
    <w:rsid w:val="00371832"/>
    <w:rsid w:val="0038039F"/>
    <w:rsid w:val="003810CE"/>
    <w:rsid w:val="0038304B"/>
    <w:rsid w:val="003858DB"/>
    <w:rsid w:val="003919E2"/>
    <w:rsid w:val="00391CD3"/>
    <w:rsid w:val="00392244"/>
    <w:rsid w:val="0039369D"/>
    <w:rsid w:val="003A0B5C"/>
    <w:rsid w:val="003A0B8C"/>
    <w:rsid w:val="003A2829"/>
    <w:rsid w:val="003A56A4"/>
    <w:rsid w:val="003A7FE3"/>
    <w:rsid w:val="003B137F"/>
    <w:rsid w:val="003B2646"/>
    <w:rsid w:val="003B3FF8"/>
    <w:rsid w:val="003B5CCD"/>
    <w:rsid w:val="003B79EB"/>
    <w:rsid w:val="003C2C97"/>
    <w:rsid w:val="003D04DE"/>
    <w:rsid w:val="003D29F5"/>
    <w:rsid w:val="003D3C86"/>
    <w:rsid w:val="003D4C99"/>
    <w:rsid w:val="003E4E62"/>
    <w:rsid w:val="003E5294"/>
    <w:rsid w:val="003E555C"/>
    <w:rsid w:val="003E6A63"/>
    <w:rsid w:val="003E75AC"/>
    <w:rsid w:val="003F13E9"/>
    <w:rsid w:val="003F1FCB"/>
    <w:rsid w:val="003F59E5"/>
    <w:rsid w:val="00402A01"/>
    <w:rsid w:val="00403368"/>
    <w:rsid w:val="00405DE3"/>
    <w:rsid w:val="004107EE"/>
    <w:rsid w:val="00412EB6"/>
    <w:rsid w:val="0041360C"/>
    <w:rsid w:val="00413927"/>
    <w:rsid w:val="004168C4"/>
    <w:rsid w:val="004212B4"/>
    <w:rsid w:val="00422101"/>
    <w:rsid w:val="004275BC"/>
    <w:rsid w:val="00430BB0"/>
    <w:rsid w:val="00430C04"/>
    <w:rsid w:val="004313A5"/>
    <w:rsid w:val="004313AA"/>
    <w:rsid w:val="004335B4"/>
    <w:rsid w:val="00433E21"/>
    <w:rsid w:val="00434C35"/>
    <w:rsid w:val="004356C5"/>
    <w:rsid w:val="00435FB2"/>
    <w:rsid w:val="00442832"/>
    <w:rsid w:val="00445B97"/>
    <w:rsid w:val="00447301"/>
    <w:rsid w:val="0045041C"/>
    <w:rsid w:val="00453310"/>
    <w:rsid w:val="00454B3D"/>
    <w:rsid w:val="004558BB"/>
    <w:rsid w:val="00456C89"/>
    <w:rsid w:val="004731E5"/>
    <w:rsid w:val="004741FD"/>
    <w:rsid w:val="00474266"/>
    <w:rsid w:val="00475750"/>
    <w:rsid w:val="004763F5"/>
    <w:rsid w:val="00477737"/>
    <w:rsid w:val="00482964"/>
    <w:rsid w:val="00483C8D"/>
    <w:rsid w:val="00486890"/>
    <w:rsid w:val="00487611"/>
    <w:rsid w:val="00491883"/>
    <w:rsid w:val="004930B6"/>
    <w:rsid w:val="00493557"/>
    <w:rsid w:val="00497320"/>
    <w:rsid w:val="004A1077"/>
    <w:rsid w:val="004A3A22"/>
    <w:rsid w:val="004A72A2"/>
    <w:rsid w:val="004A76FA"/>
    <w:rsid w:val="004B2A94"/>
    <w:rsid w:val="004B365F"/>
    <w:rsid w:val="004B5311"/>
    <w:rsid w:val="004B6D7B"/>
    <w:rsid w:val="004B7183"/>
    <w:rsid w:val="004C0BD8"/>
    <w:rsid w:val="004C61DD"/>
    <w:rsid w:val="004D351B"/>
    <w:rsid w:val="004D383A"/>
    <w:rsid w:val="004D3918"/>
    <w:rsid w:val="004D4268"/>
    <w:rsid w:val="004D456B"/>
    <w:rsid w:val="004D649C"/>
    <w:rsid w:val="004E2104"/>
    <w:rsid w:val="004E2532"/>
    <w:rsid w:val="004E4609"/>
    <w:rsid w:val="004F0A53"/>
    <w:rsid w:val="004F19FE"/>
    <w:rsid w:val="004F41A0"/>
    <w:rsid w:val="00502747"/>
    <w:rsid w:val="0050543D"/>
    <w:rsid w:val="005068EA"/>
    <w:rsid w:val="00510E6B"/>
    <w:rsid w:val="00513BBC"/>
    <w:rsid w:val="00516E1C"/>
    <w:rsid w:val="0052022C"/>
    <w:rsid w:val="00525D75"/>
    <w:rsid w:val="00533A46"/>
    <w:rsid w:val="00534645"/>
    <w:rsid w:val="0053540B"/>
    <w:rsid w:val="00535AF7"/>
    <w:rsid w:val="00536184"/>
    <w:rsid w:val="005364BE"/>
    <w:rsid w:val="00540443"/>
    <w:rsid w:val="00541DBE"/>
    <w:rsid w:val="00542C81"/>
    <w:rsid w:val="0054478E"/>
    <w:rsid w:val="00545036"/>
    <w:rsid w:val="00545E6A"/>
    <w:rsid w:val="0054790B"/>
    <w:rsid w:val="00550A58"/>
    <w:rsid w:val="00550ECA"/>
    <w:rsid w:val="00553023"/>
    <w:rsid w:val="005619AE"/>
    <w:rsid w:val="005633DE"/>
    <w:rsid w:val="0057057D"/>
    <w:rsid w:val="00571AA8"/>
    <w:rsid w:val="0057539E"/>
    <w:rsid w:val="005758F4"/>
    <w:rsid w:val="005849D3"/>
    <w:rsid w:val="005A5DBC"/>
    <w:rsid w:val="005B2EF4"/>
    <w:rsid w:val="005B4C46"/>
    <w:rsid w:val="005B4D11"/>
    <w:rsid w:val="005B4F38"/>
    <w:rsid w:val="005C157B"/>
    <w:rsid w:val="005C395E"/>
    <w:rsid w:val="005C47BE"/>
    <w:rsid w:val="005C5D7A"/>
    <w:rsid w:val="005D0670"/>
    <w:rsid w:val="005D2F5E"/>
    <w:rsid w:val="005D74C3"/>
    <w:rsid w:val="005D7DDB"/>
    <w:rsid w:val="005E209C"/>
    <w:rsid w:val="005E3EB7"/>
    <w:rsid w:val="005E6913"/>
    <w:rsid w:val="005E70FB"/>
    <w:rsid w:val="005F0838"/>
    <w:rsid w:val="005F4322"/>
    <w:rsid w:val="005F4990"/>
    <w:rsid w:val="00603EC5"/>
    <w:rsid w:val="006100A6"/>
    <w:rsid w:val="006140A1"/>
    <w:rsid w:val="00615EF2"/>
    <w:rsid w:val="00616B46"/>
    <w:rsid w:val="00616EC9"/>
    <w:rsid w:val="00617001"/>
    <w:rsid w:val="006225AB"/>
    <w:rsid w:val="006238E8"/>
    <w:rsid w:val="00630FD1"/>
    <w:rsid w:val="00635B50"/>
    <w:rsid w:val="00642433"/>
    <w:rsid w:val="0064278B"/>
    <w:rsid w:val="00650BB4"/>
    <w:rsid w:val="00652805"/>
    <w:rsid w:val="00661944"/>
    <w:rsid w:val="00662410"/>
    <w:rsid w:val="0066279E"/>
    <w:rsid w:val="006661E4"/>
    <w:rsid w:val="0067251C"/>
    <w:rsid w:val="00675289"/>
    <w:rsid w:val="00676A57"/>
    <w:rsid w:val="00680890"/>
    <w:rsid w:val="006815FD"/>
    <w:rsid w:val="00681B19"/>
    <w:rsid w:val="00684A48"/>
    <w:rsid w:val="00690881"/>
    <w:rsid w:val="00692228"/>
    <w:rsid w:val="00695270"/>
    <w:rsid w:val="00696C2D"/>
    <w:rsid w:val="00697ED0"/>
    <w:rsid w:val="006A042A"/>
    <w:rsid w:val="006A2195"/>
    <w:rsid w:val="006A245F"/>
    <w:rsid w:val="006A5F2C"/>
    <w:rsid w:val="006B1F09"/>
    <w:rsid w:val="006B3346"/>
    <w:rsid w:val="006B719A"/>
    <w:rsid w:val="006C164C"/>
    <w:rsid w:val="006C16BD"/>
    <w:rsid w:val="006C2BCB"/>
    <w:rsid w:val="006C474C"/>
    <w:rsid w:val="006C5363"/>
    <w:rsid w:val="006C6037"/>
    <w:rsid w:val="006D175F"/>
    <w:rsid w:val="006D4F41"/>
    <w:rsid w:val="006E07ED"/>
    <w:rsid w:val="006E1A64"/>
    <w:rsid w:val="006E2A17"/>
    <w:rsid w:val="006E65B3"/>
    <w:rsid w:val="006E7A0D"/>
    <w:rsid w:val="006F02B5"/>
    <w:rsid w:val="006F27AD"/>
    <w:rsid w:val="006F54A0"/>
    <w:rsid w:val="006F5FCB"/>
    <w:rsid w:val="007016DA"/>
    <w:rsid w:val="007022EF"/>
    <w:rsid w:val="00711DE6"/>
    <w:rsid w:val="007129AF"/>
    <w:rsid w:val="00713698"/>
    <w:rsid w:val="00714FDD"/>
    <w:rsid w:val="00715E74"/>
    <w:rsid w:val="0071675A"/>
    <w:rsid w:val="007210E7"/>
    <w:rsid w:val="00721103"/>
    <w:rsid w:val="007220C3"/>
    <w:rsid w:val="007227AA"/>
    <w:rsid w:val="00722CD8"/>
    <w:rsid w:val="00724CC3"/>
    <w:rsid w:val="00725539"/>
    <w:rsid w:val="00725A33"/>
    <w:rsid w:val="00730BE5"/>
    <w:rsid w:val="00731A6B"/>
    <w:rsid w:val="00733141"/>
    <w:rsid w:val="0073500B"/>
    <w:rsid w:val="00735135"/>
    <w:rsid w:val="00737F44"/>
    <w:rsid w:val="0074707A"/>
    <w:rsid w:val="0075272C"/>
    <w:rsid w:val="00753CC4"/>
    <w:rsid w:val="007542C0"/>
    <w:rsid w:val="007571ED"/>
    <w:rsid w:val="00761990"/>
    <w:rsid w:val="00762F3E"/>
    <w:rsid w:val="007645AF"/>
    <w:rsid w:val="0076594F"/>
    <w:rsid w:val="0076691B"/>
    <w:rsid w:val="00767F76"/>
    <w:rsid w:val="0077061C"/>
    <w:rsid w:val="007709DF"/>
    <w:rsid w:val="00772E21"/>
    <w:rsid w:val="0077536D"/>
    <w:rsid w:val="00777CCB"/>
    <w:rsid w:val="007815F1"/>
    <w:rsid w:val="007818B9"/>
    <w:rsid w:val="00787EF1"/>
    <w:rsid w:val="00790326"/>
    <w:rsid w:val="007919D9"/>
    <w:rsid w:val="007A1A06"/>
    <w:rsid w:val="007A7B7E"/>
    <w:rsid w:val="007B006F"/>
    <w:rsid w:val="007B383D"/>
    <w:rsid w:val="007B60EB"/>
    <w:rsid w:val="007B6B6A"/>
    <w:rsid w:val="007C1C5F"/>
    <w:rsid w:val="007C620D"/>
    <w:rsid w:val="007C6368"/>
    <w:rsid w:val="007C75D7"/>
    <w:rsid w:val="007D2E87"/>
    <w:rsid w:val="007D398A"/>
    <w:rsid w:val="007D442C"/>
    <w:rsid w:val="007D58BC"/>
    <w:rsid w:val="007D729E"/>
    <w:rsid w:val="007E0A34"/>
    <w:rsid w:val="007E3683"/>
    <w:rsid w:val="007E7DBE"/>
    <w:rsid w:val="007F2F53"/>
    <w:rsid w:val="007F3BAE"/>
    <w:rsid w:val="007F4051"/>
    <w:rsid w:val="007F4C1B"/>
    <w:rsid w:val="00800F93"/>
    <w:rsid w:val="008014FC"/>
    <w:rsid w:val="00802C63"/>
    <w:rsid w:val="008045DB"/>
    <w:rsid w:val="008105FF"/>
    <w:rsid w:val="00811794"/>
    <w:rsid w:val="00811861"/>
    <w:rsid w:val="0081223A"/>
    <w:rsid w:val="008134A9"/>
    <w:rsid w:val="00815000"/>
    <w:rsid w:val="00815BDD"/>
    <w:rsid w:val="00817423"/>
    <w:rsid w:val="008237DD"/>
    <w:rsid w:val="00825A50"/>
    <w:rsid w:val="00826DBA"/>
    <w:rsid w:val="00827F11"/>
    <w:rsid w:val="0083054D"/>
    <w:rsid w:val="00834FAB"/>
    <w:rsid w:val="00836E18"/>
    <w:rsid w:val="00841D66"/>
    <w:rsid w:val="00845EBD"/>
    <w:rsid w:val="008529FF"/>
    <w:rsid w:val="00853583"/>
    <w:rsid w:val="00856298"/>
    <w:rsid w:val="008563F6"/>
    <w:rsid w:val="00856F75"/>
    <w:rsid w:val="00856F85"/>
    <w:rsid w:val="0086452D"/>
    <w:rsid w:val="008678B1"/>
    <w:rsid w:val="00873231"/>
    <w:rsid w:val="008737ED"/>
    <w:rsid w:val="00873E5B"/>
    <w:rsid w:val="00873F6D"/>
    <w:rsid w:val="008830FE"/>
    <w:rsid w:val="00883804"/>
    <w:rsid w:val="00886830"/>
    <w:rsid w:val="00886F15"/>
    <w:rsid w:val="00887F58"/>
    <w:rsid w:val="00892B6A"/>
    <w:rsid w:val="00892D1D"/>
    <w:rsid w:val="008949E1"/>
    <w:rsid w:val="00894BCD"/>
    <w:rsid w:val="00896D64"/>
    <w:rsid w:val="008A5DEA"/>
    <w:rsid w:val="008A62A1"/>
    <w:rsid w:val="008A6B6C"/>
    <w:rsid w:val="008B0A4F"/>
    <w:rsid w:val="008B583A"/>
    <w:rsid w:val="008B5CDC"/>
    <w:rsid w:val="008B73C1"/>
    <w:rsid w:val="008C3AFB"/>
    <w:rsid w:val="008C4A4A"/>
    <w:rsid w:val="008D0D4C"/>
    <w:rsid w:val="008D63DA"/>
    <w:rsid w:val="008E121F"/>
    <w:rsid w:val="008E2E1A"/>
    <w:rsid w:val="008E6114"/>
    <w:rsid w:val="008F01F6"/>
    <w:rsid w:val="008F1595"/>
    <w:rsid w:val="008F1CD7"/>
    <w:rsid w:val="008F2B0D"/>
    <w:rsid w:val="00902FFD"/>
    <w:rsid w:val="00904BBF"/>
    <w:rsid w:val="00913B39"/>
    <w:rsid w:val="009161FB"/>
    <w:rsid w:val="009220F0"/>
    <w:rsid w:val="00924475"/>
    <w:rsid w:val="009257F0"/>
    <w:rsid w:val="00925D5C"/>
    <w:rsid w:val="009347BA"/>
    <w:rsid w:val="00934EB8"/>
    <w:rsid w:val="00936767"/>
    <w:rsid w:val="00936862"/>
    <w:rsid w:val="00936C4D"/>
    <w:rsid w:val="009436E4"/>
    <w:rsid w:val="009519A5"/>
    <w:rsid w:val="009525BE"/>
    <w:rsid w:val="00952D09"/>
    <w:rsid w:val="00954AB3"/>
    <w:rsid w:val="00954DEF"/>
    <w:rsid w:val="00955658"/>
    <w:rsid w:val="00956CF1"/>
    <w:rsid w:val="0096081F"/>
    <w:rsid w:val="009611BB"/>
    <w:rsid w:val="00962F8C"/>
    <w:rsid w:val="00964A21"/>
    <w:rsid w:val="00964AF2"/>
    <w:rsid w:val="0096667F"/>
    <w:rsid w:val="00966BA3"/>
    <w:rsid w:val="00972AF5"/>
    <w:rsid w:val="00972D17"/>
    <w:rsid w:val="00974CA9"/>
    <w:rsid w:val="00975308"/>
    <w:rsid w:val="0097582A"/>
    <w:rsid w:val="00976167"/>
    <w:rsid w:val="00981133"/>
    <w:rsid w:val="0098117C"/>
    <w:rsid w:val="009824B5"/>
    <w:rsid w:val="009835DF"/>
    <w:rsid w:val="00983852"/>
    <w:rsid w:val="00985193"/>
    <w:rsid w:val="00985572"/>
    <w:rsid w:val="0098602F"/>
    <w:rsid w:val="00990015"/>
    <w:rsid w:val="009937CD"/>
    <w:rsid w:val="00993870"/>
    <w:rsid w:val="00994ACF"/>
    <w:rsid w:val="009955AA"/>
    <w:rsid w:val="00996206"/>
    <w:rsid w:val="009A0216"/>
    <w:rsid w:val="009A16D8"/>
    <w:rsid w:val="009A2E21"/>
    <w:rsid w:val="009A5716"/>
    <w:rsid w:val="009A61C6"/>
    <w:rsid w:val="009A6611"/>
    <w:rsid w:val="009B0654"/>
    <w:rsid w:val="009B76BD"/>
    <w:rsid w:val="009C1F33"/>
    <w:rsid w:val="009C4D98"/>
    <w:rsid w:val="009C636B"/>
    <w:rsid w:val="009D0B4B"/>
    <w:rsid w:val="009D0B59"/>
    <w:rsid w:val="009D2A1A"/>
    <w:rsid w:val="009D2F40"/>
    <w:rsid w:val="009D33D5"/>
    <w:rsid w:val="009D50FE"/>
    <w:rsid w:val="009D5F96"/>
    <w:rsid w:val="009D6170"/>
    <w:rsid w:val="009D766B"/>
    <w:rsid w:val="009E3184"/>
    <w:rsid w:val="009E4E08"/>
    <w:rsid w:val="009E4E44"/>
    <w:rsid w:val="009E5713"/>
    <w:rsid w:val="009E58A8"/>
    <w:rsid w:val="009E6555"/>
    <w:rsid w:val="009E6C9D"/>
    <w:rsid w:val="009F12F9"/>
    <w:rsid w:val="009F1C16"/>
    <w:rsid w:val="009F45AC"/>
    <w:rsid w:val="009F4F4C"/>
    <w:rsid w:val="009F518F"/>
    <w:rsid w:val="009F6163"/>
    <w:rsid w:val="009F682C"/>
    <w:rsid w:val="009F6DF4"/>
    <w:rsid w:val="009F7E13"/>
    <w:rsid w:val="00A013C3"/>
    <w:rsid w:val="00A024EF"/>
    <w:rsid w:val="00A02F5A"/>
    <w:rsid w:val="00A03C51"/>
    <w:rsid w:val="00A04754"/>
    <w:rsid w:val="00A04EB8"/>
    <w:rsid w:val="00A11D07"/>
    <w:rsid w:val="00A1374E"/>
    <w:rsid w:val="00A17DAA"/>
    <w:rsid w:val="00A21238"/>
    <w:rsid w:val="00A22A6F"/>
    <w:rsid w:val="00A22DD5"/>
    <w:rsid w:val="00A3088D"/>
    <w:rsid w:val="00A30C9B"/>
    <w:rsid w:val="00A3120B"/>
    <w:rsid w:val="00A34BFB"/>
    <w:rsid w:val="00A40A37"/>
    <w:rsid w:val="00A40E06"/>
    <w:rsid w:val="00A4114E"/>
    <w:rsid w:val="00A43474"/>
    <w:rsid w:val="00A47AD1"/>
    <w:rsid w:val="00A500C3"/>
    <w:rsid w:val="00A51E16"/>
    <w:rsid w:val="00A5222D"/>
    <w:rsid w:val="00A53103"/>
    <w:rsid w:val="00A54CFC"/>
    <w:rsid w:val="00A56359"/>
    <w:rsid w:val="00A6007B"/>
    <w:rsid w:val="00A60700"/>
    <w:rsid w:val="00A63E4B"/>
    <w:rsid w:val="00A63FD0"/>
    <w:rsid w:val="00A67114"/>
    <w:rsid w:val="00A701D3"/>
    <w:rsid w:val="00A7330A"/>
    <w:rsid w:val="00A76A9C"/>
    <w:rsid w:val="00A77BF6"/>
    <w:rsid w:val="00A8315D"/>
    <w:rsid w:val="00A8351D"/>
    <w:rsid w:val="00A906BB"/>
    <w:rsid w:val="00A91B28"/>
    <w:rsid w:val="00A95446"/>
    <w:rsid w:val="00A964AB"/>
    <w:rsid w:val="00A967C1"/>
    <w:rsid w:val="00A9728D"/>
    <w:rsid w:val="00A97930"/>
    <w:rsid w:val="00AA0E4C"/>
    <w:rsid w:val="00AA1B8B"/>
    <w:rsid w:val="00AA5A3A"/>
    <w:rsid w:val="00AA6344"/>
    <w:rsid w:val="00AB2FD5"/>
    <w:rsid w:val="00AB3687"/>
    <w:rsid w:val="00AB3D64"/>
    <w:rsid w:val="00AB4B1A"/>
    <w:rsid w:val="00AB7652"/>
    <w:rsid w:val="00AB7BCC"/>
    <w:rsid w:val="00AC0E70"/>
    <w:rsid w:val="00AC1B5B"/>
    <w:rsid w:val="00AC2550"/>
    <w:rsid w:val="00AD2DCC"/>
    <w:rsid w:val="00AD2FEC"/>
    <w:rsid w:val="00AD7B59"/>
    <w:rsid w:val="00AE0A73"/>
    <w:rsid w:val="00AE11A7"/>
    <w:rsid w:val="00AE18C7"/>
    <w:rsid w:val="00AE31DB"/>
    <w:rsid w:val="00AE42D1"/>
    <w:rsid w:val="00AF12C4"/>
    <w:rsid w:val="00B00B5E"/>
    <w:rsid w:val="00B03791"/>
    <w:rsid w:val="00B05A0D"/>
    <w:rsid w:val="00B07162"/>
    <w:rsid w:val="00B072A2"/>
    <w:rsid w:val="00B1067D"/>
    <w:rsid w:val="00B108B2"/>
    <w:rsid w:val="00B11053"/>
    <w:rsid w:val="00B11461"/>
    <w:rsid w:val="00B1360C"/>
    <w:rsid w:val="00B17D99"/>
    <w:rsid w:val="00B22BBC"/>
    <w:rsid w:val="00B22E91"/>
    <w:rsid w:val="00B22F12"/>
    <w:rsid w:val="00B27E62"/>
    <w:rsid w:val="00B30706"/>
    <w:rsid w:val="00B333A3"/>
    <w:rsid w:val="00B33CC9"/>
    <w:rsid w:val="00B34B04"/>
    <w:rsid w:val="00B355ED"/>
    <w:rsid w:val="00B3605B"/>
    <w:rsid w:val="00B42EB4"/>
    <w:rsid w:val="00B4620A"/>
    <w:rsid w:val="00B53314"/>
    <w:rsid w:val="00B5418F"/>
    <w:rsid w:val="00B56928"/>
    <w:rsid w:val="00B57449"/>
    <w:rsid w:val="00B57550"/>
    <w:rsid w:val="00B60BE7"/>
    <w:rsid w:val="00B621EE"/>
    <w:rsid w:val="00B622B9"/>
    <w:rsid w:val="00B66794"/>
    <w:rsid w:val="00B6761A"/>
    <w:rsid w:val="00B677AA"/>
    <w:rsid w:val="00B71AF2"/>
    <w:rsid w:val="00B72F19"/>
    <w:rsid w:val="00B731F4"/>
    <w:rsid w:val="00B73555"/>
    <w:rsid w:val="00B802DB"/>
    <w:rsid w:val="00B81671"/>
    <w:rsid w:val="00B8371C"/>
    <w:rsid w:val="00B84862"/>
    <w:rsid w:val="00B84D15"/>
    <w:rsid w:val="00B85282"/>
    <w:rsid w:val="00B855EE"/>
    <w:rsid w:val="00B87012"/>
    <w:rsid w:val="00B9073C"/>
    <w:rsid w:val="00B90C34"/>
    <w:rsid w:val="00B92EA0"/>
    <w:rsid w:val="00B97051"/>
    <w:rsid w:val="00BA1F04"/>
    <w:rsid w:val="00BA3EDA"/>
    <w:rsid w:val="00BA3F9E"/>
    <w:rsid w:val="00BA4E8C"/>
    <w:rsid w:val="00BA7E7B"/>
    <w:rsid w:val="00BB2771"/>
    <w:rsid w:val="00BB436D"/>
    <w:rsid w:val="00BB65AA"/>
    <w:rsid w:val="00BB7670"/>
    <w:rsid w:val="00BC0236"/>
    <w:rsid w:val="00BC0892"/>
    <w:rsid w:val="00BC282D"/>
    <w:rsid w:val="00BC2ABD"/>
    <w:rsid w:val="00BC2CA3"/>
    <w:rsid w:val="00BC71DB"/>
    <w:rsid w:val="00BC71FD"/>
    <w:rsid w:val="00BD0B5B"/>
    <w:rsid w:val="00BD1221"/>
    <w:rsid w:val="00BD158D"/>
    <w:rsid w:val="00BD3889"/>
    <w:rsid w:val="00BD3C23"/>
    <w:rsid w:val="00BD4E91"/>
    <w:rsid w:val="00BD7204"/>
    <w:rsid w:val="00BD76A2"/>
    <w:rsid w:val="00BE2DF3"/>
    <w:rsid w:val="00BE7E00"/>
    <w:rsid w:val="00BF0B2E"/>
    <w:rsid w:val="00BF2101"/>
    <w:rsid w:val="00BF2D4A"/>
    <w:rsid w:val="00BF7C54"/>
    <w:rsid w:val="00C03496"/>
    <w:rsid w:val="00C043FB"/>
    <w:rsid w:val="00C054EC"/>
    <w:rsid w:val="00C0663B"/>
    <w:rsid w:val="00C0767C"/>
    <w:rsid w:val="00C10943"/>
    <w:rsid w:val="00C1342F"/>
    <w:rsid w:val="00C166FA"/>
    <w:rsid w:val="00C16A72"/>
    <w:rsid w:val="00C21384"/>
    <w:rsid w:val="00C230D1"/>
    <w:rsid w:val="00C23E8C"/>
    <w:rsid w:val="00C26784"/>
    <w:rsid w:val="00C27F07"/>
    <w:rsid w:val="00C307C2"/>
    <w:rsid w:val="00C31B8D"/>
    <w:rsid w:val="00C354F4"/>
    <w:rsid w:val="00C35B80"/>
    <w:rsid w:val="00C36BB2"/>
    <w:rsid w:val="00C40EB0"/>
    <w:rsid w:val="00C44759"/>
    <w:rsid w:val="00C4768E"/>
    <w:rsid w:val="00C51D40"/>
    <w:rsid w:val="00C52B9A"/>
    <w:rsid w:val="00C5737B"/>
    <w:rsid w:val="00C57543"/>
    <w:rsid w:val="00C661C2"/>
    <w:rsid w:val="00C6620E"/>
    <w:rsid w:val="00C6645A"/>
    <w:rsid w:val="00C6667F"/>
    <w:rsid w:val="00C80077"/>
    <w:rsid w:val="00C808BB"/>
    <w:rsid w:val="00C80F72"/>
    <w:rsid w:val="00C84659"/>
    <w:rsid w:val="00C90684"/>
    <w:rsid w:val="00C91475"/>
    <w:rsid w:val="00C91553"/>
    <w:rsid w:val="00C91BF7"/>
    <w:rsid w:val="00C931F2"/>
    <w:rsid w:val="00C97A86"/>
    <w:rsid w:val="00CA3BB3"/>
    <w:rsid w:val="00CA7B16"/>
    <w:rsid w:val="00CB09FB"/>
    <w:rsid w:val="00CB4112"/>
    <w:rsid w:val="00CB634D"/>
    <w:rsid w:val="00CC22BA"/>
    <w:rsid w:val="00CC4A98"/>
    <w:rsid w:val="00CD16CB"/>
    <w:rsid w:val="00CD22BF"/>
    <w:rsid w:val="00CE6490"/>
    <w:rsid w:val="00CE73F3"/>
    <w:rsid w:val="00CF0159"/>
    <w:rsid w:val="00D00BAD"/>
    <w:rsid w:val="00D0242B"/>
    <w:rsid w:val="00D06700"/>
    <w:rsid w:val="00D07427"/>
    <w:rsid w:val="00D07EC9"/>
    <w:rsid w:val="00D11229"/>
    <w:rsid w:val="00D147A5"/>
    <w:rsid w:val="00D14E28"/>
    <w:rsid w:val="00D154D8"/>
    <w:rsid w:val="00D15B15"/>
    <w:rsid w:val="00D17F5D"/>
    <w:rsid w:val="00D204D1"/>
    <w:rsid w:val="00D271E7"/>
    <w:rsid w:val="00D30070"/>
    <w:rsid w:val="00D31523"/>
    <w:rsid w:val="00D32C38"/>
    <w:rsid w:val="00D36540"/>
    <w:rsid w:val="00D448B7"/>
    <w:rsid w:val="00D45D5D"/>
    <w:rsid w:val="00D51EBC"/>
    <w:rsid w:val="00D53A34"/>
    <w:rsid w:val="00D578BF"/>
    <w:rsid w:val="00D621DF"/>
    <w:rsid w:val="00D6326C"/>
    <w:rsid w:val="00D6359D"/>
    <w:rsid w:val="00D7196F"/>
    <w:rsid w:val="00D9419D"/>
    <w:rsid w:val="00D96971"/>
    <w:rsid w:val="00D96C5F"/>
    <w:rsid w:val="00D96C79"/>
    <w:rsid w:val="00DA0C53"/>
    <w:rsid w:val="00DB1BE0"/>
    <w:rsid w:val="00DB29A7"/>
    <w:rsid w:val="00DB3132"/>
    <w:rsid w:val="00DB520A"/>
    <w:rsid w:val="00DB6218"/>
    <w:rsid w:val="00DB672D"/>
    <w:rsid w:val="00DC2010"/>
    <w:rsid w:val="00DC57E9"/>
    <w:rsid w:val="00DC5D20"/>
    <w:rsid w:val="00DC60DB"/>
    <w:rsid w:val="00DC7CE3"/>
    <w:rsid w:val="00DD0131"/>
    <w:rsid w:val="00DD1F28"/>
    <w:rsid w:val="00DD26FB"/>
    <w:rsid w:val="00DD4AEA"/>
    <w:rsid w:val="00DD6EAB"/>
    <w:rsid w:val="00DE711F"/>
    <w:rsid w:val="00DF0E89"/>
    <w:rsid w:val="00DF24BA"/>
    <w:rsid w:val="00DF53D7"/>
    <w:rsid w:val="00DF7C11"/>
    <w:rsid w:val="00E00879"/>
    <w:rsid w:val="00E02AFF"/>
    <w:rsid w:val="00E0587D"/>
    <w:rsid w:val="00E0667C"/>
    <w:rsid w:val="00E06D42"/>
    <w:rsid w:val="00E115A0"/>
    <w:rsid w:val="00E14146"/>
    <w:rsid w:val="00E20470"/>
    <w:rsid w:val="00E20F87"/>
    <w:rsid w:val="00E2231B"/>
    <w:rsid w:val="00E23BFD"/>
    <w:rsid w:val="00E23D92"/>
    <w:rsid w:val="00E26101"/>
    <w:rsid w:val="00E26E3E"/>
    <w:rsid w:val="00E3013A"/>
    <w:rsid w:val="00E31816"/>
    <w:rsid w:val="00E362A3"/>
    <w:rsid w:val="00E368F7"/>
    <w:rsid w:val="00E377D4"/>
    <w:rsid w:val="00E40079"/>
    <w:rsid w:val="00E45662"/>
    <w:rsid w:val="00E475B1"/>
    <w:rsid w:val="00E47DDF"/>
    <w:rsid w:val="00E507C0"/>
    <w:rsid w:val="00E51A6C"/>
    <w:rsid w:val="00E52D4E"/>
    <w:rsid w:val="00E53B5D"/>
    <w:rsid w:val="00E54871"/>
    <w:rsid w:val="00E608C3"/>
    <w:rsid w:val="00E60B4F"/>
    <w:rsid w:val="00E62388"/>
    <w:rsid w:val="00E64089"/>
    <w:rsid w:val="00E644FB"/>
    <w:rsid w:val="00E64606"/>
    <w:rsid w:val="00E66BCE"/>
    <w:rsid w:val="00E7023E"/>
    <w:rsid w:val="00E72ACE"/>
    <w:rsid w:val="00E72D4D"/>
    <w:rsid w:val="00E73393"/>
    <w:rsid w:val="00E7380E"/>
    <w:rsid w:val="00E73DD8"/>
    <w:rsid w:val="00E74FB8"/>
    <w:rsid w:val="00E751B7"/>
    <w:rsid w:val="00E85372"/>
    <w:rsid w:val="00E863CE"/>
    <w:rsid w:val="00E90276"/>
    <w:rsid w:val="00E9045B"/>
    <w:rsid w:val="00E9084D"/>
    <w:rsid w:val="00E9360A"/>
    <w:rsid w:val="00E975B0"/>
    <w:rsid w:val="00E97A67"/>
    <w:rsid w:val="00EA1B7E"/>
    <w:rsid w:val="00EA6767"/>
    <w:rsid w:val="00EA7A64"/>
    <w:rsid w:val="00EA7CB8"/>
    <w:rsid w:val="00EB153B"/>
    <w:rsid w:val="00EB3EF5"/>
    <w:rsid w:val="00EB4155"/>
    <w:rsid w:val="00EB551E"/>
    <w:rsid w:val="00EC133D"/>
    <w:rsid w:val="00EC13A2"/>
    <w:rsid w:val="00EC167E"/>
    <w:rsid w:val="00EC5A02"/>
    <w:rsid w:val="00EE0162"/>
    <w:rsid w:val="00EE243B"/>
    <w:rsid w:val="00EE2E3A"/>
    <w:rsid w:val="00EE3943"/>
    <w:rsid w:val="00EE3DF6"/>
    <w:rsid w:val="00EE5C39"/>
    <w:rsid w:val="00EE6AF4"/>
    <w:rsid w:val="00EE7CF8"/>
    <w:rsid w:val="00EE7F70"/>
    <w:rsid w:val="00EF1417"/>
    <w:rsid w:val="00EF187F"/>
    <w:rsid w:val="00EF2D3D"/>
    <w:rsid w:val="00EF6520"/>
    <w:rsid w:val="00EF669F"/>
    <w:rsid w:val="00EF7048"/>
    <w:rsid w:val="00F02A9C"/>
    <w:rsid w:val="00F067C5"/>
    <w:rsid w:val="00F13D11"/>
    <w:rsid w:val="00F1648C"/>
    <w:rsid w:val="00F164BA"/>
    <w:rsid w:val="00F21D21"/>
    <w:rsid w:val="00F26CFB"/>
    <w:rsid w:val="00F26D8A"/>
    <w:rsid w:val="00F3104B"/>
    <w:rsid w:val="00F4522E"/>
    <w:rsid w:val="00F5015D"/>
    <w:rsid w:val="00F54022"/>
    <w:rsid w:val="00F56303"/>
    <w:rsid w:val="00F61C3C"/>
    <w:rsid w:val="00F65808"/>
    <w:rsid w:val="00F65D2D"/>
    <w:rsid w:val="00F66D51"/>
    <w:rsid w:val="00F67203"/>
    <w:rsid w:val="00F73520"/>
    <w:rsid w:val="00F738B8"/>
    <w:rsid w:val="00F77878"/>
    <w:rsid w:val="00F77DCC"/>
    <w:rsid w:val="00F8245D"/>
    <w:rsid w:val="00F8279A"/>
    <w:rsid w:val="00F831B5"/>
    <w:rsid w:val="00F8695C"/>
    <w:rsid w:val="00F873E8"/>
    <w:rsid w:val="00F877F7"/>
    <w:rsid w:val="00F96489"/>
    <w:rsid w:val="00F974AB"/>
    <w:rsid w:val="00FA36CA"/>
    <w:rsid w:val="00FA5589"/>
    <w:rsid w:val="00FA7A67"/>
    <w:rsid w:val="00FB08D4"/>
    <w:rsid w:val="00FB13C1"/>
    <w:rsid w:val="00FB1813"/>
    <w:rsid w:val="00FB2FAC"/>
    <w:rsid w:val="00FB5D50"/>
    <w:rsid w:val="00FB71B1"/>
    <w:rsid w:val="00FC269F"/>
    <w:rsid w:val="00FC2DAC"/>
    <w:rsid w:val="00FC5BDB"/>
    <w:rsid w:val="00FC6856"/>
    <w:rsid w:val="00FC73E4"/>
    <w:rsid w:val="00FD3A33"/>
    <w:rsid w:val="00FD7C37"/>
    <w:rsid w:val="00FE5C58"/>
    <w:rsid w:val="00FE5EA1"/>
    <w:rsid w:val="00FE606A"/>
    <w:rsid w:val="00FE65B3"/>
    <w:rsid w:val="00FE68FF"/>
    <w:rsid w:val="00FF0D0D"/>
    <w:rsid w:val="00FF33C3"/>
    <w:rsid w:val="00FF565E"/>
    <w:rsid w:val="00FF58B0"/>
    <w:rsid w:val="00FF6137"/>
    <w:rsid w:val="00FF6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2289"/>
    <o:shapelayout v:ext="edit">
      <o:idmap v:ext="edit" data="1"/>
    </o:shapelayout>
  </w:shapeDefaults>
  <w:decimalSymbol w:val="."/>
  <w:listSeparator w:val=","/>
  <w14:docId w14:val="2A446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71C"/>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rsid w:val="00CA3BB3"/>
    <w:pPr>
      <w:widowControl w:val="0"/>
      <w:numPr>
        <w:numId w:val="13"/>
      </w:numPr>
      <w:tabs>
        <w:tab w:val="left" w:pos="1440"/>
      </w:tabs>
      <w:spacing w:after="220"/>
      <w:jc w:val="both"/>
    </w:p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ALTS FOOTNOTE Char,Styl"/>
    <w:basedOn w:val="Normal"/>
    <w:link w:val="FootnoteTextChar2"/>
    <w:uiPriority w:val="99"/>
    <w:qFormat/>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Style 4,Appel note de bas de p,Style 12,(NECG) Footnote Reference,Style 124,Style 13,o,fr,Style 3,FR,Footnote Reference/,Footnote Reference1,Style 17,Style 6,Style 7"/>
    <w:uiPriority w:val="99"/>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table" w:styleId="TableGrid">
    <w:name w:val="Table Grid"/>
    <w:basedOn w:val="TableNormal"/>
    <w:rsid w:val="009F12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2">
    <w:name w:val="Footnote Text Char2"/>
    <w:aliases w:val="Footnote Text Char1 Char,Footnote Text Char7 Char Char,Footnote Text Char4 Char1 Char Char,Footnote Text Char Char Char4 Char Char,Footnote Text Char7 Char Char Char Char Char,Footnote Text Char4 Char1 Char Char Char Char Char"/>
    <w:link w:val="FootnoteText"/>
    <w:rsid w:val="002037C5"/>
    <w:rPr>
      <w:lang w:val="en-US" w:eastAsia="en-US" w:bidi="ar-SA"/>
    </w:rPr>
  </w:style>
  <w:style w:type="character" w:customStyle="1" w:styleId="FootnoteTextCharChar">
    <w:name w:val="Footnote Text Char Char"/>
    <w:aliases w:val="ALTS FOOTNOTE Char Char,fn Char Char,Footnote Text Char1 Char Char,Footnote Text Char7 Char Char Char,Footnote Text Char4 Char1 Char Char Char,Footnote Text Char Char Char4 Char Char Char,Footnote Text Char1 Char1,Styl Char"/>
    <w:uiPriority w:val="99"/>
    <w:rsid w:val="001D2456"/>
    <w:rPr>
      <w:lang w:val="en-US" w:eastAsia="en-US" w:bidi="ar-SA"/>
    </w:rPr>
  </w:style>
  <w:style w:type="paragraph" w:styleId="ListBullet">
    <w:name w:val="List Bullet"/>
    <w:basedOn w:val="Normal"/>
    <w:rsid w:val="00B802DB"/>
    <w:pPr>
      <w:numPr>
        <w:numId w:val="23"/>
      </w:numPr>
    </w:pPr>
  </w:style>
  <w:style w:type="character" w:customStyle="1" w:styleId="ParaNumChar">
    <w:name w:val="ParaNum Char"/>
    <w:link w:val="ParaNum"/>
    <w:locked/>
    <w:rsid w:val="00EB4155"/>
    <w:rPr>
      <w:sz w:val="22"/>
    </w:rPr>
  </w:style>
  <w:style w:type="character" w:styleId="Hyperlink">
    <w:name w:val="Hyperlink"/>
    <w:rsid w:val="009161FB"/>
    <w:rPr>
      <w:color w:val="0000FF"/>
      <w:u w:val="single"/>
    </w:rPr>
  </w:style>
  <w:style w:type="paragraph" w:styleId="BalloonText">
    <w:name w:val="Balloon Text"/>
    <w:basedOn w:val="Normal"/>
    <w:link w:val="BalloonTextChar"/>
    <w:rsid w:val="00E7380E"/>
    <w:rPr>
      <w:rFonts w:ascii="Segoe UI" w:hAnsi="Segoe UI" w:cs="Segoe UI"/>
      <w:sz w:val="18"/>
      <w:szCs w:val="18"/>
    </w:rPr>
  </w:style>
  <w:style w:type="character" w:customStyle="1" w:styleId="BalloonTextChar">
    <w:name w:val="Balloon Text Char"/>
    <w:link w:val="BalloonText"/>
    <w:rsid w:val="00E7380E"/>
    <w:rPr>
      <w:rFonts w:ascii="Segoe UI" w:hAnsi="Segoe UI" w:cs="Segoe UI"/>
      <w:sz w:val="18"/>
      <w:szCs w:val="18"/>
    </w:rPr>
  </w:style>
  <w:style w:type="character" w:styleId="CommentReference">
    <w:name w:val="annotation reference"/>
    <w:rsid w:val="009A61C6"/>
    <w:rPr>
      <w:sz w:val="16"/>
      <w:szCs w:val="16"/>
    </w:rPr>
  </w:style>
  <w:style w:type="paragraph" w:styleId="CommentText">
    <w:name w:val="annotation text"/>
    <w:basedOn w:val="Normal"/>
    <w:link w:val="CommentTextChar"/>
    <w:rsid w:val="009A61C6"/>
    <w:rPr>
      <w:sz w:val="20"/>
    </w:rPr>
  </w:style>
  <w:style w:type="character" w:customStyle="1" w:styleId="CommentTextChar">
    <w:name w:val="Comment Text Char"/>
    <w:basedOn w:val="DefaultParagraphFont"/>
    <w:link w:val="CommentText"/>
    <w:rsid w:val="009A61C6"/>
  </w:style>
  <w:style w:type="paragraph" w:styleId="CommentSubject">
    <w:name w:val="annotation subject"/>
    <w:basedOn w:val="CommentText"/>
    <w:next w:val="CommentText"/>
    <w:link w:val="CommentSubjectChar"/>
    <w:rsid w:val="009A61C6"/>
    <w:rPr>
      <w:b/>
      <w:bCs/>
    </w:rPr>
  </w:style>
  <w:style w:type="character" w:customStyle="1" w:styleId="CommentSubjectChar">
    <w:name w:val="Comment Subject Char"/>
    <w:link w:val="CommentSubject"/>
    <w:rsid w:val="009A61C6"/>
    <w:rPr>
      <w:b/>
      <w:bCs/>
    </w:rPr>
  </w:style>
  <w:style w:type="paragraph" w:styleId="Revision">
    <w:name w:val="Revision"/>
    <w:hidden/>
    <w:uiPriority w:val="99"/>
    <w:semiHidden/>
    <w:rsid w:val="00E23BFD"/>
    <w:rPr>
      <w:sz w:val="22"/>
    </w:rPr>
  </w:style>
  <w:style w:type="paragraph" w:styleId="EndnoteText">
    <w:name w:val="endnote text"/>
    <w:basedOn w:val="Normal"/>
    <w:link w:val="EndnoteTextChar"/>
    <w:rsid w:val="00EE5C39"/>
    <w:rPr>
      <w:sz w:val="20"/>
    </w:rPr>
  </w:style>
  <w:style w:type="character" w:customStyle="1" w:styleId="EndnoteTextChar">
    <w:name w:val="Endnote Text Char"/>
    <w:basedOn w:val="DefaultParagraphFont"/>
    <w:link w:val="EndnoteText"/>
    <w:rsid w:val="00EE5C39"/>
  </w:style>
  <w:style w:type="character" w:styleId="EndnoteReference">
    <w:name w:val="endnote reference"/>
    <w:rsid w:val="00EE5C39"/>
    <w:rPr>
      <w:vertAlign w:val="superscript"/>
    </w:rPr>
  </w:style>
  <w:style w:type="character" w:customStyle="1" w:styleId="documentbody">
    <w:name w:val="documentbody"/>
    <w:basedOn w:val="DefaultParagraphFont"/>
    <w:rsid w:val="00252933"/>
  </w:style>
  <w:style w:type="character" w:customStyle="1" w:styleId="searchterm">
    <w:name w:val="searchterm"/>
    <w:basedOn w:val="DefaultParagraphFont"/>
    <w:rsid w:val="002529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71C"/>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rsid w:val="00CA3BB3"/>
    <w:pPr>
      <w:widowControl w:val="0"/>
      <w:numPr>
        <w:numId w:val="13"/>
      </w:numPr>
      <w:tabs>
        <w:tab w:val="left" w:pos="1440"/>
      </w:tabs>
      <w:spacing w:after="220"/>
      <w:jc w:val="both"/>
    </w:p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ALTS FOOTNOTE Char,Styl"/>
    <w:basedOn w:val="Normal"/>
    <w:link w:val="FootnoteTextChar2"/>
    <w:uiPriority w:val="99"/>
    <w:qFormat/>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Style 4,Appel note de bas de p,Style 12,(NECG) Footnote Reference,Style 124,Style 13,o,fr,Style 3,FR,Footnote Reference/,Footnote Reference1,Style 17,Style 6,Style 7"/>
    <w:uiPriority w:val="99"/>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table" w:styleId="TableGrid">
    <w:name w:val="Table Grid"/>
    <w:basedOn w:val="TableNormal"/>
    <w:rsid w:val="009F12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2">
    <w:name w:val="Footnote Text Char2"/>
    <w:aliases w:val="Footnote Text Char1 Char,Footnote Text Char7 Char Char,Footnote Text Char4 Char1 Char Char,Footnote Text Char Char Char4 Char Char,Footnote Text Char7 Char Char Char Char Char,Footnote Text Char4 Char1 Char Char Char Char Char"/>
    <w:link w:val="FootnoteText"/>
    <w:rsid w:val="002037C5"/>
    <w:rPr>
      <w:lang w:val="en-US" w:eastAsia="en-US" w:bidi="ar-SA"/>
    </w:rPr>
  </w:style>
  <w:style w:type="character" w:customStyle="1" w:styleId="FootnoteTextCharChar">
    <w:name w:val="Footnote Text Char Char"/>
    <w:aliases w:val="ALTS FOOTNOTE Char Char,fn Char Char,Footnote Text Char1 Char Char,Footnote Text Char7 Char Char Char,Footnote Text Char4 Char1 Char Char Char,Footnote Text Char Char Char4 Char Char Char,Footnote Text Char1 Char1,Styl Char"/>
    <w:uiPriority w:val="99"/>
    <w:rsid w:val="001D2456"/>
    <w:rPr>
      <w:lang w:val="en-US" w:eastAsia="en-US" w:bidi="ar-SA"/>
    </w:rPr>
  </w:style>
  <w:style w:type="paragraph" w:styleId="ListBullet">
    <w:name w:val="List Bullet"/>
    <w:basedOn w:val="Normal"/>
    <w:rsid w:val="00B802DB"/>
    <w:pPr>
      <w:numPr>
        <w:numId w:val="23"/>
      </w:numPr>
    </w:pPr>
  </w:style>
  <w:style w:type="character" w:customStyle="1" w:styleId="ParaNumChar">
    <w:name w:val="ParaNum Char"/>
    <w:link w:val="ParaNum"/>
    <w:locked/>
    <w:rsid w:val="00EB4155"/>
    <w:rPr>
      <w:sz w:val="22"/>
    </w:rPr>
  </w:style>
  <w:style w:type="character" w:styleId="Hyperlink">
    <w:name w:val="Hyperlink"/>
    <w:rsid w:val="009161FB"/>
    <w:rPr>
      <w:color w:val="0000FF"/>
      <w:u w:val="single"/>
    </w:rPr>
  </w:style>
  <w:style w:type="paragraph" w:styleId="BalloonText">
    <w:name w:val="Balloon Text"/>
    <w:basedOn w:val="Normal"/>
    <w:link w:val="BalloonTextChar"/>
    <w:rsid w:val="00E7380E"/>
    <w:rPr>
      <w:rFonts w:ascii="Segoe UI" w:hAnsi="Segoe UI" w:cs="Segoe UI"/>
      <w:sz w:val="18"/>
      <w:szCs w:val="18"/>
    </w:rPr>
  </w:style>
  <w:style w:type="character" w:customStyle="1" w:styleId="BalloonTextChar">
    <w:name w:val="Balloon Text Char"/>
    <w:link w:val="BalloonText"/>
    <w:rsid w:val="00E7380E"/>
    <w:rPr>
      <w:rFonts w:ascii="Segoe UI" w:hAnsi="Segoe UI" w:cs="Segoe UI"/>
      <w:sz w:val="18"/>
      <w:szCs w:val="18"/>
    </w:rPr>
  </w:style>
  <w:style w:type="character" w:styleId="CommentReference">
    <w:name w:val="annotation reference"/>
    <w:rsid w:val="009A61C6"/>
    <w:rPr>
      <w:sz w:val="16"/>
      <w:szCs w:val="16"/>
    </w:rPr>
  </w:style>
  <w:style w:type="paragraph" w:styleId="CommentText">
    <w:name w:val="annotation text"/>
    <w:basedOn w:val="Normal"/>
    <w:link w:val="CommentTextChar"/>
    <w:rsid w:val="009A61C6"/>
    <w:rPr>
      <w:sz w:val="20"/>
    </w:rPr>
  </w:style>
  <w:style w:type="character" w:customStyle="1" w:styleId="CommentTextChar">
    <w:name w:val="Comment Text Char"/>
    <w:basedOn w:val="DefaultParagraphFont"/>
    <w:link w:val="CommentText"/>
    <w:rsid w:val="009A61C6"/>
  </w:style>
  <w:style w:type="paragraph" w:styleId="CommentSubject">
    <w:name w:val="annotation subject"/>
    <w:basedOn w:val="CommentText"/>
    <w:next w:val="CommentText"/>
    <w:link w:val="CommentSubjectChar"/>
    <w:rsid w:val="009A61C6"/>
    <w:rPr>
      <w:b/>
      <w:bCs/>
    </w:rPr>
  </w:style>
  <w:style w:type="character" w:customStyle="1" w:styleId="CommentSubjectChar">
    <w:name w:val="Comment Subject Char"/>
    <w:link w:val="CommentSubject"/>
    <w:rsid w:val="009A61C6"/>
    <w:rPr>
      <w:b/>
      <w:bCs/>
    </w:rPr>
  </w:style>
  <w:style w:type="paragraph" w:styleId="Revision">
    <w:name w:val="Revision"/>
    <w:hidden/>
    <w:uiPriority w:val="99"/>
    <w:semiHidden/>
    <w:rsid w:val="00E23BFD"/>
    <w:rPr>
      <w:sz w:val="22"/>
    </w:rPr>
  </w:style>
  <w:style w:type="paragraph" w:styleId="EndnoteText">
    <w:name w:val="endnote text"/>
    <w:basedOn w:val="Normal"/>
    <w:link w:val="EndnoteTextChar"/>
    <w:rsid w:val="00EE5C39"/>
    <w:rPr>
      <w:sz w:val="20"/>
    </w:rPr>
  </w:style>
  <w:style w:type="character" w:customStyle="1" w:styleId="EndnoteTextChar">
    <w:name w:val="Endnote Text Char"/>
    <w:basedOn w:val="DefaultParagraphFont"/>
    <w:link w:val="EndnoteText"/>
    <w:rsid w:val="00EE5C39"/>
  </w:style>
  <w:style w:type="character" w:styleId="EndnoteReference">
    <w:name w:val="endnote reference"/>
    <w:rsid w:val="00EE5C39"/>
    <w:rPr>
      <w:vertAlign w:val="superscript"/>
    </w:rPr>
  </w:style>
  <w:style w:type="character" w:customStyle="1" w:styleId="documentbody">
    <w:name w:val="documentbody"/>
    <w:basedOn w:val="DefaultParagraphFont"/>
    <w:rsid w:val="00252933"/>
  </w:style>
  <w:style w:type="character" w:customStyle="1" w:styleId="searchterm">
    <w:name w:val="searchterm"/>
    <w:basedOn w:val="DefaultParagraphFont"/>
    <w:rsid w:val="002529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INQUIRIES@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fcc.gov/Forms/Form159/159.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Deidra.Whitehead\AppData\Local\Microsoft\Windows\Temporary%20Internet%20Files\Content.MSO\A84AB95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A84AB958</Template>
  <TotalTime>0</TotalTime>
  <Pages>3</Pages>
  <Words>1933</Words>
  <Characters>10548</Characters>
  <Application>Microsoft Office Word</Application>
  <DocSecurity>0</DocSecurity>
  <Lines>186</Lines>
  <Paragraphs>54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12535</CharactersWithSpaces>
  <SharedDoc>false</SharedDoc>
  <HyperlinkBase> </HyperlinkBase>
  <HLinks>
    <vt:vector size="18" baseType="variant">
      <vt:variant>
        <vt:i4>8126550</vt:i4>
      </vt:variant>
      <vt:variant>
        <vt:i4>3</vt:i4>
      </vt:variant>
      <vt:variant>
        <vt:i4>0</vt:i4>
      </vt:variant>
      <vt:variant>
        <vt:i4>5</vt:i4>
      </vt:variant>
      <vt:variant>
        <vt:lpwstr>mailto:ARINQUIRIES@fcc.gov</vt:lpwstr>
      </vt:variant>
      <vt:variant>
        <vt:lpwstr/>
      </vt:variant>
      <vt:variant>
        <vt:i4>1114218</vt:i4>
      </vt:variant>
      <vt:variant>
        <vt:i4>0</vt:i4>
      </vt:variant>
      <vt:variant>
        <vt:i4>0</vt:i4>
      </vt:variant>
      <vt:variant>
        <vt:i4>5</vt:i4>
      </vt:variant>
      <vt:variant>
        <vt:lpwstr>mailto:Lewis.Pulley@fcc.gov</vt:lpwstr>
      </vt:variant>
      <vt:variant>
        <vt:lpwstr/>
      </vt:variant>
      <vt:variant>
        <vt:i4>5898263</vt:i4>
      </vt:variant>
      <vt:variant>
        <vt:i4>0</vt:i4>
      </vt:variant>
      <vt:variant>
        <vt:i4>0</vt:i4>
      </vt:variant>
      <vt:variant>
        <vt:i4>5</vt:i4>
      </vt:variant>
      <vt:variant>
        <vt:lpwstr>http://www.fcc.gov/Forms/Form159/159.pdf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2016-08-04T16:24:00Z</cp:lastPrinted>
  <dcterms:created xsi:type="dcterms:W3CDTF">2016-08-08T19:36:00Z</dcterms:created>
  <dcterms:modified xsi:type="dcterms:W3CDTF">2016-08-08T19:36:00Z</dcterms:modified>
  <cp:category> </cp:category>
  <cp:contentStatus> </cp:contentStatus>
</cp:coreProperties>
</file>