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F135" w14:textId="77777777" w:rsidR="007A1A7E" w:rsidRDefault="007A1A7E" w:rsidP="00D47505">
      <w:pPr>
        <w:jc w:val="right"/>
        <w:rPr>
          <w:b/>
          <w:sz w:val="24"/>
        </w:rPr>
      </w:pPr>
      <w:bookmarkStart w:id="0" w:name="_GoBack"/>
      <w:bookmarkEnd w:id="0"/>
    </w:p>
    <w:p w14:paraId="7EB1A78A" w14:textId="2BEB963E" w:rsidR="00D47505" w:rsidRPr="00B20363" w:rsidRDefault="0043671B" w:rsidP="00D47505">
      <w:pPr>
        <w:jc w:val="right"/>
        <w:rPr>
          <w:b/>
          <w:sz w:val="24"/>
        </w:rPr>
      </w:pPr>
      <w:r>
        <w:rPr>
          <w:b/>
          <w:sz w:val="24"/>
        </w:rPr>
        <w:t xml:space="preserve">DA </w:t>
      </w:r>
      <w:r w:rsidR="00662DFB">
        <w:rPr>
          <w:b/>
          <w:sz w:val="24"/>
        </w:rPr>
        <w:t>16-907</w:t>
      </w:r>
    </w:p>
    <w:p w14:paraId="007564F4" w14:textId="3EDB3C15" w:rsidR="00D47505" w:rsidRPr="00B20363" w:rsidRDefault="007A1A7E" w:rsidP="00593EF4">
      <w:pPr>
        <w:spacing w:before="60"/>
        <w:jc w:val="right"/>
        <w:rPr>
          <w:b/>
          <w:sz w:val="24"/>
        </w:rPr>
      </w:pPr>
      <w:r>
        <w:rPr>
          <w:b/>
          <w:sz w:val="24"/>
        </w:rPr>
        <w:t xml:space="preserve">Released: </w:t>
      </w:r>
      <w:r w:rsidR="005C31E9">
        <w:rPr>
          <w:b/>
          <w:sz w:val="24"/>
        </w:rPr>
        <w:t>August</w:t>
      </w:r>
      <w:r w:rsidR="00662DFB">
        <w:rPr>
          <w:b/>
          <w:sz w:val="24"/>
        </w:rPr>
        <w:t xml:space="preserve"> 10</w:t>
      </w:r>
      <w:r w:rsidR="00337170">
        <w:rPr>
          <w:b/>
          <w:sz w:val="24"/>
        </w:rPr>
        <w:t>, 2016</w:t>
      </w:r>
    </w:p>
    <w:p w14:paraId="32AE9605" w14:textId="77777777" w:rsidR="00D47505" w:rsidRDefault="00D47505" w:rsidP="00D47505">
      <w:pPr>
        <w:jc w:val="right"/>
        <w:rPr>
          <w:sz w:val="24"/>
        </w:rPr>
      </w:pPr>
    </w:p>
    <w:p w14:paraId="6EBE0C31" w14:textId="0F746EE7" w:rsidR="00E01BFD" w:rsidRDefault="004F6A26" w:rsidP="004F6A26">
      <w:pPr>
        <w:pStyle w:val="BodyText2"/>
        <w:jc w:val="center"/>
        <w:rPr>
          <w:rFonts w:ascii="Times New Roman" w:hAnsi="Times New Roman"/>
          <w:sz w:val="22"/>
          <w:szCs w:val="22"/>
        </w:rPr>
      </w:pPr>
      <w:r>
        <w:rPr>
          <w:rFonts w:ascii="Times New Roman" w:hAnsi="Times New Roman"/>
          <w:sz w:val="22"/>
          <w:szCs w:val="22"/>
        </w:rPr>
        <w:t>DESIGNATED ENTIT</w:t>
      </w:r>
      <w:r w:rsidR="00A17B49">
        <w:rPr>
          <w:rFonts w:ascii="Times New Roman" w:hAnsi="Times New Roman"/>
          <w:sz w:val="22"/>
          <w:szCs w:val="22"/>
        </w:rPr>
        <w:t xml:space="preserve">Y </w:t>
      </w:r>
      <w:r w:rsidR="00FD576F">
        <w:rPr>
          <w:rFonts w:ascii="Times New Roman" w:hAnsi="Times New Roman"/>
          <w:sz w:val="22"/>
          <w:szCs w:val="22"/>
        </w:rPr>
        <w:t xml:space="preserve">LICENSEES </w:t>
      </w:r>
      <w:r w:rsidR="00D25861">
        <w:rPr>
          <w:rFonts w:ascii="Times New Roman" w:hAnsi="Times New Roman"/>
          <w:sz w:val="22"/>
          <w:szCs w:val="22"/>
        </w:rPr>
        <w:t>MUST FILE ANNUAL REPORT</w:t>
      </w:r>
      <w:r w:rsidR="00B15622">
        <w:rPr>
          <w:rFonts w:ascii="Times New Roman" w:hAnsi="Times New Roman"/>
          <w:sz w:val="22"/>
          <w:szCs w:val="22"/>
        </w:rPr>
        <w:t>S</w:t>
      </w:r>
      <w:r w:rsidR="00D25861">
        <w:rPr>
          <w:rFonts w:ascii="Times New Roman" w:hAnsi="Times New Roman"/>
          <w:sz w:val="22"/>
          <w:szCs w:val="22"/>
        </w:rPr>
        <w:t xml:space="preserve"> </w:t>
      </w:r>
    </w:p>
    <w:p w14:paraId="0BE698FF" w14:textId="00CF5436" w:rsidR="00D47505" w:rsidRDefault="00D25861" w:rsidP="004F6A26">
      <w:pPr>
        <w:pStyle w:val="BodyText2"/>
        <w:jc w:val="center"/>
        <w:rPr>
          <w:rFonts w:ascii="Times New Roman" w:hAnsi="Times New Roman"/>
          <w:sz w:val="22"/>
          <w:szCs w:val="22"/>
        </w:rPr>
      </w:pPr>
      <w:r>
        <w:rPr>
          <w:rFonts w:ascii="Times New Roman" w:hAnsi="Times New Roman"/>
          <w:sz w:val="22"/>
          <w:szCs w:val="22"/>
        </w:rPr>
        <w:t xml:space="preserve">BY </w:t>
      </w:r>
      <w:r w:rsidR="004F6A26">
        <w:rPr>
          <w:rFonts w:ascii="Times New Roman" w:hAnsi="Times New Roman"/>
          <w:sz w:val="22"/>
          <w:szCs w:val="22"/>
        </w:rPr>
        <w:t>SEPT</w:t>
      </w:r>
      <w:r w:rsidR="00B15622">
        <w:rPr>
          <w:rFonts w:ascii="Times New Roman" w:hAnsi="Times New Roman"/>
          <w:sz w:val="22"/>
          <w:szCs w:val="22"/>
        </w:rPr>
        <w:t>E</w:t>
      </w:r>
      <w:r w:rsidR="004F6A26">
        <w:rPr>
          <w:rFonts w:ascii="Times New Roman" w:hAnsi="Times New Roman"/>
          <w:sz w:val="22"/>
          <w:szCs w:val="22"/>
        </w:rPr>
        <w:t xml:space="preserve">MBER 30, 2016 </w:t>
      </w:r>
    </w:p>
    <w:p w14:paraId="28881AC5" w14:textId="537E6AF8" w:rsidR="004F6A26" w:rsidRDefault="004F6A26" w:rsidP="004F6A26">
      <w:pPr>
        <w:pStyle w:val="BodyText2"/>
        <w:jc w:val="center"/>
        <w:rPr>
          <w:b w:val="0"/>
          <w:szCs w:val="22"/>
        </w:rPr>
      </w:pPr>
    </w:p>
    <w:p w14:paraId="0877D0E2" w14:textId="77777777" w:rsidR="00D47505" w:rsidRPr="00760B2D" w:rsidRDefault="004F6A26" w:rsidP="00D47505">
      <w:pPr>
        <w:jc w:val="center"/>
        <w:rPr>
          <w:b/>
          <w:sz w:val="24"/>
        </w:rPr>
      </w:pPr>
      <w:r>
        <w:rPr>
          <w:b/>
          <w:szCs w:val="22"/>
        </w:rPr>
        <w:t>WT</w:t>
      </w:r>
      <w:r w:rsidR="00760B2D" w:rsidRPr="00760B2D">
        <w:rPr>
          <w:b/>
          <w:szCs w:val="22"/>
        </w:rPr>
        <w:t xml:space="preserve"> DOCKET NO. </w:t>
      </w:r>
      <w:r w:rsidR="0043671B">
        <w:rPr>
          <w:b/>
          <w:szCs w:val="22"/>
        </w:rPr>
        <w:t>14-17</w:t>
      </w:r>
      <w:r w:rsidR="00D354B9">
        <w:rPr>
          <w:b/>
          <w:szCs w:val="22"/>
        </w:rPr>
        <w:t>0</w:t>
      </w:r>
    </w:p>
    <w:p w14:paraId="7795355B" w14:textId="77777777" w:rsidR="00760B2D" w:rsidRDefault="00760B2D" w:rsidP="00760B2D">
      <w:pPr>
        <w:rPr>
          <w:szCs w:val="22"/>
        </w:rPr>
      </w:pPr>
    </w:p>
    <w:p w14:paraId="700D9F81" w14:textId="75C5CF16" w:rsidR="008F7891" w:rsidRDefault="00760B2D" w:rsidP="00760B2D">
      <w:pPr>
        <w:rPr>
          <w:szCs w:val="22"/>
        </w:rPr>
      </w:pPr>
      <w:r>
        <w:rPr>
          <w:szCs w:val="22"/>
        </w:rPr>
        <w:t xml:space="preserve">The </w:t>
      </w:r>
      <w:r w:rsidR="004F6A26">
        <w:rPr>
          <w:szCs w:val="22"/>
        </w:rPr>
        <w:t xml:space="preserve">Wireless </w:t>
      </w:r>
      <w:r w:rsidR="00BF0B44">
        <w:rPr>
          <w:szCs w:val="22"/>
        </w:rPr>
        <w:t>Telecommunications</w:t>
      </w:r>
      <w:r>
        <w:rPr>
          <w:szCs w:val="22"/>
        </w:rPr>
        <w:t xml:space="preserve"> Bureau </w:t>
      </w:r>
      <w:r w:rsidR="0023155D">
        <w:rPr>
          <w:szCs w:val="22"/>
        </w:rPr>
        <w:t xml:space="preserve">(WTB) </w:t>
      </w:r>
      <w:r>
        <w:rPr>
          <w:szCs w:val="22"/>
        </w:rPr>
        <w:t xml:space="preserve">reminds </w:t>
      </w:r>
      <w:r w:rsidR="00BF0B44">
        <w:rPr>
          <w:szCs w:val="22"/>
        </w:rPr>
        <w:t xml:space="preserve">designated </w:t>
      </w:r>
      <w:r w:rsidR="008703E0">
        <w:rPr>
          <w:szCs w:val="22"/>
        </w:rPr>
        <w:t>entity (DE) licensees</w:t>
      </w:r>
      <w:r w:rsidR="00BF0B44">
        <w:rPr>
          <w:szCs w:val="22"/>
        </w:rPr>
        <w:t xml:space="preserve"> </w:t>
      </w:r>
      <w:r w:rsidR="008F7891">
        <w:rPr>
          <w:szCs w:val="22"/>
        </w:rPr>
        <w:t xml:space="preserve">of the upcoming deadline to file annual DE reports.  Specifically, such licensees </w:t>
      </w:r>
      <w:r w:rsidR="00B47692">
        <w:rPr>
          <w:szCs w:val="22"/>
        </w:rPr>
        <w:t xml:space="preserve">must submit </w:t>
      </w:r>
      <w:r w:rsidR="00BF0B44">
        <w:rPr>
          <w:szCs w:val="22"/>
        </w:rPr>
        <w:t>an annual report</w:t>
      </w:r>
      <w:r w:rsidR="00734751">
        <w:rPr>
          <w:szCs w:val="22"/>
        </w:rPr>
        <w:t xml:space="preserve"> </w:t>
      </w:r>
      <w:r w:rsidR="001617A8">
        <w:rPr>
          <w:szCs w:val="22"/>
        </w:rPr>
        <w:t xml:space="preserve">reflecting the status of </w:t>
      </w:r>
      <w:r w:rsidR="00BF0B44">
        <w:rPr>
          <w:szCs w:val="22"/>
        </w:rPr>
        <w:t xml:space="preserve">each license </w:t>
      </w:r>
      <w:r w:rsidR="00485989">
        <w:rPr>
          <w:szCs w:val="22"/>
        </w:rPr>
        <w:t>held as of</w:t>
      </w:r>
      <w:r w:rsidR="000A7CF7">
        <w:rPr>
          <w:szCs w:val="22"/>
        </w:rPr>
        <w:t xml:space="preserve"> August 31, 2016</w:t>
      </w:r>
      <w:r w:rsidR="00485989">
        <w:rPr>
          <w:szCs w:val="22"/>
        </w:rPr>
        <w:t xml:space="preserve"> </w:t>
      </w:r>
      <w:r w:rsidR="00307904">
        <w:rPr>
          <w:szCs w:val="22"/>
        </w:rPr>
        <w:t xml:space="preserve">that </w:t>
      </w:r>
      <w:r w:rsidR="00FD576F">
        <w:rPr>
          <w:szCs w:val="22"/>
        </w:rPr>
        <w:t>is</w:t>
      </w:r>
      <w:r w:rsidR="000A7CF7">
        <w:rPr>
          <w:szCs w:val="22"/>
        </w:rPr>
        <w:t xml:space="preserve"> </w:t>
      </w:r>
      <w:r w:rsidR="001617A8">
        <w:rPr>
          <w:szCs w:val="22"/>
        </w:rPr>
        <w:t xml:space="preserve">subject to </w:t>
      </w:r>
      <w:r w:rsidR="00FD576F">
        <w:rPr>
          <w:szCs w:val="22"/>
        </w:rPr>
        <w:t xml:space="preserve">the </w:t>
      </w:r>
      <w:r w:rsidR="00013D00">
        <w:rPr>
          <w:szCs w:val="22"/>
        </w:rPr>
        <w:t xml:space="preserve">Federal Communication </w:t>
      </w:r>
      <w:r w:rsidR="00FD576F">
        <w:rPr>
          <w:szCs w:val="22"/>
        </w:rPr>
        <w:t xml:space="preserve">Commission’s </w:t>
      </w:r>
      <w:r w:rsidR="00013D00">
        <w:rPr>
          <w:szCs w:val="22"/>
        </w:rPr>
        <w:t xml:space="preserve">(Commission) </w:t>
      </w:r>
      <w:r w:rsidR="001617A8">
        <w:rPr>
          <w:szCs w:val="22"/>
        </w:rPr>
        <w:t xml:space="preserve">unjust enrichment </w:t>
      </w:r>
      <w:r w:rsidR="000A7CF7">
        <w:rPr>
          <w:szCs w:val="22"/>
        </w:rPr>
        <w:t>requirements</w:t>
      </w:r>
      <w:r w:rsidR="008C1C56">
        <w:rPr>
          <w:szCs w:val="22"/>
        </w:rPr>
        <w:t>.</w:t>
      </w:r>
      <w:r w:rsidR="00BD3136">
        <w:rPr>
          <w:rStyle w:val="FootnoteReference"/>
          <w:szCs w:val="22"/>
        </w:rPr>
        <w:footnoteReference w:id="2"/>
      </w:r>
      <w:r w:rsidR="006A5B12">
        <w:rPr>
          <w:szCs w:val="22"/>
        </w:rPr>
        <w:t xml:space="preserve">  </w:t>
      </w:r>
      <w:r w:rsidR="00B15622">
        <w:rPr>
          <w:szCs w:val="22"/>
        </w:rPr>
        <w:t xml:space="preserve">The reports are due by September 30, 2016.  </w:t>
      </w:r>
    </w:p>
    <w:p w14:paraId="012186FA" w14:textId="77777777" w:rsidR="008F7891" w:rsidRDefault="008F7891" w:rsidP="00760B2D">
      <w:pPr>
        <w:rPr>
          <w:szCs w:val="22"/>
        </w:rPr>
      </w:pPr>
    </w:p>
    <w:p w14:paraId="0A86A28E" w14:textId="362C7D23" w:rsidR="008F7891" w:rsidRDefault="008F7891" w:rsidP="00760B2D">
      <w:pPr>
        <w:rPr>
          <w:szCs w:val="22"/>
        </w:rPr>
      </w:pPr>
      <w:r>
        <w:rPr>
          <w:szCs w:val="22"/>
        </w:rPr>
        <w:t xml:space="preserve">In the </w:t>
      </w:r>
      <w:r w:rsidRPr="007A6CDA">
        <w:rPr>
          <w:i/>
        </w:rPr>
        <w:t xml:space="preserve">Competitive Bidding Update Report </w:t>
      </w:r>
      <w:r>
        <w:rPr>
          <w:i/>
        </w:rPr>
        <w:t>and</w:t>
      </w:r>
      <w:r w:rsidRPr="007A6CDA">
        <w:rPr>
          <w:i/>
        </w:rPr>
        <w:t xml:space="preserve"> Order</w:t>
      </w:r>
      <w:r>
        <w:t xml:space="preserve">, </w:t>
      </w:r>
      <w:r>
        <w:rPr>
          <w:szCs w:val="22"/>
        </w:rPr>
        <w:t>the Commission modified the annual reporting requirement to reduce administrative burdens on licensees that hold multiple licenses granted on different dates.</w:t>
      </w:r>
      <w:r>
        <w:rPr>
          <w:rStyle w:val="FootnoteReference"/>
          <w:szCs w:val="22"/>
        </w:rPr>
        <w:footnoteReference w:id="3"/>
      </w:r>
      <w:r>
        <w:rPr>
          <w:szCs w:val="22"/>
        </w:rPr>
        <w:t xml:space="preserve">  </w:t>
      </w:r>
      <w:r w:rsidRPr="005C31E9">
        <w:rPr>
          <w:b/>
          <w:szCs w:val="22"/>
        </w:rPr>
        <w:t>DE licensees must now file all of their reports by September 30</w:t>
      </w:r>
      <w:r w:rsidRPr="005C31E9">
        <w:rPr>
          <w:b/>
          <w:szCs w:val="22"/>
          <w:vertAlign w:val="superscript"/>
        </w:rPr>
        <w:t>th</w:t>
      </w:r>
      <w:r w:rsidRPr="005C31E9">
        <w:rPr>
          <w:b/>
          <w:szCs w:val="22"/>
        </w:rPr>
        <w:t xml:space="preserve"> in every calendar year during the applicable unjust enrichment period.</w:t>
      </w:r>
      <w:r>
        <w:rPr>
          <w:rStyle w:val="FootnoteReference"/>
          <w:szCs w:val="22"/>
        </w:rPr>
        <w:footnoteReference w:id="4"/>
      </w:r>
      <w:r>
        <w:rPr>
          <w:szCs w:val="22"/>
        </w:rPr>
        <w:t xml:space="preserve"> </w:t>
      </w:r>
      <w:r w:rsidR="00296673">
        <w:rPr>
          <w:szCs w:val="22"/>
        </w:rPr>
        <w:t xml:space="preserve"> </w:t>
      </w:r>
      <w:r>
        <w:rPr>
          <w:szCs w:val="22"/>
        </w:rPr>
        <w:t xml:space="preserve">The </w:t>
      </w:r>
      <w:r w:rsidRPr="007A6CDA">
        <w:rPr>
          <w:i/>
        </w:rPr>
        <w:t xml:space="preserve">Competitive Bidding Update Report </w:t>
      </w:r>
      <w:r>
        <w:rPr>
          <w:i/>
        </w:rPr>
        <w:t>and</w:t>
      </w:r>
      <w:r w:rsidRPr="007A6CDA">
        <w:rPr>
          <w:i/>
        </w:rPr>
        <w:t xml:space="preserve"> Order</w:t>
      </w:r>
      <w:r>
        <w:rPr>
          <w:i/>
          <w:szCs w:val="22"/>
        </w:rPr>
        <w:t xml:space="preserve"> </w:t>
      </w:r>
      <w:r>
        <w:rPr>
          <w:szCs w:val="22"/>
        </w:rPr>
        <w:t>also provides guidance on the particulars of those filings and clarifies the parties responsible for filings in the case of transfers and assignments.</w:t>
      </w:r>
      <w:r>
        <w:rPr>
          <w:rStyle w:val="FootnoteReference"/>
          <w:szCs w:val="22"/>
        </w:rPr>
        <w:footnoteReference w:id="5"/>
      </w:r>
    </w:p>
    <w:p w14:paraId="698D17DC" w14:textId="77777777" w:rsidR="008F7891" w:rsidRDefault="008F7891" w:rsidP="00760B2D">
      <w:pPr>
        <w:rPr>
          <w:szCs w:val="22"/>
        </w:rPr>
      </w:pPr>
    </w:p>
    <w:p w14:paraId="0C1ADBA1" w14:textId="77777777" w:rsidR="00296673" w:rsidRDefault="008F7891" w:rsidP="00760B2D">
      <w:pPr>
        <w:rPr>
          <w:szCs w:val="22"/>
        </w:rPr>
      </w:pPr>
      <w:r>
        <w:rPr>
          <w:szCs w:val="22"/>
        </w:rPr>
        <w:t xml:space="preserve">WTB reminds </w:t>
      </w:r>
      <w:r w:rsidR="00B15622">
        <w:rPr>
          <w:szCs w:val="22"/>
        </w:rPr>
        <w:t xml:space="preserve">DE licensees </w:t>
      </w:r>
      <w:r>
        <w:rPr>
          <w:szCs w:val="22"/>
        </w:rPr>
        <w:t xml:space="preserve">that </w:t>
      </w:r>
      <w:r w:rsidR="00B15622">
        <w:rPr>
          <w:szCs w:val="22"/>
        </w:rPr>
        <w:t xml:space="preserve">deferred </w:t>
      </w:r>
      <w:r>
        <w:rPr>
          <w:szCs w:val="22"/>
        </w:rPr>
        <w:t xml:space="preserve">annual report </w:t>
      </w:r>
      <w:r w:rsidR="00B15622">
        <w:rPr>
          <w:szCs w:val="22"/>
        </w:rPr>
        <w:t xml:space="preserve">filings between July 21, 2015 and July 8, 2016, pursuant to the Commission’s </w:t>
      </w:r>
      <w:r w:rsidR="002747D3" w:rsidRPr="007A6CDA">
        <w:rPr>
          <w:i/>
        </w:rPr>
        <w:t xml:space="preserve">Competitive Bidding Update Report </w:t>
      </w:r>
      <w:r w:rsidR="002747D3">
        <w:rPr>
          <w:i/>
        </w:rPr>
        <w:t>and</w:t>
      </w:r>
      <w:r w:rsidR="002747D3" w:rsidRPr="007A6CDA">
        <w:rPr>
          <w:i/>
        </w:rPr>
        <w:t xml:space="preserve"> Order</w:t>
      </w:r>
      <w:r w:rsidR="00B15622">
        <w:rPr>
          <w:szCs w:val="22"/>
        </w:rPr>
        <w:t>,</w:t>
      </w:r>
      <w:r>
        <w:rPr>
          <w:rStyle w:val="FootnoteReference"/>
          <w:szCs w:val="22"/>
        </w:rPr>
        <w:footnoteReference w:id="6"/>
      </w:r>
      <w:r w:rsidR="00071900">
        <w:rPr>
          <w:szCs w:val="22"/>
        </w:rPr>
        <w:t xml:space="preserve"> </w:t>
      </w:r>
      <w:r>
        <w:rPr>
          <w:szCs w:val="22"/>
        </w:rPr>
        <w:t xml:space="preserve">that they </w:t>
      </w:r>
      <w:r w:rsidR="00071900">
        <w:rPr>
          <w:szCs w:val="22"/>
        </w:rPr>
        <w:t xml:space="preserve">must now file </w:t>
      </w:r>
      <w:r w:rsidR="002F3BF5">
        <w:rPr>
          <w:szCs w:val="22"/>
        </w:rPr>
        <w:t xml:space="preserve">an </w:t>
      </w:r>
      <w:r w:rsidR="00B15622">
        <w:rPr>
          <w:szCs w:val="22"/>
        </w:rPr>
        <w:t>annual report</w:t>
      </w:r>
      <w:r w:rsidR="002F3BF5">
        <w:rPr>
          <w:szCs w:val="22"/>
        </w:rPr>
        <w:t xml:space="preserve"> covering </w:t>
      </w:r>
      <w:r>
        <w:rPr>
          <w:szCs w:val="22"/>
        </w:rPr>
        <w:t xml:space="preserve">all licenses currently subject to the unjust enrichment requirements, as well as all licenses that were subject to these requirements at any time during </w:t>
      </w:r>
      <w:r w:rsidR="00B15622">
        <w:rPr>
          <w:szCs w:val="22"/>
        </w:rPr>
        <w:t>the deferral period</w:t>
      </w:r>
      <w:r w:rsidR="00296673">
        <w:rPr>
          <w:szCs w:val="22"/>
        </w:rPr>
        <w:t>.</w:t>
      </w:r>
    </w:p>
    <w:p w14:paraId="26D7C45B" w14:textId="77777777" w:rsidR="00296673" w:rsidRDefault="00296673" w:rsidP="00760B2D">
      <w:pPr>
        <w:rPr>
          <w:szCs w:val="22"/>
        </w:rPr>
      </w:pPr>
    </w:p>
    <w:p w14:paraId="2DC01A78" w14:textId="7D6856D2" w:rsidR="00413A1F" w:rsidRDefault="004F4265" w:rsidP="00760B2D">
      <w:pPr>
        <w:rPr>
          <w:szCs w:val="22"/>
        </w:rPr>
      </w:pPr>
      <w:r>
        <w:rPr>
          <w:szCs w:val="22"/>
        </w:rPr>
        <w:t xml:space="preserve">The Commission expects </w:t>
      </w:r>
      <w:r w:rsidR="00CD7D9B">
        <w:rPr>
          <w:szCs w:val="22"/>
        </w:rPr>
        <w:t>DE l</w:t>
      </w:r>
      <w:r w:rsidR="00D90A46">
        <w:rPr>
          <w:szCs w:val="22"/>
        </w:rPr>
        <w:t xml:space="preserve">icensees </w:t>
      </w:r>
      <w:r>
        <w:rPr>
          <w:szCs w:val="22"/>
        </w:rPr>
        <w:t xml:space="preserve">to </w:t>
      </w:r>
      <w:r w:rsidR="003B20A3" w:rsidRPr="003B20A3">
        <w:rPr>
          <w:szCs w:val="22"/>
        </w:rPr>
        <w:t>comply fully with t</w:t>
      </w:r>
      <w:r w:rsidR="001E70B0">
        <w:rPr>
          <w:szCs w:val="22"/>
        </w:rPr>
        <w:t>he annual reporting requirement</w:t>
      </w:r>
      <w:r>
        <w:rPr>
          <w:szCs w:val="22"/>
        </w:rPr>
        <w:t>,</w:t>
      </w:r>
      <w:r w:rsidR="00D15C8D">
        <w:rPr>
          <w:rStyle w:val="FootnoteReference"/>
          <w:szCs w:val="22"/>
        </w:rPr>
        <w:footnoteReference w:id="7"/>
      </w:r>
      <w:r>
        <w:rPr>
          <w:szCs w:val="22"/>
        </w:rPr>
        <w:t xml:space="preserve"> as t</w:t>
      </w:r>
      <w:r w:rsidR="00CD7D9B">
        <w:rPr>
          <w:szCs w:val="22"/>
        </w:rPr>
        <w:t>he information in these reports is critical for the administration of the DE program.</w:t>
      </w:r>
      <w:r w:rsidR="00CD7D9B">
        <w:rPr>
          <w:rStyle w:val="FootnoteReference"/>
          <w:szCs w:val="22"/>
        </w:rPr>
        <w:footnoteReference w:id="8"/>
      </w:r>
      <w:r w:rsidR="00CD7D9B">
        <w:rPr>
          <w:szCs w:val="22"/>
        </w:rPr>
        <w:t xml:space="preserve">  </w:t>
      </w:r>
      <w:r w:rsidR="00413A1F">
        <w:rPr>
          <w:szCs w:val="22"/>
        </w:rPr>
        <w:t xml:space="preserve">Failure to comply with </w:t>
      </w:r>
      <w:r w:rsidR="00413A1F">
        <w:rPr>
          <w:szCs w:val="22"/>
        </w:rPr>
        <w:lastRenderedPageBreak/>
        <w:t>the annual reporting requirement</w:t>
      </w:r>
      <w:r>
        <w:rPr>
          <w:szCs w:val="22"/>
        </w:rPr>
        <w:t xml:space="preserve"> </w:t>
      </w:r>
      <w:r w:rsidR="00413A1F">
        <w:rPr>
          <w:szCs w:val="22"/>
        </w:rPr>
        <w:t xml:space="preserve">may result in </w:t>
      </w:r>
      <w:r w:rsidR="00B939CF">
        <w:rPr>
          <w:szCs w:val="22"/>
        </w:rPr>
        <w:t>enforcement action by</w:t>
      </w:r>
      <w:r w:rsidR="00413A1F">
        <w:rPr>
          <w:szCs w:val="22"/>
        </w:rPr>
        <w:t xml:space="preserve"> the Commission</w:t>
      </w:r>
      <w:r w:rsidR="00CD7D9B">
        <w:rPr>
          <w:szCs w:val="22"/>
        </w:rPr>
        <w:t>.</w:t>
      </w:r>
    </w:p>
    <w:p w14:paraId="3DC43AFF" w14:textId="77777777" w:rsidR="00760B2D" w:rsidRDefault="00760B2D" w:rsidP="00760B2D">
      <w:pPr>
        <w:rPr>
          <w:szCs w:val="22"/>
        </w:rPr>
      </w:pPr>
    </w:p>
    <w:p w14:paraId="32D5EC2D" w14:textId="651F33B5" w:rsidR="00D354B9" w:rsidRDefault="0037116F" w:rsidP="00760B2D">
      <w:pPr>
        <w:rPr>
          <w:szCs w:val="22"/>
        </w:rPr>
      </w:pPr>
      <w:r>
        <w:rPr>
          <w:szCs w:val="22"/>
        </w:rPr>
        <w:t>A list of licensees believed to be affected by the Commission’s annual DE reporting requirement is included in Attachment A.  This list, however, may not be exhaustive; licensees not included but subject to the requirements under Section 1.2110(n) of our Rules are still required to submit a report.</w:t>
      </w:r>
    </w:p>
    <w:p w14:paraId="790F99B1" w14:textId="77777777" w:rsidR="0037116F" w:rsidRDefault="0037116F" w:rsidP="00760B2D">
      <w:pPr>
        <w:rPr>
          <w:szCs w:val="22"/>
        </w:rPr>
      </w:pPr>
    </w:p>
    <w:p w14:paraId="53D2571C" w14:textId="33BBB0FE" w:rsidR="00760B2D" w:rsidRPr="000A4C1B" w:rsidRDefault="00734751" w:rsidP="006A5B12">
      <w:pPr>
        <w:rPr>
          <w:snapToGrid/>
          <w:color w:val="1F497D"/>
          <w:kern w:val="0"/>
        </w:rPr>
      </w:pPr>
      <w:r>
        <w:rPr>
          <w:b/>
          <w:szCs w:val="22"/>
        </w:rPr>
        <w:t>DE</w:t>
      </w:r>
      <w:r w:rsidR="00DB6D19">
        <w:rPr>
          <w:b/>
          <w:szCs w:val="22"/>
        </w:rPr>
        <w:t xml:space="preserve"> Reports</w:t>
      </w:r>
      <w:r w:rsidR="00760B2D">
        <w:rPr>
          <w:b/>
          <w:szCs w:val="22"/>
        </w:rPr>
        <w:t xml:space="preserve"> </w:t>
      </w:r>
      <w:r w:rsidR="006C41B4">
        <w:rPr>
          <w:b/>
          <w:szCs w:val="22"/>
        </w:rPr>
        <w:t xml:space="preserve">must </w:t>
      </w:r>
      <w:r w:rsidR="007D23E1">
        <w:rPr>
          <w:b/>
          <w:szCs w:val="22"/>
        </w:rPr>
        <w:t xml:space="preserve">be filed electronically </w:t>
      </w:r>
      <w:r w:rsidR="00E120B5">
        <w:rPr>
          <w:b/>
          <w:szCs w:val="22"/>
        </w:rPr>
        <w:t>us</w:t>
      </w:r>
      <w:r w:rsidR="007D23E1">
        <w:rPr>
          <w:b/>
          <w:szCs w:val="22"/>
        </w:rPr>
        <w:t>ing</w:t>
      </w:r>
      <w:r w:rsidR="00E120B5">
        <w:rPr>
          <w:b/>
          <w:szCs w:val="22"/>
        </w:rPr>
        <w:t xml:space="preserve"> Form 611</w:t>
      </w:r>
      <w:r w:rsidR="005E768D">
        <w:rPr>
          <w:b/>
          <w:szCs w:val="22"/>
        </w:rPr>
        <w:t>-T</w:t>
      </w:r>
      <w:r w:rsidR="00760B2D">
        <w:rPr>
          <w:szCs w:val="22"/>
        </w:rPr>
        <w:t xml:space="preserve">.  </w:t>
      </w:r>
      <w:r w:rsidR="006A5B12">
        <w:rPr>
          <w:szCs w:val="22"/>
        </w:rPr>
        <w:t xml:space="preserve">To file, please </w:t>
      </w:r>
      <w:r w:rsidR="000A4C1B">
        <w:rPr>
          <w:szCs w:val="22"/>
        </w:rPr>
        <w:t xml:space="preserve">go to </w:t>
      </w:r>
      <w:r w:rsidR="004C775F">
        <w:rPr>
          <w:szCs w:val="22"/>
        </w:rPr>
        <w:t xml:space="preserve">the Commission’s web site - </w:t>
      </w:r>
      <w:hyperlink r:id="rId8" w:history="1">
        <w:r w:rsidR="000A4C1B">
          <w:rPr>
            <w:rStyle w:val="Hyperlink"/>
          </w:rPr>
          <w:t>https://wireless2.fcc.gov/UlsEntry/licManager/login.jsp</w:t>
        </w:r>
      </w:hyperlink>
      <w:r w:rsidR="000A4C1B">
        <w:rPr>
          <w:color w:val="1F497D"/>
        </w:rPr>
        <w:t>.</w:t>
      </w:r>
      <w:r w:rsidR="000A4C1B">
        <w:rPr>
          <w:szCs w:val="22"/>
        </w:rPr>
        <w:t xml:space="preserve"> Please l</w:t>
      </w:r>
      <w:r w:rsidR="000A4C1B" w:rsidRPr="000A4C1B">
        <w:rPr>
          <w:szCs w:val="22"/>
        </w:rPr>
        <w:t>og in with your FRN and password</w:t>
      </w:r>
      <w:r w:rsidR="000A4C1B">
        <w:rPr>
          <w:szCs w:val="22"/>
        </w:rPr>
        <w:t>, then c</w:t>
      </w:r>
      <w:r w:rsidR="000A4C1B" w:rsidRPr="000A4C1B">
        <w:rPr>
          <w:szCs w:val="22"/>
        </w:rPr>
        <w:t xml:space="preserve">lick on the </w:t>
      </w:r>
      <w:r w:rsidR="000A4C1B">
        <w:rPr>
          <w:szCs w:val="22"/>
        </w:rPr>
        <w:t>“</w:t>
      </w:r>
      <w:r w:rsidR="000A4C1B" w:rsidRPr="000A4C1B">
        <w:rPr>
          <w:szCs w:val="22"/>
        </w:rPr>
        <w:t>My Licenses</w:t>
      </w:r>
      <w:r w:rsidR="000A4C1B">
        <w:rPr>
          <w:szCs w:val="22"/>
        </w:rPr>
        <w:t>”</w:t>
      </w:r>
      <w:r w:rsidR="000A4C1B" w:rsidRPr="000A4C1B">
        <w:rPr>
          <w:szCs w:val="22"/>
        </w:rPr>
        <w:t xml:space="preserve"> link on the left hand side of the screen, then click on the “File De</w:t>
      </w:r>
      <w:r w:rsidR="000A4C1B">
        <w:rPr>
          <w:szCs w:val="22"/>
        </w:rPr>
        <w:t>signated Entity Annual Report” l</w:t>
      </w:r>
      <w:r w:rsidR="000A4C1B" w:rsidRPr="000A4C1B">
        <w:rPr>
          <w:szCs w:val="22"/>
        </w:rPr>
        <w:t>ink to begin your 611</w:t>
      </w:r>
      <w:r w:rsidR="000A4C1B">
        <w:rPr>
          <w:szCs w:val="22"/>
        </w:rPr>
        <w:t>-T</w:t>
      </w:r>
      <w:r w:rsidR="000A4C1B" w:rsidRPr="000A4C1B">
        <w:rPr>
          <w:szCs w:val="22"/>
        </w:rPr>
        <w:t xml:space="preserve"> filing.</w:t>
      </w:r>
      <w:r w:rsidR="002E56AB">
        <w:rPr>
          <w:szCs w:val="22"/>
        </w:rPr>
        <w:t xml:space="preserve">  If you need assistance, please contact the FCC Licensing Support Center at: (877) 480-3201 (voice), (717) 338-2824 (TTY). </w:t>
      </w:r>
    </w:p>
    <w:p w14:paraId="4764A211" w14:textId="77777777" w:rsidR="00BD4EF8" w:rsidRDefault="00BD4EF8" w:rsidP="006A5B12">
      <w:pPr>
        <w:rPr>
          <w:szCs w:val="22"/>
        </w:rPr>
      </w:pPr>
    </w:p>
    <w:p w14:paraId="7AAA384B" w14:textId="77777777" w:rsidR="00760B2D" w:rsidRDefault="00760B2D" w:rsidP="00760B2D">
      <w:pPr>
        <w:rPr>
          <w:szCs w:val="22"/>
        </w:rPr>
      </w:pPr>
    </w:p>
    <w:p w14:paraId="6F3E9871" w14:textId="3CA99778" w:rsidR="00760B2D" w:rsidRDefault="00760B2D" w:rsidP="00760B2D">
      <w:pPr>
        <w:rPr>
          <w:szCs w:val="22"/>
        </w:rPr>
      </w:pPr>
      <w:r>
        <w:rPr>
          <w:szCs w:val="22"/>
        </w:rPr>
        <w:t>The full text of this document will be available for public inspection and copying during regular business hours at the FCC Reference Information Center, Portals II, 445 12</w:t>
      </w:r>
      <w:r>
        <w:rPr>
          <w:szCs w:val="22"/>
          <w:vertAlign w:val="superscript"/>
        </w:rPr>
        <w:t>th</w:t>
      </w:r>
      <w:r>
        <w:rPr>
          <w:szCs w:val="22"/>
        </w:rPr>
        <w:t xml:space="preserve"> Street, SW., Room CY-A257, </w:t>
      </w:r>
      <w:r w:rsidR="00BF049C">
        <w:rPr>
          <w:szCs w:val="22"/>
        </w:rPr>
        <w:t>W</w:t>
      </w:r>
      <w:r>
        <w:rPr>
          <w:szCs w:val="22"/>
        </w:rPr>
        <w:t>ashington</w:t>
      </w:r>
      <w:r w:rsidR="00337170">
        <w:rPr>
          <w:szCs w:val="22"/>
        </w:rPr>
        <w:t xml:space="preserve">, </w:t>
      </w:r>
      <w:r>
        <w:rPr>
          <w:szCs w:val="22"/>
        </w:rPr>
        <w:t xml:space="preserve">DC 20554.     </w:t>
      </w:r>
    </w:p>
    <w:p w14:paraId="4F6B295A" w14:textId="77777777" w:rsidR="00760B2D" w:rsidRDefault="00760B2D" w:rsidP="00760B2D">
      <w:pPr>
        <w:rPr>
          <w:szCs w:val="22"/>
        </w:rPr>
      </w:pPr>
    </w:p>
    <w:p w14:paraId="5D1E36BD" w14:textId="5FF22ED2" w:rsidR="00760B2D" w:rsidRDefault="002E56AB" w:rsidP="00760B2D">
      <w:pPr>
        <w:rPr>
          <w:szCs w:val="22"/>
        </w:rPr>
      </w:pPr>
      <w:r>
        <w:rPr>
          <w:szCs w:val="22"/>
        </w:rPr>
        <w:t xml:space="preserve">People with Disabilities:  To request materials in accessible formats (braille, large print, electronic files, audio format) for people with disabilities, send an email to </w:t>
      </w:r>
      <w:hyperlink r:id="rId9" w:history="1">
        <w:r>
          <w:rPr>
            <w:color w:val="0000FF"/>
            <w:szCs w:val="22"/>
            <w:u w:val="single"/>
          </w:rPr>
          <w:t>fcc504@fcc.gov</w:t>
        </w:r>
      </w:hyperlink>
      <w:r>
        <w:rPr>
          <w:szCs w:val="22"/>
        </w:rPr>
        <w:t xml:space="preserve"> or call the Consumer and Governmental Affairs Bureau at 202-418-0530 (voice), 202-418-0432 (TTY).</w:t>
      </w:r>
      <w:r w:rsidR="00760B2D">
        <w:rPr>
          <w:szCs w:val="22"/>
        </w:rPr>
        <w:t xml:space="preserve">  </w:t>
      </w:r>
    </w:p>
    <w:p w14:paraId="6B26D0B7" w14:textId="77777777" w:rsidR="00760B2D" w:rsidRDefault="00760B2D" w:rsidP="00760B2D">
      <w:pPr>
        <w:rPr>
          <w:szCs w:val="22"/>
        </w:rPr>
      </w:pPr>
    </w:p>
    <w:p w14:paraId="4B21F770" w14:textId="7476FE15" w:rsidR="00760B2D" w:rsidRDefault="00760B2D" w:rsidP="00760B2D">
      <w:pPr>
        <w:rPr>
          <w:szCs w:val="22"/>
        </w:rPr>
      </w:pPr>
      <w:r>
        <w:rPr>
          <w:szCs w:val="22"/>
        </w:rPr>
        <w:t xml:space="preserve">For further information regarding this </w:t>
      </w:r>
      <w:r>
        <w:rPr>
          <w:i/>
          <w:szCs w:val="22"/>
        </w:rPr>
        <w:t>Public Notice</w:t>
      </w:r>
      <w:r>
        <w:rPr>
          <w:szCs w:val="22"/>
        </w:rPr>
        <w:t xml:space="preserve">, contact </w:t>
      </w:r>
      <w:r w:rsidR="00A376F4">
        <w:rPr>
          <w:szCs w:val="22"/>
        </w:rPr>
        <w:t>Jeff Tignor</w:t>
      </w:r>
      <w:r>
        <w:rPr>
          <w:szCs w:val="22"/>
        </w:rPr>
        <w:t xml:space="preserve">, </w:t>
      </w:r>
      <w:r w:rsidR="00715B54">
        <w:rPr>
          <w:szCs w:val="22"/>
        </w:rPr>
        <w:t xml:space="preserve">Wireless </w:t>
      </w:r>
      <w:r w:rsidR="00DB6D19">
        <w:rPr>
          <w:szCs w:val="22"/>
        </w:rPr>
        <w:t>Telecommunications</w:t>
      </w:r>
      <w:r w:rsidR="00715B54">
        <w:rPr>
          <w:szCs w:val="22"/>
        </w:rPr>
        <w:t xml:space="preserve"> </w:t>
      </w:r>
      <w:r w:rsidR="00DB6D19">
        <w:rPr>
          <w:szCs w:val="22"/>
        </w:rPr>
        <w:t>Bureau</w:t>
      </w:r>
      <w:r>
        <w:rPr>
          <w:szCs w:val="22"/>
        </w:rPr>
        <w:t>, Office, (202) 418-</w:t>
      </w:r>
      <w:r w:rsidR="00A376F4">
        <w:rPr>
          <w:szCs w:val="22"/>
        </w:rPr>
        <w:t>0774</w:t>
      </w:r>
      <w:r>
        <w:rPr>
          <w:szCs w:val="22"/>
        </w:rPr>
        <w:t xml:space="preserve">(voice), or email: </w:t>
      </w:r>
      <w:hyperlink r:id="rId10" w:history="1">
        <w:r w:rsidR="00A376F4" w:rsidRPr="00A376F4">
          <w:rPr>
            <w:rStyle w:val="Hyperlink"/>
            <w:szCs w:val="22"/>
          </w:rPr>
          <w:t>jeffrey.tignor@fcc.gov</w:t>
        </w:r>
      </w:hyperlink>
      <w:r>
        <w:rPr>
          <w:szCs w:val="22"/>
        </w:rPr>
        <w:t>.</w:t>
      </w:r>
    </w:p>
    <w:p w14:paraId="711E605F" w14:textId="77777777" w:rsidR="00760B2D" w:rsidRDefault="00760B2D" w:rsidP="00760B2D">
      <w:pPr>
        <w:rPr>
          <w:szCs w:val="22"/>
        </w:rPr>
      </w:pPr>
    </w:p>
    <w:p w14:paraId="356410CD" w14:textId="77777777" w:rsidR="00760B2D" w:rsidRDefault="00760B2D" w:rsidP="00760B2D">
      <w:pPr>
        <w:spacing w:before="120"/>
        <w:jc w:val="center"/>
        <w:rPr>
          <w:b/>
          <w:szCs w:val="22"/>
        </w:rPr>
      </w:pPr>
      <w:r>
        <w:rPr>
          <w:b/>
          <w:szCs w:val="22"/>
        </w:rPr>
        <w:t>-FCC-</w:t>
      </w:r>
    </w:p>
    <w:p w14:paraId="5AE55EB7" w14:textId="138DC8B1" w:rsidR="00BA0B0B" w:rsidRDefault="00084B79">
      <w:pPr>
        <w:widowControl/>
        <w:rPr>
          <w:sz w:val="24"/>
        </w:rPr>
      </w:pPr>
      <w:r>
        <w:rPr>
          <w:sz w:val="24"/>
        </w:rPr>
        <w:t xml:space="preserve"> </w:t>
      </w:r>
    </w:p>
    <w:sectPr w:rsidR="00BA0B0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29D3" w14:textId="77777777" w:rsidR="002A4494" w:rsidRDefault="002A4494">
      <w:pPr>
        <w:spacing w:line="20" w:lineRule="exact"/>
      </w:pPr>
    </w:p>
  </w:endnote>
  <w:endnote w:type="continuationSeparator" w:id="0">
    <w:p w14:paraId="2E93D06B" w14:textId="77777777" w:rsidR="002A4494" w:rsidRDefault="002A4494">
      <w:r>
        <w:t xml:space="preserve"> </w:t>
      </w:r>
    </w:p>
  </w:endnote>
  <w:endnote w:type="continuationNotice" w:id="1">
    <w:p w14:paraId="20CDA1EC" w14:textId="77777777" w:rsidR="002A4494" w:rsidRDefault="002A44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BEB" w14:textId="77777777" w:rsidR="002747D3" w:rsidRDefault="002747D3" w:rsidP="0055614C">
    <w:pPr>
      <w:pStyle w:val="Footer"/>
      <w:framePr w:wrap="around" w:vAnchor="text" w:hAnchor="margin" w:xAlign="center" w:y="1"/>
    </w:pPr>
    <w:r>
      <w:fldChar w:fldCharType="begin"/>
    </w:r>
    <w:r>
      <w:instrText xml:space="preserve">PAGE  </w:instrText>
    </w:r>
    <w:r>
      <w:fldChar w:fldCharType="end"/>
    </w:r>
  </w:p>
  <w:p w14:paraId="2292BE4E" w14:textId="77777777" w:rsidR="002747D3" w:rsidRDefault="002747D3">
    <w:pPr>
      <w:pStyle w:val="Footer"/>
    </w:pPr>
  </w:p>
  <w:p w14:paraId="729B7832" w14:textId="77777777" w:rsidR="002747D3" w:rsidRDefault="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C58" w14:textId="77777777" w:rsidR="002747D3" w:rsidRDefault="002747D3" w:rsidP="0055614C">
    <w:pPr>
      <w:pStyle w:val="Footer"/>
      <w:framePr w:wrap="around" w:vAnchor="text" w:hAnchor="margin" w:xAlign="center" w:y="1"/>
    </w:pPr>
    <w:r>
      <w:fldChar w:fldCharType="begin"/>
    </w:r>
    <w:r>
      <w:instrText xml:space="preserve">PAGE  </w:instrText>
    </w:r>
    <w:r>
      <w:fldChar w:fldCharType="separate"/>
    </w:r>
    <w:r w:rsidR="00B069FF">
      <w:rPr>
        <w:noProof/>
      </w:rPr>
      <w:t>2</w:t>
    </w:r>
    <w:r>
      <w:fldChar w:fldCharType="end"/>
    </w:r>
  </w:p>
  <w:p w14:paraId="6D92B355" w14:textId="77777777" w:rsidR="002747D3" w:rsidRDefault="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9EE" w14:textId="77777777" w:rsidR="002747D3" w:rsidRDefault="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1859A" w14:textId="77777777" w:rsidR="002A4494" w:rsidRDefault="002A4494">
      <w:r>
        <w:separator/>
      </w:r>
    </w:p>
  </w:footnote>
  <w:footnote w:type="continuationSeparator" w:id="0">
    <w:p w14:paraId="4B12DE35" w14:textId="77777777" w:rsidR="002A4494" w:rsidRDefault="002A4494" w:rsidP="00C721AC">
      <w:pPr>
        <w:spacing w:before="120"/>
        <w:rPr>
          <w:sz w:val="20"/>
        </w:rPr>
      </w:pPr>
      <w:r>
        <w:rPr>
          <w:sz w:val="20"/>
        </w:rPr>
        <w:t xml:space="preserve">(Continued from previous page)  </w:t>
      </w:r>
      <w:r>
        <w:rPr>
          <w:sz w:val="20"/>
        </w:rPr>
        <w:separator/>
      </w:r>
    </w:p>
  </w:footnote>
  <w:footnote w:type="continuationNotice" w:id="1">
    <w:p w14:paraId="0BB83D66" w14:textId="77777777" w:rsidR="002A4494" w:rsidRDefault="002A4494" w:rsidP="00C721AC">
      <w:pPr>
        <w:jc w:val="right"/>
        <w:rPr>
          <w:sz w:val="20"/>
        </w:rPr>
      </w:pPr>
      <w:r>
        <w:rPr>
          <w:sz w:val="20"/>
        </w:rPr>
        <w:t>(continued….)</w:t>
      </w:r>
    </w:p>
  </w:footnote>
  <w:footnote w:id="2">
    <w:p w14:paraId="36E509E0" w14:textId="7FDC6A67" w:rsidR="002747D3" w:rsidRDefault="002747D3">
      <w:pPr>
        <w:pStyle w:val="FootnoteText"/>
      </w:pPr>
      <w:r>
        <w:rPr>
          <w:rStyle w:val="FootnoteReference"/>
        </w:rPr>
        <w:footnoteRef/>
      </w:r>
      <w:r>
        <w:t xml:space="preserve"> </w:t>
      </w:r>
      <w:r w:rsidRPr="000648F8">
        <w:rPr>
          <w:i/>
        </w:rPr>
        <w:t>Updating Part 1 Competitive Bidding Rules</w:t>
      </w:r>
      <w:r w:rsidRPr="009A2635">
        <w:t xml:space="preserve">, </w:t>
      </w:r>
      <w:r>
        <w:t xml:space="preserve">Report and Order, </w:t>
      </w:r>
      <w:r w:rsidRPr="009A2635">
        <w:t xml:space="preserve">30 </w:t>
      </w:r>
      <w:r>
        <w:t>FCC Rcd 7493, 7562-63, paras. 162-667</w:t>
      </w:r>
      <w:r w:rsidRPr="009A2635">
        <w:t xml:space="preserve"> (2015)</w:t>
      </w:r>
      <w:r>
        <w:t xml:space="preserve"> (</w:t>
      </w:r>
      <w:r w:rsidRPr="007A6CDA">
        <w:rPr>
          <w:i/>
        </w:rPr>
        <w:t xml:space="preserve">Competitive Bidding Update Report </w:t>
      </w:r>
      <w:r>
        <w:rPr>
          <w:i/>
        </w:rPr>
        <w:t>and</w:t>
      </w:r>
      <w:r w:rsidRPr="007A6CDA">
        <w:rPr>
          <w:i/>
        </w:rPr>
        <w:t xml:space="preserve"> Order</w:t>
      </w:r>
      <w:r>
        <w:t>)</w:t>
      </w:r>
      <w:r w:rsidRPr="009A2635">
        <w:t>.</w:t>
      </w:r>
      <w:r>
        <w:t xml:space="preserve"> </w:t>
      </w:r>
      <w:r w:rsidR="003D1B59">
        <w:rPr>
          <w:i/>
        </w:rPr>
        <w:t xml:space="preserve">See </w:t>
      </w:r>
      <w:r>
        <w:t>47 C</w:t>
      </w:r>
      <w:r w:rsidR="00EB04CF">
        <w:t>.</w:t>
      </w:r>
      <w:r>
        <w:t>F</w:t>
      </w:r>
      <w:r w:rsidR="00EB04CF">
        <w:t>.</w:t>
      </w:r>
      <w:r>
        <w:t>R</w:t>
      </w:r>
      <w:r w:rsidR="00EB04CF">
        <w:t>.</w:t>
      </w:r>
      <w:r>
        <w:t xml:space="preserve"> § 1.2110(n).</w:t>
      </w:r>
    </w:p>
  </w:footnote>
  <w:footnote w:id="3">
    <w:p w14:paraId="478FA007" w14:textId="77777777" w:rsidR="008F7891" w:rsidRDefault="008F7891" w:rsidP="008F7891">
      <w:pPr>
        <w:pStyle w:val="FootnoteText"/>
      </w:pPr>
      <w:r>
        <w:rPr>
          <w:rStyle w:val="FootnoteReference"/>
        </w:rPr>
        <w:footnoteRef/>
      </w:r>
      <w:r>
        <w:t xml:space="preserve"> </w:t>
      </w:r>
      <w:r w:rsidRPr="007A6CDA">
        <w:rPr>
          <w:i/>
        </w:rPr>
        <w:t xml:space="preserve">Competitive Bidding Update Report </w:t>
      </w:r>
      <w:r>
        <w:rPr>
          <w:i/>
        </w:rPr>
        <w:t>and</w:t>
      </w:r>
      <w:r w:rsidRPr="007A6CDA">
        <w:rPr>
          <w:i/>
        </w:rPr>
        <w:t xml:space="preserve"> Order</w:t>
      </w:r>
      <w:r>
        <w:t>, 30 FCC Rcd at 7562-63, para. 164.</w:t>
      </w:r>
    </w:p>
  </w:footnote>
  <w:footnote w:id="4">
    <w:p w14:paraId="6BFB09C0" w14:textId="49250A8D" w:rsidR="008F7891" w:rsidRPr="00D70E96" w:rsidRDefault="008F7891" w:rsidP="008F7891">
      <w:pPr>
        <w:pStyle w:val="FootnoteText"/>
      </w:pPr>
      <w:r>
        <w:rPr>
          <w:rStyle w:val="FootnoteReference"/>
        </w:rPr>
        <w:footnoteRef/>
      </w:r>
      <w:r>
        <w:t xml:space="preserve"> </w:t>
      </w:r>
      <w:r w:rsidR="00D70E96">
        <w:rPr>
          <w:i/>
        </w:rPr>
        <w:t>Id</w:t>
      </w:r>
      <w:r w:rsidR="00D70E96">
        <w:t>.</w:t>
      </w:r>
    </w:p>
  </w:footnote>
  <w:footnote w:id="5">
    <w:p w14:paraId="18B20975" w14:textId="15FE4677" w:rsidR="008F7891" w:rsidRDefault="008F7891" w:rsidP="008F7891">
      <w:pPr>
        <w:pStyle w:val="FootnoteText"/>
      </w:pPr>
      <w:r>
        <w:rPr>
          <w:rStyle w:val="FootnoteReference"/>
        </w:rPr>
        <w:footnoteRef/>
      </w:r>
      <w:r>
        <w:t xml:space="preserve"> </w:t>
      </w:r>
      <w:r w:rsidR="00D70E96">
        <w:rPr>
          <w:i/>
        </w:rPr>
        <w:t>Id</w:t>
      </w:r>
      <w:r w:rsidR="00D70E96">
        <w:t>.</w:t>
      </w:r>
      <w:r>
        <w:t xml:space="preserve"> at 7563</w:t>
      </w:r>
      <w:r w:rsidR="00D70E96">
        <w:t>,</w:t>
      </w:r>
      <w:r>
        <w:t xml:space="preserve"> para. 167.</w:t>
      </w:r>
    </w:p>
  </w:footnote>
  <w:footnote w:id="6">
    <w:p w14:paraId="3BFCB163" w14:textId="77777777" w:rsidR="008F7891" w:rsidRDefault="008F7891" w:rsidP="008F7891">
      <w:pPr>
        <w:pStyle w:val="FootnoteText"/>
      </w:pPr>
      <w:r>
        <w:rPr>
          <w:rStyle w:val="FootnoteReference"/>
        </w:rPr>
        <w:footnoteRef/>
      </w:r>
      <w:r>
        <w:t xml:space="preserve"> In the </w:t>
      </w:r>
      <w:r w:rsidRPr="007A6CDA">
        <w:rPr>
          <w:i/>
        </w:rPr>
        <w:t xml:space="preserve">Competitive Bidding Update Report </w:t>
      </w:r>
      <w:r>
        <w:rPr>
          <w:i/>
        </w:rPr>
        <w:t>and</w:t>
      </w:r>
      <w:r w:rsidRPr="007A6CDA">
        <w:rPr>
          <w:i/>
        </w:rPr>
        <w:t xml:space="preserve"> Order</w:t>
      </w:r>
      <w:r>
        <w:t xml:space="preserve">, the Commission stated that any DE licensee that would have had a report due between the release date of the order, July 21, 2015, and the applicable effective date of the amended rule could defer filing its annual report until September 30, 2016, thereby reducing the administrative burden on DEs, while still allowing the Commission to have current DE information on file. </w:t>
      </w:r>
      <w:r w:rsidRPr="007A6CDA">
        <w:rPr>
          <w:i/>
        </w:rPr>
        <w:t xml:space="preserve">Competitive Bidding Update Report </w:t>
      </w:r>
      <w:r>
        <w:rPr>
          <w:i/>
        </w:rPr>
        <w:t>and</w:t>
      </w:r>
      <w:r w:rsidRPr="007A6CDA">
        <w:rPr>
          <w:i/>
        </w:rPr>
        <w:t xml:space="preserve"> Order</w:t>
      </w:r>
      <w:r>
        <w:t xml:space="preserve">, </w:t>
      </w:r>
      <w:r w:rsidRPr="009A2635">
        <w:t xml:space="preserve">30 </w:t>
      </w:r>
      <w:r>
        <w:t xml:space="preserve">FCC Rcd at 7563, para. 165. </w:t>
      </w:r>
      <w:r w:rsidRPr="001D2D20">
        <w:rPr>
          <w:i/>
        </w:rPr>
        <w:t>See also</w:t>
      </w:r>
      <w:r>
        <w:t>, Federal Communications Commission</w:t>
      </w:r>
      <w:r w:rsidRPr="001D2D20">
        <w:t xml:space="preserve">, </w:t>
      </w:r>
      <w:r>
        <w:t>Updating Competitive Bidding Rules, 81</w:t>
      </w:r>
      <w:r w:rsidRPr="00795F03">
        <w:t xml:space="preserve"> Fed. Reg. 36805 (June 8</w:t>
      </w:r>
      <w:r w:rsidRPr="001D2D20">
        <w:t xml:space="preserve">, </w:t>
      </w:r>
      <w:r w:rsidRPr="00795F03">
        <w:t>2016)</w:t>
      </w:r>
      <w:r>
        <w:t xml:space="preserve"> (establishing July 8, 2016 as the effective date of the revisions to Section 1.2110(n) of the Commission’s Rules).</w:t>
      </w:r>
    </w:p>
  </w:footnote>
  <w:footnote w:id="7">
    <w:p w14:paraId="13831F68" w14:textId="6EC1CDF0" w:rsidR="002747D3" w:rsidRDefault="002747D3">
      <w:pPr>
        <w:pStyle w:val="FootnoteText"/>
      </w:pPr>
      <w:r>
        <w:rPr>
          <w:rStyle w:val="FootnoteReference"/>
        </w:rPr>
        <w:footnoteRef/>
      </w:r>
      <w:r>
        <w:t xml:space="preserve"> </w:t>
      </w:r>
      <w:r w:rsidRPr="007A6CDA">
        <w:rPr>
          <w:i/>
        </w:rPr>
        <w:t xml:space="preserve">Competitive Bidding Update Report </w:t>
      </w:r>
      <w:r>
        <w:rPr>
          <w:i/>
        </w:rPr>
        <w:t>and</w:t>
      </w:r>
      <w:r w:rsidRPr="007A6CDA">
        <w:rPr>
          <w:i/>
        </w:rPr>
        <w:t xml:space="preserve"> Order</w:t>
      </w:r>
      <w:r>
        <w:t>, 30 FCC Rcd at 7563 para. 167.</w:t>
      </w:r>
    </w:p>
  </w:footnote>
  <w:footnote w:id="8">
    <w:p w14:paraId="2858819E" w14:textId="1FC7F246" w:rsidR="002747D3" w:rsidRDefault="002747D3" w:rsidP="00CD7D9B">
      <w:pPr>
        <w:pStyle w:val="FootnoteText"/>
      </w:pPr>
      <w:r>
        <w:rPr>
          <w:rStyle w:val="FootnoteReference"/>
        </w:rPr>
        <w:footnoteRef/>
      </w:r>
      <w:r>
        <w:t xml:space="preserve"> </w:t>
      </w:r>
      <w:r w:rsidR="00D70E96">
        <w:rPr>
          <w:i/>
        </w:rPr>
        <w:t>Id</w:t>
      </w:r>
      <w:r w:rsidR="00D70E96">
        <w:t>.</w:t>
      </w:r>
      <w:r>
        <w:t xml:space="preserve"> at 7562, para.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1314" w14:textId="77777777" w:rsidR="00691726" w:rsidRDefault="0069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F9AD" w14:textId="77777777" w:rsidR="00691726" w:rsidRDefault="0069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7916" w14:textId="77777777" w:rsidR="002747D3" w:rsidRPr="00B338A9" w:rsidRDefault="002747D3" w:rsidP="00B338A9">
    <w:pPr>
      <w:pStyle w:val="Header"/>
    </w:pPr>
    <w:r>
      <w:rPr>
        <w:b w:val="0"/>
        <w:noProof/>
      </w:rPr>
      <mc:AlternateContent>
        <mc:Choice Requires="wps">
          <w:drawing>
            <wp:anchor distT="0" distB="0" distL="114300" distR="114300" simplePos="0" relativeHeight="251656192" behindDoc="0" locked="0" layoutInCell="0" allowOverlap="1" wp14:anchorId="3DC7E46F" wp14:editId="389353FC">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5C4C2" w14:textId="77777777" w:rsidR="002747D3" w:rsidRDefault="002747D3" w:rsidP="00D47505">
                          <w:pPr>
                            <w:rPr>
                              <w:rFonts w:ascii="Arial" w:hAnsi="Arial"/>
                              <w:b/>
                            </w:rPr>
                          </w:pPr>
                          <w:r>
                            <w:rPr>
                              <w:rFonts w:ascii="Arial" w:hAnsi="Arial"/>
                              <w:b/>
                            </w:rPr>
                            <w:t>Federal Communications Commission</w:t>
                          </w:r>
                        </w:p>
                        <w:p w14:paraId="0CCA21BE" w14:textId="77777777" w:rsidR="002747D3" w:rsidRDefault="002747D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17D32A4" w14:textId="77777777" w:rsidR="002747D3" w:rsidRDefault="002747D3"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3844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2F3BF5" w:rsidRDefault="002F3BF5" w:rsidP="00D47505">
                    <w:pPr>
                      <w:rPr>
                        <w:rFonts w:ascii="Arial" w:hAnsi="Arial"/>
                        <w:b/>
                      </w:rPr>
                    </w:pPr>
                    <w:r>
                      <w:rPr>
                        <w:rFonts w:ascii="Arial" w:hAnsi="Arial"/>
                        <w:b/>
                      </w:rPr>
                      <w:t>Federal Communications Commission</w:t>
                    </w:r>
                  </w:p>
                  <w:p w:rsidR="002F3BF5" w:rsidRDefault="002F3BF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F3BF5" w:rsidRDefault="002F3BF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709C656" wp14:editId="1D0A984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38DE09D3" w14:textId="77777777" w:rsidR="002747D3" w:rsidRDefault="002747D3" w:rsidP="00B338A9">
    <w:pPr>
      <w:pStyle w:val="Header"/>
    </w:pPr>
    <w:r>
      <w:rPr>
        <w:b w:val="0"/>
        <w:noProof/>
      </w:rPr>
      <mc:AlternateContent>
        <mc:Choice Requires="wps">
          <w:drawing>
            <wp:anchor distT="0" distB="0" distL="114300" distR="114300" simplePos="0" relativeHeight="251657216" behindDoc="0" locked="0" layoutInCell="0" allowOverlap="1" wp14:anchorId="3A8096C3" wp14:editId="72248EC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6C32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F87581D" wp14:editId="064C444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C1909" w14:textId="77777777" w:rsidR="002747D3" w:rsidRDefault="002747D3" w:rsidP="00D47505">
                          <w:pPr>
                            <w:spacing w:before="40"/>
                            <w:jc w:val="right"/>
                            <w:rPr>
                              <w:rFonts w:ascii="Arial" w:hAnsi="Arial"/>
                              <w:b/>
                              <w:sz w:val="16"/>
                            </w:rPr>
                          </w:pPr>
                          <w:r>
                            <w:rPr>
                              <w:rFonts w:ascii="Arial" w:hAnsi="Arial"/>
                              <w:b/>
                              <w:sz w:val="16"/>
                            </w:rPr>
                            <w:t>News Media Information 202 / 418-0500</w:t>
                          </w:r>
                        </w:p>
                        <w:p w14:paraId="2CE943EA" w14:textId="670371F9" w:rsidR="002747D3" w:rsidRDefault="002747D3"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069FF">
                            <w:rPr>
                              <w:rFonts w:ascii="Arial" w:hAnsi="Arial"/>
                              <w:b/>
                              <w:sz w:val="16"/>
                            </w:rPr>
                            <w:instrText>HYPERLINK "https://www.fcc.gov/"</w:instrText>
                          </w:r>
                          <w:r w:rsidR="00B069FF">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0BDF3317" w14:textId="77777777" w:rsidR="002747D3" w:rsidRDefault="002747D3"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CC1909" w14:textId="77777777" w:rsidR="002747D3" w:rsidRDefault="002747D3" w:rsidP="00D47505">
                    <w:pPr>
                      <w:spacing w:before="40"/>
                      <w:jc w:val="right"/>
                      <w:rPr>
                        <w:rFonts w:ascii="Arial" w:hAnsi="Arial"/>
                        <w:b/>
                        <w:sz w:val="16"/>
                      </w:rPr>
                    </w:pPr>
                    <w:r>
                      <w:rPr>
                        <w:rFonts w:ascii="Arial" w:hAnsi="Arial"/>
                        <w:b/>
                        <w:sz w:val="16"/>
                      </w:rPr>
                      <w:t>News Media Information 202 / 418-0500</w:t>
                    </w:r>
                  </w:p>
                  <w:p w14:paraId="2CE943EA" w14:textId="670371F9" w:rsidR="002747D3" w:rsidRDefault="002747D3"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B069FF">
                      <w:rPr>
                        <w:rFonts w:ascii="Arial" w:hAnsi="Arial"/>
                        <w:b/>
                        <w:sz w:val="16"/>
                      </w:rPr>
                      <w:instrText>HYPERLINK "https://www.fcc.gov/"</w:instrText>
                    </w:r>
                    <w:r w:rsidR="00B069FF">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0BDF3317" w14:textId="77777777" w:rsidR="002747D3" w:rsidRDefault="002747D3"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016E5"/>
    <w:rsid w:val="00013D00"/>
    <w:rsid w:val="00022EA5"/>
    <w:rsid w:val="00035225"/>
    <w:rsid w:val="00036039"/>
    <w:rsid w:val="00037F90"/>
    <w:rsid w:val="000519BD"/>
    <w:rsid w:val="00054FD0"/>
    <w:rsid w:val="000648F8"/>
    <w:rsid w:val="00071900"/>
    <w:rsid w:val="000729EE"/>
    <w:rsid w:val="00073BC9"/>
    <w:rsid w:val="00084B79"/>
    <w:rsid w:val="000875BF"/>
    <w:rsid w:val="00096D8C"/>
    <w:rsid w:val="000A4C1B"/>
    <w:rsid w:val="000A7CF7"/>
    <w:rsid w:val="000C0B65"/>
    <w:rsid w:val="000E05FE"/>
    <w:rsid w:val="000E3D42"/>
    <w:rsid w:val="000F377F"/>
    <w:rsid w:val="00116514"/>
    <w:rsid w:val="00122BD5"/>
    <w:rsid w:val="001265D9"/>
    <w:rsid w:val="00131CBD"/>
    <w:rsid w:val="00133F79"/>
    <w:rsid w:val="00135F4C"/>
    <w:rsid w:val="001361CF"/>
    <w:rsid w:val="001617A8"/>
    <w:rsid w:val="001805E1"/>
    <w:rsid w:val="00194A66"/>
    <w:rsid w:val="001A4125"/>
    <w:rsid w:val="001B6E64"/>
    <w:rsid w:val="001D6BCF"/>
    <w:rsid w:val="001E01CA"/>
    <w:rsid w:val="001E70B0"/>
    <w:rsid w:val="0023155D"/>
    <w:rsid w:val="00237AA9"/>
    <w:rsid w:val="0026380A"/>
    <w:rsid w:val="00270836"/>
    <w:rsid w:val="0027351C"/>
    <w:rsid w:val="002747D3"/>
    <w:rsid w:val="00275CF5"/>
    <w:rsid w:val="0028301F"/>
    <w:rsid w:val="00285017"/>
    <w:rsid w:val="0029499D"/>
    <w:rsid w:val="00296673"/>
    <w:rsid w:val="002A2D2E"/>
    <w:rsid w:val="002A4494"/>
    <w:rsid w:val="002C00E8"/>
    <w:rsid w:val="002C665C"/>
    <w:rsid w:val="002E56AB"/>
    <w:rsid w:val="002F244F"/>
    <w:rsid w:val="002F3BF5"/>
    <w:rsid w:val="00307904"/>
    <w:rsid w:val="00311AFC"/>
    <w:rsid w:val="00337170"/>
    <w:rsid w:val="00343749"/>
    <w:rsid w:val="003543F7"/>
    <w:rsid w:val="00357527"/>
    <w:rsid w:val="003660ED"/>
    <w:rsid w:val="0037116F"/>
    <w:rsid w:val="003B0550"/>
    <w:rsid w:val="003B20A3"/>
    <w:rsid w:val="003B694F"/>
    <w:rsid w:val="003C68E7"/>
    <w:rsid w:val="003D1B59"/>
    <w:rsid w:val="003F171C"/>
    <w:rsid w:val="00402E7B"/>
    <w:rsid w:val="004112F0"/>
    <w:rsid w:val="00412FC5"/>
    <w:rsid w:val="00413A1F"/>
    <w:rsid w:val="00414BDE"/>
    <w:rsid w:val="00420C9C"/>
    <w:rsid w:val="00422276"/>
    <w:rsid w:val="004242F1"/>
    <w:rsid w:val="00430324"/>
    <w:rsid w:val="00435377"/>
    <w:rsid w:val="0043671B"/>
    <w:rsid w:val="00442540"/>
    <w:rsid w:val="00445A00"/>
    <w:rsid w:val="00451B0F"/>
    <w:rsid w:val="00454283"/>
    <w:rsid w:val="00455DDD"/>
    <w:rsid w:val="00485989"/>
    <w:rsid w:val="004937A5"/>
    <w:rsid w:val="00497E41"/>
    <w:rsid w:val="004A0C8A"/>
    <w:rsid w:val="004C2EE3"/>
    <w:rsid w:val="004C309E"/>
    <w:rsid w:val="004C56AD"/>
    <w:rsid w:val="004C775F"/>
    <w:rsid w:val="004E1931"/>
    <w:rsid w:val="004E4A22"/>
    <w:rsid w:val="004F1ABA"/>
    <w:rsid w:val="004F4265"/>
    <w:rsid w:val="004F6A26"/>
    <w:rsid w:val="0050223E"/>
    <w:rsid w:val="00511968"/>
    <w:rsid w:val="00550330"/>
    <w:rsid w:val="0055614C"/>
    <w:rsid w:val="005570C0"/>
    <w:rsid w:val="00575386"/>
    <w:rsid w:val="005838DC"/>
    <w:rsid w:val="00585E88"/>
    <w:rsid w:val="00593EF4"/>
    <w:rsid w:val="005A4476"/>
    <w:rsid w:val="005C0D99"/>
    <w:rsid w:val="005C31E9"/>
    <w:rsid w:val="005E14C2"/>
    <w:rsid w:val="005E768D"/>
    <w:rsid w:val="005F6E27"/>
    <w:rsid w:val="00607BA5"/>
    <w:rsid w:val="0061180A"/>
    <w:rsid w:val="00626EB6"/>
    <w:rsid w:val="00635E02"/>
    <w:rsid w:val="00655D03"/>
    <w:rsid w:val="00662DFB"/>
    <w:rsid w:val="00683388"/>
    <w:rsid w:val="00683F84"/>
    <w:rsid w:val="00691726"/>
    <w:rsid w:val="006A1F49"/>
    <w:rsid w:val="006A5B12"/>
    <w:rsid w:val="006A6A81"/>
    <w:rsid w:val="006B1456"/>
    <w:rsid w:val="006C41B4"/>
    <w:rsid w:val="006C7F5C"/>
    <w:rsid w:val="006E59C5"/>
    <w:rsid w:val="006F7393"/>
    <w:rsid w:val="00701A8A"/>
    <w:rsid w:val="0070224F"/>
    <w:rsid w:val="007043D2"/>
    <w:rsid w:val="007115F7"/>
    <w:rsid w:val="00715B54"/>
    <w:rsid w:val="00722D40"/>
    <w:rsid w:val="0072365C"/>
    <w:rsid w:val="00734751"/>
    <w:rsid w:val="007374A6"/>
    <w:rsid w:val="00756BB4"/>
    <w:rsid w:val="00760B2D"/>
    <w:rsid w:val="0078030E"/>
    <w:rsid w:val="00785689"/>
    <w:rsid w:val="0079754B"/>
    <w:rsid w:val="007A1A7E"/>
    <w:rsid w:val="007A1E6D"/>
    <w:rsid w:val="007B0EB2"/>
    <w:rsid w:val="007D23E1"/>
    <w:rsid w:val="007E7BFA"/>
    <w:rsid w:val="007F413A"/>
    <w:rsid w:val="007F6DB5"/>
    <w:rsid w:val="00810B6F"/>
    <w:rsid w:val="0081358C"/>
    <w:rsid w:val="00822CE0"/>
    <w:rsid w:val="00837697"/>
    <w:rsid w:val="00841AB1"/>
    <w:rsid w:val="00867C2C"/>
    <w:rsid w:val="008703E0"/>
    <w:rsid w:val="008868D4"/>
    <w:rsid w:val="008C1C56"/>
    <w:rsid w:val="008C68F1"/>
    <w:rsid w:val="008F20B1"/>
    <w:rsid w:val="008F7891"/>
    <w:rsid w:val="00904CFF"/>
    <w:rsid w:val="009179E3"/>
    <w:rsid w:val="00921803"/>
    <w:rsid w:val="00926503"/>
    <w:rsid w:val="0094319E"/>
    <w:rsid w:val="00943327"/>
    <w:rsid w:val="009726D8"/>
    <w:rsid w:val="00974619"/>
    <w:rsid w:val="009910A4"/>
    <w:rsid w:val="009A2635"/>
    <w:rsid w:val="009C310E"/>
    <w:rsid w:val="009D4100"/>
    <w:rsid w:val="009D65EF"/>
    <w:rsid w:val="009F1E7A"/>
    <w:rsid w:val="009F76DB"/>
    <w:rsid w:val="009F7B5F"/>
    <w:rsid w:val="00A1220B"/>
    <w:rsid w:val="00A17B49"/>
    <w:rsid w:val="00A32C3B"/>
    <w:rsid w:val="00A376F4"/>
    <w:rsid w:val="00A45F4F"/>
    <w:rsid w:val="00A50C3E"/>
    <w:rsid w:val="00A53F0E"/>
    <w:rsid w:val="00A55D0E"/>
    <w:rsid w:val="00A600A9"/>
    <w:rsid w:val="00AA55B7"/>
    <w:rsid w:val="00AA5B9E"/>
    <w:rsid w:val="00AB2407"/>
    <w:rsid w:val="00AB53DF"/>
    <w:rsid w:val="00AC424B"/>
    <w:rsid w:val="00AF46DC"/>
    <w:rsid w:val="00B05B5A"/>
    <w:rsid w:val="00B069FF"/>
    <w:rsid w:val="00B07E5C"/>
    <w:rsid w:val="00B15622"/>
    <w:rsid w:val="00B160C0"/>
    <w:rsid w:val="00B17C94"/>
    <w:rsid w:val="00B17EBB"/>
    <w:rsid w:val="00B20363"/>
    <w:rsid w:val="00B219F9"/>
    <w:rsid w:val="00B278D3"/>
    <w:rsid w:val="00B32380"/>
    <w:rsid w:val="00B32E29"/>
    <w:rsid w:val="00B338A9"/>
    <w:rsid w:val="00B3620B"/>
    <w:rsid w:val="00B47692"/>
    <w:rsid w:val="00B6727A"/>
    <w:rsid w:val="00B679AB"/>
    <w:rsid w:val="00B76DB8"/>
    <w:rsid w:val="00B811F7"/>
    <w:rsid w:val="00B83915"/>
    <w:rsid w:val="00B939CF"/>
    <w:rsid w:val="00BA0B0B"/>
    <w:rsid w:val="00BA5DC6"/>
    <w:rsid w:val="00BA6196"/>
    <w:rsid w:val="00BC6D8C"/>
    <w:rsid w:val="00BD3136"/>
    <w:rsid w:val="00BD33BF"/>
    <w:rsid w:val="00BD4EF8"/>
    <w:rsid w:val="00BD70B1"/>
    <w:rsid w:val="00BF049C"/>
    <w:rsid w:val="00BF0B44"/>
    <w:rsid w:val="00C34006"/>
    <w:rsid w:val="00C417C6"/>
    <w:rsid w:val="00C426B1"/>
    <w:rsid w:val="00C437CF"/>
    <w:rsid w:val="00C523D8"/>
    <w:rsid w:val="00C66160"/>
    <w:rsid w:val="00C721AC"/>
    <w:rsid w:val="00C83E80"/>
    <w:rsid w:val="00C90D6A"/>
    <w:rsid w:val="00C931EB"/>
    <w:rsid w:val="00C93E17"/>
    <w:rsid w:val="00CA247E"/>
    <w:rsid w:val="00CC72B6"/>
    <w:rsid w:val="00CC776F"/>
    <w:rsid w:val="00CD7D9B"/>
    <w:rsid w:val="00CF39F7"/>
    <w:rsid w:val="00D0218D"/>
    <w:rsid w:val="00D104E6"/>
    <w:rsid w:val="00D15C8D"/>
    <w:rsid w:val="00D25861"/>
    <w:rsid w:val="00D25FB5"/>
    <w:rsid w:val="00D354B9"/>
    <w:rsid w:val="00D44223"/>
    <w:rsid w:val="00D47505"/>
    <w:rsid w:val="00D52310"/>
    <w:rsid w:val="00D70E96"/>
    <w:rsid w:val="00D80201"/>
    <w:rsid w:val="00D90A46"/>
    <w:rsid w:val="00DA0A9C"/>
    <w:rsid w:val="00DA2529"/>
    <w:rsid w:val="00DB130A"/>
    <w:rsid w:val="00DB2EBB"/>
    <w:rsid w:val="00DB6D19"/>
    <w:rsid w:val="00DC10A1"/>
    <w:rsid w:val="00DC655F"/>
    <w:rsid w:val="00DD0B59"/>
    <w:rsid w:val="00DD7EBD"/>
    <w:rsid w:val="00DE4C8D"/>
    <w:rsid w:val="00DF0810"/>
    <w:rsid w:val="00DF62B6"/>
    <w:rsid w:val="00E01BFD"/>
    <w:rsid w:val="00E07225"/>
    <w:rsid w:val="00E120B5"/>
    <w:rsid w:val="00E14E80"/>
    <w:rsid w:val="00E35B76"/>
    <w:rsid w:val="00E35DEE"/>
    <w:rsid w:val="00E4275D"/>
    <w:rsid w:val="00E51CA2"/>
    <w:rsid w:val="00E5409F"/>
    <w:rsid w:val="00E70484"/>
    <w:rsid w:val="00EA2B68"/>
    <w:rsid w:val="00EA656D"/>
    <w:rsid w:val="00EA6E9A"/>
    <w:rsid w:val="00EB04CF"/>
    <w:rsid w:val="00EB4ACC"/>
    <w:rsid w:val="00EE6488"/>
    <w:rsid w:val="00F021FA"/>
    <w:rsid w:val="00F10DB7"/>
    <w:rsid w:val="00F44F93"/>
    <w:rsid w:val="00F62E97"/>
    <w:rsid w:val="00F64209"/>
    <w:rsid w:val="00F8591E"/>
    <w:rsid w:val="00F93BF5"/>
    <w:rsid w:val="00FD576F"/>
    <w:rsid w:val="00FE2C64"/>
    <w:rsid w:val="00FE2F1B"/>
    <w:rsid w:val="00FF2C3C"/>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0393">
      <w:bodyDiv w:val="1"/>
      <w:marLeft w:val="0"/>
      <w:marRight w:val="0"/>
      <w:marTop w:val="0"/>
      <w:marBottom w:val="0"/>
      <w:divBdr>
        <w:top w:val="none" w:sz="0" w:space="0" w:color="auto"/>
        <w:left w:val="none" w:sz="0" w:space="0" w:color="auto"/>
        <w:bottom w:val="none" w:sz="0" w:space="0" w:color="auto"/>
        <w:right w:val="none" w:sz="0" w:space="0" w:color="auto"/>
      </w:divBdr>
    </w:div>
    <w:div w:id="1715929112">
      <w:bodyDiv w:val="1"/>
      <w:marLeft w:val="0"/>
      <w:marRight w:val="0"/>
      <w:marTop w:val="0"/>
      <w:marBottom w:val="0"/>
      <w:divBdr>
        <w:top w:val="none" w:sz="0" w:space="0" w:color="auto"/>
        <w:left w:val="none" w:sz="0" w:space="0" w:color="auto"/>
        <w:bottom w:val="none" w:sz="0" w:space="0" w:color="auto"/>
        <w:right w:val="none" w:sz="0" w:space="0" w:color="auto"/>
      </w:divBdr>
    </w:div>
    <w:div w:id="1911646954">
      <w:bodyDiv w:val="1"/>
      <w:marLeft w:val="0"/>
      <w:marRight w:val="0"/>
      <w:marTop w:val="0"/>
      <w:marBottom w:val="0"/>
      <w:divBdr>
        <w:top w:val="none" w:sz="0" w:space="0" w:color="auto"/>
        <w:left w:val="none" w:sz="0" w:space="0" w:color="auto"/>
        <w:bottom w:val="none" w:sz="0" w:space="0" w:color="auto"/>
        <w:right w:val="none" w:sz="0" w:space="0" w:color="auto"/>
      </w:divBdr>
    </w:div>
    <w:div w:id="1973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eless2.fcc.gov/UlsEntry/licManager/login.j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ffrey.tignor@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485</Words>
  <Characters>2778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2016-08-10T17:09:00Z</dcterms:created>
  <dcterms:modified xsi:type="dcterms:W3CDTF">2016-08-10T17:09:00Z</dcterms:modified>
  <cp:category> </cp:category>
  <cp:contentStatus> </cp:contentStatus>
</cp:coreProperties>
</file>