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69265" w14:textId="77777777" w:rsidR="00E9376C" w:rsidRPr="00981F23" w:rsidRDefault="00E9376C">
      <w:pPr>
        <w:jc w:val="center"/>
        <w:rPr>
          <w:b/>
          <w:color w:val="000000" w:themeColor="text1"/>
          <w:szCs w:val="22"/>
        </w:rPr>
      </w:pPr>
      <w:bookmarkStart w:id="0" w:name="_GoBack"/>
      <w:bookmarkEnd w:id="0"/>
      <w:r w:rsidRPr="00981F23">
        <w:rPr>
          <w:b/>
          <w:color w:val="000000" w:themeColor="text1"/>
          <w:szCs w:val="22"/>
        </w:rPr>
        <w:t>Before the</w:t>
      </w:r>
    </w:p>
    <w:p w14:paraId="11769266" w14:textId="77777777" w:rsidR="00E9376C" w:rsidRPr="00981F23" w:rsidRDefault="00E9376C">
      <w:pPr>
        <w:pStyle w:val="StyleBoldCentered"/>
        <w:rPr>
          <w:rFonts w:ascii="Times New Roman" w:hAnsi="Times New Roman"/>
          <w:color w:val="000000" w:themeColor="text1"/>
        </w:rPr>
      </w:pPr>
      <w:r w:rsidRPr="00981F23">
        <w:rPr>
          <w:rFonts w:ascii="Times New Roman" w:hAnsi="Times New Roman"/>
          <w:color w:val="000000" w:themeColor="text1"/>
        </w:rPr>
        <w:t>F</w:t>
      </w:r>
      <w:r w:rsidRPr="00981F23">
        <w:rPr>
          <w:rFonts w:ascii="Times New Roman" w:hAnsi="Times New Roman"/>
          <w:caps w:val="0"/>
          <w:color w:val="000000" w:themeColor="text1"/>
        </w:rPr>
        <w:t>ederal Communications Commission</w:t>
      </w:r>
    </w:p>
    <w:p w14:paraId="11769267" w14:textId="77777777" w:rsidR="00E9376C" w:rsidRPr="00981F23" w:rsidRDefault="00E9376C">
      <w:pPr>
        <w:jc w:val="center"/>
        <w:rPr>
          <w:b/>
          <w:color w:val="000000" w:themeColor="text1"/>
          <w:szCs w:val="22"/>
        </w:rPr>
      </w:pPr>
      <w:r w:rsidRPr="00981F23">
        <w:rPr>
          <w:b/>
          <w:color w:val="000000" w:themeColor="text1"/>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1176927C" w14:textId="77777777" w:rsidTr="00500F04">
        <w:tc>
          <w:tcPr>
            <w:tcW w:w="4518" w:type="dxa"/>
          </w:tcPr>
          <w:p w14:paraId="11769268" w14:textId="77777777" w:rsidR="00E9376C" w:rsidRPr="00981F23" w:rsidRDefault="00E9376C">
            <w:pPr>
              <w:tabs>
                <w:tab w:val="center" w:pos="4680"/>
              </w:tabs>
              <w:suppressAutoHyphens/>
              <w:rPr>
                <w:color w:val="000000" w:themeColor="text1"/>
                <w:spacing w:val="-2"/>
                <w:szCs w:val="22"/>
              </w:rPr>
            </w:pPr>
          </w:p>
          <w:p w14:paraId="11769269" w14:textId="77777777" w:rsidR="00E9376C" w:rsidRPr="00981F23" w:rsidRDefault="00E9376C">
            <w:pPr>
              <w:tabs>
                <w:tab w:val="center" w:pos="4680"/>
              </w:tabs>
              <w:suppressAutoHyphens/>
              <w:rPr>
                <w:color w:val="000000" w:themeColor="text1"/>
                <w:spacing w:val="-2"/>
                <w:szCs w:val="22"/>
              </w:rPr>
            </w:pPr>
            <w:r w:rsidRPr="00981F23">
              <w:rPr>
                <w:color w:val="000000" w:themeColor="text1"/>
                <w:spacing w:val="-2"/>
                <w:szCs w:val="22"/>
              </w:rPr>
              <w:t>In the Matter of</w:t>
            </w:r>
          </w:p>
          <w:p w14:paraId="1176926A" w14:textId="77777777" w:rsidR="00E9376C" w:rsidRPr="00981F23" w:rsidRDefault="00E9376C">
            <w:pPr>
              <w:tabs>
                <w:tab w:val="center" w:pos="4680"/>
              </w:tabs>
              <w:suppressAutoHyphens/>
              <w:rPr>
                <w:color w:val="000000" w:themeColor="text1"/>
                <w:spacing w:val="-2"/>
                <w:szCs w:val="22"/>
              </w:rPr>
            </w:pPr>
          </w:p>
          <w:p w14:paraId="1176926B" w14:textId="4132EFF9" w:rsidR="00E9376C" w:rsidRPr="00981F23" w:rsidRDefault="00BA0B6C">
            <w:pPr>
              <w:tabs>
                <w:tab w:val="center" w:pos="4680"/>
              </w:tabs>
              <w:suppressAutoHyphens/>
              <w:rPr>
                <w:color w:val="000000" w:themeColor="text1"/>
                <w:spacing w:val="-2"/>
                <w:szCs w:val="22"/>
              </w:rPr>
            </w:pPr>
            <w:r>
              <w:rPr>
                <w:color w:val="000000" w:themeColor="text1"/>
                <w:spacing w:val="-2"/>
                <w:szCs w:val="22"/>
              </w:rPr>
              <w:t>Kedner Maxime</w:t>
            </w:r>
          </w:p>
          <w:p w14:paraId="1176926C" w14:textId="47743153" w:rsidR="006976BB" w:rsidRDefault="00D27F00" w:rsidP="006976BB">
            <w:pPr>
              <w:tabs>
                <w:tab w:val="center" w:pos="4680"/>
              </w:tabs>
              <w:suppressAutoHyphens/>
              <w:rPr>
                <w:color w:val="000000" w:themeColor="text1"/>
                <w:spacing w:val="-2"/>
                <w:szCs w:val="22"/>
              </w:rPr>
            </w:pPr>
            <w:r>
              <w:rPr>
                <w:color w:val="000000" w:themeColor="text1"/>
                <w:spacing w:val="-2"/>
                <w:szCs w:val="22"/>
              </w:rPr>
              <w:t>Oakland Park</w:t>
            </w:r>
            <w:r w:rsidR="00AB7A05">
              <w:rPr>
                <w:color w:val="000000" w:themeColor="text1"/>
                <w:spacing w:val="-2"/>
                <w:szCs w:val="22"/>
              </w:rPr>
              <w:t>, FL</w:t>
            </w:r>
          </w:p>
          <w:p w14:paraId="1176926D" w14:textId="77777777" w:rsidR="00232BF1" w:rsidRPr="00981F23" w:rsidRDefault="00232BF1">
            <w:pPr>
              <w:tabs>
                <w:tab w:val="center" w:pos="4680"/>
              </w:tabs>
              <w:suppressAutoHyphens/>
              <w:rPr>
                <w:color w:val="000000" w:themeColor="text1"/>
                <w:spacing w:val="-2"/>
                <w:szCs w:val="22"/>
              </w:rPr>
            </w:pPr>
            <w:r>
              <w:rPr>
                <w:color w:val="000000" w:themeColor="text1"/>
                <w:spacing w:val="-2"/>
                <w:szCs w:val="22"/>
              </w:rPr>
              <w:t xml:space="preserve"> </w:t>
            </w:r>
          </w:p>
        </w:tc>
        <w:tc>
          <w:tcPr>
            <w:tcW w:w="630" w:type="dxa"/>
          </w:tcPr>
          <w:p w14:paraId="1176926E" w14:textId="77777777" w:rsidR="00E9376C" w:rsidRPr="00981F23" w:rsidRDefault="00E9376C">
            <w:pPr>
              <w:tabs>
                <w:tab w:val="center" w:pos="4680"/>
              </w:tabs>
              <w:suppressAutoHyphens/>
              <w:rPr>
                <w:b/>
                <w:color w:val="000000" w:themeColor="text1"/>
                <w:spacing w:val="-2"/>
                <w:szCs w:val="22"/>
              </w:rPr>
            </w:pPr>
          </w:p>
          <w:p w14:paraId="1176926F"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0"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1"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2"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3"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p w14:paraId="11769274" w14:textId="77777777" w:rsidR="00E9376C" w:rsidRPr="00981F23" w:rsidRDefault="00E9376C">
            <w:pPr>
              <w:tabs>
                <w:tab w:val="center" w:pos="4680"/>
              </w:tabs>
              <w:suppressAutoHyphens/>
              <w:rPr>
                <w:b/>
                <w:color w:val="000000" w:themeColor="text1"/>
                <w:spacing w:val="-2"/>
                <w:szCs w:val="22"/>
              </w:rPr>
            </w:pPr>
            <w:r w:rsidRPr="00981F23">
              <w:rPr>
                <w:b/>
                <w:color w:val="000000" w:themeColor="text1"/>
                <w:spacing w:val="-2"/>
                <w:szCs w:val="22"/>
              </w:rPr>
              <w:t xml:space="preserve"> </w:t>
            </w:r>
          </w:p>
        </w:tc>
        <w:tc>
          <w:tcPr>
            <w:tcW w:w="4248" w:type="dxa"/>
          </w:tcPr>
          <w:p w14:paraId="11769275" w14:textId="77777777" w:rsidR="00E9376C" w:rsidRPr="00981F23" w:rsidRDefault="00E9376C">
            <w:pPr>
              <w:tabs>
                <w:tab w:val="center" w:pos="4680"/>
              </w:tabs>
              <w:suppressAutoHyphens/>
              <w:rPr>
                <w:color w:val="000000" w:themeColor="text1"/>
                <w:spacing w:val="-2"/>
                <w:szCs w:val="22"/>
              </w:rPr>
            </w:pPr>
          </w:p>
          <w:p w14:paraId="11769276" w14:textId="77777777" w:rsidR="00242FE3" w:rsidRDefault="00E9376C">
            <w:pPr>
              <w:rPr>
                <w:color w:val="000000" w:themeColor="text1"/>
                <w:spacing w:val="-2"/>
                <w:szCs w:val="22"/>
              </w:rPr>
            </w:pPr>
            <w:r w:rsidRPr="00981F23">
              <w:rPr>
                <w:color w:val="000000" w:themeColor="text1"/>
                <w:spacing w:val="-2"/>
                <w:szCs w:val="22"/>
              </w:rPr>
              <w:t xml:space="preserve">                </w:t>
            </w:r>
          </w:p>
          <w:p w14:paraId="11769277" w14:textId="77777777" w:rsidR="006976BB" w:rsidRDefault="006976BB" w:rsidP="009F6998">
            <w:pPr>
              <w:rPr>
                <w:color w:val="000000" w:themeColor="text1"/>
                <w:spacing w:val="-2"/>
                <w:szCs w:val="22"/>
              </w:rPr>
            </w:pPr>
          </w:p>
          <w:p w14:paraId="11769278" w14:textId="2B4DC2E4" w:rsidR="00242FE3"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 xml:space="preserve">File No.:  </w:t>
            </w:r>
            <w:r w:rsidR="009E0252" w:rsidRPr="009E0252">
              <w:rPr>
                <w:color w:val="000000" w:themeColor="text1"/>
                <w:spacing w:val="-2"/>
                <w:szCs w:val="22"/>
              </w:rPr>
              <w:t>EB-FIELDSCR-15-00020432</w:t>
            </w:r>
          </w:p>
          <w:p w14:paraId="11769279" w14:textId="0056F9D9" w:rsidR="00242FE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NAL/Acct. No.</w:t>
            </w:r>
            <w:r w:rsidR="009D265E" w:rsidRPr="00981F23">
              <w:rPr>
                <w:color w:val="000000" w:themeColor="text1"/>
                <w:spacing w:val="-2"/>
                <w:szCs w:val="22"/>
              </w:rPr>
              <w:t>:</w:t>
            </w:r>
            <w:r w:rsidR="00A569CE" w:rsidRPr="00981F23">
              <w:rPr>
                <w:color w:val="000000" w:themeColor="text1"/>
                <w:spacing w:val="-2"/>
                <w:szCs w:val="22"/>
              </w:rPr>
              <w:t xml:space="preserve">  </w:t>
            </w:r>
            <w:r w:rsidR="00A579AA" w:rsidRPr="00DA47AC">
              <w:rPr>
                <w:bCs/>
              </w:rPr>
              <w:t>20163260</w:t>
            </w:r>
            <w:r w:rsidR="00DA47AC" w:rsidRPr="00DA47AC">
              <w:rPr>
                <w:bCs/>
              </w:rPr>
              <w:t>0002</w:t>
            </w:r>
          </w:p>
          <w:p w14:paraId="1176927A" w14:textId="382EEB20" w:rsidR="00E9376C" w:rsidRPr="00981F23" w:rsidRDefault="006976BB" w:rsidP="009F6998">
            <w:pPr>
              <w:rPr>
                <w:snapToGrid/>
                <w:color w:val="000000" w:themeColor="text1"/>
                <w:spacing w:val="-2"/>
                <w:szCs w:val="22"/>
              </w:rPr>
            </w:pPr>
            <w:r>
              <w:rPr>
                <w:color w:val="000000" w:themeColor="text1"/>
                <w:spacing w:val="-2"/>
                <w:szCs w:val="22"/>
              </w:rPr>
              <w:t xml:space="preserve">  </w:t>
            </w:r>
            <w:r w:rsidR="00E9376C" w:rsidRPr="00981F23">
              <w:rPr>
                <w:color w:val="000000" w:themeColor="text1"/>
                <w:spacing w:val="-2"/>
                <w:szCs w:val="22"/>
              </w:rPr>
              <w:t>FRN:</w:t>
            </w:r>
            <w:r w:rsidR="00EE454B">
              <w:rPr>
                <w:color w:val="000000" w:themeColor="text1"/>
                <w:spacing w:val="-2"/>
                <w:szCs w:val="22"/>
              </w:rPr>
              <w:t xml:space="preserve">  0025807728</w:t>
            </w:r>
          </w:p>
          <w:p w14:paraId="1176927B" w14:textId="77777777" w:rsidR="00E9376C" w:rsidRPr="00981F23" w:rsidRDefault="00E9376C" w:rsidP="009E08F3">
            <w:pPr>
              <w:rPr>
                <w:color w:val="000000" w:themeColor="text1"/>
                <w:szCs w:val="22"/>
              </w:rPr>
            </w:pPr>
            <w:r w:rsidRPr="00981F23">
              <w:rPr>
                <w:color w:val="000000" w:themeColor="text1"/>
                <w:spacing w:val="-2"/>
                <w:szCs w:val="22"/>
              </w:rPr>
              <w:t xml:space="preserve">             </w:t>
            </w:r>
          </w:p>
        </w:tc>
      </w:tr>
    </w:tbl>
    <w:p w14:paraId="1176927D" w14:textId="77777777" w:rsidR="00E9376C" w:rsidRPr="00981F23" w:rsidRDefault="00E9376C" w:rsidP="00863418">
      <w:pPr>
        <w:pStyle w:val="StyleBoldCentered"/>
        <w:widowControl/>
        <w:rPr>
          <w:rFonts w:ascii="Times New Roman" w:hAnsi="Times New Roman"/>
          <w:color w:val="000000" w:themeColor="text1"/>
        </w:rPr>
      </w:pPr>
      <w:r w:rsidRPr="00981F23">
        <w:rPr>
          <w:rFonts w:ascii="Times New Roman" w:hAnsi="Times New Roman"/>
          <w:color w:val="000000" w:themeColor="text1"/>
        </w:rPr>
        <w:t>NOTICE OF APPARENT LIABILITY FOR FORFEITURE</w:t>
      </w:r>
    </w:p>
    <w:p w14:paraId="1176927E" w14:textId="77777777" w:rsidR="00E9376C" w:rsidRPr="00981F23" w:rsidRDefault="00E9376C">
      <w:pPr>
        <w:pStyle w:val="BodyText"/>
        <w:tabs>
          <w:tab w:val="left" w:pos="4680"/>
        </w:tabs>
        <w:jc w:val="center"/>
        <w:rPr>
          <w:color w:val="000000" w:themeColor="text1"/>
          <w:sz w:val="22"/>
          <w:szCs w:val="22"/>
          <w:u w:val="none"/>
        </w:rPr>
      </w:pPr>
    </w:p>
    <w:p w14:paraId="1176927F" w14:textId="19FADB0C" w:rsidR="00652F84" w:rsidRPr="00037DB0" w:rsidRDefault="00593132" w:rsidP="00652F84">
      <w:pPr>
        <w:tabs>
          <w:tab w:val="left" w:pos="720"/>
          <w:tab w:val="right" w:pos="9360"/>
        </w:tabs>
        <w:suppressAutoHyphens/>
        <w:spacing w:line="227" w:lineRule="auto"/>
        <w:rPr>
          <w:spacing w:val="-2"/>
          <w:szCs w:val="22"/>
        </w:rPr>
      </w:pPr>
      <w:r>
        <w:rPr>
          <w:b/>
          <w:spacing w:val="-2"/>
          <w:szCs w:val="22"/>
        </w:rPr>
        <w:t xml:space="preserve">Adopted:  </w:t>
      </w:r>
      <w:r w:rsidR="008A070E">
        <w:rPr>
          <w:b/>
          <w:spacing w:val="-2"/>
          <w:szCs w:val="22"/>
        </w:rPr>
        <w:t>August 1</w:t>
      </w:r>
      <w:r w:rsidR="00780720">
        <w:rPr>
          <w:b/>
          <w:spacing w:val="-2"/>
          <w:szCs w:val="22"/>
        </w:rPr>
        <w:t>2</w:t>
      </w:r>
      <w:r w:rsidR="008A070E">
        <w:rPr>
          <w:b/>
          <w:spacing w:val="-2"/>
          <w:szCs w:val="22"/>
        </w:rPr>
        <w:t>, 2016</w:t>
      </w:r>
      <w:r w:rsidR="008A070E">
        <w:rPr>
          <w:b/>
          <w:spacing w:val="-2"/>
          <w:szCs w:val="22"/>
        </w:rPr>
        <w:tab/>
        <w:t>Released:  August 1</w:t>
      </w:r>
      <w:r w:rsidR="008D6044">
        <w:rPr>
          <w:b/>
          <w:spacing w:val="-2"/>
          <w:szCs w:val="22"/>
        </w:rPr>
        <w:t>2</w:t>
      </w:r>
      <w:r w:rsidR="008A070E">
        <w:rPr>
          <w:b/>
          <w:spacing w:val="-2"/>
          <w:szCs w:val="22"/>
        </w:rPr>
        <w:t>. 2016</w:t>
      </w:r>
      <w:r w:rsidR="00680CCD" w:rsidRPr="00680CCD">
        <w:rPr>
          <w:b/>
          <w:spacing w:val="-2"/>
          <w:szCs w:val="22"/>
          <w:highlight w:val="yellow"/>
        </w:rPr>
        <w:t xml:space="preserve"> </w:t>
      </w:r>
    </w:p>
    <w:p w14:paraId="11769280" w14:textId="77777777" w:rsidR="00E9376C" w:rsidRPr="00981F23" w:rsidRDefault="00E9376C" w:rsidP="009645E5">
      <w:pPr>
        <w:pStyle w:val="BodyText"/>
        <w:tabs>
          <w:tab w:val="left" w:pos="4680"/>
        </w:tabs>
        <w:jc w:val="center"/>
        <w:rPr>
          <w:color w:val="000000" w:themeColor="text1"/>
          <w:sz w:val="22"/>
          <w:szCs w:val="22"/>
          <w:u w:val="none"/>
        </w:rPr>
      </w:pPr>
    </w:p>
    <w:p w14:paraId="11769281" w14:textId="7FAA7D92"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F82D25">
        <w:rPr>
          <w:spacing w:val="-2"/>
          <w:szCs w:val="22"/>
        </w:rPr>
        <w:t>Regional Director,</w:t>
      </w:r>
      <w:r w:rsidR="00232BF1">
        <w:rPr>
          <w:spacing w:val="-2"/>
          <w:szCs w:val="22"/>
        </w:rPr>
        <w:t xml:space="preserve"> Region</w:t>
      </w:r>
      <w:r w:rsidR="00F82D25">
        <w:rPr>
          <w:spacing w:val="-2"/>
          <w:szCs w:val="22"/>
        </w:rPr>
        <w:t xml:space="preserve"> </w:t>
      </w:r>
      <w:r w:rsidR="005E7D42">
        <w:rPr>
          <w:spacing w:val="-2"/>
          <w:szCs w:val="22"/>
        </w:rPr>
        <w:t>Two</w:t>
      </w:r>
      <w:r w:rsidR="00232BF1">
        <w:rPr>
          <w:spacing w:val="-2"/>
          <w:szCs w:val="22"/>
        </w:rPr>
        <w:t>, Enforcement Bureau</w:t>
      </w:r>
      <w:r w:rsidRPr="006D73F2">
        <w:rPr>
          <w:spacing w:val="-2"/>
          <w:szCs w:val="22"/>
        </w:rPr>
        <w:t>:</w:t>
      </w:r>
    </w:p>
    <w:p w14:paraId="11769282" w14:textId="77777777" w:rsidR="00E9376C" w:rsidRPr="00981F23" w:rsidRDefault="00E9376C" w:rsidP="00F76EED">
      <w:pPr>
        <w:pStyle w:val="Heading1"/>
        <w:rPr>
          <w:color w:val="000000" w:themeColor="text1"/>
        </w:rPr>
      </w:pPr>
      <w:r w:rsidRPr="00981F23">
        <w:rPr>
          <w:color w:val="000000" w:themeColor="text1"/>
        </w:rPr>
        <w:t>INTRODUCTION</w:t>
      </w:r>
    </w:p>
    <w:p w14:paraId="11769283" w14:textId="4F95266D" w:rsidR="00E9376C" w:rsidRPr="00272D8B" w:rsidRDefault="00E9376C" w:rsidP="00F76EED">
      <w:pPr>
        <w:pStyle w:val="ParaNum"/>
        <w:rPr>
          <w:spacing w:val="-2"/>
        </w:rPr>
      </w:pPr>
      <w:r w:rsidRPr="00272D8B">
        <w:rPr>
          <w:spacing w:val="-2"/>
        </w:rPr>
        <w:t>We propose a penalty of $</w:t>
      </w:r>
      <w:r w:rsidR="00232BF1" w:rsidRPr="00272D8B">
        <w:rPr>
          <w:spacing w:val="-2"/>
        </w:rPr>
        <w:t>1</w:t>
      </w:r>
      <w:r w:rsidR="00CF20FA">
        <w:rPr>
          <w:spacing w:val="-2"/>
        </w:rPr>
        <w:t>5</w:t>
      </w:r>
      <w:r w:rsidR="00232BF1" w:rsidRPr="00272D8B">
        <w:rPr>
          <w:spacing w:val="-2"/>
        </w:rPr>
        <w:t>,000</w:t>
      </w:r>
      <w:r w:rsidR="001A0D4F">
        <w:rPr>
          <w:spacing w:val="-2"/>
        </w:rPr>
        <w:t xml:space="preserve"> </w:t>
      </w:r>
      <w:r w:rsidRPr="00272D8B">
        <w:rPr>
          <w:spacing w:val="-2"/>
        </w:rPr>
        <w:t>a</w:t>
      </w:r>
      <w:r w:rsidR="0089257F">
        <w:rPr>
          <w:spacing w:val="-2"/>
        </w:rPr>
        <w:t>g</w:t>
      </w:r>
      <w:r w:rsidRPr="00272D8B">
        <w:rPr>
          <w:spacing w:val="-2"/>
        </w:rPr>
        <w:t>ainst</w:t>
      </w:r>
      <w:r w:rsidR="00232BF1" w:rsidRPr="00272D8B">
        <w:rPr>
          <w:spacing w:val="-2"/>
        </w:rPr>
        <w:t xml:space="preserve"> </w:t>
      </w:r>
      <w:r w:rsidR="00E169A4">
        <w:rPr>
          <w:spacing w:val="-2"/>
        </w:rPr>
        <w:t>Kedner Maxime</w:t>
      </w:r>
      <w:r w:rsidR="006976BB">
        <w:rPr>
          <w:spacing w:val="-2"/>
        </w:rPr>
        <w:t xml:space="preserve"> for operating a</w:t>
      </w:r>
      <w:r w:rsidR="00AB7A05">
        <w:rPr>
          <w:spacing w:val="-2"/>
        </w:rPr>
        <w:t xml:space="preserve">n unlicensed radio station on </w:t>
      </w:r>
      <w:r w:rsidR="00E169A4">
        <w:rPr>
          <w:spacing w:val="-2"/>
        </w:rPr>
        <w:t>the frequencies 89.1 and 102.1</w:t>
      </w:r>
      <w:r w:rsidR="00DF70B1">
        <w:rPr>
          <w:spacing w:val="-2"/>
        </w:rPr>
        <w:t xml:space="preserve"> MHz </w:t>
      </w:r>
      <w:r w:rsidR="00E169A4">
        <w:rPr>
          <w:spacing w:val="-2"/>
        </w:rPr>
        <w:t>from two locations in Broward County</w:t>
      </w:r>
      <w:r w:rsidR="00AB7A05">
        <w:rPr>
          <w:spacing w:val="-2"/>
        </w:rPr>
        <w:t>, F</w:t>
      </w:r>
      <w:r w:rsidR="00D27F00">
        <w:rPr>
          <w:spacing w:val="-2"/>
        </w:rPr>
        <w:t>lorida</w:t>
      </w:r>
      <w:r w:rsidR="006976BB">
        <w:rPr>
          <w:spacing w:val="-2"/>
        </w:rPr>
        <w:t xml:space="preserve">.  </w:t>
      </w:r>
      <w:r w:rsidR="00E216B7">
        <w:rPr>
          <w:spacing w:val="-2"/>
        </w:rPr>
        <w:t xml:space="preserve">The Commission previously warned </w:t>
      </w:r>
      <w:r w:rsidR="001E491B">
        <w:rPr>
          <w:spacing w:val="-2"/>
        </w:rPr>
        <w:t>Mr</w:t>
      </w:r>
      <w:r w:rsidR="00137CA5">
        <w:rPr>
          <w:spacing w:val="-2"/>
        </w:rPr>
        <w:t xml:space="preserve">. </w:t>
      </w:r>
      <w:r w:rsidR="00BF491A">
        <w:rPr>
          <w:spacing w:val="-2"/>
        </w:rPr>
        <w:t>Maxime</w:t>
      </w:r>
      <w:r w:rsidR="00DF70B1">
        <w:rPr>
          <w:spacing w:val="-2"/>
        </w:rPr>
        <w:t xml:space="preserve"> </w:t>
      </w:r>
      <w:r w:rsidR="00E216B7">
        <w:rPr>
          <w:spacing w:val="-2"/>
        </w:rPr>
        <w:t xml:space="preserve">that operation of this unlicensed station was illegal and that continued operation could result in further enforcement action.  </w:t>
      </w:r>
      <w:r w:rsidR="001E491B">
        <w:rPr>
          <w:spacing w:val="-2"/>
        </w:rPr>
        <w:t>Mr</w:t>
      </w:r>
      <w:r w:rsidR="00137CA5">
        <w:rPr>
          <w:spacing w:val="-2"/>
        </w:rPr>
        <w:t xml:space="preserve">. </w:t>
      </w:r>
      <w:r w:rsidR="00F23B81">
        <w:rPr>
          <w:spacing w:val="-2"/>
        </w:rPr>
        <w:t>Maxime</w:t>
      </w:r>
      <w:r w:rsidR="00DF70B1">
        <w:rPr>
          <w:spacing w:val="-2"/>
        </w:rPr>
        <w:t>’s</w:t>
      </w:r>
      <w:r w:rsidR="00E216B7">
        <w:rPr>
          <w:spacing w:val="-2"/>
        </w:rPr>
        <w:t xml:space="preserve"> deliberate disregard of the Commission’s warning</w:t>
      </w:r>
      <w:r w:rsidR="001E491B">
        <w:rPr>
          <w:spacing w:val="-2"/>
        </w:rPr>
        <w:t>s</w:t>
      </w:r>
      <w:r w:rsidR="00E216B7">
        <w:rPr>
          <w:spacing w:val="-2"/>
        </w:rPr>
        <w:t xml:space="preserve"> warrants </w:t>
      </w:r>
      <w:r w:rsidR="008E31AD">
        <w:rPr>
          <w:spacing w:val="-2"/>
        </w:rPr>
        <w:t>a significant</w:t>
      </w:r>
      <w:r w:rsidR="001E491B">
        <w:rPr>
          <w:spacing w:val="-2"/>
        </w:rPr>
        <w:t xml:space="preserve"> penalty.</w:t>
      </w:r>
      <w:r w:rsidR="00E216B7">
        <w:rPr>
          <w:spacing w:val="-2"/>
        </w:rPr>
        <w:t xml:space="preserve">  Commission action in this area is essential because unlicensed radio stations create a danger of interference to licensed communications</w:t>
      </w:r>
      <w:r w:rsidR="00F76EED">
        <w:rPr>
          <w:spacing w:val="-2"/>
        </w:rPr>
        <w:t xml:space="preserve"> and undermine the Commission’s authority over </w:t>
      </w:r>
      <w:r w:rsidR="00763A82">
        <w:rPr>
          <w:spacing w:val="-2"/>
        </w:rPr>
        <w:t xml:space="preserve">FM </w:t>
      </w:r>
      <w:r w:rsidR="00F76EED">
        <w:rPr>
          <w:spacing w:val="-2"/>
        </w:rPr>
        <w:t>broadcast radio operations</w:t>
      </w:r>
      <w:r w:rsidR="00E216B7">
        <w:rPr>
          <w:spacing w:val="-2"/>
        </w:rPr>
        <w:t xml:space="preserve">.  </w:t>
      </w:r>
    </w:p>
    <w:p w14:paraId="11769284" w14:textId="77777777" w:rsidR="0050166C" w:rsidRPr="00981F23" w:rsidRDefault="00E9376C" w:rsidP="00F76EED">
      <w:pPr>
        <w:pStyle w:val="Heading1"/>
        <w:rPr>
          <w:color w:val="000000" w:themeColor="text1"/>
          <w:spacing w:val="-2"/>
        </w:rPr>
      </w:pPr>
      <w:r w:rsidRPr="00981F23">
        <w:rPr>
          <w:color w:val="000000" w:themeColor="text1"/>
        </w:rPr>
        <w:t>BACKGROUND</w:t>
      </w:r>
    </w:p>
    <w:p w14:paraId="14E75239" w14:textId="27F0054E" w:rsidR="00B33DC5" w:rsidRDefault="005F1650" w:rsidP="00062A97">
      <w:pPr>
        <w:pStyle w:val="ParaNum"/>
      </w:pPr>
      <w:r>
        <w:t xml:space="preserve">On July </w:t>
      </w:r>
      <w:r w:rsidR="00B33DC5">
        <w:t xml:space="preserve">14, 2015, the Enforcement Bureau’s Miami Office (Miami Office) </w:t>
      </w:r>
      <w:r w:rsidR="00451ED2">
        <w:t>received a complaint from the Federal Aviation Administration (FAA) that an unidentified FM broadcast station in the Broward County, F</w:t>
      </w:r>
      <w:r w:rsidR="00757398">
        <w:t>lorida</w:t>
      </w:r>
      <w:r w:rsidR="00451ED2">
        <w:t xml:space="preserve"> area was operating on 102.1 MHz and also was transmitting a spurious signal on a frequency assigned to U.S. military aeronautical operations.</w:t>
      </w:r>
    </w:p>
    <w:p w14:paraId="1D2171D8" w14:textId="76F88759" w:rsidR="00AA6BC1" w:rsidRDefault="00AC7995" w:rsidP="007509F9">
      <w:pPr>
        <w:pStyle w:val="ParaNum"/>
      </w:pPr>
      <w:r>
        <w:t xml:space="preserve">On </w:t>
      </w:r>
      <w:r w:rsidR="00451ED2">
        <w:t>July 15</w:t>
      </w:r>
      <w:r w:rsidR="00043610">
        <w:t>, 2015</w:t>
      </w:r>
      <w:r>
        <w:t xml:space="preserve">, </w:t>
      </w:r>
      <w:r w:rsidR="00E216B7">
        <w:t xml:space="preserve">agents </w:t>
      </w:r>
      <w:r w:rsidR="00B01E0F">
        <w:t xml:space="preserve">from the </w:t>
      </w:r>
      <w:r>
        <w:t>Miami</w:t>
      </w:r>
      <w:r w:rsidR="00B33DC5">
        <w:t xml:space="preserve"> Office</w:t>
      </w:r>
      <w:r w:rsidR="00E216B7">
        <w:t xml:space="preserve"> used </w:t>
      </w:r>
      <w:r w:rsidR="00D8664F">
        <w:t xml:space="preserve">mobile </w:t>
      </w:r>
      <w:r w:rsidR="00E216B7">
        <w:t>direction-finding techniques to locate the source of radio frequency t</w:t>
      </w:r>
      <w:r>
        <w:t>ra</w:t>
      </w:r>
      <w:r w:rsidR="00EC6709">
        <w:t xml:space="preserve">nsmissions on the frequency </w:t>
      </w:r>
      <w:r w:rsidR="00451ED2">
        <w:t>102</w:t>
      </w:r>
      <w:r w:rsidR="00EC6709">
        <w:t>.1</w:t>
      </w:r>
      <w:r>
        <w:t xml:space="preserve"> MHz to</w:t>
      </w:r>
      <w:r w:rsidR="005B5DC3">
        <w:t xml:space="preserve"> an </w:t>
      </w:r>
      <w:r w:rsidR="00DB79EC">
        <w:t xml:space="preserve">FM transmitting </w:t>
      </w:r>
      <w:r w:rsidR="005B5DC3">
        <w:t>antenna at</w:t>
      </w:r>
      <w:r w:rsidR="00E216B7">
        <w:t xml:space="preserve"> </w:t>
      </w:r>
      <w:r w:rsidR="00451ED2">
        <w:rPr>
          <w:color w:val="000000"/>
          <w:spacing w:val="-2"/>
          <w:szCs w:val="22"/>
        </w:rPr>
        <w:t>a church building in Ft. Lauderdale</w:t>
      </w:r>
      <w:r>
        <w:rPr>
          <w:color w:val="000000"/>
          <w:spacing w:val="-2"/>
          <w:szCs w:val="22"/>
        </w:rPr>
        <w:t>, F</w:t>
      </w:r>
      <w:r w:rsidR="00D27F00">
        <w:rPr>
          <w:color w:val="000000"/>
          <w:spacing w:val="-2"/>
          <w:szCs w:val="22"/>
        </w:rPr>
        <w:t>lorida</w:t>
      </w:r>
      <w:r w:rsidR="00CD103A">
        <w:t xml:space="preserve">.  </w:t>
      </w:r>
      <w:r w:rsidR="007509F9">
        <w:t xml:space="preserve">The agents also observed a spurious signal </w:t>
      </w:r>
      <w:r w:rsidR="007509F9" w:rsidRPr="007509F9">
        <w:t xml:space="preserve">on the U.S. military aeronautical frequency </w:t>
      </w:r>
      <w:r w:rsidR="007509F9">
        <w:t xml:space="preserve">originating from the same antenna. </w:t>
      </w:r>
      <w:r w:rsidR="00043610">
        <w:t>The</w:t>
      </w:r>
      <w:r w:rsidR="00E216B7">
        <w:t xml:space="preserve"> </w:t>
      </w:r>
      <w:r w:rsidR="00E216B7" w:rsidRPr="00122932">
        <w:t>agents</w:t>
      </w:r>
      <w:r w:rsidR="00E216B7">
        <w:t xml:space="preserve"> took field</w:t>
      </w:r>
      <w:r w:rsidR="00E216B7" w:rsidRPr="00122932">
        <w:t xml:space="preserve"> strength measurements of the station’s signal and determined that the </w:t>
      </w:r>
      <w:r w:rsidR="00E216B7">
        <w:t>transmissions</w:t>
      </w:r>
      <w:r w:rsidR="00E216B7" w:rsidRPr="00122932">
        <w:t xml:space="preserve"> on </w:t>
      </w:r>
      <w:r w:rsidR="005B5DC3">
        <w:t>102</w:t>
      </w:r>
      <w:r w:rsidR="00EC6709">
        <w:t>.1</w:t>
      </w:r>
      <w:r w:rsidR="00E216B7">
        <w:t xml:space="preserve"> </w:t>
      </w:r>
      <w:r w:rsidR="00E216B7" w:rsidRPr="00122932">
        <w:t>MHz exceeded the limits for operation under Part 15 of the Commission’s rules (Rules),</w:t>
      </w:r>
      <w:r w:rsidR="00E216B7" w:rsidRPr="00122932">
        <w:rPr>
          <w:rStyle w:val="FootnoteReference"/>
          <w:color w:val="000000"/>
          <w:spacing w:val="-2"/>
          <w:szCs w:val="22"/>
        </w:rPr>
        <w:footnoteReference w:id="2"/>
      </w:r>
      <w:r w:rsidR="00E216B7" w:rsidRPr="00122932">
        <w:t xml:space="preserve"> and therefore required a license.  </w:t>
      </w:r>
      <w:r w:rsidR="00E216B7">
        <w:t>The agents consulted t</w:t>
      </w:r>
      <w:r w:rsidR="00E216B7" w:rsidRPr="00122932">
        <w:t xml:space="preserve">he Commission’s records </w:t>
      </w:r>
      <w:r w:rsidR="00E216B7">
        <w:t xml:space="preserve">and confirmed </w:t>
      </w:r>
      <w:r w:rsidR="00E216B7" w:rsidRPr="00122932">
        <w:t xml:space="preserve">that no authorization </w:t>
      </w:r>
      <w:r w:rsidR="00E216B7">
        <w:t>had been</w:t>
      </w:r>
      <w:r w:rsidR="00E216B7" w:rsidRPr="00122932">
        <w:t xml:space="preserve"> issued for </w:t>
      </w:r>
      <w:r w:rsidR="00E216B7">
        <w:t xml:space="preserve">the </w:t>
      </w:r>
      <w:r w:rsidR="00E216B7" w:rsidRPr="00122932">
        <w:t>operation of an FM broadcast station</w:t>
      </w:r>
      <w:r w:rsidR="00E216B7">
        <w:t xml:space="preserve"> at or near </w:t>
      </w:r>
      <w:r w:rsidR="00D27F00">
        <w:t>Ft. Lauderdale</w:t>
      </w:r>
      <w:r w:rsidR="00325F30">
        <w:t>, F</w:t>
      </w:r>
      <w:r w:rsidR="00D27F00">
        <w:t>lorida</w:t>
      </w:r>
      <w:r w:rsidR="00207552">
        <w:t>.</w:t>
      </w:r>
      <w:r w:rsidR="005B5DC3">
        <w:t xml:space="preserve"> No one was present at the church at the time the agents located the station and made field strength measurements. The agents ob</w:t>
      </w:r>
      <w:r w:rsidR="007E0794">
        <w:t>served a sign at the church indicating</w:t>
      </w:r>
      <w:r w:rsidR="005B5DC3">
        <w:t xml:space="preserve"> </w:t>
      </w:r>
      <w:r w:rsidR="007E0794">
        <w:t>“</w:t>
      </w:r>
      <w:r w:rsidR="005B5DC3">
        <w:t>Kedner Maxime</w:t>
      </w:r>
      <w:r w:rsidR="007E0794">
        <w:t>”</w:t>
      </w:r>
      <w:r w:rsidR="005B5DC3">
        <w:t xml:space="preserve"> as the church pastor.</w:t>
      </w:r>
      <w:r w:rsidR="00A65279">
        <w:t xml:space="preserve"> P</w:t>
      </w:r>
      <w:r w:rsidR="00A65279" w:rsidRPr="00A65279">
        <w:t>ublic record</w:t>
      </w:r>
      <w:r w:rsidR="00D647E5">
        <w:t>s showed that Mr. Maxime was a</w:t>
      </w:r>
      <w:r w:rsidR="00A65279" w:rsidRPr="00A65279">
        <w:t xml:space="preserve"> registered agent and president of “N.E.W. Community Development Center, Inc.”,</w:t>
      </w:r>
      <w:r w:rsidR="00665EB6">
        <w:rPr>
          <w:rStyle w:val="FootnoteReference"/>
        </w:rPr>
        <w:footnoteReference w:id="3"/>
      </w:r>
      <w:r w:rsidR="00A65279" w:rsidRPr="00A65279">
        <w:t xml:space="preserve"> a Florida corporation that owns the church.</w:t>
      </w:r>
      <w:r w:rsidR="00D647E5">
        <w:rPr>
          <w:rStyle w:val="FootnoteReference"/>
        </w:rPr>
        <w:footnoteReference w:id="4"/>
      </w:r>
      <w:r w:rsidR="00A65279" w:rsidRPr="00A65279">
        <w:t xml:space="preserve">  Agents </w:t>
      </w:r>
      <w:r w:rsidR="007E0794">
        <w:t>went to</w:t>
      </w:r>
      <w:r w:rsidR="00A65279" w:rsidRPr="00A65279">
        <w:t xml:space="preserve"> </w:t>
      </w:r>
      <w:r w:rsidR="00A65279">
        <w:t>the address listed for the corporation</w:t>
      </w:r>
      <w:r w:rsidR="00A65279" w:rsidRPr="00A65279">
        <w:t xml:space="preserve"> </w:t>
      </w:r>
      <w:r w:rsidR="00A65279" w:rsidRPr="00A65279">
        <w:lastRenderedPageBreak/>
        <w:t>and observed a sign on the door that read “Dr. Kedner Maxime.”</w:t>
      </w:r>
    </w:p>
    <w:p w14:paraId="508F18DC" w14:textId="76BA1F2D" w:rsidR="00C06E2D" w:rsidRDefault="00273871" w:rsidP="00273871">
      <w:pPr>
        <w:pStyle w:val="ParaNum"/>
      </w:pPr>
      <w:r>
        <w:rPr>
          <w:color w:val="000000"/>
          <w:spacing w:val="-2"/>
          <w:szCs w:val="22"/>
        </w:rPr>
        <w:t xml:space="preserve">On </w:t>
      </w:r>
      <w:r w:rsidR="00757398">
        <w:rPr>
          <w:color w:val="000000"/>
          <w:spacing w:val="-2"/>
          <w:szCs w:val="22"/>
        </w:rPr>
        <w:t xml:space="preserve">three other occasions, </w:t>
      </w:r>
      <w:r w:rsidR="00DB79EC">
        <w:rPr>
          <w:color w:val="000000"/>
          <w:spacing w:val="-2"/>
          <w:szCs w:val="22"/>
        </w:rPr>
        <w:t>July 20</w:t>
      </w:r>
      <w:r w:rsidR="00C06E2D">
        <w:rPr>
          <w:color w:val="000000"/>
          <w:spacing w:val="-2"/>
          <w:szCs w:val="22"/>
        </w:rPr>
        <w:t>,</w:t>
      </w:r>
      <w:r w:rsidR="00757398">
        <w:rPr>
          <w:color w:val="000000"/>
          <w:spacing w:val="-2"/>
          <w:szCs w:val="22"/>
        </w:rPr>
        <w:t xml:space="preserve"> July 23, and July 29,</w:t>
      </w:r>
      <w:r w:rsidR="00C06E2D">
        <w:rPr>
          <w:color w:val="000000"/>
          <w:spacing w:val="-2"/>
          <w:szCs w:val="22"/>
        </w:rPr>
        <w:t xml:space="preserve"> 2015</w:t>
      </w:r>
      <w:r w:rsidR="00AA6BC1" w:rsidRPr="009F49AD">
        <w:rPr>
          <w:color w:val="000000"/>
          <w:spacing w:val="-2"/>
          <w:szCs w:val="22"/>
        </w:rPr>
        <w:t xml:space="preserve">, agents from the Miami Office </w:t>
      </w:r>
      <w:r w:rsidR="00AA6BC1" w:rsidRPr="009F49AD">
        <w:t>used mobile direction-finding techniques to locate the source of radio</w:t>
      </w:r>
      <w:r w:rsidR="00DB79EC">
        <w:t xml:space="preserve"> frequency transmissions on 102</w:t>
      </w:r>
      <w:r w:rsidR="00C06E2D">
        <w:t>.1</w:t>
      </w:r>
      <w:r w:rsidR="00AA6BC1" w:rsidRPr="009F49AD">
        <w:t xml:space="preserve"> MHz to </w:t>
      </w:r>
      <w:r w:rsidR="00AA6BC1" w:rsidRPr="00155691">
        <w:rPr>
          <w:color w:val="000000"/>
          <w:spacing w:val="-2"/>
          <w:szCs w:val="22"/>
        </w:rPr>
        <w:t xml:space="preserve">an FM transmitting antenna located at </w:t>
      </w:r>
      <w:r w:rsidR="004C0B15">
        <w:t>the same</w:t>
      </w:r>
      <w:r w:rsidR="00DB79EC">
        <w:t xml:space="preserve"> church</w:t>
      </w:r>
      <w:r w:rsidR="004C0B15">
        <w:t xml:space="preserve"> property in </w:t>
      </w:r>
      <w:r w:rsidR="00DB79EC">
        <w:t>Ft. Lauderdale</w:t>
      </w:r>
      <w:r w:rsidR="004C0B15">
        <w:t>, F</w:t>
      </w:r>
      <w:r w:rsidR="00C42036">
        <w:t>lorida</w:t>
      </w:r>
      <w:r w:rsidR="007D662C">
        <w:t xml:space="preserve">. </w:t>
      </w:r>
      <w:r w:rsidR="003E11E1">
        <w:t>On July 20 and July 29, t</w:t>
      </w:r>
      <w:r w:rsidRPr="00273871">
        <w:t xml:space="preserve">he agents </w:t>
      </w:r>
      <w:r w:rsidR="00DB79EC">
        <w:t>also observed spurious signals on the military aeronautical frequency as well as numerous other frequencies in the civilian aviation band, all emanating from the same antenna</w:t>
      </w:r>
      <w:r w:rsidR="00AA6BC1" w:rsidRPr="009F49AD">
        <w:t>.</w:t>
      </w:r>
    </w:p>
    <w:p w14:paraId="5C5A5DC8" w14:textId="0625F19C" w:rsidR="00C511E2" w:rsidRDefault="0003276C" w:rsidP="00F12AF9">
      <w:pPr>
        <w:pStyle w:val="ParaNum"/>
      </w:pPr>
      <w:r>
        <w:t>Later</w:t>
      </w:r>
      <w:r w:rsidRPr="0003276C">
        <w:t xml:space="preserve"> on July 29, 2015, the agents spoke to Mr. Maxime at his business office </w:t>
      </w:r>
      <w:r>
        <w:t xml:space="preserve">in </w:t>
      </w:r>
      <w:r w:rsidR="00A96E50">
        <w:t>Oakland Park, F</w:t>
      </w:r>
      <w:r w:rsidR="003E11E1">
        <w:t>lorida</w:t>
      </w:r>
      <w:r w:rsidRPr="0003276C">
        <w:t xml:space="preserve">. Mr. Maxime identified himself as Kedner Maxime.  The agents advised Mr. Maxime that the unlicensed station at his church was operating in violation of </w:t>
      </w:r>
      <w:r w:rsidR="00B934A2">
        <w:t xml:space="preserve">Commission </w:t>
      </w:r>
      <w:r w:rsidRPr="0003276C">
        <w:t>Rules, was causing interference to air traffic communications</w:t>
      </w:r>
      <w:r w:rsidR="00A96E50">
        <w:t>,</w:t>
      </w:r>
      <w:r w:rsidRPr="0003276C">
        <w:t xml:space="preserve"> and </w:t>
      </w:r>
      <w:r>
        <w:t xml:space="preserve">must cease operation. </w:t>
      </w:r>
      <w:r w:rsidRPr="0003276C">
        <w:t>Mr. Maxime admitted that he had been operating the station at the church for about a month, and s</w:t>
      </w:r>
      <w:r>
        <w:t>tated that he could</w:t>
      </w:r>
      <w:r w:rsidRPr="0003276C">
        <w:t xml:space="preserve"> turn it off.  The agents th</w:t>
      </w:r>
      <w:r>
        <w:t>en met Mr. Maxime at his church</w:t>
      </w:r>
      <w:r w:rsidRPr="0003276C">
        <w:t xml:space="preserve"> where Mr. Maxime unlocked and opened the main doors, as well as the door to a small storage room where the transmitter was located. </w:t>
      </w:r>
      <w:r w:rsidR="00B934A2">
        <w:t xml:space="preserve"> Specifically, </w:t>
      </w:r>
      <w:r w:rsidRPr="0003276C">
        <w:t xml:space="preserve">Mr. Maxime showed the agents </w:t>
      </w:r>
      <w:r w:rsidR="00B934A2">
        <w:t xml:space="preserve">a </w:t>
      </w:r>
      <w:r w:rsidRPr="0003276C">
        <w:t>transmitter connected to an antenna coaxial cable.  The transmitter was also connected to an audio mixer/com</w:t>
      </w:r>
      <w:r>
        <w:t>puter on a table nearby. The</w:t>
      </w:r>
      <w:r w:rsidRPr="0003276C">
        <w:t xml:space="preserve"> readout on the transmitter showed 102.1 MHz. </w:t>
      </w:r>
      <w:r w:rsidR="00B934A2">
        <w:t xml:space="preserve"> </w:t>
      </w:r>
      <w:r w:rsidRPr="0003276C">
        <w:t>Mr. Maxime turned off the transmitter, disconnected cables, and removed the transmitter. Mr. Maxime voluntarily relinquished</w:t>
      </w:r>
      <w:r>
        <w:t xml:space="preserve"> possession of</w:t>
      </w:r>
      <w:r w:rsidRPr="0003276C">
        <w:t xml:space="preserve"> the transmitter to agents. Agents issued</w:t>
      </w:r>
      <w:r w:rsidR="00F12AF9">
        <w:t xml:space="preserve"> to</w:t>
      </w:r>
      <w:r w:rsidRPr="0003276C">
        <w:t xml:space="preserve"> </w:t>
      </w:r>
      <w:r w:rsidR="00F12AF9">
        <w:t>Mr. Maxime a hand-delivered Notice of Unlicensed Operation</w:t>
      </w:r>
      <w:r w:rsidR="00992654">
        <w:t xml:space="preserve"> (NOUO)</w:t>
      </w:r>
      <w:r w:rsidR="00B934A2">
        <w:t>,</w:t>
      </w:r>
      <w:r w:rsidR="00F12AF9">
        <w:t xml:space="preserve"> which he read and signed. The Notice directed Mr. Maxime to cease operating the unlicensed radio station on 102.1 MHz, and warned that continued unlicensed operation could result in additional enforcement action.</w:t>
      </w:r>
      <w:r w:rsidR="004C0B15">
        <w:rPr>
          <w:rStyle w:val="FootnoteReference"/>
        </w:rPr>
        <w:footnoteReference w:id="5"/>
      </w:r>
    </w:p>
    <w:p w14:paraId="358E231B" w14:textId="1A1EF520" w:rsidR="00337D00" w:rsidRPr="007036B7" w:rsidRDefault="000C1279" w:rsidP="009B6C6A">
      <w:pPr>
        <w:pStyle w:val="ParaNum"/>
      </w:pPr>
      <w:r>
        <w:t xml:space="preserve">On </w:t>
      </w:r>
      <w:r w:rsidR="002253BF">
        <w:t>November 12, 2015, the Miami Office received a complaint of interference to a licensed FM broadcast station caused by the operation of an unlicensed FM broadcast station operating on the frequency 89.1 MHz in Broward County, F</w:t>
      </w:r>
      <w:r w:rsidR="003E11E1">
        <w:t>lorida</w:t>
      </w:r>
      <w:r w:rsidR="002253BF">
        <w:t>.</w:t>
      </w:r>
    </w:p>
    <w:p w14:paraId="7F06FACC" w14:textId="31AEB488" w:rsidR="00AA6BC1" w:rsidRDefault="00AA6BC1" w:rsidP="00AA6BC1">
      <w:pPr>
        <w:pStyle w:val="ParaNum"/>
      </w:pPr>
      <w:r w:rsidRPr="00A737DA">
        <w:t>O</w:t>
      </w:r>
      <w:r w:rsidR="00FF74F8">
        <w:t xml:space="preserve">n </w:t>
      </w:r>
      <w:r w:rsidR="008127A8">
        <w:t>November 17, 2015</w:t>
      </w:r>
      <w:r w:rsidR="00913EA1">
        <w:t xml:space="preserve">, </w:t>
      </w:r>
      <w:r>
        <w:t xml:space="preserve">agents from the Miami Office </w:t>
      </w:r>
      <w:r w:rsidR="001920F1" w:rsidRPr="009F49AD">
        <w:t>used mobile direction-finding techniques to locate the source of radio</w:t>
      </w:r>
      <w:r w:rsidR="008127A8">
        <w:t xml:space="preserve"> frequency transmissions on 89</w:t>
      </w:r>
      <w:r w:rsidR="00FF74F8">
        <w:t>.1</w:t>
      </w:r>
      <w:r w:rsidR="001920F1" w:rsidRPr="009F49AD">
        <w:t xml:space="preserve"> MHz to</w:t>
      </w:r>
      <w:r w:rsidR="001920F1" w:rsidRPr="007036B7">
        <w:t xml:space="preserve"> </w:t>
      </w:r>
      <w:r w:rsidR="001920F1" w:rsidRPr="00155691">
        <w:rPr>
          <w:color w:val="000000"/>
          <w:spacing w:val="-2"/>
          <w:szCs w:val="22"/>
        </w:rPr>
        <w:t xml:space="preserve">an FM transmitting antenna located </w:t>
      </w:r>
      <w:r w:rsidR="008127A8">
        <w:rPr>
          <w:color w:val="000000"/>
          <w:spacing w:val="-2"/>
          <w:szCs w:val="22"/>
        </w:rPr>
        <w:t>on a two-story multi-unit commercial building in Oakland Park</w:t>
      </w:r>
      <w:r w:rsidR="00FF74F8">
        <w:t>, F</w:t>
      </w:r>
      <w:r w:rsidR="003E11E1">
        <w:t>lorida</w:t>
      </w:r>
      <w:r>
        <w:t xml:space="preserve">. </w:t>
      </w:r>
      <w:r w:rsidR="002D060D">
        <w:t xml:space="preserve">The building </w:t>
      </w:r>
      <w:r w:rsidR="00A96E50">
        <w:t xml:space="preserve">contains </w:t>
      </w:r>
      <w:r w:rsidR="002D060D">
        <w:t xml:space="preserve">the same address as Mr. Maxime’s business office. </w:t>
      </w:r>
      <w:r>
        <w:t xml:space="preserve">The agents </w:t>
      </w:r>
      <w:r w:rsidR="005A730E">
        <w:t xml:space="preserve">once again </w:t>
      </w:r>
      <w:r>
        <w:t xml:space="preserve">took field strength measurements of the station’s signal, confirmed that the station required a license, and determined that </w:t>
      </w:r>
      <w:r w:rsidRPr="00122932">
        <w:t xml:space="preserve">no authorization </w:t>
      </w:r>
      <w:r>
        <w:t>had been</w:t>
      </w:r>
      <w:r w:rsidRPr="00122932">
        <w:t xml:space="preserve"> issued</w:t>
      </w:r>
      <w:r>
        <w:t xml:space="preserve"> </w:t>
      </w:r>
      <w:r w:rsidR="000239E9">
        <w:t>to operate this</w:t>
      </w:r>
      <w:r w:rsidRPr="00122932">
        <w:t xml:space="preserve"> </w:t>
      </w:r>
      <w:r w:rsidR="005A730E" w:rsidRPr="00122932">
        <w:t>station</w:t>
      </w:r>
      <w:r w:rsidR="005A730E">
        <w:t xml:space="preserve"> at or near </w:t>
      </w:r>
      <w:r w:rsidR="00ED29CA">
        <w:t>Oakland Park</w:t>
      </w:r>
      <w:r w:rsidR="005A730E">
        <w:t>, F</w:t>
      </w:r>
      <w:r w:rsidR="00D020BF">
        <w:t>lorida</w:t>
      </w:r>
      <w:r w:rsidR="00FF74F8">
        <w:t>.</w:t>
      </w:r>
    </w:p>
    <w:p w14:paraId="31ABABB4" w14:textId="2D0E502A" w:rsidR="00673330" w:rsidRDefault="00673330" w:rsidP="00673330">
      <w:pPr>
        <w:pStyle w:val="ParaNum"/>
      </w:pPr>
      <w:r w:rsidRPr="00673330">
        <w:t xml:space="preserve">On December 2, 2015, </w:t>
      </w:r>
      <w:r>
        <w:t>a Miami Office agent</w:t>
      </w:r>
      <w:r w:rsidRPr="00673330">
        <w:t xml:space="preserve"> spoke by telephone to the property owner of </w:t>
      </w:r>
      <w:r>
        <w:t>the commercial building in Oakland Park, F</w:t>
      </w:r>
      <w:r w:rsidR="00D020BF">
        <w:t>lorida</w:t>
      </w:r>
      <w:r>
        <w:t xml:space="preserve">. The </w:t>
      </w:r>
      <w:r w:rsidRPr="00673330">
        <w:t>property owner stated that Mr. Maxime l</w:t>
      </w:r>
      <w:r>
        <w:t>ease</w:t>
      </w:r>
      <w:r w:rsidR="00D020BF">
        <w:t>d</w:t>
      </w:r>
      <w:r>
        <w:t xml:space="preserve"> two units on the property:</w:t>
      </w:r>
      <w:r w:rsidRPr="00673330">
        <w:t xml:space="preserve"> the office on t</w:t>
      </w:r>
      <w:r>
        <w:t>he first floor</w:t>
      </w:r>
      <w:r w:rsidRPr="00673330">
        <w:t xml:space="preserve"> and anoth</w:t>
      </w:r>
      <w:r w:rsidR="00341019">
        <w:t>er unit on the second floor.  The owner</w:t>
      </w:r>
      <w:r w:rsidRPr="00673330">
        <w:t xml:space="preserve"> stated that the radio station would almost certainl</w:t>
      </w:r>
      <w:r w:rsidR="00341019">
        <w:t>y be located in the unit on the second floor</w:t>
      </w:r>
      <w:r w:rsidRPr="00673330">
        <w:t xml:space="preserve"> which is directly below the </w:t>
      </w:r>
      <w:r w:rsidR="00341019">
        <w:t xml:space="preserve">FM transmitting </w:t>
      </w:r>
      <w:r w:rsidRPr="00673330">
        <w:t xml:space="preserve">antenna on the roof. </w:t>
      </w:r>
      <w:r w:rsidR="00341019">
        <w:t>The owner</w:t>
      </w:r>
      <w:r w:rsidRPr="00673330">
        <w:t xml:space="preserve"> stated </w:t>
      </w:r>
      <w:r w:rsidR="00341019">
        <w:t>that Mr. Maxime had recently request</w:t>
      </w:r>
      <w:r w:rsidRPr="00673330">
        <w:t>ed to plac</w:t>
      </w:r>
      <w:r w:rsidR="00341019">
        <w:t>e a small antenna on the roof.</w:t>
      </w:r>
    </w:p>
    <w:p w14:paraId="4AF34DF5" w14:textId="68A4DF34" w:rsidR="00341019" w:rsidRDefault="00ED29CA" w:rsidP="00673330">
      <w:pPr>
        <w:pStyle w:val="ParaNum"/>
      </w:pPr>
      <w:r>
        <w:t xml:space="preserve">Later on December 2, 2015, agents from the Miami Office </w:t>
      </w:r>
      <w:r w:rsidRPr="009F49AD">
        <w:t>used mobile direction-finding techniques to locate the source of radio</w:t>
      </w:r>
      <w:r>
        <w:t xml:space="preserve"> frequency transmissions on 89.1</w:t>
      </w:r>
      <w:r w:rsidRPr="009F49AD">
        <w:t xml:space="preserve"> MHz to</w:t>
      </w:r>
      <w:r w:rsidRPr="007036B7">
        <w:t xml:space="preserve"> </w:t>
      </w:r>
      <w:r w:rsidRPr="00155691">
        <w:rPr>
          <w:color w:val="000000"/>
          <w:spacing w:val="-2"/>
          <w:szCs w:val="22"/>
        </w:rPr>
        <w:t xml:space="preserve">an FM transmitting antenna located </w:t>
      </w:r>
      <w:r>
        <w:rPr>
          <w:color w:val="000000"/>
          <w:spacing w:val="-2"/>
          <w:szCs w:val="22"/>
        </w:rPr>
        <w:t>on the same two-story multi-unit commercial building in Oakland Park</w:t>
      </w:r>
      <w:r>
        <w:t>, F</w:t>
      </w:r>
      <w:r w:rsidR="00D020BF">
        <w:t>lorida</w:t>
      </w:r>
      <w:r>
        <w:t xml:space="preserve">. The agents again took field strength measurements of the station’s signal, confirmed that the station required a license, and determined that </w:t>
      </w:r>
      <w:r w:rsidRPr="00122932">
        <w:t xml:space="preserve">no authorization </w:t>
      </w:r>
      <w:r>
        <w:t>had been</w:t>
      </w:r>
      <w:r w:rsidRPr="00122932">
        <w:t xml:space="preserve"> issued</w:t>
      </w:r>
      <w:r>
        <w:t xml:space="preserve"> to operate this</w:t>
      </w:r>
      <w:r w:rsidRPr="00122932">
        <w:t xml:space="preserve"> station</w:t>
      </w:r>
      <w:r>
        <w:t xml:space="preserve"> at or near Oakland Park, F</w:t>
      </w:r>
      <w:r w:rsidR="00D020BF">
        <w:t>lorida</w:t>
      </w:r>
      <w:r>
        <w:t>.</w:t>
      </w:r>
    </w:p>
    <w:p w14:paraId="62B58789" w14:textId="0101886F" w:rsidR="00DE775A" w:rsidRDefault="0066517F" w:rsidP="005C4CEE">
      <w:pPr>
        <w:pStyle w:val="ParaNum"/>
      </w:pPr>
      <w:r>
        <w:t>Still on December 2, 2015, after taking measurements of the unlicensed station</w:t>
      </w:r>
      <w:r w:rsidRPr="0066517F">
        <w:t xml:space="preserve">, the </w:t>
      </w:r>
      <w:r>
        <w:t xml:space="preserve">Miami </w:t>
      </w:r>
      <w:r w:rsidR="00992654">
        <w:t>agents</w:t>
      </w:r>
      <w:r w:rsidRPr="0066517F">
        <w:t xml:space="preserve"> met</w:t>
      </w:r>
      <w:r w:rsidR="00992654">
        <w:t xml:space="preserve"> with</w:t>
      </w:r>
      <w:r w:rsidRPr="0066517F">
        <w:t xml:space="preserve"> the propert</w:t>
      </w:r>
      <w:r w:rsidR="00992654">
        <w:t>y owner outside the second floor unit</w:t>
      </w:r>
      <w:r w:rsidRPr="0066517F">
        <w:t xml:space="preserve">. </w:t>
      </w:r>
      <w:r w:rsidR="00992654">
        <w:t>The a</w:t>
      </w:r>
      <w:r w:rsidRPr="0066517F">
        <w:t xml:space="preserve">gents </w:t>
      </w:r>
      <w:r w:rsidR="00992654">
        <w:t xml:space="preserve">and the property owner </w:t>
      </w:r>
      <w:r w:rsidRPr="0066517F">
        <w:t>then wen</w:t>
      </w:r>
      <w:r w:rsidR="00992654">
        <w:t>t to Mr. Maxime’s office on the first floor</w:t>
      </w:r>
      <w:r w:rsidRPr="0066517F">
        <w:t xml:space="preserve"> </w:t>
      </w:r>
      <w:r w:rsidR="00992654">
        <w:t>and</w:t>
      </w:r>
      <w:r w:rsidRPr="0066517F">
        <w:t xml:space="preserve"> spoke to </w:t>
      </w:r>
      <w:r w:rsidR="00992654">
        <w:t xml:space="preserve">Mr. </w:t>
      </w:r>
      <w:r w:rsidRPr="0066517F">
        <w:t>Maxime's wife</w:t>
      </w:r>
      <w:r w:rsidR="001612A4">
        <w:t>,</w:t>
      </w:r>
      <w:r w:rsidRPr="0066517F">
        <w:t xml:space="preserve"> </w:t>
      </w:r>
      <w:r w:rsidR="00992654">
        <w:t xml:space="preserve">who stated Mr. Maxime was not present. The </w:t>
      </w:r>
      <w:r w:rsidRPr="0066517F">
        <w:t>agents obtained</w:t>
      </w:r>
      <w:r w:rsidR="00992654">
        <w:t xml:space="preserve"> from the property owner</w:t>
      </w:r>
      <w:r w:rsidRPr="0066517F">
        <w:t xml:space="preserve"> a copy of the lease for </w:t>
      </w:r>
      <w:r w:rsidR="00992654">
        <w:t>the second floor unit</w:t>
      </w:r>
      <w:r w:rsidRPr="0066517F">
        <w:t xml:space="preserve"> showing that Kedner Maxime and New Community Developmen</w:t>
      </w:r>
      <w:r w:rsidR="00992654">
        <w:t>t Center</w:t>
      </w:r>
      <w:r w:rsidR="00A96E50">
        <w:t>, Inc.</w:t>
      </w:r>
      <w:r w:rsidR="00992654">
        <w:t xml:space="preserve"> leased the unit</w:t>
      </w:r>
      <w:r w:rsidRPr="0066517F">
        <w:t xml:space="preserve">.  While the agents were </w:t>
      </w:r>
      <w:r w:rsidR="00312745">
        <w:t>at the management office</w:t>
      </w:r>
      <w:r w:rsidRPr="0066517F">
        <w:t>, Mr. M</w:t>
      </w:r>
      <w:r w:rsidR="00992654">
        <w:t xml:space="preserve">axime called the property owner. </w:t>
      </w:r>
      <w:r w:rsidR="00312745">
        <w:t>The agents</w:t>
      </w:r>
      <w:r w:rsidRPr="0066517F">
        <w:t xml:space="preserve"> returned to Mr. Maxime’s </w:t>
      </w:r>
      <w:r w:rsidR="00992654">
        <w:t xml:space="preserve">first floor </w:t>
      </w:r>
      <w:r w:rsidRPr="0066517F">
        <w:t>office</w:t>
      </w:r>
      <w:r w:rsidR="00312745">
        <w:t xml:space="preserve"> and </w:t>
      </w:r>
      <w:r w:rsidRPr="0066517F">
        <w:t>issued a hand-delivered NOUO to Mr. Maxime for unl</w:t>
      </w:r>
      <w:r w:rsidR="005C4CEE">
        <w:t>icensed operation on 89.1 MHz. The</w:t>
      </w:r>
      <w:r w:rsidR="00361F4C">
        <w:t xml:space="preserve"> </w:t>
      </w:r>
      <w:r w:rsidR="00DD341C">
        <w:t>Notice</w:t>
      </w:r>
      <w:r w:rsidR="005C4CEE">
        <w:t xml:space="preserve"> directed Mr. Maxime</w:t>
      </w:r>
      <w:r w:rsidR="008269DD">
        <w:t xml:space="preserve"> to cease operating the</w:t>
      </w:r>
      <w:r w:rsidR="005C4CEE">
        <w:t xml:space="preserve"> unlicensed radio station on 89</w:t>
      </w:r>
      <w:r w:rsidR="008269DD">
        <w:t xml:space="preserve">.1 MHz in </w:t>
      </w:r>
      <w:r w:rsidR="005C4CEE">
        <w:t>Oakland Park</w:t>
      </w:r>
      <w:r w:rsidR="008269DD">
        <w:t>, F</w:t>
      </w:r>
      <w:r w:rsidR="006A2A1C">
        <w:t>lorida</w:t>
      </w:r>
      <w:r w:rsidR="008269DD">
        <w:t>, and warned that continued unlicensed operation could result in additional enforcement action.</w:t>
      </w:r>
      <w:r w:rsidR="00DE775A">
        <w:rPr>
          <w:rStyle w:val="FootnoteReference"/>
        </w:rPr>
        <w:footnoteReference w:id="6"/>
      </w:r>
    </w:p>
    <w:p w14:paraId="1176928D" w14:textId="229A7DEF" w:rsidR="00E9376C" w:rsidRPr="00981F23" w:rsidRDefault="00E9376C" w:rsidP="00AA6BC1">
      <w:pPr>
        <w:pStyle w:val="Heading1"/>
        <w:rPr>
          <w:color w:val="000000" w:themeColor="text1"/>
        </w:rPr>
      </w:pPr>
      <w:r w:rsidRPr="00981F23">
        <w:rPr>
          <w:color w:val="000000" w:themeColor="text1"/>
        </w:rPr>
        <w:t>DISCUSSION</w:t>
      </w:r>
    </w:p>
    <w:p w14:paraId="1176928E" w14:textId="44126160" w:rsidR="00987969" w:rsidRPr="00272D8B" w:rsidRDefault="00F134E3" w:rsidP="00085B65">
      <w:pPr>
        <w:pStyle w:val="ParaNum"/>
      </w:pPr>
      <w:r w:rsidRPr="009547E5">
        <w:t xml:space="preserve">We find that </w:t>
      </w:r>
      <w:r w:rsidR="008D7919">
        <w:rPr>
          <w:color w:val="000000"/>
        </w:rPr>
        <w:t>Mr</w:t>
      </w:r>
      <w:r w:rsidR="007E4549">
        <w:rPr>
          <w:color w:val="000000"/>
        </w:rPr>
        <w:t>. Maxime</w:t>
      </w:r>
      <w:r w:rsidR="00763A82" w:rsidRPr="002A20E8">
        <w:rPr>
          <w:color w:val="000000"/>
        </w:rPr>
        <w:t xml:space="preserve"> </w:t>
      </w:r>
      <w:r w:rsidRPr="009547E5">
        <w:t xml:space="preserve">apparently </w:t>
      </w:r>
      <w:r w:rsidR="00B46912">
        <w:t xml:space="preserve">willfully and </w:t>
      </w:r>
      <w:r w:rsidRPr="009547E5">
        <w:t xml:space="preserve">repeatedly violated </w:t>
      </w:r>
      <w:r w:rsidR="000D5664" w:rsidRPr="009547E5">
        <w:t xml:space="preserve">Section </w:t>
      </w:r>
      <w:r w:rsidR="00A15FC4">
        <w:t>301 of the Communications Act of 1934, as amended (Act)</w:t>
      </w:r>
      <w:r w:rsidR="000D5664" w:rsidRPr="009547E5">
        <w:t>.</w:t>
      </w:r>
      <w:r w:rsidR="00685850" w:rsidRPr="00D85E60">
        <w:rPr>
          <w:rStyle w:val="FootnoteReference"/>
          <w:spacing w:val="-2"/>
          <w:sz w:val="22"/>
        </w:rPr>
        <w:footnoteReference w:id="7"/>
      </w:r>
      <w:r w:rsidR="00685850" w:rsidRPr="00272D8B">
        <w:t xml:space="preserve">  </w:t>
      </w:r>
      <w:r w:rsidR="00A15FC4" w:rsidRPr="0045647F">
        <w:t>Section 301 of the Act states that no person shall use or operate any apparatus for the transmission of energy or communications or signals by radio within the United States</w:t>
      </w:r>
      <w:r w:rsidR="008E31AD">
        <w:t xml:space="preserve"> without a license granted by the Commission</w:t>
      </w:r>
      <w:r w:rsidR="00A15FC4" w:rsidRPr="0045647F">
        <w:t>.</w:t>
      </w:r>
      <w:r w:rsidR="00685850" w:rsidRPr="00272D8B">
        <w:t xml:space="preserve"> </w:t>
      </w:r>
      <w:r w:rsidR="00A15FC4">
        <w:t xml:space="preserve"> </w:t>
      </w:r>
      <w:r w:rsidR="001800A4" w:rsidRPr="00272D8B">
        <w:t xml:space="preserve">On </w:t>
      </w:r>
      <w:r w:rsidR="007E4549">
        <w:rPr>
          <w:spacing w:val="-2"/>
        </w:rPr>
        <w:t>July 15, July 20, July 23, July 29, November 17, and December 2</w:t>
      </w:r>
      <w:r w:rsidR="007D662C">
        <w:rPr>
          <w:spacing w:val="-2"/>
        </w:rPr>
        <w:t>, 2015</w:t>
      </w:r>
      <w:r w:rsidR="007D662C">
        <w:t xml:space="preserve">, </w:t>
      </w:r>
      <w:r w:rsidR="001800A4" w:rsidRPr="00272D8B">
        <w:t xml:space="preserve">agents from the </w:t>
      </w:r>
      <w:r w:rsidR="008D7919">
        <w:t>Miami</w:t>
      </w:r>
      <w:r w:rsidR="001800A4" w:rsidRPr="00272D8B">
        <w:t xml:space="preserve"> Office</w:t>
      </w:r>
      <w:r w:rsidR="00865094">
        <w:t xml:space="preserve"> </w:t>
      </w:r>
      <w:r w:rsidR="00A15FC4">
        <w:t>determined that</w:t>
      </w:r>
      <w:r w:rsidR="007D662C">
        <w:t xml:space="preserve"> Mr</w:t>
      </w:r>
      <w:r w:rsidR="00647661">
        <w:t>. Maxime</w:t>
      </w:r>
      <w:r w:rsidR="00472A05">
        <w:t xml:space="preserve"> operated</w:t>
      </w:r>
      <w:r w:rsidR="00A15FC4">
        <w:t xml:space="preserve"> an unlicen</w:t>
      </w:r>
      <w:r w:rsidR="008D7919">
        <w:t xml:space="preserve">sed radio </w:t>
      </w:r>
      <w:r w:rsidR="007E4549">
        <w:t>station at two locations in Broward County</w:t>
      </w:r>
      <w:r w:rsidR="00BC116B">
        <w:t>, F</w:t>
      </w:r>
      <w:r w:rsidR="006A2A1C">
        <w:t>lorida</w:t>
      </w:r>
      <w:r w:rsidR="001800A4" w:rsidRPr="00272D8B">
        <w:t>.</w:t>
      </w:r>
      <w:r w:rsidR="003E48ED">
        <w:rPr>
          <w:rStyle w:val="FootnoteReference"/>
          <w:spacing w:val="-2"/>
        </w:rPr>
        <w:footnoteReference w:id="8"/>
      </w:r>
      <w:r w:rsidR="001800A4" w:rsidRPr="00272D8B">
        <w:t xml:space="preserve"> </w:t>
      </w:r>
      <w:r w:rsidR="00705175">
        <w:t xml:space="preserve"> </w:t>
      </w:r>
      <w:r w:rsidR="007E4549">
        <w:t>On July 29 and December 2, 2015</w:t>
      </w:r>
      <w:r w:rsidR="007D662C">
        <w:t xml:space="preserve">, </w:t>
      </w:r>
      <w:r w:rsidR="00705175">
        <w:t>Mr</w:t>
      </w:r>
      <w:r w:rsidR="00647661">
        <w:t>. Maxime</w:t>
      </w:r>
      <w:r w:rsidR="00085B65">
        <w:t xml:space="preserve"> </w:t>
      </w:r>
      <w:r w:rsidR="00705175">
        <w:t xml:space="preserve">was warned by the Commission </w:t>
      </w:r>
      <w:r w:rsidR="003E48ED">
        <w:t xml:space="preserve">in writing </w:t>
      </w:r>
      <w:r w:rsidR="00705175">
        <w:t>that such unlicensed operations violated the Act</w:t>
      </w:r>
      <w:r w:rsidR="00A15FC4">
        <w:t>.</w:t>
      </w:r>
      <w:r w:rsidR="00705175">
        <w:rPr>
          <w:rStyle w:val="FootnoteReference"/>
          <w:spacing w:val="-2"/>
        </w:rPr>
        <w:footnoteReference w:id="9"/>
      </w:r>
      <w:r w:rsidR="00A15FC4">
        <w:t xml:space="preserve">  </w:t>
      </w:r>
      <w:r w:rsidR="001800A4" w:rsidRPr="00272D8B">
        <w:t xml:space="preserve">As a result, we find </w:t>
      </w:r>
      <w:r w:rsidR="008D7919">
        <w:t>Mr</w:t>
      </w:r>
      <w:r w:rsidR="00647661">
        <w:t>. Maxime</w:t>
      </w:r>
      <w:r w:rsidR="001800A4" w:rsidRPr="00272D8B">
        <w:t xml:space="preserve"> apparently </w:t>
      </w:r>
      <w:r w:rsidR="00A15FC4">
        <w:t xml:space="preserve">willfully and </w:t>
      </w:r>
      <w:r w:rsidR="00CA3C72">
        <w:t>r</w:t>
      </w:r>
      <w:r w:rsidR="001800A4" w:rsidRPr="00272D8B">
        <w:t xml:space="preserve">epeatedly violated Section </w:t>
      </w:r>
      <w:r w:rsidR="00A15FC4">
        <w:t>301 of the Act</w:t>
      </w:r>
      <w:r w:rsidR="00472A67">
        <w:t xml:space="preserve"> </w:t>
      </w:r>
      <w:r w:rsidR="001800A4" w:rsidRPr="00272D8B">
        <w:t xml:space="preserve">by </w:t>
      </w:r>
      <w:r w:rsidR="00A15FC4">
        <w:t>operating an unlicensed radio station</w:t>
      </w:r>
      <w:r w:rsidR="001800A4" w:rsidRPr="00272D8B">
        <w:t>.</w:t>
      </w:r>
    </w:p>
    <w:p w14:paraId="1176928F" w14:textId="149288B3" w:rsidR="003C50D2" w:rsidRPr="00272D8B" w:rsidRDefault="00D85E60">
      <w:pPr>
        <w:pStyle w:val="ParaNum"/>
        <w:rPr>
          <w:spacing w:val="-2"/>
        </w:rPr>
      </w:pPr>
      <w:r w:rsidRPr="00272D8B">
        <w:rPr>
          <w:spacing w:val="-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272D8B">
        <w:rPr>
          <w:rStyle w:val="FootnoteReference"/>
          <w:spacing w:val="-2"/>
          <w:sz w:val="22"/>
        </w:rPr>
        <w:footnoteReference w:id="10"/>
      </w:r>
      <w:r w:rsidR="00472A67" w:rsidRPr="00272D8B">
        <w:rPr>
          <w:spacing w:val="-2"/>
        </w:rPr>
        <w:t xml:space="preserve">  </w:t>
      </w:r>
      <w:r w:rsidR="00C5625D" w:rsidRPr="00272D8B">
        <w:rPr>
          <w:spacing w:val="-2"/>
        </w:rPr>
        <w:t xml:space="preserve">Here, </w:t>
      </w:r>
      <w:r w:rsidR="00662A3F" w:rsidRPr="00272D8B">
        <w:rPr>
          <w:spacing w:val="-2"/>
        </w:rPr>
        <w:t>Section 503(b)(2)(D</w:t>
      </w:r>
      <w:r w:rsidR="002F3CB7" w:rsidRPr="00272D8B">
        <w:rPr>
          <w:spacing w:val="-2"/>
        </w:rPr>
        <w:t xml:space="preserve">) of the Act authorizes </w:t>
      </w:r>
      <w:r w:rsidR="00C5625D" w:rsidRPr="00272D8B">
        <w:rPr>
          <w:spacing w:val="-2"/>
        </w:rPr>
        <w:t>us</w:t>
      </w:r>
      <w:r w:rsidR="002F3CB7" w:rsidRPr="00272D8B">
        <w:rPr>
          <w:spacing w:val="-2"/>
        </w:rPr>
        <w:t xml:space="preserve"> to assess a forfeiture against </w:t>
      </w:r>
      <w:r w:rsidR="008D7919">
        <w:rPr>
          <w:spacing w:val="-2"/>
        </w:rPr>
        <w:t>Mr</w:t>
      </w:r>
      <w:r w:rsidR="00647661">
        <w:rPr>
          <w:spacing w:val="-2"/>
        </w:rPr>
        <w:t>. Maxime</w:t>
      </w:r>
      <w:r w:rsidR="002F3CB7" w:rsidRPr="00272D8B">
        <w:rPr>
          <w:spacing w:val="-2"/>
        </w:rPr>
        <w:t xml:space="preserve"> of up to $</w:t>
      </w:r>
      <w:r w:rsidR="00766684" w:rsidRPr="00272D8B">
        <w:rPr>
          <w:spacing w:val="-2"/>
        </w:rPr>
        <w:t xml:space="preserve">16,000 </w:t>
      </w:r>
      <w:r w:rsidR="002F3CB7" w:rsidRPr="00272D8B">
        <w:rPr>
          <w:spacing w:val="-2"/>
        </w:rPr>
        <w:t>for each day of a continuing violation, up to a statutory maximum of $</w:t>
      </w:r>
      <w:r w:rsidR="00766684" w:rsidRPr="00272D8B">
        <w:rPr>
          <w:spacing w:val="-2"/>
        </w:rPr>
        <w:t>122,500</w:t>
      </w:r>
      <w:r w:rsidR="002F3CB7" w:rsidRPr="00272D8B">
        <w:rPr>
          <w:spacing w:val="-2"/>
        </w:rPr>
        <w:t xml:space="preserve"> for a single act or failure to act.</w:t>
      </w:r>
      <w:r w:rsidR="002F3CB7" w:rsidRPr="00272D8B">
        <w:rPr>
          <w:rStyle w:val="FootnoteReference"/>
          <w:spacing w:val="-2"/>
          <w:sz w:val="22"/>
        </w:rPr>
        <w:footnoteReference w:id="11"/>
      </w:r>
      <w:r w:rsidR="002F3CB7" w:rsidRPr="00272D8B">
        <w:rPr>
          <w:spacing w:val="-2"/>
        </w:rPr>
        <w:t xml:space="preserve">  In exercising our forfeiture authority, we must consider</w:t>
      </w:r>
      <w:r w:rsidR="00EA5433" w:rsidRPr="00272D8B">
        <w:rPr>
          <w:spacing w:val="-2"/>
        </w:rPr>
        <w:t xml:space="preserve"> the “</w:t>
      </w:r>
      <w:r w:rsidR="002F3CB7" w:rsidRPr="00272D8B">
        <w:rPr>
          <w:spacing w:val="-2"/>
        </w:rPr>
        <w:t>nature, circumstances, extent, and gravity of the violation and, with respect to the violator, the degree of culpability, any history of prior offenses, ability to pay, and such other matters as justice may require.”</w:t>
      </w:r>
      <w:r w:rsidR="002F3CB7" w:rsidRPr="00272D8B">
        <w:rPr>
          <w:rStyle w:val="FootnoteReference"/>
          <w:spacing w:val="-2"/>
          <w:sz w:val="22"/>
        </w:rPr>
        <w:footnoteReference w:id="12"/>
      </w:r>
      <w:r w:rsidR="002F3CB7" w:rsidRPr="00472A67">
        <w:rPr>
          <w:spacing w:val="-2"/>
        </w:rPr>
        <w:t xml:space="preserve">  </w:t>
      </w:r>
      <w:r w:rsidR="00EA5433" w:rsidRPr="00272D8B">
        <w:rPr>
          <w:spacing w:val="-2"/>
        </w:rPr>
        <w:t>In addition, the Commission has established forfeiture guidelines</w:t>
      </w:r>
      <w:r w:rsidR="00FD1D43" w:rsidRPr="00272D8B">
        <w:rPr>
          <w:spacing w:val="-2"/>
        </w:rPr>
        <w:t>; t</w:t>
      </w:r>
      <w:r w:rsidR="00C366C3" w:rsidRPr="00272D8B">
        <w:rPr>
          <w:spacing w:val="-2"/>
        </w:rPr>
        <w:t>hey</w:t>
      </w:r>
      <w:r w:rsidR="00EA5433" w:rsidRPr="00272D8B">
        <w:rPr>
          <w:spacing w:val="-2"/>
        </w:rPr>
        <w:t xml:space="preserve"> establish base penalties for certain violations and identify criteria that we consider when</w:t>
      </w:r>
      <w:r w:rsidR="00C366C3" w:rsidRPr="00272D8B">
        <w:rPr>
          <w:spacing w:val="-2"/>
        </w:rPr>
        <w:t xml:space="preserve"> </w:t>
      </w:r>
      <w:r w:rsidR="00EA5433" w:rsidRPr="00272D8B">
        <w:rPr>
          <w:spacing w:val="-2"/>
        </w:rPr>
        <w:t>determin</w:t>
      </w:r>
      <w:r w:rsidR="00C366C3" w:rsidRPr="00272D8B">
        <w:rPr>
          <w:spacing w:val="-2"/>
        </w:rPr>
        <w:t>ing</w:t>
      </w:r>
      <w:r w:rsidR="00EA5433" w:rsidRPr="00272D8B">
        <w:rPr>
          <w:spacing w:val="-2"/>
        </w:rPr>
        <w:t xml:space="preserve"> the appropriate penalty in any given case.</w:t>
      </w:r>
      <w:r w:rsidR="00EA5433" w:rsidRPr="00272D8B">
        <w:rPr>
          <w:rStyle w:val="FootnoteReference"/>
          <w:spacing w:val="-2"/>
          <w:sz w:val="22"/>
        </w:rPr>
        <w:footnoteReference w:id="13"/>
      </w:r>
      <w:r w:rsidR="00EA5433" w:rsidRPr="00272D8B">
        <w:rPr>
          <w:spacing w:val="-2"/>
          <w:vertAlign w:val="superscript"/>
        </w:rPr>
        <w:t xml:space="preserve"> </w:t>
      </w:r>
      <w:r w:rsidR="00EA5433" w:rsidRPr="00272D8B">
        <w:rPr>
          <w:spacing w:val="-2"/>
        </w:rPr>
        <w:t xml:space="preserve"> Under these guidelines, we may adjust a forfeiture upward for violations that are egregious, intentional, or repeated, or that cause substantial harm or generate substantial economic gain for the violator.</w:t>
      </w:r>
      <w:r w:rsidR="00EA5433" w:rsidRPr="00272D8B">
        <w:rPr>
          <w:rStyle w:val="FootnoteReference"/>
          <w:spacing w:val="-2"/>
          <w:sz w:val="22"/>
        </w:rPr>
        <w:footnoteReference w:id="14"/>
      </w:r>
      <w:r w:rsidR="00EA5433" w:rsidRPr="00272D8B">
        <w:rPr>
          <w:spacing w:val="-2"/>
          <w:vertAlign w:val="superscript"/>
        </w:rPr>
        <w:t xml:space="preserve">  </w:t>
      </w:r>
    </w:p>
    <w:p w14:paraId="11769290" w14:textId="64A92987" w:rsidR="00E9376C" w:rsidRPr="00272D8B" w:rsidRDefault="002F3CB7">
      <w:pPr>
        <w:pStyle w:val="ParaNum"/>
        <w:rPr>
          <w:spacing w:val="-2"/>
        </w:rPr>
      </w:pPr>
      <w:r w:rsidRPr="00272D8B">
        <w:rPr>
          <w:spacing w:val="-2"/>
        </w:rPr>
        <w:t>Section 1.80(b) of the Rules sets a base forfeiture of $</w:t>
      </w:r>
      <w:r w:rsidR="00766684" w:rsidRPr="00272D8B">
        <w:rPr>
          <w:spacing w:val="-2"/>
        </w:rPr>
        <w:t>1</w:t>
      </w:r>
      <w:r w:rsidR="00A15FC4">
        <w:rPr>
          <w:spacing w:val="-2"/>
        </w:rPr>
        <w:t>0</w:t>
      </w:r>
      <w:r w:rsidR="00766684" w:rsidRPr="00272D8B">
        <w:rPr>
          <w:spacing w:val="-2"/>
        </w:rPr>
        <w:t>,000</w:t>
      </w:r>
      <w:r w:rsidR="00A15FC4">
        <w:rPr>
          <w:spacing w:val="-2"/>
        </w:rPr>
        <w:t xml:space="preserve"> for operation without an instrument of authorization</w:t>
      </w:r>
      <w:r w:rsidRPr="00272D8B">
        <w:rPr>
          <w:spacing w:val="-2"/>
        </w:rPr>
        <w:t>.</w:t>
      </w:r>
      <w:r w:rsidRPr="00272D8B">
        <w:rPr>
          <w:spacing w:val="-2"/>
          <w:vertAlign w:val="superscript"/>
        </w:rPr>
        <w:footnoteReference w:id="15"/>
      </w:r>
      <w:r w:rsidRPr="00272D8B">
        <w:rPr>
          <w:spacing w:val="-2"/>
        </w:rPr>
        <w:t xml:space="preserve">  </w:t>
      </w:r>
      <w:r w:rsidR="00BD31C6" w:rsidRPr="00272D8B">
        <w:rPr>
          <w:spacing w:val="-2"/>
        </w:rPr>
        <w:t>We</w:t>
      </w:r>
      <w:r w:rsidRPr="00272D8B">
        <w:rPr>
          <w:spacing w:val="-2"/>
        </w:rPr>
        <w:t xml:space="preserve"> have discretion</w:t>
      </w:r>
      <w:r w:rsidR="00BD31C6" w:rsidRPr="00272D8B">
        <w:rPr>
          <w:spacing w:val="-2"/>
        </w:rPr>
        <w:t>, however,</w:t>
      </w:r>
      <w:r w:rsidRPr="00272D8B">
        <w:rPr>
          <w:spacing w:val="-2"/>
        </w:rPr>
        <w:t xml:space="preserve"> to depart from these guidelines, taking into account the particular</w:t>
      </w:r>
      <w:r w:rsidR="001778DD" w:rsidRPr="00272D8B">
        <w:rPr>
          <w:spacing w:val="-2"/>
        </w:rPr>
        <w:t xml:space="preserve"> fact</w:t>
      </w:r>
      <w:r w:rsidRPr="00272D8B">
        <w:rPr>
          <w:spacing w:val="-2"/>
        </w:rPr>
        <w:t>s of each individual case.</w:t>
      </w:r>
      <w:r w:rsidRPr="00272D8B">
        <w:rPr>
          <w:rStyle w:val="FootnoteReference"/>
          <w:spacing w:val="-2"/>
          <w:sz w:val="22"/>
        </w:rPr>
        <w:footnoteReference w:id="16"/>
      </w:r>
      <w:r w:rsidR="00135207" w:rsidRPr="00021DD6">
        <w:rPr>
          <w:spacing w:val="-2"/>
          <w:szCs w:val="22"/>
        </w:rPr>
        <w:t xml:space="preserve">  On </w:t>
      </w:r>
      <w:r w:rsidR="00647661">
        <w:t>July 29, 2015, Mr. Maxime</w:t>
      </w:r>
      <w:r w:rsidR="00085B65">
        <w:rPr>
          <w:spacing w:val="-2"/>
          <w:szCs w:val="22"/>
        </w:rPr>
        <w:t xml:space="preserve"> </w:t>
      </w:r>
      <w:r w:rsidR="00135207">
        <w:rPr>
          <w:spacing w:val="-2"/>
          <w:szCs w:val="22"/>
        </w:rPr>
        <w:t>was issued a warning</w:t>
      </w:r>
      <w:r w:rsidR="00135207" w:rsidRPr="00021DD6">
        <w:rPr>
          <w:spacing w:val="-2"/>
          <w:szCs w:val="22"/>
        </w:rPr>
        <w:t xml:space="preserve"> explaining that unlicensed operation of </w:t>
      </w:r>
      <w:r w:rsidR="001E49F9">
        <w:rPr>
          <w:spacing w:val="-2"/>
          <w:szCs w:val="22"/>
        </w:rPr>
        <w:t>a radio station violated the law</w:t>
      </w:r>
      <w:r w:rsidR="006814A2">
        <w:rPr>
          <w:spacing w:val="-2"/>
          <w:szCs w:val="22"/>
        </w:rPr>
        <w:t xml:space="preserve"> and could subject him</w:t>
      </w:r>
      <w:r w:rsidR="00135207" w:rsidRPr="00021DD6">
        <w:rPr>
          <w:spacing w:val="-2"/>
          <w:szCs w:val="22"/>
        </w:rPr>
        <w:t xml:space="preserve"> to further enforcement action, including a s</w:t>
      </w:r>
      <w:r w:rsidR="00F71898">
        <w:rPr>
          <w:spacing w:val="-2"/>
          <w:szCs w:val="22"/>
        </w:rPr>
        <w:t>ubstantial monetary forfeiture.</w:t>
      </w:r>
      <w:r w:rsidR="00135207" w:rsidRPr="00021DD6">
        <w:rPr>
          <w:spacing w:val="-2"/>
          <w:szCs w:val="22"/>
        </w:rPr>
        <w:t xml:space="preserve"> </w:t>
      </w:r>
      <w:r w:rsidR="00F71898">
        <w:rPr>
          <w:spacing w:val="-2"/>
          <w:szCs w:val="22"/>
        </w:rPr>
        <w:t xml:space="preserve"> </w:t>
      </w:r>
      <w:r w:rsidR="00FC412A">
        <w:rPr>
          <w:spacing w:val="-2"/>
          <w:szCs w:val="22"/>
        </w:rPr>
        <w:t>The fact that Mr</w:t>
      </w:r>
      <w:r w:rsidR="00647661">
        <w:rPr>
          <w:spacing w:val="-2"/>
          <w:szCs w:val="22"/>
        </w:rPr>
        <w:t>. Maxime</w:t>
      </w:r>
      <w:r w:rsidR="00FC412A">
        <w:rPr>
          <w:spacing w:val="-2"/>
          <w:szCs w:val="22"/>
        </w:rPr>
        <w:t xml:space="preserve"> continued to operate an unlicensed station af</w:t>
      </w:r>
      <w:r w:rsidR="006814A2">
        <w:rPr>
          <w:spacing w:val="-2"/>
          <w:szCs w:val="22"/>
        </w:rPr>
        <w:t>ter being put on notice that his</w:t>
      </w:r>
      <w:r w:rsidR="00FC412A">
        <w:rPr>
          <w:spacing w:val="-2"/>
          <w:szCs w:val="22"/>
        </w:rPr>
        <w:t xml:space="preserve"> actions contravened the Act, the Rules, and related Commission orders demonstrates a deliberate disregard for the Commission’s authority and requirements.  </w:t>
      </w:r>
      <w:r w:rsidR="00B43233">
        <w:rPr>
          <w:spacing w:val="-2"/>
          <w:szCs w:val="22"/>
        </w:rPr>
        <w:t>Thus, we find that an upward adjustment in the forfeiture amount of $5,000 is warranted.</w:t>
      </w:r>
      <w:r w:rsidR="00B43233">
        <w:rPr>
          <w:rStyle w:val="FootnoteReference"/>
          <w:spacing w:val="-2"/>
          <w:szCs w:val="22"/>
        </w:rPr>
        <w:footnoteReference w:id="17"/>
      </w:r>
      <w:r w:rsidR="00B43233">
        <w:rPr>
          <w:spacing w:val="-2"/>
          <w:szCs w:val="22"/>
        </w:rPr>
        <w:t xml:space="preserve">  </w:t>
      </w:r>
      <w:r w:rsidR="009E2EF6">
        <w:rPr>
          <w:spacing w:val="-2"/>
        </w:rPr>
        <w:t>A</w:t>
      </w:r>
      <w:r w:rsidR="009E2EF6" w:rsidRPr="00981F23">
        <w:t xml:space="preserve">fter applying the </w:t>
      </w:r>
      <w:r w:rsidR="009E2EF6" w:rsidRPr="00981F23">
        <w:rPr>
          <w:i/>
        </w:rPr>
        <w:t>Forfeiture Policy Statement</w:t>
      </w:r>
      <w:r w:rsidR="009E2EF6" w:rsidRPr="00981F23">
        <w:t>, Section 1.80 of the Rules, and the statutory factors, we propose a to</w:t>
      </w:r>
      <w:r w:rsidR="009E2EF6">
        <w:t>tal forfeiture of $</w:t>
      </w:r>
      <w:r w:rsidR="00F71898">
        <w:t>1</w:t>
      </w:r>
      <w:r w:rsidR="00A737DA">
        <w:t>5</w:t>
      </w:r>
      <w:r w:rsidR="00F71898">
        <w:t>,000</w:t>
      </w:r>
      <w:r w:rsidR="009E2EF6" w:rsidRPr="00981F23">
        <w:t xml:space="preserve">, for which </w:t>
      </w:r>
      <w:r w:rsidR="00F71898">
        <w:rPr>
          <w:color w:val="000000"/>
          <w:spacing w:val="-2"/>
        </w:rPr>
        <w:t>Mr</w:t>
      </w:r>
      <w:r w:rsidR="00085B65">
        <w:rPr>
          <w:color w:val="000000"/>
          <w:spacing w:val="-2"/>
        </w:rPr>
        <w:t xml:space="preserve">. </w:t>
      </w:r>
      <w:r w:rsidR="00647661">
        <w:rPr>
          <w:color w:val="000000"/>
          <w:spacing w:val="-2"/>
        </w:rPr>
        <w:t>Maxime</w:t>
      </w:r>
      <w:r w:rsidR="001E49F9" w:rsidRPr="00981F23">
        <w:t xml:space="preserve"> </w:t>
      </w:r>
      <w:r w:rsidR="009E2EF6" w:rsidRPr="00981F23">
        <w:t>is apparently liable.</w:t>
      </w:r>
    </w:p>
    <w:p w14:paraId="11769291" w14:textId="77777777" w:rsidR="00E9376C" w:rsidRPr="00981F23" w:rsidRDefault="00E9376C" w:rsidP="00F76EED">
      <w:pPr>
        <w:pStyle w:val="Heading1"/>
        <w:rPr>
          <w:color w:val="000000" w:themeColor="text1"/>
          <w:spacing w:val="-2"/>
        </w:rPr>
      </w:pPr>
      <w:r w:rsidRPr="00981F23">
        <w:rPr>
          <w:color w:val="000000" w:themeColor="text1"/>
        </w:rPr>
        <w:t>ORDERING CLAUSES</w:t>
      </w:r>
    </w:p>
    <w:p w14:paraId="11769292" w14:textId="704F0956" w:rsidR="00E9376C" w:rsidRPr="00981F23" w:rsidRDefault="00E9376C" w:rsidP="00F76EED">
      <w:pPr>
        <w:pStyle w:val="ParaNum"/>
        <w:rPr>
          <w:spacing w:val="-2"/>
        </w:rPr>
      </w:pPr>
      <w:r w:rsidRPr="00981F23">
        <w:t xml:space="preserve">Accordingly, </w:t>
      </w:r>
      <w:r w:rsidRPr="00981F23">
        <w:rPr>
          <w:b/>
        </w:rPr>
        <w:t>IT IS ORDERED</w:t>
      </w:r>
      <w:r w:rsidRPr="00981F23">
        <w:t xml:space="preserve"> that, pursuant to Section 503(b) of the </w:t>
      </w:r>
      <w:r w:rsidR="003A3B45">
        <w:t>Act</w:t>
      </w:r>
      <w:r w:rsidRPr="00981F23">
        <w:rPr>
          <w:vertAlign w:val="superscript"/>
        </w:rPr>
        <w:footnoteReference w:id="18"/>
      </w:r>
      <w:r w:rsidR="001E49F9">
        <w:t xml:space="preserve"> and Section</w:t>
      </w:r>
      <w:r w:rsidRPr="00981F23">
        <w:t xml:space="preserve"> 1.80 of the</w:t>
      </w:r>
      <w:r w:rsidR="003A3B45">
        <w:t xml:space="preserve"> R</w:t>
      </w:r>
      <w:r w:rsidRPr="00981F23">
        <w:t>ules,</w:t>
      </w:r>
      <w:r w:rsidRPr="00981F23">
        <w:rPr>
          <w:vertAlign w:val="superscript"/>
        </w:rPr>
        <w:footnoteReference w:id="19"/>
      </w:r>
      <w:r w:rsidRPr="00981F23">
        <w:t xml:space="preserve"> </w:t>
      </w:r>
      <w:r w:rsidR="006D1130">
        <w:t>Kedner Maxime</w:t>
      </w:r>
      <w:r w:rsidR="001A0D4F">
        <w:t xml:space="preserve"> </w:t>
      </w:r>
      <w:r w:rsidRPr="00981F23">
        <w:t xml:space="preserve">is hereby </w:t>
      </w:r>
      <w:r w:rsidRPr="00981F23">
        <w:rPr>
          <w:b/>
        </w:rPr>
        <w:t>NOTIFIED</w:t>
      </w:r>
      <w:r w:rsidRPr="00981F23">
        <w:t xml:space="preserve"> of this </w:t>
      </w:r>
      <w:r w:rsidRPr="00981F23">
        <w:rPr>
          <w:b/>
        </w:rPr>
        <w:t>APPARENT LIABILITY FOR A FORFEITURE</w:t>
      </w:r>
      <w:r w:rsidR="003A2B87">
        <w:t xml:space="preserve"> in the amount of </w:t>
      </w:r>
      <w:r w:rsidR="0011521D">
        <w:t>fifteen</w:t>
      </w:r>
      <w:r w:rsidR="00A703FD">
        <w:t xml:space="preserve"> thousand dollars</w:t>
      </w:r>
      <w:r w:rsidRPr="00981F23">
        <w:t xml:space="preserve"> ($</w:t>
      </w:r>
      <w:r w:rsidR="00A703FD">
        <w:t>1</w:t>
      </w:r>
      <w:r w:rsidR="0011521D">
        <w:t>5</w:t>
      </w:r>
      <w:r w:rsidR="00A703FD">
        <w:t>,000</w:t>
      </w:r>
      <w:r w:rsidR="00A0350D" w:rsidRPr="00981F23">
        <w:t>)</w:t>
      </w:r>
      <w:r w:rsidRPr="00981F23">
        <w:t xml:space="preserve"> for </w:t>
      </w:r>
      <w:r w:rsidR="001A0D4F">
        <w:t xml:space="preserve">willful and </w:t>
      </w:r>
      <w:r w:rsidRPr="00981F23">
        <w:t xml:space="preserve">repeated violations of Section </w:t>
      </w:r>
      <w:r w:rsidR="001A0D4F">
        <w:t>301 of the Act</w:t>
      </w:r>
      <w:r w:rsidR="00A703FD">
        <w:t>.</w:t>
      </w:r>
      <w:r w:rsidRPr="00981F23">
        <w:rPr>
          <w:vertAlign w:val="superscript"/>
        </w:rPr>
        <w:footnoteReference w:id="20"/>
      </w:r>
    </w:p>
    <w:p w14:paraId="11769293" w14:textId="384648DD" w:rsidR="00E9376C" w:rsidRPr="00981F23" w:rsidRDefault="00E9376C" w:rsidP="007036B7">
      <w:pPr>
        <w:pStyle w:val="ParaNum"/>
        <w:widowControl/>
        <w:rPr>
          <w:spacing w:val="-2"/>
        </w:rPr>
      </w:pPr>
      <w:r w:rsidRPr="00981F23">
        <w:rPr>
          <w:b/>
        </w:rPr>
        <w:t xml:space="preserve">IT IS FURTHER ORDERED </w:t>
      </w:r>
      <w:r w:rsidRPr="00981F23">
        <w:t>that, pursuant to Section 1.80 of the</w:t>
      </w:r>
      <w:r w:rsidR="003A3B45">
        <w:t xml:space="preserve"> R</w:t>
      </w:r>
      <w:r w:rsidRPr="00981F23">
        <w:t>ules,</w:t>
      </w:r>
      <w:r w:rsidRPr="00981F23">
        <w:rPr>
          <w:vertAlign w:val="superscript"/>
        </w:rPr>
        <w:footnoteReference w:id="21"/>
      </w:r>
      <w:r w:rsidRPr="00981F23">
        <w:rPr>
          <w:vertAlign w:val="superscript"/>
        </w:rPr>
        <w:t xml:space="preserve"> </w:t>
      </w:r>
      <w:r w:rsidRPr="00981F23">
        <w:t xml:space="preserve">within thirty (30) calendar days of the release date of this Notice of Apparent Liability for Forfeiture, </w:t>
      </w:r>
      <w:r w:rsidR="006D1130">
        <w:t>Kedner Maxime</w:t>
      </w:r>
      <w:r w:rsidRPr="00981F23">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C44D5C">
        <w:t>1</w:t>
      </w:r>
      <w:r w:rsidR="00EA69E7">
        <w:t>8</w:t>
      </w:r>
      <w:r w:rsidRPr="00981F23">
        <w:t xml:space="preserve"> below.</w:t>
      </w:r>
    </w:p>
    <w:p w14:paraId="11769294" w14:textId="61E441D6" w:rsidR="00E9376C" w:rsidRPr="00981F23" w:rsidRDefault="00E9376C" w:rsidP="00F76EED">
      <w:pPr>
        <w:pStyle w:val="ParaNum"/>
        <w:rPr>
          <w:spacing w:val="-2"/>
        </w:rPr>
      </w:pPr>
      <w:r w:rsidRPr="00981F23">
        <w:t>Payment of the forfeiture must be made by check or similar instrument, wire transfer, or credit card, and must include the NAL/Account Nu</w:t>
      </w:r>
      <w:r w:rsidR="006814A2">
        <w:t xml:space="preserve">mber and FRN referenced above. </w:t>
      </w:r>
      <w:r w:rsidR="006D1130">
        <w:t>Kedner Maxime</w:t>
      </w:r>
      <w:r w:rsidR="006814A2">
        <w:t xml:space="preserve"> </w:t>
      </w:r>
      <w:r w:rsidRPr="00981F23">
        <w:t xml:space="preserve">shall send electronic notification of payment to </w:t>
      </w:r>
      <w:r w:rsidR="001F364A">
        <w:t xml:space="preserve">Steven Spaeth at </w:t>
      </w:r>
      <w:r w:rsidR="001F364A">
        <w:rPr>
          <w:color w:val="000000" w:themeColor="text1"/>
        </w:rPr>
        <w:t>steven.spaeth</w:t>
      </w:r>
      <w:r w:rsidR="0058232C" w:rsidRPr="007036B7">
        <w:rPr>
          <w:color w:val="000000" w:themeColor="text1"/>
        </w:rPr>
        <w:t>@fcc.gov</w:t>
      </w:r>
      <w:r w:rsidR="00C44D5C" w:rsidRPr="00C44D5C">
        <w:rPr>
          <w:color w:val="000000" w:themeColor="text1"/>
          <w:szCs w:val="22"/>
        </w:rPr>
        <w:t xml:space="preserve"> </w:t>
      </w:r>
      <w:r w:rsidRPr="00981F23">
        <w:t>on the date said payment is made.  Regardless of the form of payment, a completed FCC Form 159 (Remittance Advice) must be submitted.</w:t>
      </w:r>
      <w:r w:rsidRPr="00981F23">
        <w:rPr>
          <w:vertAlign w:val="superscript"/>
        </w:rPr>
        <w:footnoteReference w:id="22"/>
      </w:r>
      <w:r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Pr="00981F23">
        <w:t xml:space="preserve"> follow</w:t>
      </w:r>
      <w:r w:rsidR="00427B10">
        <w:t>ed</w:t>
      </w:r>
      <w:r w:rsidRPr="00981F23">
        <w:t xml:space="preserve"> based on the form of payment </w:t>
      </w:r>
      <w:r w:rsidR="00427B10">
        <w:t>selected</w:t>
      </w:r>
      <w:r w:rsidRPr="00981F23">
        <w:t>:</w:t>
      </w:r>
      <w:r w:rsidRPr="00981F23">
        <w:tab/>
      </w:r>
    </w:p>
    <w:p w14:paraId="11769295" w14:textId="77777777" w:rsidR="00E9376C" w:rsidRPr="00981F23" w:rsidRDefault="00E9376C">
      <w:pPr>
        <w:numPr>
          <w:ilvl w:val="0"/>
          <w:numId w:val="5"/>
        </w:numPr>
        <w:spacing w:after="120"/>
        <w:rPr>
          <w:b/>
          <w:color w:val="000000" w:themeColor="text1"/>
          <w:szCs w:val="22"/>
        </w:rPr>
      </w:pPr>
      <w:r w:rsidRPr="00981F23">
        <w:rPr>
          <w:rFonts w:eastAsia="MS Mincho"/>
          <w:color w:val="000000" w:themeColor="text1"/>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1769296"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11769297" w14:textId="77777777" w:rsidR="00E9376C" w:rsidRPr="00981F23" w:rsidRDefault="00E9376C">
      <w:pPr>
        <w:widowControl/>
        <w:numPr>
          <w:ilvl w:val="0"/>
          <w:numId w:val="5"/>
        </w:numPr>
        <w:spacing w:after="120"/>
        <w:rPr>
          <w:b/>
          <w:color w:val="000000" w:themeColor="text1"/>
          <w:szCs w:val="22"/>
        </w:rPr>
      </w:pPr>
      <w:r w:rsidRPr="00981F23">
        <w:rPr>
          <w:rFonts w:eastAsia="MS Mincho"/>
          <w:color w:val="000000" w:themeColor="text1"/>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1769298" w14:textId="77777777" w:rsidR="00E9376C" w:rsidRPr="00981F23"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3"/>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ARINQUIRIES@fcc.gov.</w:t>
      </w:r>
    </w:p>
    <w:p w14:paraId="11769299" w14:textId="1839C8B8" w:rsidR="00E9376C" w:rsidRPr="00BB058B" w:rsidRDefault="00E9376C" w:rsidP="00BB058B">
      <w:pPr>
        <w:pStyle w:val="ParaNum"/>
        <w:rPr>
          <w:color w:val="000000"/>
          <w:spacing w:val="-2"/>
          <w:szCs w:val="22"/>
        </w:rPr>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rsidR="003A3B45">
        <w:t>R</w:t>
      </w:r>
      <w:r w:rsidRPr="00981F23">
        <w:t>ules.</w:t>
      </w:r>
      <w:r w:rsidRPr="00981F23">
        <w:rPr>
          <w:vertAlign w:val="superscript"/>
        </w:rPr>
        <w:footnoteReference w:id="24"/>
      </w:r>
      <w:r w:rsidRPr="00981F23">
        <w:t xml:space="preserve">  The written statement must be mailed to the </w:t>
      </w:r>
      <w:r w:rsidR="00C44D5C" w:rsidRPr="00570D99">
        <w:rPr>
          <w:szCs w:val="22"/>
        </w:rPr>
        <w:t>Federal Communications Commission, Enforcement Bureau,</w:t>
      </w:r>
      <w:r w:rsidR="00C44D5C" w:rsidRPr="00570D99">
        <w:rPr>
          <w:spacing w:val="-2"/>
          <w:szCs w:val="22"/>
        </w:rPr>
        <w:t xml:space="preserve"> </w:t>
      </w:r>
      <w:r w:rsidR="00C54A98">
        <w:rPr>
          <w:spacing w:val="-2"/>
          <w:szCs w:val="22"/>
        </w:rPr>
        <w:t>South Central</w:t>
      </w:r>
      <w:r w:rsidR="00C44D5C" w:rsidRPr="00570D99">
        <w:rPr>
          <w:color w:val="000000"/>
          <w:spacing w:val="-2"/>
          <w:szCs w:val="22"/>
        </w:rPr>
        <w:t xml:space="preserve"> Region, </w:t>
      </w:r>
      <w:r w:rsidR="00C54A98">
        <w:rPr>
          <w:color w:val="000000"/>
          <w:spacing w:val="-2"/>
          <w:szCs w:val="22"/>
        </w:rPr>
        <w:t>Miami</w:t>
      </w:r>
      <w:r w:rsidR="00BB058B">
        <w:rPr>
          <w:color w:val="000000"/>
          <w:spacing w:val="-2"/>
          <w:szCs w:val="22"/>
        </w:rPr>
        <w:t xml:space="preserve"> Office</w:t>
      </w:r>
      <w:r w:rsidR="00BB058B" w:rsidRPr="00BB058B">
        <w:rPr>
          <w:color w:val="000000"/>
          <w:spacing w:val="-2"/>
          <w:szCs w:val="22"/>
        </w:rPr>
        <w:t>, P.O. Box 266468, Weston, FL 33326</w:t>
      </w:r>
      <w:r w:rsidRPr="00981F23">
        <w:t xml:space="preserve">, and must include the NAL/Account Number referenced in the caption.  The statement must also be e-mailed to </w:t>
      </w:r>
      <w:r w:rsidR="001F364A">
        <w:rPr>
          <w:color w:val="000000" w:themeColor="text1"/>
        </w:rPr>
        <w:t>steven.spaeth</w:t>
      </w:r>
      <w:r w:rsidR="001F364A" w:rsidRPr="007036B7">
        <w:rPr>
          <w:color w:val="000000" w:themeColor="text1"/>
        </w:rPr>
        <w:t>@fcc.gov</w:t>
      </w:r>
      <w:r w:rsidRPr="009B36BA">
        <w:t>.</w:t>
      </w:r>
      <w:r w:rsidRPr="00981F23">
        <w:t xml:space="preserve">  </w:t>
      </w:r>
    </w:p>
    <w:p w14:paraId="1176929A" w14:textId="77777777" w:rsidR="00E9376C" w:rsidRDefault="00E9376C" w:rsidP="007036B7">
      <w:pPr>
        <w:pStyle w:val="ParaNum"/>
        <w:widowControl/>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rsidR="00981F23">
        <w:t>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42642F80" w14:textId="187F18DE" w:rsidR="004A53C2" w:rsidRDefault="004A53C2">
      <w:pPr>
        <w:widowControl/>
      </w:pPr>
      <w:r>
        <w:br w:type="page"/>
      </w:r>
    </w:p>
    <w:p w14:paraId="5EE9CE8B" w14:textId="77777777" w:rsidR="004A53C2" w:rsidRPr="00981F23" w:rsidRDefault="004A53C2" w:rsidP="004A53C2">
      <w:pPr>
        <w:pStyle w:val="ParaNum"/>
        <w:widowControl/>
        <w:numPr>
          <w:ilvl w:val="0"/>
          <w:numId w:val="0"/>
        </w:numPr>
        <w:ind w:left="720"/>
      </w:pPr>
    </w:p>
    <w:p w14:paraId="1176929B" w14:textId="216FA3B6" w:rsidR="00E9376C" w:rsidRPr="00981F23" w:rsidRDefault="00E9376C">
      <w:pPr>
        <w:pStyle w:val="ParaNum"/>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6D1130">
        <w:t>Kedner Maxime</w:t>
      </w:r>
      <w:r w:rsidR="006814A2">
        <w:t xml:space="preserve"> at his</w:t>
      </w:r>
      <w:r w:rsidR="00C44D5C">
        <w:t xml:space="preserve"> address of record</w:t>
      </w:r>
      <w:r w:rsidRPr="00981F23">
        <w:t>.</w:t>
      </w:r>
    </w:p>
    <w:p w14:paraId="1176929C" w14:textId="77777777" w:rsidR="007C3A62" w:rsidRPr="00981F23" w:rsidRDefault="007C3A62" w:rsidP="007C3A62">
      <w:pPr>
        <w:rPr>
          <w:color w:val="000000" w:themeColor="text1"/>
        </w:rPr>
      </w:pPr>
    </w:p>
    <w:p w14:paraId="1176929D" w14:textId="77777777" w:rsidR="00F60397" w:rsidRPr="00981F23" w:rsidRDefault="00F60397" w:rsidP="00F60397">
      <w:pPr>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14:paraId="1176929E" w14:textId="77777777" w:rsidR="00F60397" w:rsidRPr="00981F23" w:rsidRDefault="00F60397" w:rsidP="00BD75A3">
      <w:pPr>
        <w:rPr>
          <w:color w:val="000000" w:themeColor="text1"/>
        </w:rPr>
      </w:pPr>
    </w:p>
    <w:p w14:paraId="1176929F" w14:textId="77777777" w:rsidR="00F60397" w:rsidRPr="00981F23" w:rsidRDefault="00F60397" w:rsidP="00BD75A3">
      <w:pPr>
        <w:rPr>
          <w:color w:val="000000" w:themeColor="text1"/>
        </w:rPr>
      </w:pPr>
    </w:p>
    <w:p w14:paraId="117692A0" w14:textId="77777777" w:rsidR="00F60397" w:rsidRPr="00981F23" w:rsidRDefault="00F60397" w:rsidP="00BD75A3">
      <w:pPr>
        <w:rPr>
          <w:color w:val="000000" w:themeColor="text1"/>
        </w:rPr>
      </w:pPr>
    </w:p>
    <w:p w14:paraId="117692A1" w14:textId="77777777" w:rsidR="009547E5" w:rsidRDefault="009547E5" w:rsidP="009547E5">
      <w:pPr>
        <w:rPr>
          <w:color w:val="000000" w:themeColor="text1"/>
        </w:rPr>
      </w:pPr>
    </w:p>
    <w:p w14:paraId="117692A4" w14:textId="4AA04F43" w:rsidR="00CE07BE" w:rsidRDefault="009547E5" w:rsidP="0074048B">
      <w:pPr>
        <w:ind w:left="3600"/>
        <w:rPr>
          <w:bCs/>
          <w:szCs w:val="22"/>
        </w:rPr>
      </w:pPr>
      <w:r>
        <w:rPr>
          <w:color w:val="000000" w:themeColor="text1"/>
        </w:rPr>
        <w:tab/>
      </w:r>
      <w:r w:rsidR="0074048B">
        <w:rPr>
          <w:bCs/>
          <w:szCs w:val="22"/>
        </w:rPr>
        <w:t xml:space="preserve">Ronald </w:t>
      </w:r>
      <w:r w:rsidR="005E7D42">
        <w:rPr>
          <w:bCs/>
          <w:szCs w:val="22"/>
        </w:rPr>
        <w:t xml:space="preserve">D. </w:t>
      </w:r>
      <w:r w:rsidR="0074048B">
        <w:rPr>
          <w:bCs/>
          <w:szCs w:val="22"/>
        </w:rPr>
        <w:t>Ramage</w:t>
      </w:r>
    </w:p>
    <w:p w14:paraId="117692A5" w14:textId="3B3413F8" w:rsidR="00CE07BE" w:rsidRDefault="00434021" w:rsidP="00CE07BE">
      <w:pPr>
        <w:ind w:left="3600" w:firstLine="720"/>
        <w:rPr>
          <w:bCs/>
          <w:szCs w:val="22"/>
        </w:rPr>
      </w:pPr>
      <w:r>
        <w:rPr>
          <w:bCs/>
          <w:szCs w:val="22"/>
        </w:rPr>
        <w:t xml:space="preserve">Regional Director, </w:t>
      </w:r>
      <w:r w:rsidR="00CE07BE">
        <w:rPr>
          <w:bCs/>
          <w:szCs w:val="22"/>
        </w:rPr>
        <w:t>Region</w:t>
      </w:r>
      <w:r w:rsidR="005E7D42">
        <w:rPr>
          <w:bCs/>
          <w:szCs w:val="22"/>
        </w:rPr>
        <w:t xml:space="preserve"> Two </w:t>
      </w:r>
    </w:p>
    <w:p w14:paraId="117692A6" w14:textId="77777777" w:rsidR="00FA0B93" w:rsidRPr="008C10CC" w:rsidRDefault="00CE07BE" w:rsidP="00CE07BE">
      <w:pPr>
        <w:ind w:left="3600" w:firstLine="720"/>
        <w:rPr>
          <w:color w:val="000000" w:themeColor="text1"/>
          <w:szCs w:val="22"/>
        </w:rPr>
      </w:pPr>
      <w:r>
        <w:rPr>
          <w:bCs/>
          <w:szCs w:val="22"/>
        </w:rPr>
        <w:t>Enforcement Bureau</w:t>
      </w:r>
    </w:p>
    <w:sectPr w:rsidR="00FA0B93" w:rsidRPr="008C10CC" w:rsidSect="00680CC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22946" w14:textId="77777777" w:rsidR="00506DEC" w:rsidRDefault="00506DEC">
      <w:r>
        <w:separator/>
      </w:r>
    </w:p>
  </w:endnote>
  <w:endnote w:type="continuationSeparator" w:id="0">
    <w:p w14:paraId="52413922" w14:textId="77777777" w:rsidR="00506DEC" w:rsidRDefault="00506DEC">
      <w:r>
        <w:continuationSeparator/>
      </w:r>
    </w:p>
  </w:endnote>
  <w:endnote w:type="continuationNotice" w:id="1">
    <w:p w14:paraId="617EAA0D" w14:textId="77777777" w:rsidR="00506DEC" w:rsidRDefault="0050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2"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692B3"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4" w14:textId="101AE32C"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567F30">
      <w:rPr>
        <w:rStyle w:val="PageNumber"/>
        <w:noProof/>
        <w:szCs w:val="22"/>
      </w:rPr>
      <w:t>1</w:t>
    </w:r>
    <w:r w:rsidRPr="00575313">
      <w:rPr>
        <w:rStyle w:val="PageNumber"/>
        <w:szCs w:val="22"/>
      </w:rPr>
      <w:fldChar w:fldCharType="end"/>
    </w:r>
  </w:p>
  <w:p w14:paraId="117692B5" w14:textId="77777777" w:rsidR="000A633B" w:rsidRDefault="000A633B" w:rsidP="00537DB1">
    <w:pPr>
      <w:pStyle w:val="Footer"/>
      <w:rPr>
        <w:b/>
      </w:rPr>
    </w:pPr>
  </w:p>
  <w:p w14:paraId="117692B6"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BB"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E240" w14:textId="77777777" w:rsidR="00506DEC" w:rsidRDefault="00506DEC">
      <w:r>
        <w:separator/>
      </w:r>
    </w:p>
  </w:footnote>
  <w:footnote w:type="continuationSeparator" w:id="0">
    <w:p w14:paraId="34A4D395" w14:textId="77777777" w:rsidR="00506DEC" w:rsidRDefault="00506DEC" w:rsidP="00F60397">
      <w:r w:rsidRPr="00F60397">
        <w:rPr>
          <w:sz w:val="20"/>
        </w:rPr>
        <w:t>(Continued from previous page…)</w:t>
      </w:r>
      <w:r>
        <w:rPr>
          <w:sz w:val="20"/>
        </w:rPr>
        <w:t xml:space="preserve"> </w:t>
      </w:r>
      <w:r>
        <w:separator/>
      </w:r>
    </w:p>
  </w:footnote>
  <w:footnote w:type="continuationNotice" w:id="1">
    <w:p w14:paraId="2056D119" w14:textId="77777777" w:rsidR="00506DEC" w:rsidRPr="00F60397" w:rsidRDefault="00506DEC" w:rsidP="00AE54D6">
      <w:pPr>
        <w:jc w:val="right"/>
        <w:rPr>
          <w:sz w:val="20"/>
        </w:rPr>
      </w:pPr>
      <w:r w:rsidRPr="00F60397">
        <w:rPr>
          <w:sz w:val="20"/>
        </w:rPr>
        <w:t>(continued…)</w:t>
      </w:r>
    </w:p>
  </w:footnote>
  <w:footnote w:id="2">
    <w:p w14:paraId="117692C0" w14:textId="77777777" w:rsidR="00E216B7" w:rsidRPr="00C221E5" w:rsidRDefault="00E216B7" w:rsidP="00E216B7">
      <w:pPr>
        <w:pStyle w:val="FootnoteText"/>
        <w:rPr>
          <w:color w:val="000000"/>
        </w:rPr>
      </w:pPr>
      <w:r w:rsidRPr="00C221E5">
        <w:rPr>
          <w:rStyle w:val="FootnoteReference"/>
          <w:color w:val="000000"/>
        </w:rPr>
        <w:footnoteRef/>
      </w:r>
      <w:r w:rsidRPr="00C221E5">
        <w:rPr>
          <w:color w:val="000000"/>
        </w:rPr>
        <w:t xml:space="preserve"> Part 15 of the Rules sets out the conditions and technical requirements under which certain radio transmission devices may be used without a license.  In relevant part, Section 15.239 of the Rules provides that non-licensed broadcasting in the 88-108 MHz band is permitted only if the field strength of the transmission does not exceed 250 μV/m at three meters.  47 C.F.R. § 15.239.</w:t>
      </w:r>
    </w:p>
  </w:footnote>
  <w:footnote w:id="3">
    <w:p w14:paraId="596ADBCC" w14:textId="4A71A2BA" w:rsidR="00665EB6" w:rsidRDefault="00665EB6">
      <w:pPr>
        <w:pStyle w:val="FootnoteText"/>
      </w:pPr>
      <w:r>
        <w:rPr>
          <w:rStyle w:val="FootnoteReference"/>
        </w:rPr>
        <w:footnoteRef/>
      </w:r>
      <w:r>
        <w:t xml:space="preserve"> </w:t>
      </w:r>
      <w:r w:rsidRPr="00665EB6">
        <w:t>Florida Department of State, Division of Corporations Homepage, ww</w:t>
      </w:r>
      <w:r>
        <w:t>w.sunbiz.org (last visited January 19</w:t>
      </w:r>
      <w:r w:rsidRPr="00665EB6">
        <w:t>, 2016).</w:t>
      </w:r>
    </w:p>
  </w:footnote>
  <w:footnote w:id="4">
    <w:p w14:paraId="4B22A3AB" w14:textId="7CB587C9" w:rsidR="00D647E5" w:rsidRDefault="00D647E5">
      <w:pPr>
        <w:pStyle w:val="FootnoteText"/>
      </w:pPr>
      <w:r>
        <w:rPr>
          <w:rStyle w:val="FootnoteReference"/>
        </w:rPr>
        <w:footnoteRef/>
      </w:r>
      <w:r>
        <w:t xml:space="preserve"> Broward County, FL Property Appraiser Homepage, </w:t>
      </w:r>
      <w:r w:rsidRPr="00D647E5">
        <w:t>http://www.bcpa.net</w:t>
      </w:r>
      <w:r>
        <w:t xml:space="preserve"> (last visited January 19, 2016).</w:t>
      </w:r>
    </w:p>
  </w:footnote>
  <w:footnote w:id="5">
    <w:p w14:paraId="44006287" w14:textId="1264FBD0" w:rsidR="004C0B15" w:rsidRDefault="004C0B15">
      <w:pPr>
        <w:pStyle w:val="FootnoteText"/>
      </w:pPr>
      <w:r>
        <w:rPr>
          <w:rStyle w:val="FootnoteReference"/>
        </w:rPr>
        <w:footnoteRef/>
      </w:r>
      <w:r>
        <w:t xml:space="preserve"> </w:t>
      </w:r>
      <w:r w:rsidR="00947AE6">
        <w:rPr>
          <w:i/>
        </w:rPr>
        <w:t>New Community Development Center, Inc./Kedner Maxime</w:t>
      </w:r>
      <w:r>
        <w:t xml:space="preserve">, </w:t>
      </w:r>
      <w:r w:rsidR="00947AE6">
        <w:t>Notice</w:t>
      </w:r>
      <w:r>
        <w:t xml:space="preserve"> of Unlicensed Operation (Enf. Bur. </w:t>
      </w:r>
      <w:r w:rsidR="00947AE6">
        <w:t>Jul. 29</w:t>
      </w:r>
      <w:r w:rsidR="00C06E2D">
        <w:t>, 2015</w:t>
      </w:r>
      <w:r>
        <w:t xml:space="preserve">) (on file in </w:t>
      </w:r>
      <w:r w:rsidR="00C06E2D">
        <w:t>EB-FIELDSCR-15</w:t>
      </w:r>
      <w:r w:rsidRPr="004C0B15">
        <w:t>-000</w:t>
      </w:r>
      <w:r w:rsidR="00947AE6">
        <w:t>20432</w:t>
      </w:r>
      <w:r>
        <w:t>).</w:t>
      </w:r>
    </w:p>
  </w:footnote>
  <w:footnote w:id="6">
    <w:p w14:paraId="5B68E855" w14:textId="6CCC2C8B" w:rsidR="00DE775A" w:rsidRPr="00DE775A" w:rsidRDefault="00DE775A">
      <w:pPr>
        <w:pStyle w:val="FootnoteText"/>
      </w:pPr>
      <w:r>
        <w:rPr>
          <w:rStyle w:val="FootnoteReference"/>
        </w:rPr>
        <w:footnoteRef/>
      </w:r>
      <w:r>
        <w:t xml:space="preserve"> </w:t>
      </w:r>
      <w:r w:rsidR="005C4CEE">
        <w:rPr>
          <w:i/>
        </w:rPr>
        <w:t>Kedner Maxime</w:t>
      </w:r>
      <w:r>
        <w:t>,</w:t>
      </w:r>
      <w:r w:rsidR="00AE6CDB">
        <w:t xml:space="preserve"> Notice of Unlicensed O</w:t>
      </w:r>
      <w:r>
        <w:t xml:space="preserve">peration (Enf. Bur. </w:t>
      </w:r>
      <w:r w:rsidR="005C4CEE">
        <w:t>Dec. 2, 2015</w:t>
      </w:r>
      <w:r>
        <w:t>) (on</w:t>
      </w:r>
      <w:r w:rsidR="005C4CEE">
        <w:t xml:space="preserve"> file in EB-FIELDSCR-15-00020432</w:t>
      </w:r>
      <w:r>
        <w:t>).</w:t>
      </w:r>
    </w:p>
  </w:footnote>
  <w:footnote w:id="7">
    <w:p w14:paraId="117692CA" w14:textId="77777777" w:rsidR="00685850" w:rsidRDefault="00685850">
      <w:pPr>
        <w:pStyle w:val="FootnoteText"/>
      </w:pPr>
      <w:r>
        <w:rPr>
          <w:rStyle w:val="FootnoteReference"/>
        </w:rPr>
        <w:footnoteRef/>
      </w:r>
      <w:r w:rsidR="001A0D4F">
        <w:t xml:space="preserve"> 47 U.S.C</w:t>
      </w:r>
      <w:r>
        <w:t xml:space="preserve">. </w:t>
      </w:r>
      <w:r w:rsidRPr="006856C3">
        <w:t>§</w:t>
      </w:r>
      <w:r w:rsidR="001A0D4F">
        <w:t xml:space="preserve"> 301</w:t>
      </w:r>
      <w:r>
        <w:t>.</w:t>
      </w:r>
    </w:p>
  </w:footnote>
  <w:footnote w:id="8">
    <w:p w14:paraId="446116DF" w14:textId="66875D95" w:rsidR="003E48ED" w:rsidRPr="003E48ED" w:rsidRDefault="003E48ED">
      <w:pPr>
        <w:pStyle w:val="FootnoteText"/>
      </w:pPr>
      <w:r>
        <w:rPr>
          <w:rStyle w:val="FootnoteReference"/>
        </w:rPr>
        <w:footnoteRef/>
      </w:r>
      <w:r>
        <w:t xml:space="preserve"> </w:t>
      </w:r>
      <w:r>
        <w:rPr>
          <w:i/>
        </w:rPr>
        <w:t xml:space="preserve">See supra </w:t>
      </w:r>
      <w:r w:rsidR="00EE454B">
        <w:t>paras. 3–10</w:t>
      </w:r>
      <w:r>
        <w:t>.</w:t>
      </w:r>
    </w:p>
  </w:footnote>
  <w:footnote w:id="9">
    <w:p w14:paraId="38AF371D" w14:textId="2C8135AC" w:rsidR="00705175" w:rsidRPr="00705175" w:rsidRDefault="00705175">
      <w:pPr>
        <w:pStyle w:val="FootnoteText"/>
      </w:pPr>
      <w:r>
        <w:rPr>
          <w:rStyle w:val="FootnoteReference"/>
        </w:rPr>
        <w:footnoteRef/>
      </w:r>
      <w:r>
        <w:t xml:space="preserve"> </w:t>
      </w:r>
      <w:r>
        <w:rPr>
          <w:i/>
        </w:rPr>
        <w:t xml:space="preserve">See supra </w:t>
      </w:r>
      <w:r w:rsidR="00E4205D">
        <w:t>para</w:t>
      </w:r>
      <w:r w:rsidR="00647661">
        <w:t>s</w:t>
      </w:r>
      <w:r w:rsidR="00EE454B">
        <w:t>. 5 and 10</w:t>
      </w:r>
      <w:r>
        <w:t>.</w:t>
      </w:r>
    </w:p>
  </w:footnote>
  <w:footnote w:id="10">
    <w:p w14:paraId="117692CB" w14:textId="77777777" w:rsidR="00D85E60" w:rsidRPr="006856C3" w:rsidRDefault="00D85E60" w:rsidP="00D85E60">
      <w:pPr>
        <w:pStyle w:val="FootnoteText"/>
      </w:pPr>
      <w:r w:rsidRPr="006856C3">
        <w:rPr>
          <w:rStyle w:val="FootnoteReference"/>
        </w:rPr>
        <w:footnoteRef/>
      </w:r>
      <w:r w:rsidRPr="006856C3">
        <w:t xml:space="preserve"> 47 U.S.C. § 503(b).</w:t>
      </w:r>
    </w:p>
  </w:footnote>
  <w:footnote w:id="11">
    <w:p w14:paraId="117692CC" w14:textId="68BE0339" w:rsidR="002F3CB7" w:rsidRPr="00981F23" w:rsidRDefault="002F3CB7" w:rsidP="002F3CB7">
      <w:pPr>
        <w:pStyle w:val="FootnoteText"/>
        <w:rPr>
          <w:color w:val="000000" w:themeColor="text1"/>
        </w:rPr>
      </w:pPr>
      <w:r w:rsidRPr="00981F23">
        <w:rPr>
          <w:rStyle w:val="FootnoteReference"/>
          <w:color w:val="000000" w:themeColor="text1"/>
        </w:rPr>
        <w:footnoteRef/>
      </w:r>
      <w:r w:rsidR="00EE454B">
        <w:rPr>
          <w:i/>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3C50D2">
        <w:rPr>
          <w:snapToGrid w:val="0"/>
          <w:color w:val="000000" w:themeColor="text1"/>
        </w:rPr>
        <w:t>2</w:t>
      </w:r>
      <w:r w:rsidRPr="00981F23">
        <w:rPr>
          <w:snapToGrid w:val="0"/>
          <w:color w:val="000000" w:themeColor="text1"/>
        </w:rPr>
        <w:t>)</w:t>
      </w:r>
      <w:r w:rsidR="00662A3F">
        <w:rPr>
          <w:snapToGrid w:val="0"/>
          <w:color w:val="000000" w:themeColor="text1"/>
        </w:rPr>
        <w:t>(D)</w:t>
      </w:r>
      <w:r w:rsidRPr="00981F23">
        <w:rPr>
          <w:snapToGrid w:val="0"/>
          <w:color w:val="000000" w:themeColor="text1"/>
        </w:rPr>
        <w:t>; 47 C.F.R. § 1.80(b)(</w:t>
      </w:r>
      <w:r w:rsidR="00662A3F">
        <w:rPr>
          <w:snapToGrid w:val="0"/>
          <w:color w:val="000000" w:themeColor="text1"/>
        </w:rPr>
        <w:t>7</w:t>
      </w:r>
      <w:r w:rsidRPr="00981F23">
        <w:rPr>
          <w:snapToGrid w:val="0"/>
          <w:color w:val="000000" w:themeColor="text1"/>
        </w:rPr>
        <w:t>).  These amounts reflect inflation adjustments to the forfeitures specified in Section 503(b)(</w:t>
      </w:r>
      <w:r w:rsidR="00662A3F">
        <w:rPr>
          <w:snapToGrid w:val="0"/>
          <w:color w:val="000000" w:themeColor="text1"/>
        </w:rPr>
        <w:t>2)(D</w:t>
      </w:r>
      <w:r w:rsidRPr="00981F23">
        <w:rPr>
          <w:snapToGrid w:val="0"/>
          <w:color w:val="000000" w:themeColor="text1"/>
        </w:rPr>
        <w:t>) ($</w:t>
      </w:r>
      <w:r w:rsidR="00662A3F">
        <w:rPr>
          <w:snapToGrid w:val="0"/>
          <w:color w:val="000000" w:themeColor="text1"/>
        </w:rPr>
        <w:t>10,000</w:t>
      </w:r>
      <w:r w:rsidRPr="00981F23">
        <w:rPr>
          <w:snapToGrid w:val="0"/>
          <w:color w:val="000000" w:themeColor="text1"/>
        </w:rPr>
        <w:t xml:space="preserve"> per violation or per day of a continuing violation and $</w:t>
      </w:r>
      <w:r w:rsidR="00662A3F">
        <w:rPr>
          <w:snapToGrid w:val="0"/>
          <w:color w:val="000000" w:themeColor="text1"/>
        </w:rPr>
        <w:t>75,000</w:t>
      </w:r>
      <w:r w:rsidRPr="00981F23">
        <w:rPr>
          <w:snapToGrid w:val="0"/>
          <w:color w:val="000000" w:themeColor="text1"/>
        </w:rPr>
        <w:t xml:space="preserve"> per any single act or failure to act).  The Federal Civil Penalties Inflation Adjustment Act of 1990, Pub. L. No. 101-410, 104 Stat. 890, as amended by the Debt Collection Improvement Act of 1996, Pub. L. No. 104-134, S</w:t>
      </w:r>
      <w:r w:rsidR="00472A67">
        <w:rPr>
          <w:snapToGrid w:val="0"/>
          <w:color w:val="000000" w:themeColor="text1"/>
        </w:rPr>
        <w:t>ec. 31001, 110 Stat. 1321</w:t>
      </w:r>
      <w:r w:rsidRPr="00981F23">
        <w:rPr>
          <w:snapToGrid w:val="0"/>
          <w:color w:val="000000" w:themeColor="text1"/>
        </w:rPr>
        <w:t xml:space="preserve">, requires the Commission to adjust its forfeiture penalties periodically for inflation.  </w:t>
      </w:r>
      <w:r w:rsidRPr="00981F23">
        <w:rPr>
          <w:i/>
          <w:iCs/>
          <w:snapToGrid w:val="0"/>
          <w:color w:val="000000" w:themeColor="text1"/>
        </w:rPr>
        <w:t>See</w:t>
      </w:r>
      <w:r w:rsidRPr="00981F23">
        <w:rPr>
          <w:snapToGrid w:val="0"/>
          <w:color w:val="000000" w:themeColor="text1"/>
        </w:rPr>
        <w:t xml:space="preserve"> 28 U.S.C. § 2461 note (4).  The Commission most recently adjusted its penalties to account for inflation </w:t>
      </w:r>
      <w:r w:rsidR="00D96335" w:rsidRPr="004240A4">
        <w:rPr>
          <w:color w:val="000000" w:themeColor="text1"/>
        </w:rPr>
        <w:t xml:space="preserve">this year.  </w:t>
      </w:r>
      <w:r w:rsidR="00D96335" w:rsidRPr="001C1AEA">
        <w:rPr>
          <w:i/>
          <w:color w:val="000000" w:themeColor="text1"/>
        </w:rPr>
        <w:t>Amendment of Section 1.80(b) of the Commission’s Rules, Adjustment of Civil Monetary Penalties to Reflect Inflation</w:t>
      </w:r>
      <w:r w:rsidR="00D96335" w:rsidRPr="004240A4">
        <w:rPr>
          <w:color w:val="000000" w:themeColor="text1"/>
        </w:rPr>
        <w:t xml:space="preserve">, Order, DA 16-644 (Enf. Bur. 2016); </w:t>
      </w:r>
      <w:r w:rsidR="00D96335" w:rsidRPr="001C1AEA">
        <w:rPr>
          <w:i/>
          <w:color w:val="000000" w:themeColor="text1"/>
        </w:rPr>
        <w:t>see also</w:t>
      </w:r>
      <w:r w:rsidR="00D96335" w:rsidRPr="004240A4">
        <w:rPr>
          <w:color w:val="000000" w:themeColor="text1"/>
        </w:rPr>
        <w:t xml:space="preserve"> </w:t>
      </w:r>
      <w:r w:rsidR="00D96335" w:rsidRPr="00074123">
        <w:rPr>
          <w:i/>
          <w:color w:val="000000" w:themeColor="text1"/>
        </w:rPr>
        <w:t>Inflation Adjustment of Monetary Penalties</w:t>
      </w:r>
      <w:r w:rsidR="00D96335" w:rsidRPr="004240A4">
        <w:rPr>
          <w:color w:val="000000" w:themeColor="text1"/>
        </w:rPr>
        <w:t xml:space="preserve">, 81 Fed. Reg. 42554 (June 30, 2016) (setting August 1, 2016, as the effective date for the increases).  However, because the DCIA specifies that any inflationary adjustment “shall apply only to violations which occur after the date the increase takes effect,” we apply the forfeiture penalties in effect at the time the apparent violations took place.  28 U.S.C. § 2461 note (6).  Here, because the apparent violations at issue occurred before August 1, 2016, the applicable maximum penalties are based on the Commission’s previous inflation adjustment that became effective on September 13, 2013.  </w:t>
      </w:r>
      <w:r w:rsidR="00D96335" w:rsidRPr="001C1AEA">
        <w:rPr>
          <w:i/>
          <w:color w:val="000000" w:themeColor="text1"/>
        </w:rPr>
        <w:t>See Inflation Adjustment of Maximum Forfeiture Penalties</w:t>
      </w:r>
      <w:r w:rsidR="00D96335" w:rsidRPr="004240A4">
        <w:rPr>
          <w:color w:val="000000" w:themeColor="text1"/>
        </w:rPr>
        <w:t>, 73 Fed. Reg. 44,663, 44,664 (July 31, 2008)</w:t>
      </w:r>
      <w:r w:rsidR="00D96335">
        <w:rPr>
          <w:color w:val="000000" w:themeColor="text1"/>
        </w:rPr>
        <w:t xml:space="preserve">; </w:t>
      </w:r>
      <w:r w:rsidR="00D96335" w:rsidRPr="001C1AEA">
        <w:rPr>
          <w:i/>
          <w:color w:val="000000" w:themeColor="text1"/>
        </w:rPr>
        <w:t>Amendment of Section 1.80(b) of the Commission’s Rules, Adjustment of Civil Monetary Penalties to Reflect Inflation</w:t>
      </w:r>
      <w:r w:rsidR="00D96335" w:rsidRPr="004240A4">
        <w:rPr>
          <w:color w:val="000000" w:themeColor="text1"/>
        </w:rPr>
        <w:t xml:space="preserve">, Order, 28 FCC Rcd 10785 (Enf. Bur. 2013); </w:t>
      </w:r>
      <w:r w:rsidR="00D96335" w:rsidRPr="001C1AEA">
        <w:rPr>
          <w:i/>
          <w:color w:val="000000" w:themeColor="text1"/>
        </w:rPr>
        <w:t>see also Inflation Adjustment of Monetary Penalties</w:t>
      </w:r>
      <w:r w:rsidR="00D96335" w:rsidRPr="004240A4">
        <w:rPr>
          <w:color w:val="000000" w:themeColor="text1"/>
        </w:rPr>
        <w:t>, 78 Fed. Reg. 49,370-01 (Aug. 14, 2013) (setting Sept. 13, 2013, as the effective date for th</w:t>
      </w:r>
      <w:r w:rsidR="00D96335">
        <w:rPr>
          <w:color w:val="000000" w:themeColor="text1"/>
        </w:rPr>
        <w:t>os</w:t>
      </w:r>
      <w:r w:rsidR="00D96335" w:rsidRPr="004240A4">
        <w:rPr>
          <w:color w:val="000000" w:themeColor="text1"/>
        </w:rPr>
        <w:t>e increases</w:t>
      </w:r>
      <w:r w:rsidR="00D96335">
        <w:rPr>
          <w:color w:val="000000" w:themeColor="text1"/>
        </w:rPr>
        <w:t xml:space="preserve">).    </w:t>
      </w:r>
      <w:r w:rsidRPr="00981F23">
        <w:rPr>
          <w:snapToGrid w:val="0"/>
          <w:color w:val="000000" w:themeColor="text1"/>
        </w:rPr>
        <w:t xml:space="preserve"> </w:t>
      </w:r>
    </w:p>
  </w:footnote>
  <w:footnote w:id="12">
    <w:p w14:paraId="117692CD" w14:textId="77777777" w:rsidR="002F3CB7" w:rsidRPr="00981F23" w:rsidRDefault="002F3CB7" w:rsidP="002F3CB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3">
    <w:p w14:paraId="117692CE"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1.80(b)(8), Note to paragraph (b)(8). </w:t>
      </w:r>
    </w:p>
  </w:footnote>
  <w:footnote w:id="14">
    <w:p w14:paraId="117692CF" w14:textId="77777777" w:rsidR="00EA5433" w:rsidRPr="00981F23" w:rsidRDefault="00EA5433" w:rsidP="00EA543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5">
    <w:p w14:paraId="117692D0" w14:textId="21FA2383" w:rsidR="002F3CB7" w:rsidRPr="007036B7" w:rsidRDefault="002F3CB7" w:rsidP="002F3CB7">
      <w:pPr>
        <w:pStyle w:val="FootnoteText"/>
        <w:rPr>
          <w:i/>
          <w:color w:val="000000" w:themeColor="text1"/>
        </w:rPr>
      </w:pPr>
      <w:r w:rsidRPr="00981F23">
        <w:rPr>
          <w:rStyle w:val="FootnoteReference"/>
          <w:color w:val="000000" w:themeColor="text1"/>
        </w:rPr>
        <w:footnoteRef/>
      </w:r>
      <w:r w:rsidRPr="00981F23">
        <w:rPr>
          <w:color w:val="000000" w:themeColor="text1"/>
        </w:rPr>
        <w:t xml:space="preserve"> </w:t>
      </w:r>
      <w:r w:rsidR="00FC412A">
        <w:rPr>
          <w:i/>
          <w:color w:val="000000" w:themeColor="text1"/>
        </w:rPr>
        <w:t>Id.</w:t>
      </w:r>
    </w:p>
  </w:footnote>
  <w:footnote w:id="16">
    <w:p w14:paraId="117692D1" w14:textId="77777777" w:rsidR="002F3CB7" w:rsidRPr="00981F23" w:rsidRDefault="002F3CB7" w:rsidP="002F3CB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The Commission’s Forfeiture Policy Statement and Amendment of Section 1.80 of the Rules to Incorporate the Forfeiture Guidelines</w:t>
      </w:r>
      <w:r w:rsidRPr="00981F23">
        <w:rPr>
          <w:color w:val="000000" w:themeColor="text1"/>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w:t>
      </w:r>
      <w:r w:rsidR="00D91323">
        <w:rPr>
          <w:color w:val="000000" w:themeColor="text1"/>
        </w:rPr>
        <w:t>ned in Section 503 of the Act”)</w:t>
      </w:r>
      <w:r w:rsidR="009E2EF6">
        <w:rPr>
          <w:color w:val="000000" w:themeColor="text1"/>
        </w:rPr>
        <w:t xml:space="preserve"> (</w:t>
      </w:r>
      <w:r w:rsidR="009E2EF6" w:rsidRPr="00272D8B">
        <w:rPr>
          <w:i/>
        </w:rPr>
        <w:t>Forfeiture Policy Statement</w:t>
      </w:r>
      <w:r w:rsidR="009E2EF6" w:rsidRPr="00272D8B">
        <w:t>)</w:t>
      </w:r>
      <w:r w:rsidRPr="00981F23">
        <w:rPr>
          <w:color w:val="000000" w:themeColor="text1"/>
        </w:rPr>
        <w:t xml:space="preserve">, </w:t>
      </w:r>
      <w:r w:rsidRPr="00981F23">
        <w:rPr>
          <w:i/>
          <w:color w:val="000000" w:themeColor="text1"/>
        </w:rPr>
        <w:t>recons. denied</w:t>
      </w:r>
      <w:r w:rsidRPr="00981F23">
        <w:rPr>
          <w:color w:val="000000" w:themeColor="text1"/>
        </w:rPr>
        <w:t>, Memorandum Opinion and Order, 15 FCC Rcd 303 (1999).</w:t>
      </w:r>
    </w:p>
  </w:footnote>
  <w:footnote w:id="17">
    <w:p w14:paraId="71261C8F" w14:textId="42E113B3" w:rsidR="00B43233" w:rsidRDefault="00B43233">
      <w:pPr>
        <w:pStyle w:val="FootnoteText"/>
      </w:pPr>
      <w:r>
        <w:rPr>
          <w:rStyle w:val="FootnoteReference"/>
        </w:rPr>
        <w:footnoteRef/>
      </w:r>
      <w:r>
        <w:t xml:space="preserve"> </w:t>
      </w:r>
      <w:r w:rsidRPr="004D5528">
        <w:rPr>
          <w:i/>
        </w:rPr>
        <w:t>See Robert Brown</w:t>
      </w:r>
      <w:r w:rsidRPr="004D5528">
        <w:t xml:space="preserve">, Memorandum Opinion and Order, 27 FCC Rcd 6975 (Enf. Bur. 2012), </w:t>
      </w:r>
      <w:r w:rsidRPr="004D5528">
        <w:rPr>
          <w:i/>
        </w:rPr>
        <w:t>aff’g</w:t>
      </w:r>
      <w:r>
        <w:t>,</w:t>
      </w:r>
      <w:r w:rsidRPr="004D5528">
        <w:t xml:space="preserve"> Forfeiture Order, 26 FCC Rcd 6854 (Enf. Bur. 2011), </w:t>
      </w:r>
      <w:r w:rsidRPr="004D5528">
        <w:rPr>
          <w:i/>
        </w:rPr>
        <w:t>aff’g</w:t>
      </w:r>
      <w:r w:rsidRPr="004D5528">
        <w:t xml:space="preserve">, Notice of Apparent Liability for Forfeiture, 25 FCC Rcd 13740 (Enf. Bur. 2010) </w:t>
      </w:r>
      <w:r w:rsidRPr="004D5528">
        <w:rPr>
          <w:color w:val="010101"/>
        </w:rPr>
        <w:t>(upwardly adjusted proposed forfeiture by $5,000 because violator operated an unlicensed radio station after receiving a written warning that such action violated the Act and Rules)</w:t>
      </w:r>
      <w:r w:rsidRPr="004D5528">
        <w:t xml:space="preserve">; </w:t>
      </w:r>
      <w:r w:rsidRPr="004D5528">
        <w:rPr>
          <w:i/>
        </w:rPr>
        <w:t>L</w:t>
      </w:r>
      <w:r w:rsidR="00172229">
        <w:rPr>
          <w:i/>
        </w:rPr>
        <w:t>l</w:t>
      </w:r>
      <w:r w:rsidRPr="004D5528">
        <w:rPr>
          <w:i/>
        </w:rPr>
        <w:t>oyd Morris</w:t>
      </w:r>
      <w:r>
        <w:t>,</w:t>
      </w:r>
      <w:r w:rsidRPr="004D5528">
        <w:rPr>
          <w:i/>
        </w:rPr>
        <w:t xml:space="preserve"> </w:t>
      </w:r>
      <w:r w:rsidRPr="004D5528">
        <w:t xml:space="preserve">Memorandum Opinion and Order, 27 FCC Rcd 6979 (Enf. Bur. 2012), </w:t>
      </w:r>
      <w:r w:rsidRPr="004D5528">
        <w:rPr>
          <w:i/>
        </w:rPr>
        <w:t>aff’g</w:t>
      </w:r>
      <w:r w:rsidRPr="004D5528">
        <w:t xml:space="preserve">, Forfeiture Order, 26 FCC Rcd 6856 (Enf. Bur. 2011), </w:t>
      </w:r>
      <w:r w:rsidRPr="004D5528">
        <w:rPr>
          <w:i/>
        </w:rPr>
        <w:t>aff’g</w:t>
      </w:r>
      <w:r w:rsidRPr="004D5528">
        <w:t xml:space="preserve">, Notice of Apparent Liability for Forfeiture, 25 FCC Rcd 13736 (Enf. Bur. 2010) </w:t>
      </w:r>
      <w:r w:rsidRPr="004D5528">
        <w:rPr>
          <w:color w:val="010101"/>
        </w:rPr>
        <w:t>(</w:t>
      </w:r>
      <w:r>
        <w:rPr>
          <w:color w:val="010101"/>
        </w:rPr>
        <w:t>same</w:t>
      </w:r>
      <w:r w:rsidRPr="004D5528">
        <w:rPr>
          <w:color w:val="010101"/>
        </w:rPr>
        <w:t>)</w:t>
      </w:r>
      <w:r w:rsidRPr="004D5528">
        <w:t xml:space="preserve">.  </w:t>
      </w:r>
    </w:p>
  </w:footnote>
  <w:footnote w:id="18">
    <w:p w14:paraId="117692D2" w14:textId="77777777" w:rsidR="000A633B" w:rsidRPr="00981F23" w:rsidRDefault="000A633B" w:rsidP="00796CA3">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9">
    <w:p w14:paraId="117692D3"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C.F.R. § 1.80.</w:t>
      </w:r>
    </w:p>
  </w:footnote>
  <w:footnote w:id="20">
    <w:p w14:paraId="117692D4"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001A0D4F">
        <w:rPr>
          <w:color w:val="000000" w:themeColor="text1"/>
          <w:lang w:val="es-ES"/>
        </w:rPr>
        <w:t xml:space="preserve"> 47 U.S.C</w:t>
      </w:r>
      <w:r w:rsidRPr="00981F23">
        <w:rPr>
          <w:color w:val="000000" w:themeColor="text1"/>
          <w:lang w:val="es-ES"/>
        </w:rPr>
        <w:t xml:space="preserve">. § </w:t>
      </w:r>
      <w:r w:rsidR="001A0D4F">
        <w:rPr>
          <w:color w:val="000000" w:themeColor="text1"/>
          <w:lang w:val="es-ES"/>
        </w:rPr>
        <w:t>301</w:t>
      </w:r>
      <w:r w:rsidRPr="00981F23">
        <w:rPr>
          <w:color w:val="000000" w:themeColor="text1"/>
          <w:lang w:val="es-ES"/>
        </w:rPr>
        <w:t>.</w:t>
      </w:r>
    </w:p>
  </w:footnote>
  <w:footnote w:id="21">
    <w:p w14:paraId="117692D5"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1.80.</w:t>
      </w:r>
    </w:p>
  </w:footnote>
  <w:footnote w:id="22">
    <w:p w14:paraId="117692D6"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rFonts w:eastAsia="MS Mincho"/>
          <w:color w:val="000000" w:themeColor="text1"/>
        </w:rPr>
        <w:t>An FCC Form 159 and detailed instructions for completing the form may be obtained at http://www.fcc.gov/Forms/Form159/159.pdf.</w:t>
      </w:r>
    </w:p>
  </w:footnote>
  <w:footnote w:id="23">
    <w:p w14:paraId="117692D7"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 w:id="24">
    <w:p w14:paraId="117692D8" w14:textId="77777777" w:rsidR="000A633B" w:rsidRPr="00981F23" w:rsidRDefault="000A633B" w:rsidP="00796CA3">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1DB5" w14:textId="77777777" w:rsidR="00331406" w:rsidRDefault="00331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92AF" w14:textId="1EAA7715"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5408" behindDoc="1" locked="0" layoutInCell="0" allowOverlap="1" wp14:anchorId="117692BC" wp14:editId="117692BD">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24B9C609" id="Rectangle 4"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mc:Fallback>
      </mc:AlternateContent>
    </w:r>
    <w:r w:rsidRPr="00F60397">
      <w:rPr>
        <w:b/>
      </w:rPr>
      <w:tab/>
      <w:t>Federal Communications Commission</w:t>
    </w:r>
    <w:r w:rsidRPr="00F60397">
      <w:rPr>
        <w:b/>
      </w:rPr>
      <w:tab/>
    </w:r>
    <w:r>
      <w:rPr>
        <w:b/>
        <w:spacing w:val="-2"/>
      </w:rPr>
      <w:t>DA</w:t>
    </w:r>
    <w:r w:rsidR="00A579AA">
      <w:rPr>
        <w:b/>
        <w:spacing w:val="-2"/>
      </w:rPr>
      <w:t xml:space="preserve"> </w:t>
    </w:r>
    <w:r w:rsidR="005C2217">
      <w:rPr>
        <w:b/>
        <w:spacing w:val="-2"/>
      </w:rPr>
      <w:t>16-910</w:t>
    </w:r>
  </w:p>
  <w:p w14:paraId="117692B0" w14:textId="77777777" w:rsidR="008E31AD" w:rsidRPr="00F60397" w:rsidRDefault="008E31AD" w:rsidP="008E31AD">
    <w:pPr>
      <w:tabs>
        <w:tab w:val="center" w:pos="4680"/>
        <w:tab w:val="right" w:pos="9360"/>
      </w:tabs>
    </w:pPr>
  </w:p>
  <w:p w14:paraId="117692B1"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AC712" w14:textId="77777777" w:rsidR="00680CCD" w:rsidRPr="00E325F7" w:rsidRDefault="00680CCD" w:rsidP="00680CCD">
    <w:pPr>
      <w:pStyle w:val="Header"/>
      <w:rPr>
        <w:highlight w:val="yellow"/>
      </w:rPr>
    </w:pPr>
    <w:r w:rsidRPr="00E325F7">
      <w:rPr>
        <w:highlight w:val="yellow"/>
      </w:rPr>
      <w:t>DRAFT:</w:t>
    </w:r>
  </w:p>
  <w:p w14:paraId="4D6D8A2D" w14:textId="77A551E7" w:rsidR="00680CCD" w:rsidRPr="00680CCD" w:rsidRDefault="00680CCD" w:rsidP="00680CCD">
    <w:pPr>
      <w:widowControl/>
      <w:autoSpaceDE w:val="0"/>
      <w:autoSpaceDN w:val="0"/>
      <w:adjustRightInd w:val="0"/>
      <w:rPr>
        <w:kern w:val="0"/>
        <w:szCs w:val="22"/>
      </w:rPr>
    </w:pPr>
    <w:r w:rsidRPr="00E325F7">
      <w:rPr>
        <w:kern w:val="0"/>
        <w:szCs w:val="22"/>
        <w:highlight w:val="yellow"/>
      </w:rPr>
      <w:t>NONPUBLIC, CONFIDENTIAL, HIGHLY SENSITIVE LAW ENFORCEMENT INFORMATION.</w:t>
    </w:r>
  </w:p>
  <w:p w14:paraId="117692B9" w14:textId="375B3195" w:rsidR="008E31AD" w:rsidRPr="00F60397" w:rsidRDefault="008E31AD" w:rsidP="008E31AD">
    <w:pPr>
      <w:tabs>
        <w:tab w:val="center" w:pos="4680"/>
        <w:tab w:val="right" w:pos="9360"/>
      </w:tabs>
    </w:pPr>
    <w:r>
      <w:rPr>
        <w:b/>
        <w:noProof/>
      </w:rPr>
      <mc:AlternateContent>
        <mc:Choice Requires="wps">
          <w:drawing>
            <wp:anchor distT="0" distB="0" distL="114300" distR="114300" simplePos="0" relativeHeight="251663360" behindDoc="1" locked="0" layoutInCell="0" allowOverlap="1" wp14:anchorId="117692BE" wp14:editId="117692BF">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4F5F08DF"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F60397">
      <w:rPr>
        <w:b/>
      </w:rPr>
      <w:tab/>
      <w:t>Federal Communications Commission</w:t>
    </w:r>
    <w:r w:rsidRPr="00F60397">
      <w:rPr>
        <w:b/>
      </w:rPr>
      <w:tab/>
    </w:r>
    <w:r w:rsidRPr="00680CCD">
      <w:rPr>
        <w:b/>
        <w:spacing w:val="-2"/>
        <w:highlight w:val="yellow"/>
      </w:rPr>
      <w:t>DA</w:t>
    </w:r>
    <w:r w:rsidR="00A579AA" w:rsidRPr="00680CCD">
      <w:rPr>
        <w:b/>
        <w:spacing w:val="-2"/>
        <w:highlight w:val="yellow"/>
      </w:rPr>
      <w:t xml:space="preserve"> </w:t>
    </w:r>
    <w:r w:rsidR="00680CCD" w:rsidRPr="00680CCD">
      <w:rPr>
        <w:b/>
        <w:spacing w:val="-2"/>
        <w:highlight w:val="yellow"/>
      </w:rPr>
      <w:t>XX-XXX</w:t>
    </w:r>
  </w:p>
  <w:p w14:paraId="117692BA"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89D"/>
    <w:rsid w:val="00000C6C"/>
    <w:rsid w:val="00000D69"/>
    <w:rsid w:val="00001606"/>
    <w:rsid w:val="00001F91"/>
    <w:rsid w:val="000021A3"/>
    <w:rsid w:val="00006096"/>
    <w:rsid w:val="00006B8F"/>
    <w:rsid w:val="0000715C"/>
    <w:rsid w:val="0001067E"/>
    <w:rsid w:val="00011FC8"/>
    <w:rsid w:val="00012592"/>
    <w:rsid w:val="0001259D"/>
    <w:rsid w:val="000136FB"/>
    <w:rsid w:val="00015D7C"/>
    <w:rsid w:val="00016218"/>
    <w:rsid w:val="00016BFB"/>
    <w:rsid w:val="0001758D"/>
    <w:rsid w:val="000221BE"/>
    <w:rsid w:val="000239E9"/>
    <w:rsid w:val="00024160"/>
    <w:rsid w:val="00024D51"/>
    <w:rsid w:val="00026F3F"/>
    <w:rsid w:val="00031191"/>
    <w:rsid w:val="0003276C"/>
    <w:rsid w:val="00033A7A"/>
    <w:rsid w:val="00033F34"/>
    <w:rsid w:val="00035B08"/>
    <w:rsid w:val="00036451"/>
    <w:rsid w:val="00040C91"/>
    <w:rsid w:val="000412F0"/>
    <w:rsid w:val="000413FE"/>
    <w:rsid w:val="00041435"/>
    <w:rsid w:val="0004206A"/>
    <w:rsid w:val="00042E52"/>
    <w:rsid w:val="000430C1"/>
    <w:rsid w:val="00043610"/>
    <w:rsid w:val="00043BB1"/>
    <w:rsid w:val="00043C5E"/>
    <w:rsid w:val="000457E5"/>
    <w:rsid w:val="00045A25"/>
    <w:rsid w:val="000475FE"/>
    <w:rsid w:val="00047C22"/>
    <w:rsid w:val="000509A9"/>
    <w:rsid w:val="00051FC4"/>
    <w:rsid w:val="0005414F"/>
    <w:rsid w:val="0005514C"/>
    <w:rsid w:val="00060BD6"/>
    <w:rsid w:val="00061700"/>
    <w:rsid w:val="00062A97"/>
    <w:rsid w:val="00062C72"/>
    <w:rsid w:val="0006340A"/>
    <w:rsid w:val="00064C65"/>
    <w:rsid w:val="00066DE3"/>
    <w:rsid w:val="00067DA4"/>
    <w:rsid w:val="0007102F"/>
    <w:rsid w:val="00074123"/>
    <w:rsid w:val="000767B1"/>
    <w:rsid w:val="00077222"/>
    <w:rsid w:val="00083739"/>
    <w:rsid w:val="00084F62"/>
    <w:rsid w:val="0008593B"/>
    <w:rsid w:val="00085B65"/>
    <w:rsid w:val="00086C04"/>
    <w:rsid w:val="0008793B"/>
    <w:rsid w:val="000907C9"/>
    <w:rsid w:val="00092A66"/>
    <w:rsid w:val="00092BAB"/>
    <w:rsid w:val="00092BF2"/>
    <w:rsid w:val="00095CB5"/>
    <w:rsid w:val="000973EC"/>
    <w:rsid w:val="00097E37"/>
    <w:rsid w:val="000A02F1"/>
    <w:rsid w:val="000A0708"/>
    <w:rsid w:val="000A1455"/>
    <w:rsid w:val="000A2104"/>
    <w:rsid w:val="000A2577"/>
    <w:rsid w:val="000A3027"/>
    <w:rsid w:val="000A4B2B"/>
    <w:rsid w:val="000A633B"/>
    <w:rsid w:val="000A65A9"/>
    <w:rsid w:val="000A72EB"/>
    <w:rsid w:val="000A78F3"/>
    <w:rsid w:val="000B39A3"/>
    <w:rsid w:val="000B5FAA"/>
    <w:rsid w:val="000B6354"/>
    <w:rsid w:val="000B74EE"/>
    <w:rsid w:val="000C03A5"/>
    <w:rsid w:val="000C1279"/>
    <w:rsid w:val="000C4417"/>
    <w:rsid w:val="000C6E17"/>
    <w:rsid w:val="000C6E40"/>
    <w:rsid w:val="000D3BEE"/>
    <w:rsid w:val="000D5664"/>
    <w:rsid w:val="000D5CEF"/>
    <w:rsid w:val="000E0BD7"/>
    <w:rsid w:val="000E5985"/>
    <w:rsid w:val="000E68AF"/>
    <w:rsid w:val="000E71A8"/>
    <w:rsid w:val="000F13B3"/>
    <w:rsid w:val="000F1523"/>
    <w:rsid w:val="000F1FEB"/>
    <w:rsid w:val="000F22A2"/>
    <w:rsid w:val="000F41D6"/>
    <w:rsid w:val="000F438B"/>
    <w:rsid w:val="000F7062"/>
    <w:rsid w:val="000F7572"/>
    <w:rsid w:val="001002A6"/>
    <w:rsid w:val="00102B12"/>
    <w:rsid w:val="001056BA"/>
    <w:rsid w:val="00106C96"/>
    <w:rsid w:val="00110261"/>
    <w:rsid w:val="00111A21"/>
    <w:rsid w:val="00113784"/>
    <w:rsid w:val="00113BC4"/>
    <w:rsid w:val="0011521D"/>
    <w:rsid w:val="00116FE5"/>
    <w:rsid w:val="001175F9"/>
    <w:rsid w:val="00122A8F"/>
    <w:rsid w:val="00122B8F"/>
    <w:rsid w:val="00125A79"/>
    <w:rsid w:val="0013283B"/>
    <w:rsid w:val="001336C6"/>
    <w:rsid w:val="0013442B"/>
    <w:rsid w:val="001351C9"/>
    <w:rsid w:val="00135207"/>
    <w:rsid w:val="001353CD"/>
    <w:rsid w:val="001374F2"/>
    <w:rsid w:val="001374F8"/>
    <w:rsid w:val="0013785B"/>
    <w:rsid w:val="00137BCF"/>
    <w:rsid w:val="00137CA5"/>
    <w:rsid w:val="001422A3"/>
    <w:rsid w:val="001435D9"/>
    <w:rsid w:val="0014680D"/>
    <w:rsid w:val="00147E08"/>
    <w:rsid w:val="001541D3"/>
    <w:rsid w:val="00155691"/>
    <w:rsid w:val="00155D7C"/>
    <w:rsid w:val="001564D8"/>
    <w:rsid w:val="001602AA"/>
    <w:rsid w:val="001612A4"/>
    <w:rsid w:val="00161B26"/>
    <w:rsid w:val="00162CC6"/>
    <w:rsid w:val="001643B3"/>
    <w:rsid w:val="00172229"/>
    <w:rsid w:val="00172372"/>
    <w:rsid w:val="00172896"/>
    <w:rsid w:val="00175520"/>
    <w:rsid w:val="001765F1"/>
    <w:rsid w:val="00176A91"/>
    <w:rsid w:val="001778DD"/>
    <w:rsid w:val="001800A4"/>
    <w:rsid w:val="00180FE4"/>
    <w:rsid w:val="00182136"/>
    <w:rsid w:val="0018584A"/>
    <w:rsid w:val="00186025"/>
    <w:rsid w:val="0018718B"/>
    <w:rsid w:val="001910A2"/>
    <w:rsid w:val="001920F1"/>
    <w:rsid w:val="00193065"/>
    <w:rsid w:val="00194247"/>
    <w:rsid w:val="001943DF"/>
    <w:rsid w:val="00196363"/>
    <w:rsid w:val="001A0171"/>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432B"/>
    <w:rsid w:val="001D43E1"/>
    <w:rsid w:val="001D7847"/>
    <w:rsid w:val="001E0AD2"/>
    <w:rsid w:val="001E218B"/>
    <w:rsid w:val="001E3C95"/>
    <w:rsid w:val="001E491B"/>
    <w:rsid w:val="001E49F9"/>
    <w:rsid w:val="001E5C37"/>
    <w:rsid w:val="001E621A"/>
    <w:rsid w:val="001F0F03"/>
    <w:rsid w:val="001F1B76"/>
    <w:rsid w:val="001F364A"/>
    <w:rsid w:val="001F39AA"/>
    <w:rsid w:val="001F4FEC"/>
    <w:rsid w:val="001F6575"/>
    <w:rsid w:val="001F7A78"/>
    <w:rsid w:val="0020014C"/>
    <w:rsid w:val="002015F6"/>
    <w:rsid w:val="002036AA"/>
    <w:rsid w:val="002044D7"/>
    <w:rsid w:val="00204AA0"/>
    <w:rsid w:val="002051C3"/>
    <w:rsid w:val="0020572D"/>
    <w:rsid w:val="00207552"/>
    <w:rsid w:val="00210084"/>
    <w:rsid w:val="002112B7"/>
    <w:rsid w:val="002119D0"/>
    <w:rsid w:val="00211A06"/>
    <w:rsid w:val="0021431B"/>
    <w:rsid w:val="00215996"/>
    <w:rsid w:val="00215F06"/>
    <w:rsid w:val="0022442C"/>
    <w:rsid w:val="002253BF"/>
    <w:rsid w:val="00226DB0"/>
    <w:rsid w:val="002302F1"/>
    <w:rsid w:val="00232003"/>
    <w:rsid w:val="00232BF1"/>
    <w:rsid w:val="0023346D"/>
    <w:rsid w:val="002341EF"/>
    <w:rsid w:val="00237E00"/>
    <w:rsid w:val="00240808"/>
    <w:rsid w:val="00242FE3"/>
    <w:rsid w:val="002431CE"/>
    <w:rsid w:val="00246DD3"/>
    <w:rsid w:val="00247671"/>
    <w:rsid w:val="00247B22"/>
    <w:rsid w:val="0025179A"/>
    <w:rsid w:val="00253BA7"/>
    <w:rsid w:val="00254133"/>
    <w:rsid w:val="00255A78"/>
    <w:rsid w:val="00255F9B"/>
    <w:rsid w:val="0025762A"/>
    <w:rsid w:val="00260BE8"/>
    <w:rsid w:val="00261662"/>
    <w:rsid w:val="002617F1"/>
    <w:rsid w:val="002639F4"/>
    <w:rsid w:val="00264929"/>
    <w:rsid w:val="002661C4"/>
    <w:rsid w:val="00271CED"/>
    <w:rsid w:val="00271E9B"/>
    <w:rsid w:val="00272D8B"/>
    <w:rsid w:val="00273871"/>
    <w:rsid w:val="0027444B"/>
    <w:rsid w:val="002754BC"/>
    <w:rsid w:val="00277A4F"/>
    <w:rsid w:val="00282EB3"/>
    <w:rsid w:val="002849B2"/>
    <w:rsid w:val="00285BAA"/>
    <w:rsid w:val="00286303"/>
    <w:rsid w:val="002876EA"/>
    <w:rsid w:val="002911F1"/>
    <w:rsid w:val="0029239D"/>
    <w:rsid w:val="0029779F"/>
    <w:rsid w:val="00297E39"/>
    <w:rsid w:val="002A20E8"/>
    <w:rsid w:val="002A3CC7"/>
    <w:rsid w:val="002A63EC"/>
    <w:rsid w:val="002A7EC5"/>
    <w:rsid w:val="002B1030"/>
    <w:rsid w:val="002B1319"/>
    <w:rsid w:val="002B1988"/>
    <w:rsid w:val="002B1E31"/>
    <w:rsid w:val="002B3B4C"/>
    <w:rsid w:val="002B466B"/>
    <w:rsid w:val="002C06AA"/>
    <w:rsid w:val="002C2BE6"/>
    <w:rsid w:val="002C312D"/>
    <w:rsid w:val="002C3A39"/>
    <w:rsid w:val="002C52BE"/>
    <w:rsid w:val="002D060D"/>
    <w:rsid w:val="002D27F9"/>
    <w:rsid w:val="002D3ABE"/>
    <w:rsid w:val="002D3C7E"/>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38CD"/>
    <w:rsid w:val="00304C38"/>
    <w:rsid w:val="0030580D"/>
    <w:rsid w:val="00306D54"/>
    <w:rsid w:val="00311405"/>
    <w:rsid w:val="00312745"/>
    <w:rsid w:val="00313368"/>
    <w:rsid w:val="0031443E"/>
    <w:rsid w:val="003158D5"/>
    <w:rsid w:val="003166ED"/>
    <w:rsid w:val="00316B38"/>
    <w:rsid w:val="00322349"/>
    <w:rsid w:val="0032470E"/>
    <w:rsid w:val="00325F30"/>
    <w:rsid w:val="003265AD"/>
    <w:rsid w:val="0032692E"/>
    <w:rsid w:val="00326D27"/>
    <w:rsid w:val="00330752"/>
    <w:rsid w:val="003313D1"/>
    <w:rsid w:val="00331406"/>
    <w:rsid w:val="003338F9"/>
    <w:rsid w:val="003341E5"/>
    <w:rsid w:val="00334450"/>
    <w:rsid w:val="00334897"/>
    <w:rsid w:val="00334B6A"/>
    <w:rsid w:val="0033657D"/>
    <w:rsid w:val="003369FE"/>
    <w:rsid w:val="003378A2"/>
    <w:rsid w:val="00337D00"/>
    <w:rsid w:val="00337EC9"/>
    <w:rsid w:val="003406F3"/>
    <w:rsid w:val="00341019"/>
    <w:rsid w:val="00341F54"/>
    <w:rsid w:val="00343CF0"/>
    <w:rsid w:val="0034556B"/>
    <w:rsid w:val="00345B92"/>
    <w:rsid w:val="00346729"/>
    <w:rsid w:val="0034725C"/>
    <w:rsid w:val="003479EB"/>
    <w:rsid w:val="00350E1C"/>
    <w:rsid w:val="00351997"/>
    <w:rsid w:val="003540E3"/>
    <w:rsid w:val="00354FD5"/>
    <w:rsid w:val="00357475"/>
    <w:rsid w:val="003614A8"/>
    <w:rsid w:val="00361819"/>
    <w:rsid w:val="00361F4C"/>
    <w:rsid w:val="003623FE"/>
    <w:rsid w:val="00363099"/>
    <w:rsid w:val="00364E03"/>
    <w:rsid w:val="00365439"/>
    <w:rsid w:val="00365C26"/>
    <w:rsid w:val="00370575"/>
    <w:rsid w:val="0037259E"/>
    <w:rsid w:val="00373E08"/>
    <w:rsid w:val="00375EA1"/>
    <w:rsid w:val="00377485"/>
    <w:rsid w:val="003814CE"/>
    <w:rsid w:val="00381549"/>
    <w:rsid w:val="0038376A"/>
    <w:rsid w:val="00384B8B"/>
    <w:rsid w:val="00387B6A"/>
    <w:rsid w:val="00390031"/>
    <w:rsid w:val="00390587"/>
    <w:rsid w:val="003928DB"/>
    <w:rsid w:val="003932C4"/>
    <w:rsid w:val="00395E9D"/>
    <w:rsid w:val="003975A7"/>
    <w:rsid w:val="003A01A5"/>
    <w:rsid w:val="003A2B87"/>
    <w:rsid w:val="003A3B45"/>
    <w:rsid w:val="003A502F"/>
    <w:rsid w:val="003B1761"/>
    <w:rsid w:val="003B1A70"/>
    <w:rsid w:val="003B30EF"/>
    <w:rsid w:val="003B3D25"/>
    <w:rsid w:val="003B5704"/>
    <w:rsid w:val="003B67C1"/>
    <w:rsid w:val="003B7B5A"/>
    <w:rsid w:val="003C1758"/>
    <w:rsid w:val="003C41A0"/>
    <w:rsid w:val="003C4A20"/>
    <w:rsid w:val="003C50D2"/>
    <w:rsid w:val="003C5824"/>
    <w:rsid w:val="003D3528"/>
    <w:rsid w:val="003D47BD"/>
    <w:rsid w:val="003D5E5D"/>
    <w:rsid w:val="003D66C7"/>
    <w:rsid w:val="003E11E1"/>
    <w:rsid w:val="003E48ED"/>
    <w:rsid w:val="003E6415"/>
    <w:rsid w:val="003E78BF"/>
    <w:rsid w:val="003F0EE6"/>
    <w:rsid w:val="003F1DE8"/>
    <w:rsid w:val="003F2994"/>
    <w:rsid w:val="003F2B5A"/>
    <w:rsid w:val="003F2E86"/>
    <w:rsid w:val="003F342B"/>
    <w:rsid w:val="003F541B"/>
    <w:rsid w:val="00400BD1"/>
    <w:rsid w:val="00401498"/>
    <w:rsid w:val="00402BD1"/>
    <w:rsid w:val="004030FE"/>
    <w:rsid w:val="00405E90"/>
    <w:rsid w:val="0041264B"/>
    <w:rsid w:val="004131EA"/>
    <w:rsid w:val="00413C25"/>
    <w:rsid w:val="00415029"/>
    <w:rsid w:val="004172C6"/>
    <w:rsid w:val="004223B8"/>
    <w:rsid w:val="004224B9"/>
    <w:rsid w:val="00422B4E"/>
    <w:rsid w:val="00422D6A"/>
    <w:rsid w:val="00424852"/>
    <w:rsid w:val="00424AF6"/>
    <w:rsid w:val="00424D63"/>
    <w:rsid w:val="00424DE6"/>
    <w:rsid w:val="0042500E"/>
    <w:rsid w:val="00425CFE"/>
    <w:rsid w:val="00427B10"/>
    <w:rsid w:val="00430B7E"/>
    <w:rsid w:val="00433850"/>
    <w:rsid w:val="00434021"/>
    <w:rsid w:val="0043465D"/>
    <w:rsid w:val="00435FED"/>
    <w:rsid w:val="00437590"/>
    <w:rsid w:val="00437D5A"/>
    <w:rsid w:val="004412B4"/>
    <w:rsid w:val="004413D7"/>
    <w:rsid w:val="004428AB"/>
    <w:rsid w:val="00445065"/>
    <w:rsid w:val="004453EA"/>
    <w:rsid w:val="0044579A"/>
    <w:rsid w:val="0044645C"/>
    <w:rsid w:val="00451BB9"/>
    <w:rsid w:val="00451C2B"/>
    <w:rsid w:val="00451ED2"/>
    <w:rsid w:val="00452E33"/>
    <w:rsid w:val="00452E98"/>
    <w:rsid w:val="00453865"/>
    <w:rsid w:val="00453C5F"/>
    <w:rsid w:val="00454880"/>
    <w:rsid w:val="00460EC0"/>
    <w:rsid w:val="0046108A"/>
    <w:rsid w:val="0046348E"/>
    <w:rsid w:val="004648B7"/>
    <w:rsid w:val="004710E7"/>
    <w:rsid w:val="00471223"/>
    <w:rsid w:val="00471C5B"/>
    <w:rsid w:val="00472A05"/>
    <w:rsid w:val="00472A67"/>
    <w:rsid w:val="0047487B"/>
    <w:rsid w:val="00474D14"/>
    <w:rsid w:val="00475713"/>
    <w:rsid w:val="00475EFA"/>
    <w:rsid w:val="00482171"/>
    <w:rsid w:val="004863AC"/>
    <w:rsid w:val="00487CDC"/>
    <w:rsid w:val="00491064"/>
    <w:rsid w:val="004914B7"/>
    <w:rsid w:val="00495EF1"/>
    <w:rsid w:val="00496C73"/>
    <w:rsid w:val="004973E2"/>
    <w:rsid w:val="004A2300"/>
    <w:rsid w:val="004A53C2"/>
    <w:rsid w:val="004A54AD"/>
    <w:rsid w:val="004B0789"/>
    <w:rsid w:val="004B1AC9"/>
    <w:rsid w:val="004B1EF9"/>
    <w:rsid w:val="004B3DE7"/>
    <w:rsid w:val="004B5076"/>
    <w:rsid w:val="004B5722"/>
    <w:rsid w:val="004B5A79"/>
    <w:rsid w:val="004B6030"/>
    <w:rsid w:val="004B6CE3"/>
    <w:rsid w:val="004B6E9D"/>
    <w:rsid w:val="004C04B0"/>
    <w:rsid w:val="004C0B15"/>
    <w:rsid w:val="004C1059"/>
    <w:rsid w:val="004C292D"/>
    <w:rsid w:val="004C7877"/>
    <w:rsid w:val="004D75AA"/>
    <w:rsid w:val="004D7C66"/>
    <w:rsid w:val="004E019C"/>
    <w:rsid w:val="004E09A2"/>
    <w:rsid w:val="004E0DB5"/>
    <w:rsid w:val="004E20EC"/>
    <w:rsid w:val="004E42E2"/>
    <w:rsid w:val="004E5204"/>
    <w:rsid w:val="004E6544"/>
    <w:rsid w:val="004E78B9"/>
    <w:rsid w:val="004F02E0"/>
    <w:rsid w:val="004F2ECD"/>
    <w:rsid w:val="004F3251"/>
    <w:rsid w:val="004F5693"/>
    <w:rsid w:val="004F5A94"/>
    <w:rsid w:val="004F62E8"/>
    <w:rsid w:val="004F6B80"/>
    <w:rsid w:val="004F7CAE"/>
    <w:rsid w:val="00500F04"/>
    <w:rsid w:val="0050166C"/>
    <w:rsid w:val="00503DCB"/>
    <w:rsid w:val="00504785"/>
    <w:rsid w:val="00506DEC"/>
    <w:rsid w:val="005119BA"/>
    <w:rsid w:val="005126EA"/>
    <w:rsid w:val="0051347C"/>
    <w:rsid w:val="005142AD"/>
    <w:rsid w:val="00514A5B"/>
    <w:rsid w:val="00514B32"/>
    <w:rsid w:val="005155B5"/>
    <w:rsid w:val="0051631C"/>
    <w:rsid w:val="005169D4"/>
    <w:rsid w:val="00521311"/>
    <w:rsid w:val="0052262B"/>
    <w:rsid w:val="0052272D"/>
    <w:rsid w:val="00522E0F"/>
    <w:rsid w:val="00524BE1"/>
    <w:rsid w:val="00527DF5"/>
    <w:rsid w:val="00530541"/>
    <w:rsid w:val="005322EB"/>
    <w:rsid w:val="00532A3F"/>
    <w:rsid w:val="00532C8B"/>
    <w:rsid w:val="0053346D"/>
    <w:rsid w:val="005336CC"/>
    <w:rsid w:val="005339B8"/>
    <w:rsid w:val="005343A9"/>
    <w:rsid w:val="00535B60"/>
    <w:rsid w:val="00537303"/>
    <w:rsid w:val="00537DB1"/>
    <w:rsid w:val="00537DB9"/>
    <w:rsid w:val="0054001D"/>
    <w:rsid w:val="0054103D"/>
    <w:rsid w:val="005413C8"/>
    <w:rsid w:val="00541EEA"/>
    <w:rsid w:val="00544B2F"/>
    <w:rsid w:val="005468DC"/>
    <w:rsid w:val="00547CE4"/>
    <w:rsid w:val="00553DA2"/>
    <w:rsid w:val="00554736"/>
    <w:rsid w:val="00555BCF"/>
    <w:rsid w:val="00556621"/>
    <w:rsid w:val="00556E17"/>
    <w:rsid w:val="005572E3"/>
    <w:rsid w:val="00560E8B"/>
    <w:rsid w:val="0056323D"/>
    <w:rsid w:val="0056454B"/>
    <w:rsid w:val="00564650"/>
    <w:rsid w:val="00567BD9"/>
    <w:rsid w:val="00567CAD"/>
    <w:rsid w:val="00567D61"/>
    <w:rsid w:val="00567F30"/>
    <w:rsid w:val="0057007F"/>
    <w:rsid w:val="00570CDA"/>
    <w:rsid w:val="00575313"/>
    <w:rsid w:val="005758D8"/>
    <w:rsid w:val="00576CDA"/>
    <w:rsid w:val="0057714E"/>
    <w:rsid w:val="00577295"/>
    <w:rsid w:val="0057772C"/>
    <w:rsid w:val="005779C9"/>
    <w:rsid w:val="005816FB"/>
    <w:rsid w:val="0058232C"/>
    <w:rsid w:val="00583524"/>
    <w:rsid w:val="00584805"/>
    <w:rsid w:val="00585DC5"/>
    <w:rsid w:val="00586491"/>
    <w:rsid w:val="00586F37"/>
    <w:rsid w:val="00586F83"/>
    <w:rsid w:val="00587FE4"/>
    <w:rsid w:val="00590221"/>
    <w:rsid w:val="005922F2"/>
    <w:rsid w:val="00593132"/>
    <w:rsid w:val="00593AF2"/>
    <w:rsid w:val="00595DC2"/>
    <w:rsid w:val="00596580"/>
    <w:rsid w:val="005A027A"/>
    <w:rsid w:val="005A3373"/>
    <w:rsid w:val="005A730E"/>
    <w:rsid w:val="005A7DBA"/>
    <w:rsid w:val="005A7E20"/>
    <w:rsid w:val="005B0002"/>
    <w:rsid w:val="005B1525"/>
    <w:rsid w:val="005B56F7"/>
    <w:rsid w:val="005B5DC3"/>
    <w:rsid w:val="005B73F0"/>
    <w:rsid w:val="005B783E"/>
    <w:rsid w:val="005C2217"/>
    <w:rsid w:val="005C314E"/>
    <w:rsid w:val="005C4CE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E7D42"/>
    <w:rsid w:val="005F0833"/>
    <w:rsid w:val="005F1650"/>
    <w:rsid w:val="005F177D"/>
    <w:rsid w:val="005F4E17"/>
    <w:rsid w:val="005F7236"/>
    <w:rsid w:val="00601C05"/>
    <w:rsid w:val="00602A48"/>
    <w:rsid w:val="00603565"/>
    <w:rsid w:val="00604176"/>
    <w:rsid w:val="006043BA"/>
    <w:rsid w:val="0060454B"/>
    <w:rsid w:val="00605611"/>
    <w:rsid w:val="006060D4"/>
    <w:rsid w:val="006065B6"/>
    <w:rsid w:val="00606643"/>
    <w:rsid w:val="00610FDD"/>
    <w:rsid w:val="006133A9"/>
    <w:rsid w:val="00614501"/>
    <w:rsid w:val="00615197"/>
    <w:rsid w:val="00616460"/>
    <w:rsid w:val="00616B9F"/>
    <w:rsid w:val="00617CE3"/>
    <w:rsid w:val="0062032D"/>
    <w:rsid w:val="00623AC8"/>
    <w:rsid w:val="00623D18"/>
    <w:rsid w:val="00623FB8"/>
    <w:rsid w:val="006257F6"/>
    <w:rsid w:val="006300A4"/>
    <w:rsid w:val="00630C96"/>
    <w:rsid w:val="006315CC"/>
    <w:rsid w:val="006327BD"/>
    <w:rsid w:val="006332BD"/>
    <w:rsid w:val="00637674"/>
    <w:rsid w:val="00641561"/>
    <w:rsid w:val="00641648"/>
    <w:rsid w:val="006418FA"/>
    <w:rsid w:val="0064199A"/>
    <w:rsid w:val="00641DE6"/>
    <w:rsid w:val="00644DCE"/>
    <w:rsid w:val="0064676C"/>
    <w:rsid w:val="00647661"/>
    <w:rsid w:val="0064768F"/>
    <w:rsid w:val="00647E1D"/>
    <w:rsid w:val="00647E8E"/>
    <w:rsid w:val="0065280A"/>
    <w:rsid w:val="00652F84"/>
    <w:rsid w:val="006571C2"/>
    <w:rsid w:val="00657EC9"/>
    <w:rsid w:val="00660ADE"/>
    <w:rsid w:val="00660E8B"/>
    <w:rsid w:val="006623FB"/>
    <w:rsid w:val="00662A3F"/>
    <w:rsid w:val="0066517F"/>
    <w:rsid w:val="00665594"/>
    <w:rsid w:val="00665EB6"/>
    <w:rsid w:val="00666B0A"/>
    <w:rsid w:val="00666CF4"/>
    <w:rsid w:val="0066746E"/>
    <w:rsid w:val="0067016D"/>
    <w:rsid w:val="0067028A"/>
    <w:rsid w:val="0067177B"/>
    <w:rsid w:val="00673330"/>
    <w:rsid w:val="00674B2D"/>
    <w:rsid w:val="006765F1"/>
    <w:rsid w:val="006803FC"/>
    <w:rsid w:val="00680CCD"/>
    <w:rsid w:val="00680CF6"/>
    <w:rsid w:val="006810AF"/>
    <w:rsid w:val="006814A2"/>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2A1C"/>
    <w:rsid w:val="006A3742"/>
    <w:rsid w:val="006A4F86"/>
    <w:rsid w:val="006A7BE3"/>
    <w:rsid w:val="006B037D"/>
    <w:rsid w:val="006B0ABC"/>
    <w:rsid w:val="006B3B51"/>
    <w:rsid w:val="006B3C68"/>
    <w:rsid w:val="006B5691"/>
    <w:rsid w:val="006B5BB2"/>
    <w:rsid w:val="006C14DF"/>
    <w:rsid w:val="006C167B"/>
    <w:rsid w:val="006C16A3"/>
    <w:rsid w:val="006C2C68"/>
    <w:rsid w:val="006C2FC9"/>
    <w:rsid w:val="006C3F1D"/>
    <w:rsid w:val="006C48E3"/>
    <w:rsid w:val="006D1130"/>
    <w:rsid w:val="006D42B7"/>
    <w:rsid w:val="006D54AE"/>
    <w:rsid w:val="006E22DC"/>
    <w:rsid w:val="006E2E30"/>
    <w:rsid w:val="006E3F36"/>
    <w:rsid w:val="006E4C66"/>
    <w:rsid w:val="006E4D54"/>
    <w:rsid w:val="006F1B3B"/>
    <w:rsid w:val="006F2ECE"/>
    <w:rsid w:val="006F44FE"/>
    <w:rsid w:val="006F5B75"/>
    <w:rsid w:val="006F5F9A"/>
    <w:rsid w:val="006F7CFB"/>
    <w:rsid w:val="0070072B"/>
    <w:rsid w:val="00703540"/>
    <w:rsid w:val="007036B7"/>
    <w:rsid w:val="00703EFC"/>
    <w:rsid w:val="00705175"/>
    <w:rsid w:val="00705182"/>
    <w:rsid w:val="00705CB9"/>
    <w:rsid w:val="00706255"/>
    <w:rsid w:val="007066D0"/>
    <w:rsid w:val="007067C7"/>
    <w:rsid w:val="00706CCD"/>
    <w:rsid w:val="00710EFA"/>
    <w:rsid w:val="00712EEE"/>
    <w:rsid w:val="007144B3"/>
    <w:rsid w:val="0072021C"/>
    <w:rsid w:val="00720558"/>
    <w:rsid w:val="00722503"/>
    <w:rsid w:val="00723F01"/>
    <w:rsid w:val="00724437"/>
    <w:rsid w:val="0072689A"/>
    <w:rsid w:val="00726FD8"/>
    <w:rsid w:val="00727B22"/>
    <w:rsid w:val="0073075A"/>
    <w:rsid w:val="007327A5"/>
    <w:rsid w:val="00736AFD"/>
    <w:rsid w:val="00737691"/>
    <w:rsid w:val="00737B49"/>
    <w:rsid w:val="0074048B"/>
    <w:rsid w:val="00742779"/>
    <w:rsid w:val="00742889"/>
    <w:rsid w:val="007452AD"/>
    <w:rsid w:val="0074545F"/>
    <w:rsid w:val="00745C7C"/>
    <w:rsid w:val="00747FFC"/>
    <w:rsid w:val="007509F9"/>
    <w:rsid w:val="00752092"/>
    <w:rsid w:val="0075283E"/>
    <w:rsid w:val="0075306C"/>
    <w:rsid w:val="007534DB"/>
    <w:rsid w:val="007541CD"/>
    <w:rsid w:val="00755873"/>
    <w:rsid w:val="00755FE2"/>
    <w:rsid w:val="00757398"/>
    <w:rsid w:val="007614CE"/>
    <w:rsid w:val="00763A82"/>
    <w:rsid w:val="00764D7C"/>
    <w:rsid w:val="00765361"/>
    <w:rsid w:val="00765D8A"/>
    <w:rsid w:val="00766684"/>
    <w:rsid w:val="00767D0B"/>
    <w:rsid w:val="00771D26"/>
    <w:rsid w:val="00772E30"/>
    <w:rsid w:val="007743C4"/>
    <w:rsid w:val="007755D2"/>
    <w:rsid w:val="007764E8"/>
    <w:rsid w:val="00780720"/>
    <w:rsid w:val="00781FF4"/>
    <w:rsid w:val="007840C1"/>
    <w:rsid w:val="00785376"/>
    <w:rsid w:val="007858B9"/>
    <w:rsid w:val="007858CB"/>
    <w:rsid w:val="007864EE"/>
    <w:rsid w:val="00787620"/>
    <w:rsid w:val="0078786B"/>
    <w:rsid w:val="00790620"/>
    <w:rsid w:val="00792027"/>
    <w:rsid w:val="00795B29"/>
    <w:rsid w:val="00795D27"/>
    <w:rsid w:val="00796CA3"/>
    <w:rsid w:val="007A0888"/>
    <w:rsid w:val="007A3E03"/>
    <w:rsid w:val="007A4F9B"/>
    <w:rsid w:val="007A5A51"/>
    <w:rsid w:val="007A5DD2"/>
    <w:rsid w:val="007A7EB6"/>
    <w:rsid w:val="007B20EE"/>
    <w:rsid w:val="007B2F69"/>
    <w:rsid w:val="007B3424"/>
    <w:rsid w:val="007B3B86"/>
    <w:rsid w:val="007B4AC3"/>
    <w:rsid w:val="007B754D"/>
    <w:rsid w:val="007C0BBA"/>
    <w:rsid w:val="007C0CA0"/>
    <w:rsid w:val="007C1F9C"/>
    <w:rsid w:val="007C2F15"/>
    <w:rsid w:val="007C3A62"/>
    <w:rsid w:val="007C3A92"/>
    <w:rsid w:val="007C446B"/>
    <w:rsid w:val="007C4891"/>
    <w:rsid w:val="007C5141"/>
    <w:rsid w:val="007D4BB3"/>
    <w:rsid w:val="007D662C"/>
    <w:rsid w:val="007D6DEC"/>
    <w:rsid w:val="007D7384"/>
    <w:rsid w:val="007E0794"/>
    <w:rsid w:val="007E3450"/>
    <w:rsid w:val="007E4549"/>
    <w:rsid w:val="007E62D6"/>
    <w:rsid w:val="007F1655"/>
    <w:rsid w:val="007F17B2"/>
    <w:rsid w:val="007F4F8B"/>
    <w:rsid w:val="007F683C"/>
    <w:rsid w:val="007F7D64"/>
    <w:rsid w:val="0080023B"/>
    <w:rsid w:val="00801B07"/>
    <w:rsid w:val="00803120"/>
    <w:rsid w:val="00807FED"/>
    <w:rsid w:val="0081222B"/>
    <w:rsid w:val="008127A8"/>
    <w:rsid w:val="008127D1"/>
    <w:rsid w:val="00814895"/>
    <w:rsid w:val="008149CC"/>
    <w:rsid w:val="00814A14"/>
    <w:rsid w:val="00815415"/>
    <w:rsid w:val="008208EC"/>
    <w:rsid w:val="00820B84"/>
    <w:rsid w:val="00823877"/>
    <w:rsid w:val="00824196"/>
    <w:rsid w:val="00826423"/>
    <w:rsid w:val="0082669E"/>
    <w:rsid w:val="008269DD"/>
    <w:rsid w:val="00830755"/>
    <w:rsid w:val="00831FDE"/>
    <w:rsid w:val="00834D3A"/>
    <w:rsid w:val="00836099"/>
    <w:rsid w:val="00836180"/>
    <w:rsid w:val="0083689A"/>
    <w:rsid w:val="008400AB"/>
    <w:rsid w:val="008422AD"/>
    <w:rsid w:val="0084468E"/>
    <w:rsid w:val="00845BF0"/>
    <w:rsid w:val="00845F71"/>
    <w:rsid w:val="00846283"/>
    <w:rsid w:val="00846C3D"/>
    <w:rsid w:val="0084768E"/>
    <w:rsid w:val="00847FB4"/>
    <w:rsid w:val="0085092B"/>
    <w:rsid w:val="00850C23"/>
    <w:rsid w:val="0085593E"/>
    <w:rsid w:val="00855F22"/>
    <w:rsid w:val="008577C9"/>
    <w:rsid w:val="00862439"/>
    <w:rsid w:val="008629F9"/>
    <w:rsid w:val="0086335B"/>
    <w:rsid w:val="00863418"/>
    <w:rsid w:val="008640E1"/>
    <w:rsid w:val="00865094"/>
    <w:rsid w:val="00866E03"/>
    <w:rsid w:val="00872507"/>
    <w:rsid w:val="00874165"/>
    <w:rsid w:val="008743C3"/>
    <w:rsid w:val="00877187"/>
    <w:rsid w:val="00877448"/>
    <w:rsid w:val="0088088D"/>
    <w:rsid w:val="00881769"/>
    <w:rsid w:val="00881D01"/>
    <w:rsid w:val="00882F22"/>
    <w:rsid w:val="00883C62"/>
    <w:rsid w:val="00885078"/>
    <w:rsid w:val="008908DB"/>
    <w:rsid w:val="0089257F"/>
    <w:rsid w:val="00894020"/>
    <w:rsid w:val="00894B8B"/>
    <w:rsid w:val="00896373"/>
    <w:rsid w:val="00896E2A"/>
    <w:rsid w:val="008A0341"/>
    <w:rsid w:val="008A070E"/>
    <w:rsid w:val="008A0F7A"/>
    <w:rsid w:val="008A1CCF"/>
    <w:rsid w:val="008A3AA7"/>
    <w:rsid w:val="008A4054"/>
    <w:rsid w:val="008A6E8C"/>
    <w:rsid w:val="008A7F41"/>
    <w:rsid w:val="008B08F6"/>
    <w:rsid w:val="008B098C"/>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56CC"/>
    <w:rsid w:val="008C6C4D"/>
    <w:rsid w:val="008C7EF1"/>
    <w:rsid w:val="008D1D4B"/>
    <w:rsid w:val="008D3CD4"/>
    <w:rsid w:val="008D4310"/>
    <w:rsid w:val="008D4952"/>
    <w:rsid w:val="008D5774"/>
    <w:rsid w:val="008D6044"/>
    <w:rsid w:val="008D6092"/>
    <w:rsid w:val="008D7919"/>
    <w:rsid w:val="008E2775"/>
    <w:rsid w:val="008E31AD"/>
    <w:rsid w:val="008E56D7"/>
    <w:rsid w:val="008E5E76"/>
    <w:rsid w:val="008E7466"/>
    <w:rsid w:val="008F1AD2"/>
    <w:rsid w:val="008F1ED7"/>
    <w:rsid w:val="008F21CC"/>
    <w:rsid w:val="008F4015"/>
    <w:rsid w:val="008F671A"/>
    <w:rsid w:val="008F6B03"/>
    <w:rsid w:val="008F6B27"/>
    <w:rsid w:val="00900593"/>
    <w:rsid w:val="00901083"/>
    <w:rsid w:val="00904F5B"/>
    <w:rsid w:val="00906BE7"/>
    <w:rsid w:val="00907688"/>
    <w:rsid w:val="009122C7"/>
    <w:rsid w:val="00913EA1"/>
    <w:rsid w:val="00915801"/>
    <w:rsid w:val="00921F64"/>
    <w:rsid w:val="00922DC6"/>
    <w:rsid w:val="00925FB0"/>
    <w:rsid w:val="00934084"/>
    <w:rsid w:val="00934A65"/>
    <w:rsid w:val="0093611D"/>
    <w:rsid w:val="0094095D"/>
    <w:rsid w:val="00941051"/>
    <w:rsid w:val="009420B0"/>
    <w:rsid w:val="00945F4D"/>
    <w:rsid w:val="009466B6"/>
    <w:rsid w:val="0094681D"/>
    <w:rsid w:val="00946EC0"/>
    <w:rsid w:val="009476ED"/>
    <w:rsid w:val="00947AE6"/>
    <w:rsid w:val="00950220"/>
    <w:rsid w:val="00951DE8"/>
    <w:rsid w:val="00953743"/>
    <w:rsid w:val="009547E5"/>
    <w:rsid w:val="00954FA7"/>
    <w:rsid w:val="0095625E"/>
    <w:rsid w:val="00956595"/>
    <w:rsid w:val="0096355B"/>
    <w:rsid w:val="00963BF9"/>
    <w:rsid w:val="009645E5"/>
    <w:rsid w:val="009656E8"/>
    <w:rsid w:val="00966BA9"/>
    <w:rsid w:val="00970E37"/>
    <w:rsid w:val="00970F5E"/>
    <w:rsid w:val="009752A0"/>
    <w:rsid w:val="00975A85"/>
    <w:rsid w:val="0097654D"/>
    <w:rsid w:val="0097675F"/>
    <w:rsid w:val="009776AB"/>
    <w:rsid w:val="0098034E"/>
    <w:rsid w:val="00981228"/>
    <w:rsid w:val="00981B70"/>
    <w:rsid w:val="00981F23"/>
    <w:rsid w:val="0098205B"/>
    <w:rsid w:val="00982C5A"/>
    <w:rsid w:val="009830F7"/>
    <w:rsid w:val="00983A6A"/>
    <w:rsid w:val="00983BD1"/>
    <w:rsid w:val="00984CAF"/>
    <w:rsid w:val="00987969"/>
    <w:rsid w:val="00987C33"/>
    <w:rsid w:val="00990B34"/>
    <w:rsid w:val="00991553"/>
    <w:rsid w:val="00991F95"/>
    <w:rsid w:val="009921DB"/>
    <w:rsid w:val="00992654"/>
    <w:rsid w:val="009929C2"/>
    <w:rsid w:val="009941F5"/>
    <w:rsid w:val="0099520D"/>
    <w:rsid w:val="009959C2"/>
    <w:rsid w:val="00995B4C"/>
    <w:rsid w:val="009961FA"/>
    <w:rsid w:val="00997254"/>
    <w:rsid w:val="009A1E45"/>
    <w:rsid w:val="009A1F9B"/>
    <w:rsid w:val="009A2D17"/>
    <w:rsid w:val="009A2F81"/>
    <w:rsid w:val="009A4018"/>
    <w:rsid w:val="009A4A8C"/>
    <w:rsid w:val="009A4C05"/>
    <w:rsid w:val="009A50E3"/>
    <w:rsid w:val="009A7359"/>
    <w:rsid w:val="009B18C6"/>
    <w:rsid w:val="009B36BA"/>
    <w:rsid w:val="009B6C6A"/>
    <w:rsid w:val="009C031C"/>
    <w:rsid w:val="009C198A"/>
    <w:rsid w:val="009C276F"/>
    <w:rsid w:val="009C37E4"/>
    <w:rsid w:val="009C42E1"/>
    <w:rsid w:val="009D1055"/>
    <w:rsid w:val="009D265E"/>
    <w:rsid w:val="009D276A"/>
    <w:rsid w:val="009D2A13"/>
    <w:rsid w:val="009D2ACC"/>
    <w:rsid w:val="009D2E3B"/>
    <w:rsid w:val="009D3ADE"/>
    <w:rsid w:val="009D587C"/>
    <w:rsid w:val="009D701C"/>
    <w:rsid w:val="009D7330"/>
    <w:rsid w:val="009D7C9B"/>
    <w:rsid w:val="009E0252"/>
    <w:rsid w:val="009E08F3"/>
    <w:rsid w:val="009E0958"/>
    <w:rsid w:val="009E1FC6"/>
    <w:rsid w:val="009E2EF6"/>
    <w:rsid w:val="009E4072"/>
    <w:rsid w:val="009E56B4"/>
    <w:rsid w:val="009E64A3"/>
    <w:rsid w:val="009E73DC"/>
    <w:rsid w:val="009E76DF"/>
    <w:rsid w:val="009F11C8"/>
    <w:rsid w:val="009F2F9A"/>
    <w:rsid w:val="009F49AD"/>
    <w:rsid w:val="009F6998"/>
    <w:rsid w:val="009F7B1A"/>
    <w:rsid w:val="00A001BE"/>
    <w:rsid w:val="00A0096E"/>
    <w:rsid w:val="00A017F4"/>
    <w:rsid w:val="00A026C9"/>
    <w:rsid w:val="00A031CA"/>
    <w:rsid w:val="00A0350D"/>
    <w:rsid w:val="00A03B0D"/>
    <w:rsid w:val="00A0573A"/>
    <w:rsid w:val="00A12292"/>
    <w:rsid w:val="00A13C44"/>
    <w:rsid w:val="00A14137"/>
    <w:rsid w:val="00A1487F"/>
    <w:rsid w:val="00A14EE4"/>
    <w:rsid w:val="00A15B42"/>
    <w:rsid w:val="00A15BB3"/>
    <w:rsid w:val="00A15FC4"/>
    <w:rsid w:val="00A16D7C"/>
    <w:rsid w:val="00A2192D"/>
    <w:rsid w:val="00A248D1"/>
    <w:rsid w:val="00A3054F"/>
    <w:rsid w:val="00A30FC6"/>
    <w:rsid w:val="00A31120"/>
    <w:rsid w:val="00A31B76"/>
    <w:rsid w:val="00A3692B"/>
    <w:rsid w:val="00A372AD"/>
    <w:rsid w:val="00A37489"/>
    <w:rsid w:val="00A37677"/>
    <w:rsid w:val="00A3775B"/>
    <w:rsid w:val="00A40AED"/>
    <w:rsid w:val="00A4110C"/>
    <w:rsid w:val="00A42F52"/>
    <w:rsid w:val="00A435AA"/>
    <w:rsid w:val="00A435C0"/>
    <w:rsid w:val="00A46411"/>
    <w:rsid w:val="00A50C1B"/>
    <w:rsid w:val="00A53880"/>
    <w:rsid w:val="00A55B84"/>
    <w:rsid w:val="00A56690"/>
    <w:rsid w:val="00A569CE"/>
    <w:rsid w:val="00A579AA"/>
    <w:rsid w:val="00A60117"/>
    <w:rsid w:val="00A602D6"/>
    <w:rsid w:val="00A60B23"/>
    <w:rsid w:val="00A625BA"/>
    <w:rsid w:val="00A62DF2"/>
    <w:rsid w:val="00A64975"/>
    <w:rsid w:val="00A65279"/>
    <w:rsid w:val="00A703FD"/>
    <w:rsid w:val="00A71136"/>
    <w:rsid w:val="00A737DA"/>
    <w:rsid w:val="00A75348"/>
    <w:rsid w:val="00A75550"/>
    <w:rsid w:val="00A75DD2"/>
    <w:rsid w:val="00A7610E"/>
    <w:rsid w:val="00A77F8F"/>
    <w:rsid w:val="00A831C4"/>
    <w:rsid w:val="00A85E6C"/>
    <w:rsid w:val="00A85E88"/>
    <w:rsid w:val="00A87AC2"/>
    <w:rsid w:val="00A96E50"/>
    <w:rsid w:val="00AA1D69"/>
    <w:rsid w:val="00AA3F96"/>
    <w:rsid w:val="00AA6BC1"/>
    <w:rsid w:val="00AA796C"/>
    <w:rsid w:val="00AA7E13"/>
    <w:rsid w:val="00AB1D2C"/>
    <w:rsid w:val="00AB67DE"/>
    <w:rsid w:val="00AB6DA5"/>
    <w:rsid w:val="00AB77C4"/>
    <w:rsid w:val="00AB7987"/>
    <w:rsid w:val="00AB7A05"/>
    <w:rsid w:val="00AB7AB4"/>
    <w:rsid w:val="00AB7C01"/>
    <w:rsid w:val="00AC2BD6"/>
    <w:rsid w:val="00AC3547"/>
    <w:rsid w:val="00AC3F50"/>
    <w:rsid w:val="00AC5B1B"/>
    <w:rsid w:val="00AC6480"/>
    <w:rsid w:val="00AC70F3"/>
    <w:rsid w:val="00AC7995"/>
    <w:rsid w:val="00AD1BD2"/>
    <w:rsid w:val="00AD2F9B"/>
    <w:rsid w:val="00AD6817"/>
    <w:rsid w:val="00AD7876"/>
    <w:rsid w:val="00AE0DC1"/>
    <w:rsid w:val="00AE12C0"/>
    <w:rsid w:val="00AE1573"/>
    <w:rsid w:val="00AE1A8D"/>
    <w:rsid w:val="00AE1BBA"/>
    <w:rsid w:val="00AE2583"/>
    <w:rsid w:val="00AE2BC0"/>
    <w:rsid w:val="00AE3027"/>
    <w:rsid w:val="00AE31D6"/>
    <w:rsid w:val="00AE35F6"/>
    <w:rsid w:val="00AE54D6"/>
    <w:rsid w:val="00AE6635"/>
    <w:rsid w:val="00AE6CDB"/>
    <w:rsid w:val="00AF1EB6"/>
    <w:rsid w:val="00AF3DC5"/>
    <w:rsid w:val="00AF44BB"/>
    <w:rsid w:val="00AF4AE5"/>
    <w:rsid w:val="00AF5168"/>
    <w:rsid w:val="00AF543D"/>
    <w:rsid w:val="00AF5623"/>
    <w:rsid w:val="00AF6392"/>
    <w:rsid w:val="00AF6F6E"/>
    <w:rsid w:val="00B01E0F"/>
    <w:rsid w:val="00B0320D"/>
    <w:rsid w:val="00B04BF9"/>
    <w:rsid w:val="00B072BE"/>
    <w:rsid w:val="00B10724"/>
    <w:rsid w:val="00B13100"/>
    <w:rsid w:val="00B156D6"/>
    <w:rsid w:val="00B166D0"/>
    <w:rsid w:val="00B16B77"/>
    <w:rsid w:val="00B16C61"/>
    <w:rsid w:val="00B1708D"/>
    <w:rsid w:val="00B170C4"/>
    <w:rsid w:val="00B20040"/>
    <w:rsid w:val="00B21387"/>
    <w:rsid w:val="00B2386E"/>
    <w:rsid w:val="00B24061"/>
    <w:rsid w:val="00B24A9A"/>
    <w:rsid w:val="00B27944"/>
    <w:rsid w:val="00B32E45"/>
    <w:rsid w:val="00B33D37"/>
    <w:rsid w:val="00B33DC5"/>
    <w:rsid w:val="00B35874"/>
    <w:rsid w:val="00B37A9F"/>
    <w:rsid w:val="00B43233"/>
    <w:rsid w:val="00B44CB9"/>
    <w:rsid w:val="00B46912"/>
    <w:rsid w:val="00B46A8D"/>
    <w:rsid w:val="00B47B65"/>
    <w:rsid w:val="00B51E55"/>
    <w:rsid w:val="00B52385"/>
    <w:rsid w:val="00B5247D"/>
    <w:rsid w:val="00B52903"/>
    <w:rsid w:val="00B552EB"/>
    <w:rsid w:val="00B5612A"/>
    <w:rsid w:val="00B57988"/>
    <w:rsid w:val="00B6139D"/>
    <w:rsid w:val="00B61B1D"/>
    <w:rsid w:val="00B6266B"/>
    <w:rsid w:val="00B63DDB"/>
    <w:rsid w:val="00B64831"/>
    <w:rsid w:val="00B66750"/>
    <w:rsid w:val="00B676E1"/>
    <w:rsid w:val="00B67AA5"/>
    <w:rsid w:val="00B67DC8"/>
    <w:rsid w:val="00B70FE9"/>
    <w:rsid w:val="00B72E38"/>
    <w:rsid w:val="00B73AEA"/>
    <w:rsid w:val="00B73BC5"/>
    <w:rsid w:val="00B75593"/>
    <w:rsid w:val="00B76783"/>
    <w:rsid w:val="00B76A8F"/>
    <w:rsid w:val="00B76AAB"/>
    <w:rsid w:val="00B81209"/>
    <w:rsid w:val="00B82B89"/>
    <w:rsid w:val="00B82F3B"/>
    <w:rsid w:val="00B82FF4"/>
    <w:rsid w:val="00B86D7B"/>
    <w:rsid w:val="00B876CE"/>
    <w:rsid w:val="00B934A2"/>
    <w:rsid w:val="00B937E0"/>
    <w:rsid w:val="00B937E9"/>
    <w:rsid w:val="00B97E45"/>
    <w:rsid w:val="00BA00A5"/>
    <w:rsid w:val="00BA0B6C"/>
    <w:rsid w:val="00BA129B"/>
    <w:rsid w:val="00BA36F4"/>
    <w:rsid w:val="00BA79C3"/>
    <w:rsid w:val="00BB00EA"/>
    <w:rsid w:val="00BB02AB"/>
    <w:rsid w:val="00BB058B"/>
    <w:rsid w:val="00BB2173"/>
    <w:rsid w:val="00BB2350"/>
    <w:rsid w:val="00BB2656"/>
    <w:rsid w:val="00BB41A5"/>
    <w:rsid w:val="00BC116B"/>
    <w:rsid w:val="00BC1F16"/>
    <w:rsid w:val="00BC2102"/>
    <w:rsid w:val="00BC235B"/>
    <w:rsid w:val="00BC32AF"/>
    <w:rsid w:val="00BC4622"/>
    <w:rsid w:val="00BC6994"/>
    <w:rsid w:val="00BC75F7"/>
    <w:rsid w:val="00BD30AC"/>
    <w:rsid w:val="00BD31C6"/>
    <w:rsid w:val="00BD4E1A"/>
    <w:rsid w:val="00BD539D"/>
    <w:rsid w:val="00BD5746"/>
    <w:rsid w:val="00BD75A3"/>
    <w:rsid w:val="00BE08DF"/>
    <w:rsid w:val="00BE0DF0"/>
    <w:rsid w:val="00BE1E9D"/>
    <w:rsid w:val="00BE71D8"/>
    <w:rsid w:val="00BE7B23"/>
    <w:rsid w:val="00BF122B"/>
    <w:rsid w:val="00BF1CB0"/>
    <w:rsid w:val="00BF491A"/>
    <w:rsid w:val="00BF56EF"/>
    <w:rsid w:val="00BF6FE2"/>
    <w:rsid w:val="00BF7335"/>
    <w:rsid w:val="00BF7F4C"/>
    <w:rsid w:val="00C0107A"/>
    <w:rsid w:val="00C01F37"/>
    <w:rsid w:val="00C02C5A"/>
    <w:rsid w:val="00C03616"/>
    <w:rsid w:val="00C041B5"/>
    <w:rsid w:val="00C04A83"/>
    <w:rsid w:val="00C05334"/>
    <w:rsid w:val="00C05E50"/>
    <w:rsid w:val="00C06E2D"/>
    <w:rsid w:val="00C07E24"/>
    <w:rsid w:val="00C14E9C"/>
    <w:rsid w:val="00C152E5"/>
    <w:rsid w:val="00C16170"/>
    <w:rsid w:val="00C2021D"/>
    <w:rsid w:val="00C202C2"/>
    <w:rsid w:val="00C210E7"/>
    <w:rsid w:val="00C21101"/>
    <w:rsid w:val="00C219A7"/>
    <w:rsid w:val="00C21F85"/>
    <w:rsid w:val="00C25714"/>
    <w:rsid w:val="00C26416"/>
    <w:rsid w:val="00C31528"/>
    <w:rsid w:val="00C3230F"/>
    <w:rsid w:val="00C32D73"/>
    <w:rsid w:val="00C3593A"/>
    <w:rsid w:val="00C359DC"/>
    <w:rsid w:val="00C366C3"/>
    <w:rsid w:val="00C3752C"/>
    <w:rsid w:val="00C4141E"/>
    <w:rsid w:val="00C42036"/>
    <w:rsid w:val="00C44D5C"/>
    <w:rsid w:val="00C46AD6"/>
    <w:rsid w:val="00C50243"/>
    <w:rsid w:val="00C511E2"/>
    <w:rsid w:val="00C5180F"/>
    <w:rsid w:val="00C52227"/>
    <w:rsid w:val="00C5252B"/>
    <w:rsid w:val="00C52825"/>
    <w:rsid w:val="00C532D4"/>
    <w:rsid w:val="00C535F8"/>
    <w:rsid w:val="00C54A98"/>
    <w:rsid w:val="00C5604B"/>
    <w:rsid w:val="00C5625D"/>
    <w:rsid w:val="00C56892"/>
    <w:rsid w:val="00C6724A"/>
    <w:rsid w:val="00C67360"/>
    <w:rsid w:val="00C67DCF"/>
    <w:rsid w:val="00C7076E"/>
    <w:rsid w:val="00C72B6D"/>
    <w:rsid w:val="00C756EA"/>
    <w:rsid w:val="00C75D98"/>
    <w:rsid w:val="00C83542"/>
    <w:rsid w:val="00C855DA"/>
    <w:rsid w:val="00C87338"/>
    <w:rsid w:val="00C9031A"/>
    <w:rsid w:val="00C915B9"/>
    <w:rsid w:val="00C91870"/>
    <w:rsid w:val="00C92320"/>
    <w:rsid w:val="00C92392"/>
    <w:rsid w:val="00C952D4"/>
    <w:rsid w:val="00C97955"/>
    <w:rsid w:val="00C97BE2"/>
    <w:rsid w:val="00CA19B9"/>
    <w:rsid w:val="00CA22ED"/>
    <w:rsid w:val="00CA3C72"/>
    <w:rsid w:val="00CA3D8B"/>
    <w:rsid w:val="00CA63CC"/>
    <w:rsid w:val="00CA7E59"/>
    <w:rsid w:val="00CB3475"/>
    <w:rsid w:val="00CB3E08"/>
    <w:rsid w:val="00CB5073"/>
    <w:rsid w:val="00CB5252"/>
    <w:rsid w:val="00CB5917"/>
    <w:rsid w:val="00CB5FB7"/>
    <w:rsid w:val="00CB60F6"/>
    <w:rsid w:val="00CB6313"/>
    <w:rsid w:val="00CC1EF0"/>
    <w:rsid w:val="00CC24C2"/>
    <w:rsid w:val="00CC2B32"/>
    <w:rsid w:val="00CC7A35"/>
    <w:rsid w:val="00CD103A"/>
    <w:rsid w:val="00CD1883"/>
    <w:rsid w:val="00CD372F"/>
    <w:rsid w:val="00CD4460"/>
    <w:rsid w:val="00CD4AF9"/>
    <w:rsid w:val="00CD600F"/>
    <w:rsid w:val="00CE0212"/>
    <w:rsid w:val="00CE07BE"/>
    <w:rsid w:val="00CE1DAF"/>
    <w:rsid w:val="00CE25C4"/>
    <w:rsid w:val="00CE2CD7"/>
    <w:rsid w:val="00CE43FD"/>
    <w:rsid w:val="00CE4637"/>
    <w:rsid w:val="00CE5F1E"/>
    <w:rsid w:val="00CE6C03"/>
    <w:rsid w:val="00CF0B35"/>
    <w:rsid w:val="00CF0C10"/>
    <w:rsid w:val="00CF1512"/>
    <w:rsid w:val="00CF20FA"/>
    <w:rsid w:val="00CF33C2"/>
    <w:rsid w:val="00CF412B"/>
    <w:rsid w:val="00CF750C"/>
    <w:rsid w:val="00CF7F0D"/>
    <w:rsid w:val="00D0158A"/>
    <w:rsid w:val="00D01AD8"/>
    <w:rsid w:val="00D020BF"/>
    <w:rsid w:val="00D029C5"/>
    <w:rsid w:val="00D0680D"/>
    <w:rsid w:val="00D10070"/>
    <w:rsid w:val="00D20F36"/>
    <w:rsid w:val="00D22FDF"/>
    <w:rsid w:val="00D23390"/>
    <w:rsid w:val="00D2475A"/>
    <w:rsid w:val="00D24E13"/>
    <w:rsid w:val="00D2638A"/>
    <w:rsid w:val="00D27F00"/>
    <w:rsid w:val="00D31400"/>
    <w:rsid w:val="00D317C4"/>
    <w:rsid w:val="00D31832"/>
    <w:rsid w:val="00D3690C"/>
    <w:rsid w:val="00D40B62"/>
    <w:rsid w:val="00D415D9"/>
    <w:rsid w:val="00D46AD4"/>
    <w:rsid w:val="00D517C2"/>
    <w:rsid w:val="00D522EE"/>
    <w:rsid w:val="00D52DEA"/>
    <w:rsid w:val="00D535BE"/>
    <w:rsid w:val="00D5405B"/>
    <w:rsid w:val="00D56A44"/>
    <w:rsid w:val="00D56C0E"/>
    <w:rsid w:val="00D61398"/>
    <w:rsid w:val="00D613E0"/>
    <w:rsid w:val="00D64338"/>
    <w:rsid w:val="00D647E5"/>
    <w:rsid w:val="00D66364"/>
    <w:rsid w:val="00D669CC"/>
    <w:rsid w:val="00D66FF5"/>
    <w:rsid w:val="00D67FCE"/>
    <w:rsid w:val="00D7118B"/>
    <w:rsid w:val="00D71513"/>
    <w:rsid w:val="00D71F99"/>
    <w:rsid w:val="00D731FE"/>
    <w:rsid w:val="00D733C5"/>
    <w:rsid w:val="00D73FC3"/>
    <w:rsid w:val="00D74C4E"/>
    <w:rsid w:val="00D80074"/>
    <w:rsid w:val="00D818C8"/>
    <w:rsid w:val="00D8476B"/>
    <w:rsid w:val="00D85DAF"/>
    <w:rsid w:val="00D85E60"/>
    <w:rsid w:val="00D8664F"/>
    <w:rsid w:val="00D86691"/>
    <w:rsid w:val="00D87441"/>
    <w:rsid w:val="00D877AC"/>
    <w:rsid w:val="00D91323"/>
    <w:rsid w:val="00D92CC6"/>
    <w:rsid w:val="00D93C15"/>
    <w:rsid w:val="00D944AF"/>
    <w:rsid w:val="00D94648"/>
    <w:rsid w:val="00D96335"/>
    <w:rsid w:val="00D97661"/>
    <w:rsid w:val="00DA0DE6"/>
    <w:rsid w:val="00DA47AC"/>
    <w:rsid w:val="00DA4BB6"/>
    <w:rsid w:val="00DA4CDB"/>
    <w:rsid w:val="00DA4DED"/>
    <w:rsid w:val="00DA6185"/>
    <w:rsid w:val="00DA7007"/>
    <w:rsid w:val="00DB058A"/>
    <w:rsid w:val="00DB1253"/>
    <w:rsid w:val="00DB79EC"/>
    <w:rsid w:val="00DC030E"/>
    <w:rsid w:val="00DC39C5"/>
    <w:rsid w:val="00DC710C"/>
    <w:rsid w:val="00DD03BA"/>
    <w:rsid w:val="00DD2559"/>
    <w:rsid w:val="00DD26EA"/>
    <w:rsid w:val="00DD341C"/>
    <w:rsid w:val="00DD400A"/>
    <w:rsid w:val="00DD42E6"/>
    <w:rsid w:val="00DE3BA3"/>
    <w:rsid w:val="00DE5E53"/>
    <w:rsid w:val="00DE775A"/>
    <w:rsid w:val="00DE7AA2"/>
    <w:rsid w:val="00DF0D42"/>
    <w:rsid w:val="00DF2406"/>
    <w:rsid w:val="00DF270A"/>
    <w:rsid w:val="00DF2A7D"/>
    <w:rsid w:val="00DF3A53"/>
    <w:rsid w:val="00DF4C7B"/>
    <w:rsid w:val="00DF55BA"/>
    <w:rsid w:val="00DF70B1"/>
    <w:rsid w:val="00DF7CB1"/>
    <w:rsid w:val="00E016A5"/>
    <w:rsid w:val="00E06091"/>
    <w:rsid w:val="00E06F13"/>
    <w:rsid w:val="00E06F80"/>
    <w:rsid w:val="00E11EAB"/>
    <w:rsid w:val="00E13187"/>
    <w:rsid w:val="00E136C0"/>
    <w:rsid w:val="00E15F9C"/>
    <w:rsid w:val="00E169A4"/>
    <w:rsid w:val="00E216B7"/>
    <w:rsid w:val="00E26878"/>
    <w:rsid w:val="00E30369"/>
    <w:rsid w:val="00E30FB0"/>
    <w:rsid w:val="00E315AE"/>
    <w:rsid w:val="00E32BA9"/>
    <w:rsid w:val="00E34768"/>
    <w:rsid w:val="00E35544"/>
    <w:rsid w:val="00E36647"/>
    <w:rsid w:val="00E37EAF"/>
    <w:rsid w:val="00E4205D"/>
    <w:rsid w:val="00E426B8"/>
    <w:rsid w:val="00E43A7C"/>
    <w:rsid w:val="00E4646F"/>
    <w:rsid w:val="00E46843"/>
    <w:rsid w:val="00E46FDB"/>
    <w:rsid w:val="00E50979"/>
    <w:rsid w:val="00E51A4C"/>
    <w:rsid w:val="00E52524"/>
    <w:rsid w:val="00E5273B"/>
    <w:rsid w:val="00E531CF"/>
    <w:rsid w:val="00E56CAD"/>
    <w:rsid w:val="00E62F6B"/>
    <w:rsid w:val="00E64E7E"/>
    <w:rsid w:val="00E65578"/>
    <w:rsid w:val="00E6640C"/>
    <w:rsid w:val="00E66B4B"/>
    <w:rsid w:val="00E70296"/>
    <w:rsid w:val="00E71632"/>
    <w:rsid w:val="00E716A2"/>
    <w:rsid w:val="00E718A9"/>
    <w:rsid w:val="00E72286"/>
    <w:rsid w:val="00E739A8"/>
    <w:rsid w:val="00E73E7E"/>
    <w:rsid w:val="00E74CE6"/>
    <w:rsid w:val="00E779BF"/>
    <w:rsid w:val="00E81DAB"/>
    <w:rsid w:val="00E83C6B"/>
    <w:rsid w:val="00E849F7"/>
    <w:rsid w:val="00E9018D"/>
    <w:rsid w:val="00E919B3"/>
    <w:rsid w:val="00E9376C"/>
    <w:rsid w:val="00E95241"/>
    <w:rsid w:val="00E9542E"/>
    <w:rsid w:val="00E97F7E"/>
    <w:rsid w:val="00EA0F47"/>
    <w:rsid w:val="00EA1BF8"/>
    <w:rsid w:val="00EA2EEF"/>
    <w:rsid w:val="00EA3659"/>
    <w:rsid w:val="00EA5433"/>
    <w:rsid w:val="00EA69E7"/>
    <w:rsid w:val="00EA6AF9"/>
    <w:rsid w:val="00EB0154"/>
    <w:rsid w:val="00EB02A6"/>
    <w:rsid w:val="00EB1EEC"/>
    <w:rsid w:val="00EB2982"/>
    <w:rsid w:val="00EB332B"/>
    <w:rsid w:val="00EB48B6"/>
    <w:rsid w:val="00EB5D29"/>
    <w:rsid w:val="00EC0628"/>
    <w:rsid w:val="00EC0B41"/>
    <w:rsid w:val="00EC0F9E"/>
    <w:rsid w:val="00EC18D0"/>
    <w:rsid w:val="00EC477F"/>
    <w:rsid w:val="00EC4EA7"/>
    <w:rsid w:val="00EC6709"/>
    <w:rsid w:val="00EC69EB"/>
    <w:rsid w:val="00EC7A57"/>
    <w:rsid w:val="00ED064C"/>
    <w:rsid w:val="00ED0B19"/>
    <w:rsid w:val="00ED0F06"/>
    <w:rsid w:val="00ED2556"/>
    <w:rsid w:val="00ED29CA"/>
    <w:rsid w:val="00ED4B4F"/>
    <w:rsid w:val="00ED6EB3"/>
    <w:rsid w:val="00EE0059"/>
    <w:rsid w:val="00EE2577"/>
    <w:rsid w:val="00EE342F"/>
    <w:rsid w:val="00EE35AC"/>
    <w:rsid w:val="00EE454B"/>
    <w:rsid w:val="00EE6164"/>
    <w:rsid w:val="00EF1543"/>
    <w:rsid w:val="00EF1757"/>
    <w:rsid w:val="00EF2F70"/>
    <w:rsid w:val="00EF4852"/>
    <w:rsid w:val="00EF5FA1"/>
    <w:rsid w:val="00F011DE"/>
    <w:rsid w:val="00F013FD"/>
    <w:rsid w:val="00F02FFD"/>
    <w:rsid w:val="00F0324E"/>
    <w:rsid w:val="00F0555E"/>
    <w:rsid w:val="00F06362"/>
    <w:rsid w:val="00F06973"/>
    <w:rsid w:val="00F06FEA"/>
    <w:rsid w:val="00F12AF9"/>
    <w:rsid w:val="00F134E3"/>
    <w:rsid w:val="00F13CCB"/>
    <w:rsid w:val="00F16815"/>
    <w:rsid w:val="00F20EE9"/>
    <w:rsid w:val="00F2398A"/>
    <w:rsid w:val="00F23B81"/>
    <w:rsid w:val="00F24332"/>
    <w:rsid w:val="00F3069C"/>
    <w:rsid w:val="00F32F68"/>
    <w:rsid w:val="00F33C53"/>
    <w:rsid w:val="00F377C6"/>
    <w:rsid w:val="00F40CCD"/>
    <w:rsid w:val="00F468EB"/>
    <w:rsid w:val="00F47251"/>
    <w:rsid w:val="00F50713"/>
    <w:rsid w:val="00F5356D"/>
    <w:rsid w:val="00F60397"/>
    <w:rsid w:val="00F60786"/>
    <w:rsid w:val="00F62647"/>
    <w:rsid w:val="00F64B4A"/>
    <w:rsid w:val="00F65609"/>
    <w:rsid w:val="00F65A9F"/>
    <w:rsid w:val="00F66644"/>
    <w:rsid w:val="00F6681B"/>
    <w:rsid w:val="00F70C81"/>
    <w:rsid w:val="00F71898"/>
    <w:rsid w:val="00F7194A"/>
    <w:rsid w:val="00F7294F"/>
    <w:rsid w:val="00F72C93"/>
    <w:rsid w:val="00F73244"/>
    <w:rsid w:val="00F748F7"/>
    <w:rsid w:val="00F74A5C"/>
    <w:rsid w:val="00F769AB"/>
    <w:rsid w:val="00F76EED"/>
    <w:rsid w:val="00F7799C"/>
    <w:rsid w:val="00F80F2C"/>
    <w:rsid w:val="00F813C6"/>
    <w:rsid w:val="00F8247E"/>
    <w:rsid w:val="00F82D25"/>
    <w:rsid w:val="00F83505"/>
    <w:rsid w:val="00F85F4C"/>
    <w:rsid w:val="00F876A5"/>
    <w:rsid w:val="00F90347"/>
    <w:rsid w:val="00F90659"/>
    <w:rsid w:val="00F94888"/>
    <w:rsid w:val="00F95AE0"/>
    <w:rsid w:val="00F9689C"/>
    <w:rsid w:val="00F97345"/>
    <w:rsid w:val="00F9764A"/>
    <w:rsid w:val="00FA0B93"/>
    <w:rsid w:val="00FA158F"/>
    <w:rsid w:val="00FA1E04"/>
    <w:rsid w:val="00FA3A82"/>
    <w:rsid w:val="00FA3A8B"/>
    <w:rsid w:val="00FB4923"/>
    <w:rsid w:val="00FB7DB0"/>
    <w:rsid w:val="00FC1E92"/>
    <w:rsid w:val="00FC412A"/>
    <w:rsid w:val="00FC4E6A"/>
    <w:rsid w:val="00FC5AE2"/>
    <w:rsid w:val="00FC744E"/>
    <w:rsid w:val="00FC7C47"/>
    <w:rsid w:val="00FD1C11"/>
    <w:rsid w:val="00FD1D43"/>
    <w:rsid w:val="00FD2990"/>
    <w:rsid w:val="00FD3BE2"/>
    <w:rsid w:val="00FD5D92"/>
    <w:rsid w:val="00FD71A6"/>
    <w:rsid w:val="00FD7959"/>
    <w:rsid w:val="00FE31E3"/>
    <w:rsid w:val="00FE3B90"/>
    <w:rsid w:val="00FE3F47"/>
    <w:rsid w:val="00FE4C23"/>
    <w:rsid w:val="00FE59F9"/>
    <w:rsid w:val="00FE6BE5"/>
    <w:rsid w:val="00FE6DB2"/>
    <w:rsid w:val="00FF1806"/>
    <w:rsid w:val="00FF23AD"/>
    <w:rsid w:val="00FF28C9"/>
    <w:rsid w:val="00FF338D"/>
    <w:rsid w:val="00FF422D"/>
    <w:rsid w:val="00FF49D6"/>
    <w:rsid w:val="00FF4F69"/>
    <w:rsid w:val="00FF4F8F"/>
    <w:rsid w:val="00FF74F8"/>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76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7F30"/>
    <w:pPr>
      <w:widowControl w:val="0"/>
    </w:pPr>
    <w:rPr>
      <w:snapToGrid w:val="0"/>
      <w:kern w:val="28"/>
      <w:szCs w:val="20"/>
    </w:rPr>
  </w:style>
  <w:style w:type="paragraph" w:styleId="Heading1">
    <w:name w:val="heading 1"/>
    <w:basedOn w:val="Normal"/>
    <w:next w:val="ParaNum"/>
    <w:link w:val="Heading1Char"/>
    <w:qFormat/>
    <w:rsid w:val="00567F3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7F30"/>
    <w:pPr>
      <w:keepNext/>
      <w:numPr>
        <w:ilvl w:val="1"/>
        <w:numId w:val="6"/>
      </w:numPr>
      <w:spacing w:after="120"/>
      <w:outlineLvl w:val="1"/>
    </w:pPr>
    <w:rPr>
      <w:b/>
    </w:rPr>
  </w:style>
  <w:style w:type="paragraph" w:styleId="Heading3">
    <w:name w:val="heading 3"/>
    <w:basedOn w:val="Normal"/>
    <w:next w:val="ParaNum"/>
    <w:link w:val="Heading3Char"/>
    <w:qFormat/>
    <w:rsid w:val="00567F30"/>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67F30"/>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67F30"/>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67F30"/>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67F30"/>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67F3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67F3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7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F30"/>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67F30"/>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67F30"/>
    <w:rPr>
      <w:rFonts w:ascii="Times New Roman" w:hAnsi="Times New Roman"/>
      <w:dstrike w:val="0"/>
      <w:color w:val="auto"/>
      <w:sz w:val="20"/>
      <w:vertAlign w:val="superscript"/>
    </w:rPr>
  </w:style>
  <w:style w:type="paragraph" w:styleId="Header">
    <w:name w:val="header"/>
    <w:basedOn w:val="Normal"/>
    <w:link w:val="HeaderChar"/>
    <w:autoRedefine/>
    <w:rsid w:val="00567F30"/>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67F30"/>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67F30"/>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67F30"/>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67F30"/>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67F30"/>
    <w:pPr>
      <w:jc w:val="center"/>
    </w:pPr>
    <w:rPr>
      <w:rFonts w:ascii="Times New Roman Bold" w:hAnsi="Times New Roman Bold"/>
      <w:b/>
      <w:bCs/>
      <w:caps/>
      <w:szCs w:val="22"/>
    </w:rPr>
  </w:style>
  <w:style w:type="paragraph" w:styleId="TOAHeading">
    <w:name w:val="toa heading"/>
    <w:basedOn w:val="Normal"/>
    <w:next w:val="Normal"/>
    <w:semiHidden/>
    <w:rsid w:val="00567F30"/>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67F30"/>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67F30"/>
    <w:rPr>
      <w:vertAlign w:val="superscript"/>
    </w:rPr>
  </w:style>
  <w:style w:type="paragraph" w:styleId="TOC1">
    <w:name w:val="toc 1"/>
    <w:basedOn w:val="Normal"/>
    <w:next w:val="Normal"/>
    <w:semiHidden/>
    <w:locked/>
    <w:rsid w:val="00567F30"/>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67F30"/>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67F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67F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67F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67F30"/>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67F30"/>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67F30"/>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67F30"/>
    <w:pPr>
      <w:tabs>
        <w:tab w:val="left" w:pos="3240"/>
        <w:tab w:val="right" w:leader="dot" w:pos="9360"/>
      </w:tabs>
      <w:suppressAutoHyphens/>
      <w:ind w:left="3240" w:hanging="360"/>
    </w:pPr>
    <w:rPr>
      <w:noProof/>
    </w:rPr>
  </w:style>
  <w:style w:type="character" w:customStyle="1" w:styleId="EquationCaption">
    <w:name w:val="_Equation Caption"/>
    <w:rsid w:val="00567F30"/>
  </w:style>
  <w:style w:type="paragraph" w:styleId="BlockText">
    <w:name w:val="Block Text"/>
    <w:basedOn w:val="Normal"/>
    <w:locked/>
    <w:rsid w:val="00567F30"/>
    <w:pPr>
      <w:spacing w:after="240"/>
      <w:ind w:left="1440" w:right="1440"/>
    </w:pPr>
  </w:style>
  <w:style w:type="paragraph" w:customStyle="1" w:styleId="Paratitle">
    <w:name w:val="Para title"/>
    <w:basedOn w:val="Normal"/>
    <w:rsid w:val="00567F30"/>
    <w:pPr>
      <w:tabs>
        <w:tab w:val="center" w:pos="9270"/>
      </w:tabs>
      <w:spacing w:after="240"/>
    </w:pPr>
    <w:rPr>
      <w:spacing w:val="-2"/>
    </w:rPr>
  </w:style>
  <w:style w:type="paragraph" w:customStyle="1" w:styleId="Bullet">
    <w:name w:val="Bullet"/>
    <w:basedOn w:val="Normal"/>
    <w:rsid w:val="00567F30"/>
    <w:pPr>
      <w:tabs>
        <w:tab w:val="left" w:pos="2160"/>
      </w:tabs>
      <w:spacing w:after="220"/>
      <w:ind w:left="2160" w:hanging="720"/>
    </w:pPr>
  </w:style>
  <w:style w:type="paragraph" w:customStyle="1" w:styleId="TableFormat">
    <w:name w:val="TableFormat"/>
    <w:basedOn w:val="Bullet"/>
    <w:rsid w:val="00567F30"/>
    <w:pPr>
      <w:tabs>
        <w:tab w:val="clear" w:pos="2160"/>
        <w:tab w:val="left" w:pos="5040"/>
      </w:tabs>
      <w:ind w:left="5040" w:hanging="3600"/>
    </w:pPr>
  </w:style>
  <w:style w:type="paragraph" w:customStyle="1" w:styleId="TOCTitle">
    <w:name w:val="TOC Title"/>
    <w:basedOn w:val="Normal"/>
    <w:rsid w:val="00567F30"/>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7F30"/>
    <w:pPr>
      <w:widowControl w:val="0"/>
    </w:pPr>
    <w:rPr>
      <w:snapToGrid w:val="0"/>
      <w:kern w:val="28"/>
      <w:szCs w:val="20"/>
    </w:rPr>
  </w:style>
  <w:style w:type="paragraph" w:styleId="Heading1">
    <w:name w:val="heading 1"/>
    <w:basedOn w:val="Normal"/>
    <w:next w:val="ParaNum"/>
    <w:link w:val="Heading1Char"/>
    <w:qFormat/>
    <w:rsid w:val="00567F3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67F30"/>
    <w:pPr>
      <w:keepNext/>
      <w:numPr>
        <w:ilvl w:val="1"/>
        <w:numId w:val="6"/>
      </w:numPr>
      <w:spacing w:after="120"/>
      <w:outlineLvl w:val="1"/>
    </w:pPr>
    <w:rPr>
      <w:b/>
    </w:rPr>
  </w:style>
  <w:style w:type="paragraph" w:styleId="Heading3">
    <w:name w:val="heading 3"/>
    <w:basedOn w:val="Normal"/>
    <w:next w:val="ParaNum"/>
    <w:link w:val="Heading3Char"/>
    <w:qFormat/>
    <w:rsid w:val="00567F30"/>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67F30"/>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67F30"/>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67F30"/>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67F30"/>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67F3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67F3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67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F30"/>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67F30"/>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567F30"/>
    <w:rPr>
      <w:rFonts w:ascii="Times New Roman" w:hAnsi="Times New Roman"/>
      <w:dstrike w:val="0"/>
      <w:color w:val="auto"/>
      <w:sz w:val="20"/>
      <w:vertAlign w:val="superscript"/>
    </w:rPr>
  </w:style>
  <w:style w:type="paragraph" w:styleId="Header">
    <w:name w:val="header"/>
    <w:basedOn w:val="Normal"/>
    <w:link w:val="HeaderChar"/>
    <w:autoRedefine/>
    <w:rsid w:val="00567F30"/>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567F30"/>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567F30"/>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567F30"/>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567F30"/>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567F30"/>
    <w:pPr>
      <w:jc w:val="center"/>
    </w:pPr>
    <w:rPr>
      <w:rFonts w:ascii="Times New Roman Bold" w:hAnsi="Times New Roman Bold"/>
      <w:b/>
      <w:bCs/>
      <w:caps/>
      <w:szCs w:val="22"/>
    </w:rPr>
  </w:style>
  <w:style w:type="paragraph" w:styleId="TOAHeading">
    <w:name w:val="toa heading"/>
    <w:basedOn w:val="Normal"/>
    <w:next w:val="Normal"/>
    <w:semiHidden/>
    <w:rsid w:val="00567F30"/>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67F30"/>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567F30"/>
    <w:rPr>
      <w:vertAlign w:val="superscript"/>
    </w:rPr>
  </w:style>
  <w:style w:type="paragraph" w:styleId="TOC1">
    <w:name w:val="toc 1"/>
    <w:basedOn w:val="Normal"/>
    <w:next w:val="Normal"/>
    <w:semiHidden/>
    <w:locked/>
    <w:rsid w:val="00567F30"/>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67F30"/>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67F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67F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67F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67F30"/>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67F30"/>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67F30"/>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67F30"/>
    <w:pPr>
      <w:tabs>
        <w:tab w:val="left" w:pos="3240"/>
        <w:tab w:val="right" w:leader="dot" w:pos="9360"/>
      </w:tabs>
      <w:suppressAutoHyphens/>
      <w:ind w:left="3240" w:hanging="360"/>
    </w:pPr>
    <w:rPr>
      <w:noProof/>
    </w:rPr>
  </w:style>
  <w:style w:type="character" w:customStyle="1" w:styleId="EquationCaption">
    <w:name w:val="_Equation Caption"/>
    <w:rsid w:val="00567F30"/>
  </w:style>
  <w:style w:type="paragraph" w:styleId="BlockText">
    <w:name w:val="Block Text"/>
    <w:basedOn w:val="Normal"/>
    <w:locked/>
    <w:rsid w:val="00567F30"/>
    <w:pPr>
      <w:spacing w:after="240"/>
      <w:ind w:left="1440" w:right="1440"/>
    </w:pPr>
  </w:style>
  <w:style w:type="paragraph" w:customStyle="1" w:styleId="Paratitle">
    <w:name w:val="Para title"/>
    <w:basedOn w:val="Normal"/>
    <w:rsid w:val="00567F30"/>
    <w:pPr>
      <w:tabs>
        <w:tab w:val="center" w:pos="9270"/>
      </w:tabs>
      <w:spacing w:after="240"/>
    </w:pPr>
    <w:rPr>
      <w:spacing w:val="-2"/>
    </w:rPr>
  </w:style>
  <w:style w:type="paragraph" w:customStyle="1" w:styleId="Bullet">
    <w:name w:val="Bullet"/>
    <w:basedOn w:val="Normal"/>
    <w:rsid w:val="00567F30"/>
    <w:pPr>
      <w:tabs>
        <w:tab w:val="left" w:pos="2160"/>
      </w:tabs>
      <w:spacing w:after="220"/>
      <w:ind w:left="2160" w:hanging="720"/>
    </w:pPr>
  </w:style>
  <w:style w:type="paragraph" w:customStyle="1" w:styleId="TableFormat">
    <w:name w:val="TableFormat"/>
    <w:basedOn w:val="Bullet"/>
    <w:rsid w:val="00567F30"/>
    <w:pPr>
      <w:tabs>
        <w:tab w:val="clear" w:pos="2160"/>
        <w:tab w:val="left" w:pos="5040"/>
      </w:tabs>
      <w:ind w:left="5040" w:hanging="3600"/>
    </w:pPr>
  </w:style>
  <w:style w:type="paragraph" w:customStyle="1" w:styleId="TOCTitle">
    <w:name w:val="TOC Title"/>
    <w:basedOn w:val="Normal"/>
    <w:rsid w:val="00567F30"/>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basedOn w:val="DefaultParagraphFont"/>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39964729">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1610040692">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2328</Words>
  <Characters>12507</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2016-08-12T12:57:00Z</dcterms:created>
  <dcterms:modified xsi:type="dcterms:W3CDTF">2016-08-12T12:57:00Z</dcterms:modified>
  <cp:category> </cp:category>
  <cp:contentStatus> </cp:contentStatus>
</cp:coreProperties>
</file>