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E748" w14:textId="7D77DFAA"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A4C17">
        <w:rPr>
          <w:b/>
          <w:szCs w:val="22"/>
        </w:rPr>
        <w:t>6</w:t>
      </w:r>
      <w:r>
        <w:rPr>
          <w:b/>
          <w:szCs w:val="22"/>
        </w:rPr>
        <w:t>-</w:t>
      </w:r>
      <w:r w:rsidR="008A4C17">
        <w:rPr>
          <w:b/>
          <w:szCs w:val="22"/>
        </w:rPr>
        <w:t>914</w:t>
      </w:r>
    </w:p>
    <w:p w14:paraId="1DC4A194" w14:textId="5945B6CB"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A4C17">
        <w:rPr>
          <w:b/>
          <w:szCs w:val="22"/>
        </w:rPr>
        <w:t xml:space="preserve"> August 15</w:t>
      </w:r>
      <w:r w:rsidR="006076B9">
        <w:rPr>
          <w:b/>
          <w:szCs w:val="22"/>
        </w:rPr>
        <w:t>, 201</w:t>
      </w:r>
      <w:r w:rsidR="009E76D4">
        <w:rPr>
          <w:b/>
          <w:szCs w:val="22"/>
        </w:rPr>
        <w:t>6</w:t>
      </w:r>
    </w:p>
    <w:p w14:paraId="1B777E3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14:paraId="5232AAF9" w14:textId="77777777" w:rsidR="00615FF1"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COMMENTS INVITED ON APPLICATION</w:t>
      </w:r>
      <w:r w:rsidR="0051193B">
        <w:rPr>
          <w:b/>
          <w:kern w:val="0"/>
          <w:szCs w:val="22"/>
        </w:rPr>
        <w:t>S</w:t>
      </w:r>
      <w:r>
        <w:rPr>
          <w:b/>
          <w:kern w:val="0"/>
          <w:szCs w:val="22"/>
        </w:rPr>
        <w:t xml:space="preserve"> </w:t>
      </w:r>
      <w:r>
        <w:rPr>
          <w:b/>
          <w:caps/>
          <w:kern w:val="0"/>
          <w:szCs w:val="22"/>
        </w:rPr>
        <w:t>OF</w:t>
      </w:r>
    </w:p>
    <w:p w14:paraId="7CD5F0DD" w14:textId="75BDE724" w:rsidR="006076B9"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 xml:space="preserve"> at&amp;T services, inc. on behalf of </w:t>
      </w:r>
      <w:r w:rsidR="00FB1838">
        <w:rPr>
          <w:b/>
          <w:caps/>
          <w:kern w:val="0"/>
          <w:szCs w:val="22"/>
        </w:rPr>
        <w:t>BELLSOUTH TELECOMMUNICATIONS, LLC</w:t>
      </w:r>
      <w:r>
        <w:rPr>
          <w:b/>
          <w:caps/>
          <w:kern w:val="0"/>
          <w:szCs w:val="22"/>
        </w:rPr>
        <w:t xml:space="preserve"> d/b/a</w:t>
      </w:r>
      <w:r w:rsidR="00FB1838">
        <w:rPr>
          <w:b/>
          <w:caps/>
          <w:kern w:val="0"/>
          <w:szCs w:val="22"/>
        </w:rPr>
        <w:t xml:space="preserve"> </w:t>
      </w:r>
      <w:r>
        <w:rPr>
          <w:b/>
          <w:caps/>
          <w:kern w:val="0"/>
          <w:szCs w:val="22"/>
        </w:rPr>
        <w:t xml:space="preserve">at&amp;t </w:t>
      </w:r>
      <w:r w:rsidR="00FB1838">
        <w:rPr>
          <w:b/>
          <w:caps/>
          <w:kern w:val="0"/>
          <w:szCs w:val="22"/>
        </w:rPr>
        <w:t>SOUTHEAST</w:t>
      </w:r>
      <w:r>
        <w:rPr>
          <w:b/>
          <w:caps/>
          <w:kern w:val="0"/>
          <w:szCs w:val="22"/>
        </w:rPr>
        <w:t xml:space="preserve"> TO DISCONTINUE </w:t>
      </w:r>
      <w:r w:rsidR="0051193B">
        <w:rPr>
          <w:b/>
          <w:caps/>
          <w:kern w:val="0"/>
          <w:szCs w:val="22"/>
        </w:rPr>
        <w:t xml:space="preserve">CERTAIN </w:t>
      </w:r>
      <w:r>
        <w:rPr>
          <w:b/>
          <w:caps/>
          <w:kern w:val="0"/>
          <w:szCs w:val="22"/>
        </w:rPr>
        <w:t>DOMESTIC</w:t>
      </w:r>
      <w:r w:rsidR="00494EE1">
        <w:rPr>
          <w:b/>
          <w:caps/>
          <w:kern w:val="0"/>
          <w:szCs w:val="22"/>
        </w:rPr>
        <w:t xml:space="preserve"> BUSINESS</w:t>
      </w:r>
      <w:r w:rsidR="0051193B">
        <w:rPr>
          <w:b/>
          <w:caps/>
          <w:kern w:val="0"/>
          <w:szCs w:val="22"/>
        </w:rPr>
        <w:t xml:space="preserve"> </w:t>
      </w:r>
      <w:r>
        <w:rPr>
          <w:b/>
          <w:kern w:val="0"/>
          <w:szCs w:val="22"/>
        </w:rPr>
        <w:t>TELECOMMUNICATIONS SERVICES</w:t>
      </w:r>
      <w:r w:rsidR="00430D8A">
        <w:rPr>
          <w:b/>
          <w:kern w:val="0"/>
          <w:szCs w:val="22"/>
        </w:rPr>
        <w:t xml:space="preserve"> </w:t>
      </w:r>
      <w:r w:rsidR="002E0041">
        <w:rPr>
          <w:b/>
          <w:kern w:val="0"/>
          <w:szCs w:val="22"/>
        </w:rPr>
        <w:t xml:space="preserve">IN </w:t>
      </w:r>
      <w:r w:rsidR="0051193B">
        <w:rPr>
          <w:b/>
          <w:kern w:val="0"/>
          <w:szCs w:val="22"/>
        </w:rPr>
        <w:t>TRIAL WIRE CENTERS</w:t>
      </w:r>
    </w:p>
    <w:p w14:paraId="36864965"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58BA6BF3" w14:textId="0818D694"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w:t>
      </w:r>
      <w:r w:rsidR="00C73941">
        <w:rPr>
          <w:b/>
          <w:kern w:val="0"/>
          <w:szCs w:val="22"/>
        </w:rPr>
        <w:t>s</w:t>
      </w:r>
      <w:r>
        <w:rPr>
          <w:b/>
          <w:kern w:val="0"/>
          <w:szCs w:val="22"/>
        </w:rPr>
        <w:t>. 1</w:t>
      </w:r>
      <w:r w:rsidR="008A4C17">
        <w:rPr>
          <w:b/>
          <w:kern w:val="0"/>
          <w:szCs w:val="22"/>
        </w:rPr>
        <w:t>6</w:t>
      </w:r>
      <w:r>
        <w:rPr>
          <w:b/>
          <w:kern w:val="0"/>
          <w:szCs w:val="22"/>
        </w:rPr>
        <w:t>-</w:t>
      </w:r>
      <w:r w:rsidR="00FB1838">
        <w:rPr>
          <w:b/>
          <w:kern w:val="0"/>
          <w:szCs w:val="22"/>
        </w:rPr>
        <w:t>2</w:t>
      </w:r>
      <w:r w:rsidR="008A4C17">
        <w:rPr>
          <w:b/>
          <w:kern w:val="0"/>
          <w:szCs w:val="22"/>
        </w:rPr>
        <w:t>18</w:t>
      </w:r>
      <w:r w:rsidR="00C73941">
        <w:rPr>
          <w:b/>
          <w:kern w:val="0"/>
          <w:szCs w:val="22"/>
        </w:rPr>
        <w:t>, 1</w:t>
      </w:r>
      <w:r w:rsidR="008A4C17">
        <w:rPr>
          <w:b/>
          <w:kern w:val="0"/>
          <w:szCs w:val="22"/>
        </w:rPr>
        <w:t>6</w:t>
      </w:r>
      <w:r w:rsidR="00C73941">
        <w:rPr>
          <w:b/>
          <w:kern w:val="0"/>
          <w:szCs w:val="22"/>
        </w:rPr>
        <w:t>-</w:t>
      </w:r>
      <w:r w:rsidR="008A4C17">
        <w:rPr>
          <w:b/>
          <w:kern w:val="0"/>
          <w:szCs w:val="22"/>
        </w:rPr>
        <w:t>249</w:t>
      </w:r>
      <w:r w:rsidR="00C73941">
        <w:rPr>
          <w:b/>
          <w:kern w:val="0"/>
          <w:szCs w:val="22"/>
        </w:rPr>
        <w:t xml:space="preserve"> &amp; 1</w:t>
      </w:r>
      <w:r w:rsidR="008A4C17">
        <w:rPr>
          <w:b/>
          <w:kern w:val="0"/>
          <w:szCs w:val="22"/>
        </w:rPr>
        <w:t>6</w:t>
      </w:r>
      <w:r w:rsidR="00C73941">
        <w:rPr>
          <w:b/>
          <w:kern w:val="0"/>
          <w:szCs w:val="22"/>
        </w:rPr>
        <w:t>-</w:t>
      </w:r>
      <w:r w:rsidR="008A4C17">
        <w:rPr>
          <w:b/>
          <w:kern w:val="0"/>
          <w:szCs w:val="22"/>
        </w:rPr>
        <w:t>250</w:t>
      </w:r>
    </w:p>
    <w:p w14:paraId="02CC3554" w14:textId="77777777" w:rsidR="00430D8A" w:rsidRDefault="00430D8A">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GN Docket No. 13-5</w:t>
      </w:r>
    </w:p>
    <w:p w14:paraId="6F268824" w14:textId="77777777" w:rsidR="00430D8A" w:rsidRDefault="00430D8A">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GN Docket No. 12-353</w:t>
      </w:r>
    </w:p>
    <w:p w14:paraId="3441C8DD" w14:textId="20770B1E"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w:t>
      </w:r>
      <w:r w:rsidR="004C374A">
        <w:rPr>
          <w:b/>
          <w:kern w:val="0"/>
          <w:szCs w:val="22"/>
        </w:rPr>
        <w:t>s</w:t>
      </w:r>
      <w:r>
        <w:rPr>
          <w:b/>
          <w:kern w:val="0"/>
          <w:szCs w:val="22"/>
        </w:rPr>
        <w:t xml:space="preserve">. </w:t>
      </w:r>
      <w:r w:rsidR="004C374A">
        <w:rPr>
          <w:b/>
          <w:kern w:val="0"/>
          <w:szCs w:val="22"/>
        </w:rPr>
        <w:t>1</w:t>
      </w:r>
      <w:r w:rsidR="008A4C17">
        <w:rPr>
          <w:b/>
          <w:kern w:val="0"/>
          <w:szCs w:val="22"/>
        </w:rPr>
        <w:t>334</w:t>
      </w:r>
      <w:r w:rsidR="004C374A">
        <w:rPr>
          <w:b/>
          <w:kern w:val="0"/>
          <w:szCs w:val="22"/>
        </w:rPr>
        <w:t xml:space="preserve">, </w:t>
      </w:r>
      <w:r>
        <w:rPr>
          <w:b/>
          <w:kern w:val="0"/>
          <w:szCs w:val="22"/>
        </w:rPr>
        <w:t>1</w:t>
      </w:r>
      <w:r w:rsidR="008A4C17">
        <w:rPr>
          <w:b/>
          <w:kern w:val="0"/>
          <w:szCs w:val="22"/>
        </w:rPr>
        <w:t>335</w:t>
      </w:r>
      <w:r w:rsidR="004C374A">
        <w:rPr>
          <w:b/>
          <w:kern w:val="0"/>
          <w:szCs w:val="22"/>
        </w:rPr>
        <w:t xml:space="preserve"> &amp; 1</w:t>
      </w:r>
      <w:r w:rsidR="008A4C17">
        <w:rPr>
          <w:b/>
          <w:kern w:val="0"/>
          <w:szCs w:val="22"/>
        </w:rPr>
        <w:t>336</w:t>
      </w:r>
    </w:p>
    <w:p w14:paraId="5AC39389"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1BFFD307" w14:textId="473822E4"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8A4C17">
        <w:rPr>
          <w:b/>
          <w:kern w:val="0"/>
          <w:szCs w:val="22"/>
        </w:rPr>
        <w:t>September 14</w:t>
      </w:r>
      <w:r w:rsidR="006076B9">
        <w:rPr>
          <w:b/>
          <w:kern w:val="0"/>
          <w:szCs w:val="22"/>
        </w:rPr>
        <w:t>, 201</w:t>
      </w:r>
      <w:r w:rsidR="008A4C17">
        <w:rPr>
          <w:b/>
          <w:kern w:val="0"/>
          <w:szCs w:val="22"/>
        </w:rPr>
        <w:t>6</w:t>
      </w:r>
    </w:p>
    <w:p w14:paraId="404F685E"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163BA29"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14:paraId="29E992D5"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13D8D">
        <w:rPr>
          <w:b/>
          <w:szCs w:val="22"/>
        </w:rPr>
        <w:t xml:space="preserve">AT&amp;T Services, Inc. on behalf of </w:t>
      </w:r>
      <w:r w:rsidR="00FB1838">
        <w:rPr>
          <w:b/>
          <w:szCs w:val="22"/>
        </w:rPr>
        <w:t>BellSouth Telecommunications, LLC</w:t>
      </w:r>
      <w:r w:rsidR="00813D8D">
        <w:rPr>
          <w:b/>
          <w:szCs w:val="22"/>
        </w:rPr>
        <w:t xml:space="preserve"> d/b/a AT&amp;T </w:t>
      </w:r>
      <w:r w:rsidR="00FB1838">
        <w:rPr>
          <w:b/>
          <w:szCs w:val="22"/>
        </w:rPr>
        <w:t>Southeast</w:t>
      </w:r>
    </w:p>
    <w:p w14:paraId="00B2CA5A"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10CD2AE8" w14:textId="517C9D76" w:rsidR="00167E22" w:rsidRPr="008C464B"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t xml:space="preserve">On </w:t>
      </w:r>
      <w:r w:rsidR="005705BB">
        <w:rPr>
          <w:spacing w:val="-3"/>
          <w:szCs w:val="22"/>
        </w:rPr>
        <w:t>July 1, 2016</w:t>
      </w:r>
      <w:r w:rsidRPr="000B1A08">
        <w:rPr>
          <w:spacing w:val="-3"/>
          <w:szCs w:val="22"/>
        </w:rPr>
        <w:t>, AT&amp;T Services, Inc.</w:t>
      </w:r>
      <w:r>
        <w:rPr>
          <w:b/>
          <w:spacing w:val="-3"/>
          <w:szCs w:val="22"/>
        </w:rPr>
        <w:t xml:space="preserve"> </w:t>
      </w:r>
      <w:r>
        <w:rPr>
          <w:spacing w:val="-3"/>
          <w:szCs w:val="22"/>
        </w:rPr>
        <w:t xml:space="preserve">(AT&amp;T or Applicant) filed applications with </w:t>
      </w:r>
      <w:r>
        <w:rPr>
          <w:szCs w:val="22"/>
        </w:rPr>
        <w:t xml:space="preserve">the Federal Communications Commission (FCC or Commission) on behalf of its affiliate, </w:t>
      </w:r>
      <w:r w:rsidRPr="000B1A08">
        <w:rPr>
          <w:spacing w:val="-3"/>
          <w:szCs w:val="22"/>
        </w:rPr>
        <w:t>BellSouth Telecommunications, LLC d/b/a AT&amp;T Southeast</w:t>
      </w:r>
      <w:r>
        <w:rPr>
          <w:spacing w:val="-3"/>
          <w:szCs w:val="22"/>
        </w:rPr>
        <w:t xml:space="preserve"> (AT&amp;T Southeast or Applicant)</w:t>
      </w:r>
      <w:r>
        <w:rPr>
          <w:szCs w:val="22"/>
        </w:rPr>
        <w:t>,</w:t>
      </w:r>
      <w:r>
        <w:rPr>
          <w:rStyle w:val="FootnoteReference"/>
          <w:szCs w:val="22"/>
        </w:rPr>
        <w:footnoteReference w:id="1"/>
      </w:r>
      <w:r>
        <w:rPr>
          <w:szCs w:val="22"/>
        </w:rPr>
        <w:t xml:space="preserve"> requesting authority, under section 214 of the Communications Act of 1934, as amended,</w:t>
      </w:r>
      <w:r>
        <w:rPr>
          <w:rStyle w:val="FootnoteReference"/>
          <w:szCs w:val="22"/>
        </w:rPr>
        <w:footnoteReference w:id="2"/>
      </w:r>
      <w:r>
        <w:rPr>
          <w:szCs w:val="22"/>
        </w:rPr>
        <w:t xml:space="preserve"> and section 63.71 of the Commission’s rules,</w:t>
      </w:r>
      <w:r>
        <w:rPr>
          <w:rStyle w:val="FootnoteReference"/>
          <w:szCs w:val="22"/>
        </w:rPr>
        <w:footnoteReference w:id="3"/>
      </w:r>
      <w:r>
        <w:rPr>
          <w:szCs w:val="22"/>
        </w:rPr>
        <w:t xml:space="preserve"> to </w:t>
      </w:r>
      <w:r w:rsidR="005705BB">
        <w:rPr>
          <w:szCs w:val="22"/>
        </w:rPr>
        <w:t>discontinue</w:t>
      </w:r>
      <w:r>
        <w:rPr>
          <w:szCs w:val="22"/>
        </w:rPr>
        <w:t xml:space="preserve"> three domestic </w:t>
      </w:r>
      <w:r w:rsidR="00494EE1">
        <w:rPr>
          <w:szCs w:val="22"/>
        </w:rPr>
        <w:t xml:space="preserve">business </w:t>
      </w:r>
      <w:r>
        <w:rPr>
          <w:szCs w:val="22"/>
        </w:rPr>
        <w:t xml:space="preserve">telecommunications services </w:t>
      </w:r>
      <w:r w:rsidRPr="00A45C07">
        <w:rPr>
          <w:szCs w:val="22"/>
        </w:rPr>
        <w:t xml:space="preserve">in </w:t>
      </w:r>
      <w:r>
        <w:rPr>
          <w:szCs w:val="22"/>
        </w:rPr>
        <w:t xml:space="preserve">its service-based experiment trial wire centers serving Carbon Hill, Alabama and serving Kings Point, </w:t>
      </w:r>
      <w:r w:rsidR="00470578" w:rsidRPr="00A85098">
        <w:rPr>
          <w:szCs w:val="22"/>
        </w:rPr>
        <w:t xml:space="preserve">a suburban wire center in Palm Beach County, </w:t>
      </w:r>
      <w:r>
        <w:rPr>
          <w:szCs w:val="22"/>
        </w:rPr>
        <w:t xml:space="preserve">Florida (collectively, Trial Wire Centers):  </w:t>
      </w:r>
      <w:r w:rsidRPr="00E64ADA">
        <w:rPr>
          <w:szCs w:val="22"/>
        </w:rPr>
        <w:t>BellSouth Analog Voice Grade Private Line Services</w:t>
      </w:r>
      <w:r>
        <w:rPr>
          <w:szCs w:val="22"/>
        </w:rPr>
        <w:t xml:space="preserve">; </w:t>
      </w:r>
      <w:r w:rsidR="00470578" w:rsidRPr="00E64ADA">
        <w:rPr>
          <w:szCs w:val="22"/>
        </w:rPr>
        <w:t>BellSouth Program Audio Service (a.k.a. BellSouth SPA Program Audio)</w:t>
      </w:r>
      <w:r>
        <w:rPr>
          <w:szCs w:val="22"/>
        </w:rPr>
        <w:t xml:space="preserve">; and </w:t>
      </w:r>
      <w:r w:rsidR="00470578">
        <w:rPr>
          <w:szCs w:val="22"/>
        </w:rPr>
        <w:t>BellSouth Analog Video Service – TV-1</w:t>
      </w:r>
      <w:r w:rsidR="00831EC5">
        <w:rPr>
          <w:szCs w:val="22"/>
        </w:rPr>
        <w:t xml:space="preserve"> </w:t>
      </w:r>
      <w:r w:rsidR="00470578" w:rsidRPr="00A85098">
        <w:rPr>
          <w:szCs w:val="22"/>
        </w:rPr>
        <w:t>(also known as BellSou</w:t>
      </w:r>
      <w:r w:rsidR="00470578">
        <w:rPr>
          <w:szCs w:val="22"/>
        </w:rPr>
        <w:t xml:space="preserve">th SPA Broadcast Quality Video) </w:t>
      </w:r>
      <w:r w:rsidR="00831EC5">
        <w:rPr>
          <w:szCs w:val="22"/>
        </w:rPr>
        <w:t>(collectively, Affected Services)</w:t>
      </w:r>
      <w:r>
        <w:rPr>
          <w:szCs w:val="22"/>
        </w:rPr>
        <w:t xml:space="preserve">.  </w:t>
      </w:r>
      <w:r w:rsidR="000008AF">
        <w:rPr>
          <w:szCs w:val="22"/>
        </w:rPr>
        <w:t xml:space="preserve">AT&amp;T </w:t>
      </w:r>
      <w:r w:rsidR="0009304F">
        <w:rPr>
          <w:szCs w:val="22"/>
        </w:rPr>
        <w:t>initially explained that</w:t>
      </w:r>
      <w:r w:rsidR="002D4A00">
        <w:rPr>
          <w:szCs w:val="22"/>
        </w:rPr>
        <w:t xml:space="preserve"> its plans to “grandfather” the Affected Services would entail continued service to existing customers and the offer</w:t>
      </w:r>
      <w:r w:rsidR="002D4A00" w:rsidRPr="006311AA">
        <w:t xml:space="preserve"> </w:t>
      </w:r>
      <w:r w:rsidR="002D4A00">
        <w:t xml:space="preserve">of </w:t>
      </w:r>
      <w:r w:rsidR="002D4A00" w:rsidRPr="006311AA">
        <w:t xml:space="preserve">only </w:t>
      </w:r>
      <w:r w:rsidR="002D4A00">
        <w:t>next generation wireless and wireline Internet Protocol (</w:t>
      </w:r>
      <w:r w:rsidR="002D4A00" w:rsidRPr="006311AA">
        <w:t>IP</w:t>
      </w:r>
      <w:r w:rsidR="002D4A00">
        <w:t>)</w:t>
      </w:r>
      <w:r w:rsidR="002D4A00" w:rsidRPr="006311AA">
        <w:t xml:space="preserve">-based </w:t>
      </w:r>
      <w:r w:rsidR="002D4A00">
        <w:t>alternatives</w:t>
      </w:r>
      <w:r w:rsidR="002D4A00" w:rsidRPr="006311AA">
        <w:t xml:space="preserve"> </w:t>
      </w:r>
      <w:r w:rsidR="002D4A00">
        <w:t>for new orders</w:t>
      </w:r>
      <w:r w:rsidR="002D4A00">
        <w:rPr>
          <w:szCs w:val="22"/>
        </w:rPr>
        <w:t>.</w:t>
      </w:r>
      <w:r w:rsidR="002D4A00">
        <w:rPr>
          <w:rStyle w:val="FootnoteReference"/>
          <w:szCs w:val="22"/>
        </w:rPr>
        <w:footnoteReference w:id="4"/>
      </w:r>
      <w:r w:rsidR="002D4A00">
        <w:rPr>
          <w:szCs w:val="22"/>
        </w:rPr>
        <w:t xml:space="preserve">  AT&amp;T </w:t>
      </w:r>
      <w:r w:rsidR="00494EE1">
        <w:rPr>
          <w:szCs w:val="22"/>
        </w:rPr>
        <w:t>“</w:t>
      </w:r>
      <w:r w:rsidR="00BD63BF">
        <w:rPr>
          <w:szCs w:val="22"/>
        </w:rPr>
        <w:t>grandfathered</w:t>
      </w:r>
      <w:r w:rsidR="00494EE1">
        <w:rPr>
          <w:szCs w:val="22"/>
        </w:rPr>
        <w:t>”</w:t>
      </w:r>
      <w:r w:rsidR="00BD63BF">
        <w:rPr>
          <w:szCs w:val="22"/>
        </w:rPr>
        <w:t xml:space="preserve"> the Affected Services on February 16, 2016 after its </w:t>
      </w:r>
      <w:r w:rsidR="00BF4ABD">
        <w:rPr>
          <w:szCs w:val="22"/>
        </w:rPr>
        <w:t xml:space="preserve">initial </w:t>
      </w:r>
      <w:r w:rsidR="00BD63BF">
        <w:rPr>
          <w:szCs w:val="22"/>
        </w:rPr>
        <w:t>applications were deemed granted pursuant to the Commission’s public notice</w:t>
      </w:r>
      <w:r w:rsidR="00BF4ABD">
        <w:rPr>
          <w:szCs w:val="22"/>
        </w:rPr>
        <w:t>.</w:t>
      </w:r>
      <w:r w:rsidR="002D4A00">
        <w:rPr>
          <w:szCs w:val="22"/>
        </w:rPr>
        <w:t xml:space="preserve"> </w:t>
      </w:r>
      <w:r w:rsidR="00BF4ABD">
        <w:rPr>
          <w:szCs w:val="22"/>
        </w:rPr>
        <w:t xml:space="preserve"> AT&amp;T </w:t>
      </w:r>
      <w:r w:rsidR="003B5FE9">
        <w:rPr>
          <w:szCs w:val="22"/>
        </w:rPr>
        <w:t>indicates</w:t>
      </w:r>
      <w:r w:rsidR="002D4A00">
        <w:rPr>
          <w:szCs w:val="22"/>
        </w:rPr>
        <w:t xml:space="preserve"> that it does not have any current customers for these services</w:t>
      </w:r>
      <w:r w:rsidR="00BF4ABD">
        <w:rPr>
          <w:szCs w:val="22"/>
        </w:rPr>
        <w:t xml:space="preserve"> and that it now seeks to discontinue the Affected Services in the Trial Wire Centers</w:t>
      </w:r>
      <w:r w:rsidR="00BD63BF">
        <w:rPr>
          <w:szCs w:val="22"/>
        </w:rPr>
        <w:t xml:space="preserve">.  </w:t>
      </w:r>
      <w:r>
        <w:rPr>
          <w:szCs w:val="22"/>
        </w:rPr>
        <w:t xml:space="preserve">The three services that AT&amp;T </w:t>
      </w:r>
      <w:r w:rsidR="003833CC">
        <w:rPr>
          <w:szCs w:val="22"/>
        </w:rPr>
        <w:t xml:space="preserve">grandfathered and now </w:t>
      </w:r>
      <w:r>
        <w:rPr>
          <w:szCs w:val="22"/>
        </w:rPr>
        <w:t xml:space="preserve">seeks to </w:t>
      </w:r>
      <w:r w:rsidR="003833CC">
        <w:rPr>
          <w:szCs w:val="22"/>
        </w:rPr>
        <w:t xml:space="preserve">discontinue, </w:t>
      </w:r>
      <w:r>
        <w:rPr>
          <w:szCs w:val="22"/>
        </w:rPr>
        <w:t>and the IP-based alternatives that it identifies are described in greater detail below.</w:t>
      </w:r>
    </w:p>
    <w:p w14:paraId="29F3B0EB" w14:textId="77777777" w:rsidR="00167E22"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BE8B2D5" w14:textId="083A61F1" w:rsidR="00BA0D2C" w:rsidRPr="00AE1993" w:rsidRDefault="006076B9"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pacing w:val="-3"/>
          <w:szCs w:val="22"/>
        </w:rPr>
        <w:tab/>
      </w:r>
      <w:r w:rsidR="00D055E3">
        <w:rPr>
          <w:spacing w:val="-3"/>
          <w:szCs w:val="22"/>
        </w:rPr>
        <w:t xml:space="preserve"> AT&amp;T </w:t>
      </w:r>
      <w:r w:rsidR="00BF4ABD">
        <w:rPr>
          <w:spacing w:val="-3"/>
          <w:szCs w:val="22"/>
        </w:rPr>
        <w:t xml:space="preserve">has identified </w:t>
      </w:r>
      <w:r w:rsidR="00D055E3">
        <w:rPr>
          <w:spacing w:val="-3"/>
          <w:szCs w:val="22"/>
        </w:rPr>
        <w:t xml:space="preserve">the </w:t>
      </w:r>
      <w:r w:rsidR="00955F52">
        <w:rPr>
          <w:spacing w:val="-3"/>
          <w:szCs w:val="22"/>
        </w:rPr>
        <w:t>Affected Services</w:t>
      </w:r>
      <w:r w:rsidR="00D055E3">
        <w:rPr>
          <w:spacing w:val="-3"/>
          <w:szCs w:val="22"/>
        </w:rPr>
        <w:t xml:space="preserve"> as the “[f]irst [t]ranche of </w:t>
      </w:r>
      <w:r w:rsidR="00BF4ABD">
        <w:rPr>
          <w:spacing w:val="-3"/>
          <w:szCs w:val="22"/>
        </w:rPr>
        <w:t xml:space="preserve">[s]ervices to be [g]randfathered” </w:t>
      </w:r>
      <w:r w:rsidR="00815732">
        <w:rPr>
          <w:spacing w:val="-3"/>
          <w:szCs w:val="22"/>
        </w:rPr>
        <w:t xml:space="preserve">in </w:t>
      </w:r>
      <w:r w:rsidR="00D055E3">
        <w:rPr>
          <w:spacing w:val="-3"/>
          <w:szCs w:val="22"/>
        </w:rPr>
        <w:t>its proposed service-based experiment filed in response to the Commission’s January 2014</w:t>
      </w:r>
      <w:r w:rsidR="00D055E3" w:rsidRPr="00C930E5">
        <w:rPr>
          <w:spacing w:val="-3"/>
          <w:szCs w:val="22"/>
        </w:rPr>
        <w:t xml:space="preserve"> </w:t>
      </w:r>
      <w:r w:rsidR="00D055E3" w:rsidRPr="00C930E5">
        <w:rPr>
          <w:i/>
          <w:spacing w:val="-3"/>
          <w:szCs w:val="22"/>
        </w:rPr>
        <w:t>Technology Transitions Order</w:t>
      </w:r>
      <w:r w:rsidR="00D055E3">
        <w:rPr>
          <w:spacing w:val="-3"/>
          <w:szCs w:val="22"/>
        </w:rPr>
        <w:t>.</w:t>
      </w:r>
      <w:r w:rsidR="00D055E3" w:rsidRPr="00C930E5">
        <w:rPr>
          <w:spacing w:val="-3"/>
          <w:szCs w:val="22"/>
          <w:vertAlign w:val="superscript"/>
        </w:rPr>
        <w:footnoteReference w:id="5"/>
      </w:r>
      <w:r w:rsidR="00D055E3">
        <w:rPr>
          <w:szCs w:val="22"/>
        </w:rPr>
        <w:t xml:space="preserve">  </w:t>
      </w:r>
      <w:r w:rsidR="00D055E3">
        <w:rPr>
          <w:spacing w:val="-3"/>
          <w:szCs w:val="22"/>
        </w:rPr>
        <w:t>In that order, the Commission</w:t>
      </w:r>
      <w:r w:rsidR="0051193B">
        <w:rPr>
          <w:spacing w:val="-3"/>
          <w:szCs w:val="22"/>
        </w:rPr>
        <w:t xml:space="preserve">, </w:t>
      </w:r>
      <w:r w:rsidR="0055368F" w:rsidRPr="00C930E5">
        <w:rPr>
          <w:spacing w:val="-3"/>
          <w:szCs w:val="22"/>
        </w:rPr>
        <w:t>solicited proposals for “service-based experiments” – i.e., “experiments in which incumbent providers seek to substitute new communications technologies for the TDM-based services over copper lines that they currently are providing to customers.”</w:t>
      </w:r>
      <w:r w:rsidR="0055368F" w:rsidRPr="00C930E5">
        <w:rPr>
          <w:spacing w:val="-3"/>
          <w:szCs w:val="22"/>
          <w:vertAlign w:val="superscript"/>
        </w:rPr>
        <w:footnoteReference w:id="6"/>
      </w:r>
      <w:r w:rsidR="0055368F" w:rsidRPr="00C930E5">
        <w:rPr>
          <w:spacing w:val="-3"/>
          <w:szCs w:val="22"/>
        </w:rPr>
        <w:t xml:space="preserve">  In response to the </w:t>
      </w:r>
      <w:r w:rsidR="0055368F" w:rsidRPr="00C930E5">
        <w:rPr>
          <w:i/>
          <w:spacing w:val="-3"/>
          <w:szCs w:val="22"/>
        </w:rPr>
        <w:t>Technology Transitions Order</w:t>
      </w:r>
      <w:r w:rsidR="0055368F" w:rsidRPr="00C930E5">
        <w:rPr>
          <w:spacing w:val="-3"/>
          <w:szCs w:val="22"/>
        </w:rPr>
        <w:t xml:space="preserve">, on February 27, 2014, AT&amp;T filed a </w:t>
      </w:r>
      <w:r w:rsidR="0051193B">
        <w:rPr>
          <w:spacing w:val="-3"/>
          <w:szCs w:val="22"/>
        </w:rPr>
        <w:t>p</w:t>
      </w:r>
      <w:r w:rsidR="0055368F" w:rsidRPr="00C930E5">
        <w:rPr>
          <w:spacing w:val="-3"/>
          <w:szCs w:val="22"/>
        </w:rPr>
        <w:t>roposal to conduct service-based experiments in</w:t>
      </w:r>
      <w:r w:rsidR="008C464B">
        <w:rPr>
          <w:spacing w:val="-3"/>
          <w:szCs w:val="22"/>
        </w:rPr>
        <w:t xml:space="preserve"> the Trial Wire Centers</w:t>
      </w:r>
      <w:r w:rsidR="0055368F" w:rsidRPr="00C930E5">
        <w:rPr>
          <w:spacing w:val="-3"/>
          <w:szCs w:val="22"/>
        </w:rPr>
        <w:t>.</w:t>
      </w:r>
      <w:r w:rsidR="0055368F" w:rsidRPr="00C930E5">
        <w:rPr>
          <w:spacing w:val="-3"/>
          <w:szCs w:val="22"/>
          <w:vertAlign w:val="superscript"/>
        </w:rPr>
        <w:footnoteReference w:id="7"/>
      </w:r>
      <w:r w:rsidR="0055368F" w:rsidRPr="00C930E5">
        <w:rPr>
          <w:spacing w:val="-3"/>
          <w:szCs w:val="22"/>
        </w:rPr>
        <w:t xml:space="preserve">  The stated goal of the trials is to </w:t>
      </w:r>
      <w:r w:rsidR="00D37D53">
        <w:rPr>
          <w:spacing w:val="-3"/>
          <w:szCs w:val="22"/>
        </w:rPr>
        <w:t>evaluate how customers are affected by</w:t>
      </w:r>
      <w:r w:rsidR="00D37D53" w:rsidRPr="00C930E5">
        <w:rPr>
          <w:spacing w:val="-3"/>
          <w:szCs w:val="22"/>
        </w:rPr>
        <w:t xml:space="preserve"> </w:t>
      </w:r>
      <w:r w:rsidR="0055368F" w:rsidRPr="00C930E5">
        <w:rPr>
          <w:spacing w:val="-3"/>
          <w:szCs w:val="22"/>
        </w:rPr>
        <w:t>the transition</w:t>
      </w:r>
      <w:r w:rsidR="00D37D53">
        <w:rPr>
          <w:spacing w:val="-3"/>
          <w:szCs w:val="22"/>
        </w:rPr>
        <w:t>s</w:t>
      </w:r>
      <w:r w:rsidR="0055368F" w:rsidRPr="00C930E5">
        <w:rPr>
          <w:spacing w:val="-3"/>
          <w:szCs w:val="22"/>
        </w:rPr>
        <w:t xml:space="preserve"> away from </w:t>
      </w:r>
      <w:r w:rsidR="008C464B">
        <w:rPr>
          <w:spacing w:val="-3"/>
          <w:szCs w:val="22"/>
        </w:rPr>
        <w:t>time-division multiplex (</w:t>
      </w:r>
      <w:r w:rsidR="0055368F" w:rsidRPr="00C930E5">
        <w:rPr>
          <w:spacing w:val="-3"/>
          <w:szCs w:val="22"/>
        </w:rPr>
        <w:t>TDM</w:t>
      </w:r>
      <w:r w:rsidR="008C464B">
        <w:rPr>
          <w:spacing w:val="-3"/>
          <w:szCs w:val="22"/>
        </w:rPr>
        <w:t>)</w:t>
      </w:r>
      <w:r w:rsidR="0055368F" w:rsidRPr="00C930E5">
        <w:rPr>
          <w:spacing w:val="-3"/>
          <w:szCs w:val="22"/>
        </w:rPr>
        <w:t>-based services over to wireline and wireless all-IP services.</w:t>
      </w:r>
      <w:r w:rsidR="00757095">
        <w:rPr>
          <w:rStyle w:val="FootnoteReference"/>
          <w:spacing w:val="-3"/>
          <w:szCs w:val="22"/>
        </w:rPr>
        <w:footnoteReference w:id="8"/>
      </w:r>
      <w:r w:rsidR="0055368F" w:rsidRPr="00C930E5">
        <w:rPr>
          <w:spacing w:val="-3"/>
          <w:szCs w:val="22"/>
        </w:rPr>
        <w:t xml:space="preserve">  </w:t>
      </w:r>
      <w:r w:rsidR="00553F2C">
        <w:rPr>
          <w:spacing w:val="-3"/>
          <w:szCs w:val="22"/>
        </w:rPr>
        <w:t xml:space="preserve">In its filing, </w:t>
      </w:r>
      <w:r w:rsidR="0055368F" w:rsidRPr="00C930E5">
        <w:rPr>
          <w:spacing w:val="-3"/>
          <w:szCs w:val="22"/>
        </w:rPr>
        <w:t>AT&amp;T</w:t>
      </w:r>
      <w:r w:rsidR="00553F2C">
        <w:rPr>
          <w:spacing w:val="-3"/>
          <w:szCs w:val="22"/>
        </w:rPr>
        <w:t xml:space="preserve"> stated that it</w:t>
      </w:r>
      <w:r w:rsidR="0055368F" w:rsidRPr="00C930E5">
        <w:rPr>
          <w:spacing w:val="-3"/>
          <w:szCs w:val="22"/>
        </w:rPr>
        <w:t xml:space="preserve"> </w:t>
      </w:r>
      <w:r w:rsidR="0051193B">
        <w:rPr>
          <w:spacing w:val="-3"/>
          <w:szCs w:val="22"/>
        </w:rPr>
        <w:t>intends to proceed with the trial in</w:t>
      </w:r>
      <w:r w:rsidR="0055368F" w:rsidRPr="00C930E5">
        <w:rPr>
          <w:spacing w:val="-3"/>
          <w:szCs w:val="22"/>
        </w:rPr>
        <w:t xml:space="preserve"> two phases.</w:t>
      </w:r>
      <w:r w:rsidR="0055368F" w:rsidRPr="00C930E5">
        <w:rPr>
          <w:spacing w:val="-3"/>
          <w:szCs w:val="22"/>
          <w:vertAlign w:val="superscript"/>
        </w:rPr>
        <w:footnoteReference w:id="9"/>
      </w:r>
      <w:r w:rsidR="0055368F" w:rsidRPr="00C930E5">
        <w:rPr>
          <w:spacing w:val="-3"/>
          <w:szCs w:val="22"/>
        </w:rPr>
        <w:t xml:space="preserve">  In the first phase, AT&amp;T will seek permission to “grandfather” existing accounts for TDM-based services.</w:t>
      </w:r>
      <w:r w:rsidR="0055368F" w:rsidRPr="00C930E5">
        <w:rPr>
          <w:spacing w:val="-3"/>
          <w:szCs w:val="22"/>
          <w:vertAlign w:val="superscript"/>
        </w:rPr>
        <w:footnoteReference w:id="10"/>
      </w:r>
      <w:r w:rsidR="0055368F" w:rsidRPr="00C930E5">
        <w:rPr>
          <w:spacing w:val="-3"/>
          <w:szCs w:val="22"/>
        </w:rPr>
        <w:t xml:space="preserve">  In the second phase, AT&amp;T will seek permission to transition all </w:t>
      </w:r>
      <w:r w:rsidR="0055368F">
        <w:rPr>
          <w:spacing w:val="-3"/>
          <w:szCs w:val="22"/>
        </w:rPr>
        <w:t xml:space="preserve">existing </w:t>
      </w:r>
      <w:r w:rsidR="0055368F" w:rsidRPr="00C930E5">
        <w:rPr>
          <w:spacing w:val="-3"/>
          <w:szCs w:val="22"/>
        </w:rPr>
        <w:t>customer accounts to the IP-based services.</w:t>
      </w:r>
      <w:r w:rsidR="0055368F" w:rsidRPr="00C930E5">
        <w:rPr>
          <w:spacing w:val="-3"/>
          <w:szCs w:val="22"/>
          <w:vertAlign w:val="superscript"/>
        </w:rPr>
        <w:footnoteReference w:id="11"/>
      </w:r>
    </w:p>
    <w:p w14:paraId="43CB5C79" w14:textId="77777777" w:rsidR="00BA0D2C" w:rsidRDefault="00BA0D2C"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188E8A88" w14:textId="7BDFCF54" w:rsidR="00B57BE4" w:rsidRPr="00C930E5" w:rsidRDefault="00BA0D2C"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5E5844" w:rsidRPr="005E5844">
        <w:rPr>
          <w:spacing w:val="-3"/>
          <w:szCs w:val="22"/>
        </w:rPr>
        <w:t xml:space="preserve">While AT&amp;T submits these applications in the context of its proposed service-based trials, we note that these services </w:t>
      </w:r>
      <w:r w:rsidR="00494EE1" w:rsidRPr="005E5844">
        <w:rPr>
          <w:spacing w:val="-3"/>
          <w:szCs w:val="22"/>
        </w:rPr>
        <w:t>ha</w:t>
      </w:r>
      <w:r w:rsidR="00494EE1">
        <w:rPr>
          <w:spacing w:val="-3"/>
          <w:szCs w:val="22"/>
        </w:rPr>
        <w:t>ve</w:t>
      </w:r>
      <w:r w:rsidR="00494EE1" w:rsidRPr="005E5844">
        <w:rPr>
          <w:spacing w:val="-3"/>
          <w:szCs w:val="22"/>
        </w:rPr>
        <w:t xml:space="preserve"> </w:t>
      </w:r>
      <w:r w:rsidR="005E5844" w:rsidRPr="005E5844">
        <w:rPr>
          <w:spacing w:val="-3"/>
          <w:szCs w:val="22"/>
        </w:rPr>
        <w:t>no customers and thus are distinct from the more widely deployed retail and wholesale services that were the focus of the January</w:t>
      </w:r>
      <w:r w:rsidR="005C1457">
        <w:rPr>
          <w:spacing w:val="-3"/>
          <w:szCs w:val="22"/>
        </w:rPr>
        <w:t xml:space="preserve"> 2014</w:t>
      </w:r>
      <w:r w:rsidR="005E5844" w:rsidRPr="005E5844">
        <w:rPr>
          <w:spacing w:val="-3"/>
          <w:szCs w:val="22"/>
        </w:rPr>
        <w:t xml:space="preserve"> </w:t>
      </w:r>
      <w:r w:rsidR="005E5844" w:rsidRPr="00BA0D2C">
        <w:rPr>
          <w:i/>
          <w:spacing w:val="-3"/>
          <w:szCs w:val="22"/>
        </w:rPr>
        <w:t>Technology Transitions Order</w:t>
      </w:r>
      <w:r w:rsidR="005E5844" w:rsidRPr="005E5844">
        <w:rPr>
          <w:spacing w:val="-3"/>
          <w:szCs w:val="22"/>
        </w:rPr>
        <w:t xml:space="preserve"> and the narrative that accompanies AT&amp;T’s February 2014 filing.</w:t>
      </w:r>
      <w:r w:rsidR="005E5844">
        <w:rPr>
          <w:rStyle w:val="FootnoteReference"/>
          <w:spacing w:val="-3"/>
          <w:szCs w:val="22"/>
        </w:rPr>
        <w:footnoteReference w:id="12"/>
      </w:r>
      <w:r w:rsidR="005E5844" w:rsidRPr="005E5844">
        <w:rPr>
          <w:spacing w:val="-3"/>
          <w:szCs w:val="22"/>
        </w:rPr>
        <w:t xml:space="preserve">  If and when AT&amp;T seeks Commission authority </w:t>
      </w:r>
      <w:r>
        <w:rPr>
          <w:spacing w:val="-3"/>
          <w:szCs w:val="22"/>
        </w:rPr>
        <w:t>t</w:t>
      </w:r>
      <w:r w:rsidR="005E5844" w:rsidRPr="005E5844">
        <w:rPr>
          <w:spacing w:val="-3"/>
          <w:szCs w:val="22"/>
        </w:rPr>
        <w:t>o move forward with the trial for such services, the Bureau expects that it will issue a standalone public notice setting a comment cycle outside of the typical 214 process.</w:t>
      </w:r>
    </w:p>
    <w:p w14:paraId="2056B5FB" w14:textId="77777777" w:rsidR="0055368F" w:rsidRDefault="0055368F"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717B720E" w14:textId="31B13269" w:rsidR="00223A5A" w:rsidRDefault="00E063AA" w:rsidP="00223A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1" w:name="SR;214"/>
      <w:bookmarkStart w:id="2" w:name="SR;215"/>
      <w:bookmarkStart w:id="3" w:name="SR;228"/>
      <w:bookmarkEnd w:id="1"/>
      <w:bookmarkEnd w:id="2"/>
      <w:bookmarkEnd w:id="3"/>
      <w:r>
        <w:rPr>
          <w:szCs w:val="22"/>
        </w:rPr>
        <w:tab/>
      </w:r>
      <w:r w:rsidRPr="00316C43">
        <w:rPr>
          <w:i/>
          <w:szCs w:val="22"/>
        </w:rPr>
        <w:t>Analog Voice Grade Private Line Services</w:t>
      </w:r>
      <w:r>
        <w:rPr>
          <w:spacing w:val="-3"/>
          <w:szCs w:val="22"/>
        </w:rPr>
        <w:t xml:space="preserve">.  AT&amp;T indicates that AT&amp;T Southeast </w:t>
      </w:r>
      <w:r>
        <w:rPr>
          <w:szCs w:val="22"/>
        </w:rPr>
        <w:t xml:space="preserve">currently offers BellSouth Analog Voice Grade Private Line Services </w:t>
      </w:r>
      <w:r w:rsidRPr="0092363D">
        <w:rPr>
          <w:szCs w:val="22"/>
        </w:rPr>
        <w:t>(</w:t>
      </w:r>
      <w:r>
        <w:rPr>
          <w:szCs w:val="22"/>
        </w:rPr>
        <w:t>Analog Voice Grade Private Line Services</w:t>
      </w:r>
      <w:r w:rsidRPr="0092363D">
        <w:rPr>
          <w:szCs w:val="22"/>
        </w:rPr>
        <w:t>)</w:t>
      </w:r>
      <w:r>
        <w:rPr>
          <w:szCs w:val="22"/>
        </w:rPr>
        <w:t xml:space="preserve"> in the </w:t>
      </w:r>
      <w:r w:rsidR="00831EC5">
        <w:rPr>
          <w:szCs w:val="22"/>
        </w:rPr>
        <w:t>Trial Wire Centers</w:t>
      </w:r>
      <w:r>
        <w:rPr>
          <w:szCs w:val="22"/>
        </w:rPr>
        <w:t>.</w:t>
      </w:r>
      <w:r w:rsidRPr="00D53951">
        <w:rPr>
          <w:b/>
          <w:szCs w:val="22"/>
        </w:rPr>
        <w:t xml:space="preserve"> </w:t>
      </w:r>
      <w:r>
        <w:rPr>
          <w:szCs w:val="22"/>
        </w:rPr>
        <w:t xml:space="preserve"> AT&amp;T describes Analog Voice Grade Private Line Services</w:t>
      </w:r>
      <w:r w:rsidRPr="0092363D">
        <w:rPr>
          <w:szCs w:val="22"/>
        </w:rPr>
        <w:t xml:space="preserve"> </w:t>
      </w:r>
      <w:r>
        <w:rPr>
          <w:szCs w:val="22"/>
        </w:rPr>
        <w:t xml:space="preserve">as legacy TDM-based services that provide an analog channel for the transmission of asynchronous, or synchronous serial data </w:t>
      </w:r>
      <w:r>
        <w:rPr>
          <w:szCs w:val="22"/>
        </w:rPr>
        <w:lastRenderedPageBreak/>
        <w:t>at rates of up to 19.2, 50.0, or 230.4 Kbps.</w:t>
      </w:r>
      <w:r w:rsidR="001C1F04">
        <w:rPr>
          <w:rStyle w:val="FootnoteReference"/>
          <w:szCs w:val="22"/>
        </w:rPr>
        <w:footnoteReference w:id="13"/>
      </w:r>
      <w:r>
        <w:rPr>
          <w:szCs w:val="22"/>
        </w:rPr>
        <w:t xml:space="preserve">  AT&amp;T explains that AT&amp;T Southeast also offers optional arrangements at 18.74 or 40.08 Kbps.</w:t>
      </w:r>
      <w:r>
        <w:rPr>
          <w:rStyle w:val="FootnoteReference"/>
          <w:szCs w:val="22"/>
        </w:rPr>
        <w:footnoteReference w:id="14"/>
      </w:r>
      <w:r>
        <w:rPr>
          <w:szCs w:val="22"/>
        </w:rPr>
        <w:t xml:space="preserve">  </w:t>
      </w:r>
      <w:r>
        <w:rPr>
          <w:spacing w:val="-3"/>
          <w:szCs w:val="22"/>
        </w:rPr>
        <w:t xml:space="preserve">AT&amp;T indicates, however, that AT&amp;T Southeast plans to </w:t>
      </w:r>
      <w:r w:rsidR="00AE1993">
        <w:rPr>
          <w:spacing w:val="-3"/>
          <w:szCs w:val="22"/>
        </w:rPr>
        <w:t>discontinue</w:t>
      </w:r>
      <w:r>
        <w:rPr>
          <w:spacing w:val="-3"/>
          <w:szCs w:val="22"/>
        </w:rPr>
        <w:t xml:space="preserve"> </w:t>
      </w:r>
      <w:r w:rsidR="00831EC5">
        <w:rPr>
          <w:szCs w:val="22"/>
        </w:rPr>
        <w:t>Analog Voice Grade Private Line Services</w:t>
      </w:r>
      <w:r>
        <w:rPr>
          <w:spacing w:val="-3"/>
          <w:szCs w:val="22"/>
        </w:rPr>
        <w:t xml:space="preserve"> in the </w:t>
      </w:r>
      <w:r w:rsidR="00831EC5">
        <w:rPr>
          <w:szCs w:val="22"/>
        </w:rPr>
        <w:t>Trial Wire Centers</w:t>
      </w:r>
      <w:r>
        <w:rPr>
          <w:spacing w:val="-3"/>
          <w:szCs w:val="22"/>
        </w:rPr>
        <w:t xml:space="preserve"> on or after </w:t>
      </w:r>
      <w:r w:rsidR="00AE1993">
        <w:rPr>
          <w:spacing w:val="-3"/>
          <w:szCs w:val="22"/>
        </w:rPr>
        <w:t>October 14</w:t>
      </w:r>
      <w:r>
        <w:rPr>
          <w:spacing w:val="-3"/>
          <w:szCs w:val="22"/>
        </w:rPr>
        <w:t>, 2016, pending regulatory approval.</w:t>
      </w:r>
      <w:r w:rsidR="00991706">
        <w:rPr>
          <w:rStyle w:val="FootnoteReference"/>
          <w:spacing w:val="-3"/>
          <w:szCs w:val="22"/>
        </w:rPr>
        <w:footnoteReference w:id="15"/>
      </w:r>
      <w:r>
        <w:rPr>
          <w:spacing w:val="-3"/>
          <w:szCs w:val="22"/>
        </w:rPr>
        <w:t xml:space="preserve">  </w:t>
      </w:r>
      <w:r w:rsidRPr="00523E03">
        <w:rPr>
          <w:spacing w:val="-3"/>
          <w:szCs w:val="22"/>
        </w:rPr>
        <w:t>AT&amp;T states</w:t>
      </w:r>
      <w:r>
        <w:rPr>
          <w:spacing w:val="-3"/>
          <w:szCs w:val="22"/>
        </w:rPr>
        <w:t xml:space="preserve"> </w:t>
      </w:r>
      <w:r w:rsidRPr="00523E03">
        <w:rPr>
          <w:spacing w:val="-3"/>
          <w:szCs w:val="22"/>
        </w:rPr>
        <w:t xml:space="preserve">that AT&amp;T Southeast currently has no customers that subscribe to </w:t>
      </w:r>
      <w:r>
        <w:rPr>
          <w:szCs w:val="22"/>
        </w:rPr>
        <w:t>Analog Voice Grade Private Line Services</w:t>
      </w:r>
      <w:r w:rsidRPr="0092363D">
        <w:rPr>
          <w:szCs w:val="22"/>
        </w:rPr>
        <w:t xml:space="preserve"> </w:t>
      </w:r>
      <w:r w:rsidRPr="00523E03">
        <w:rPr>
          <w:spacing w:val="-3"/>
          <w:szCs w:val="22"/>
        </w:rPr>
        <w:t xml:space="preserve">in the </w:t>
      </w:r>
      <w:r w:rsidR="00831EC5">
        <w:rPr>
          <w:szCs w:val="22"/>
        </w:rPr>
        <w:t>Trial Wire Centers</w:t>
      </w:r>
      <w:r w:rsidRPr="00523E03">
        <w:rPr>
          <w:spacing w:val="-3"/>
          <w:szCs w:val="22"/>
        </w:rPr>
        <w:t xml:space="preserve">.  </w:t>
      </w:r>
      <w:r>
        <w:rPr>
          <w:spacing w:val="-3"/>
          <w:szCs w:val="22"/>
        </w:rPr>
        <w:t xml:space="preserve">The Applicant maintains that the public convenience and necessity will not be adversely affected by the proposed </w:t>
      </w:r>
      <w:r w:rsidR="00D32BF6">
        <w:rPr>
          <w:spacing w:val="-3"/>
          <w:szCs w:val="22"/>
        </w:rPr>
        <w:t>discontinuance</w:t>
      </w:r>
      <w:r>
        <w:rPr>
          <w:spacing w:val="-3"/>
          <w:szCs w:val="22"/>
        </w:rPr>
        <w:t xml:space="preserve"> of the Affected Services because there is </w:t>
      </w:r>
      <w:r w:rsidR="00293B1F">
        <w:rPr>
          <w:spacing w:val="-3"/>
          <w:szCs w:val="22"/>
        </w:rPr>
        <w:t>“</w:t>
      </w:r>
      <w:r>
        <w:rPr>
          <w:spacing w:val="-3"/>
          <w:szCs w:val="22"/>
        </w:rPr>
        <w:t>no customer demand</w:t>
      </w:r>
      <w:r w:rsidR="00293B1F">
        <w:rPr>
          <w:spacing w:val="-3"/>
          <w:szCs w:val="22"/>
        </w:rPr>
        <w:t>”</w:t>
      </w:r>
      <w:r>
        <w:rPr>
          <w:spacing w:val="-3"/>
          <w:szCs w:val="22"/>
        </w:rPr>
        <w:t xml:space="preserve"> for the services.</w:t>
      </w:r>
      <w:r w:rsidR="00384C1D">
        <w:rPr>
          <w:rStyle w:val="FootnoteReference"/>
          <w:spacing w:val="-3"/>
          <w:szCs w:val="22"/>
        </w:rPr>
        <w:footnoteReference w:id="16"/>
      </w:r>
      <w:r>
        <w:rPr>
          <w:spacing w:val="-3"/>
          <w:szCs w:val="22"/>
        </w:rPr>
        <w:t xml:space="preserve">  AT&amp;T adds that AT&amp;T Southeast offers IP-based replacement services that provide </w:t>
      </w:r>
      <w:r w:rsidR="00AE1993">
        <w:rPr>
          <w:spacing w:val="-3"/>
          <w:szCs w:val="22"/>
        </w:rPr>
        <w:t>higher transmission speeds</w:t>
      </w:r>
      <w:r>
        <w:rPr>
          <w:spacing w:val="-3"/>
          <w:szCs w:val="22"/>
        </w:rPr>
        <w:t xml:space="preserve"> over a more flexible architecture.</w:t>
      </w:r>
      <w:r w:rsidR="00384C1D">
        <w:rPr>
          <w:rStyle w:val="FootnoteReference"/>
          <w:spacing w:val="-3"/>
          <w:szCs w:val="22"/>
        </w:rPr>
        <w:footnoteReference w:id="17"/>
      </w:r>
      <w:r>
        <w:rPr>
          <w:spacing w:val="-3"/>
          <w:szCs w:val="22"/>
        </w:rPr>
        <w:t xml:space="preserve">  AT&amp;T specifies that AT&amp;T Southeast currently offers AT&amp;T Switched Ethernet 2.0 Mbps (ASE 2.0) service and AT&amp;T Business DSL Internet service (IPDSL) as replacements for </w:t>
      </w:r>
      <w:r w:rsidRPr="00971BC7">
        <w:rPr>
          <w:spacing w:val="-3"/>
          <w:szCs w:val="22"/>
        </w:rPr>
        <w:t>Analog Voice Grade Private Line Services</w:t>
      </w:r>
      <w:r>
        <w:rPr>
          <w:spacing w:val="-3"/>
          <w:szCs w:val="22"/>
        </w:rPr>
        <w:t>.</w:t>
      </w:r>
      <w:r w:rsidR="00384C1D">
        <w:rPr>
          <w:rStyle w:val="FootnoteReference"/>
          <w:spacing w:val="-3"/>
          <w:szCs w:val="22"/>
        </w:rPr>
        <w:footnoteReference w:id="18"/>
      </w:r>
      <w:r>
        <w:rPr>
          <w:spacing w:val="-3"/>
          <w:szCs w:val="22"/>
        </w:rPr>
        <w:t xml:space="preserve">  According to AT&amp;T, ASE 2.0 Mbps service is an Ethernet transport service that offers a variety of configurations to meet customers’ needs, and IPDSL service is a high speed Internet service for small to medium businesses that allows customers to send and receive data over existing telephone lines.</w:t>
      </w:r>
      <w:r w:rsidR="00384C1D">
        <w:rPr>
          <w:rStyle w:val="FootnoteReference"/>
          <w:spacing w:val="-3"/>
          <w:szCs w:val="22"/>
        </w:rPr>
        <w:footnoteReference w:id="19"/>
      </w:r>
      <w:r>
        <w:rPr>
          <w:spacing w:val="-3"/>
          <w:szCs w:val="22"/>
        </w:rPr>
        <w:t xml:space="preserve">  </w:t>
      </w:r>
      <w:r>
        <w:rPr>
          <w:szCs w:val="22"/>
        </w:rPr>
        <w:t xml:space="preserve">AT&amp;T asserts that AT&amp;T Southeast is considered dominant with respect to </w:t>
      </w:r>
      <w:r w:rsidR="009A69CC">
        <w:rPr>
          <w:szCs w:val="22"/>
        </w:rPr>
        <w:t>these services</w:t>
      </w:r>
      <w:r>
        <w:rPr>
          <w:szCs w:val="22"/>
        </w:rPr>
        <w:t>.</w:t>
      </w:r>
      <w:r w:rsidR="00EB0473">
        <w:rPr>
          <w:rStyle w:val="FootnoteReference"/>
          <w:szCs w:val="22"/>
        </w:rPr>
        <w:footnoteReference w:id="20"/>
      </w:r>
    </w:p>
    <w:p w14:paraId="27D36625" w14:textId="77777777" w:rsidR="00223A5A" w:rsidRDefault="00223A5A" w:rsidP="00223A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666472A5" w14:textId="705823B2" w:rsidR="00E063AA" w:rsidRDefault="00223A5A" w:rsidP="00223A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316C43">
        <w:rPr>
          <w:i/>
          <w:szCs w:val="22"/>
        </w:rPr>
        <w:t>Program Audio Service</w:t>
      </w:r>
      <w:r>
        <w:rPr>
          <w:szCs w:val="22"/>
        </w:rPr>
        <w:t>.</w:t>
      </w:r>
      <w:r>
        <w:rPr>
          <w:spacing w:val="-3"/>
          <w:szCs w:val="22"/>
        </w:rPr>
        <w:t xml:space="preserve">  AT&amp;T indicates that AT&amp;T Southeast </w:t>
      </w:r>
      <w:r>
        <w:rPr>
          <w:szCs w:val="22"/>
        </w:rPr>
        <w:t xml:space="preserve">currently offers BellSouth Program Audio Service (a.k.a. BellSouth SPA Program Audio) </w:t>
      </w:r>
      <w:r w:rsidRPr="0092363D">
        <w:rPr>
          <w:szCs w:val="22"/>
        </w:rPr>
        <w:t>(</w:t>
      </w:r>
      <w:r>
        <w:rPr>
          <w:szCs w:val="22"/>
        </w:rPr>
        <w:t>Program Audio Service</w:t>
      </w:r>
      <w:r w:rsidRPr="0092363D">
        <w:rPr>
          <w:szCs w:val="22"/>
        </w:rPr>
        <w:t>)</w:t>
      </w:r>
      <w:r>
        <w:rPr>
          <w:szCs w:val="22"/>
        </w:rPr>
        <w:t xml:space="preserve"> in the Trial Wire Centers.</w:t>
      </w:r>
      <w:r>
        <w:rPr>
          <w:rStyle w:val="FootnoteReference"/>
          <w:szCs w:val="22"/>
        </w:rPr>
        <w:footnoteReference w:id="21"/>
      </w:r>
      <w:r w:rsidRPr="00D53951">
        <w:rPr>
          <w:b/>
          <w:szCs w:val="22"/>
        </w:rPr>
        <w:t xml:space="preserve"> </w:t>
      </w:r>
      <w:r>
        <w:rPr>
          <w:szCs w:val="22"/>
        </w:rPr>
        <w:t xml:space="preserve"> AT&amp;T describes Program Audio Service</w:t>
      </w:r>
      <w:r w:rsidRPr="0092363D">
        <w:rPr>
          <w:szCs w:val="22"/>
        </w:rPr>
        <w:t xml:space="preserve"> </w:t>
      </w:r>
      <w:r>
        <w:rPr>
          <w:szCs w:val="22"/>
        </w:rPr>
        <w:t>as a legacy TDM-based transport service that transmits music audio signals at 50-15,000 Hz, 200-3,500 Hz, 100-5,000 Hz, or 50-8,000 Hz.</w:t>
      </w:r>
      <w:r>
        <w:rPr>
          <w:rStyle w:val="FootnoteReference"/>
          <w:szCs w:val="22"/>
        </w:rPr>
        <w:footnoteReference w:id="22"/>
      </w:r>
      <w:r>
        <w:rPr>
          <w:szCs w:val="22"/>
        </w:rPr>
        <w:t xml:space="preserve">  AT&amp;T explains that the actual bandwidth of Program Audio Service is a function of the channel interface selected by the customer.</w:t>
      </w:r>
      <w:r>
        <w:rPr>
          <w:rStyle w:val="FootnoteReference"/>
          <w:szCs w:val="22"/>
        </w:rPr>
        <w:footnoteReference w:id="23"/>
      </w:r>
      <w:r>
        <w:rPr>
          <w:szCs w:val="22"/>
        </w:rPr>
        <w:t xml:space="preserve">  </w:t>
      </w:r>
      <w:r>
        <w:rPr>
          <w:spacing w:val="-3"/>
          <w:szCs w:val="22"/>
        </w:rPr>
        <w:t xml:space="preserve">AT&amp;T indicates, however, that AT&amp;T Southeast plans to </w:t>
      </w:r>
      <w:r w:rsidR="00630348">
        <w:rPr>
          <w:spacing w:val="-3"/>
          <w:szCs w:val="22"/>
        </w:rPr>
        <w:t>discontinue</w:t>
      </w:r>
      <w:r>
        <w:rPr>
          <w:spacing w:val="-3"/>
          <w:szCs w:val="22"/>
        </w:rPr>
        <w:t xml:space="preserve"> </w:t>
      </w:r>
      <w:r>
        <w:rPr>
          <w:szCs w:val="22"/>
        </w:rPr>
        <w:t>Program Audio Service</w:t>
      </w:r>
      <w:r>
        <w:rPr>
          <w:spacing w:val="-3"/>
          <w:szCs w:val="22"/>
        </w:rPr>
        <w:t xml:space="preserve"> in the </w:t>
      </w:r>
      <w:r>
        <w:rPr>
          <w:szCs w:val="22"/>
        </w:rPr>
        <w:t>Trial Wire Centers</w:t>
      </w:r>
      <w:r>
        <w:rPr>
          <w:spacing w:val="-3"/>
          <w:szCs w:val="22"/>
        </w:rPr>
        <w:t xml:space="preserve"> on or after </w:t>
      </w:r>
      <w:r w:rsidR="00630348">
        <w:rPr>
          <w:spacing w:val="-3"/>
          <w:szCs w:val="22"/>
        </w:rPr>
        <w:t>October 14</w:t>
      </w:r>
      <w:r>
        <w:rPr>
          <w:spacing w:val="-3"/>
          <w:szCs w:val="22"/>
        </w:rPr>
        <w:t>, 2016, pending regulatory approval.</w:t>
      </w:r>
      <w:r>
        <w:rPr>
          <w:rStyle w:val="FootnoteReference"/>
          <w:spacing w:val="-3"/>
          <w:szCs w:val="22"/>
        </w:rPr>
        <w:footnoteReference w:id="24"/>
      </w:r>
      <w:r>
        <w:rPr>
          <w:spacing w:val="-3"/>
          <w:szCs w:val="22"/>
        </w:rPr>
        <w:t xml:space="preserve">  </w:t>
      </w:r>
      <w:r w:rsidRPr="00523E03">
        <w:rPr>
          <w:spacing w:val="-3"/>
          <w:szCs w:val="22"/>
        </w:rPr>
        <w:t>AT&amp;T states</w:t>
      </w:r>
      <w:r>
        <w:rPr>
          <w:spacing w:val="-3"/>
          <w:szCs w:val="22"/>
        </w:rPr>
        <w:t xml:space="preserve"> </w:t>
      </w:r>
      <w:r w:rsidRPr="00523E03">
        <w:rPr>
          <w:spacing w:val="-3"/>
          <w:szCs w:val="22"/>
        </w:rPr>
        <w:t xml:space="preserve">that AT&amp;T Southeast currently has no customers that subscribe to </w:t>
      </w:r>
      <w:r>
        <w:rPr>
          <w:szCs w:val="22"/>
        </w:rPr>
        <w:t>Program Audio Service</w:t>
      </w:r>
      <w:r w:rsidRPr="0092363D">
        <w:rPr>
          <w:szCs w:val="22"/>
        </w:rPr>
        <w:t xml:space="preserve"> </w:t>
      </w:r>
      <w:r w:rsidRPr="00523E03">
        <w:rPr>
          <w:spacing w:val="-3"/>
          <w:szCs w:val="22"/>
        </w:rPr>
        <w:t xml:space="preserve">in the </w:t>
      </w:r>
      <w:r>
        <w:rPr>
          <w:szCs w:val="22"/>
        </w:rPr>
        <w:t>Trial Wire Centers</w:t>
      </w:r>
      <w:r w:rsidRPr="00523E03">
        <w:rPr>
          <w:spacing w:val="-3"/>
          <w:szCs w:val="22"/>
        </w:rPr>
        <w:t>.</w:t>
      </w:r>
      <w:r>
        <w:rPr>
          <w:rStyle w:val="FootnoteReference"/>
          <w:spacing w:val="-3"/>
          <w:szCs w:val="22"/>
        </w:rPr>
        <w:footnoteReference w:id="25"/>
      </w:r>
      <w:r w:rsidRPr="00523E03">
        <w:rPr>
          <w:spacing w:val="-3"/>
          <w:szCs w:val="22"/>
        </w:rPr>
        <w:t xml:space="preserve">  </w:t>
      </w:r>
      <w:r>
        <w:rPr>
          <w:spacing w:val="-3"/>
          <w:szCs w:val="22"/>
        </w:rPr>
        <w:t xml:space="preserve">The Applicant maintains that the public convenience and necessity will not be adversely affected by the proposed </w:t>
      </w:r>
      <w:r w:rsidR="00DE0187">
        <w:rPr>
          <w:spacing w:val="-3"/>
          <w:szCs w:val="22"/>
        </w:rPr>
        <w:t>discontinuance</w:t>
      </w:r>
      <w:r>
        <w:rPr>
          <w:spacing w:val="-3"/>
          <w:szCs w:val="22"/>
        </w:rPr>
        <w:t xml:space="preserve"> of </w:t>
      </w:r>
      <w:r>
        <w:rPr>
          <w:szCs w:val="22"/>
        </w:rPr>
        <w:t>Program Audio Service</w:t>
      </w:r>
      <w:r>
        <w:rPr>
          <w:spacing w:val="-3"/>
          <w:szCs w:val="22"/>
        </w:rPr>
        <w:t xml:space="preserve"> because there is no customer demand for this service.</w:t>
      </w:r>
      <w:r>
        <w:rPr>
          <w:rStyle w:val="FootnoteReference"/>
          <w:spacing w:val="-3"/>
          <w:szCs w:val="22"/>
        </w:rPr>
        <w:footnoteReference w:id="26"/>
      </w:r>
      <w:r>
        <w:rPr>
          <w:spacing w:val="-3"/>
          <w:szCs w:val="22"/>
        </w:rPr>
        <w:t xml:space="preserve">  AT&amp;T states that AT&amp;T Southeast is not currently offering an IP-based replacement for Program Audio Service in the Affected Areas because there has been no demand for a replacement service in the </w:t>
      </w:r>
      <w:r>
        <w:rPr>
          <w:szCs w:val="22"/>
        </w:rPr>
        <w:t>Trial Wire Centers</w:t>
      </w:r>
      <w:r>
        <w:rPr>
          <w:spacing w:val="-3"/>
          <w:szCs w:val="22"/>
        </w:rPr>
        <w:t>.</w:t>
      </w:r>
      <w:r>
        <w:rPr>
          <w:rStyle w:val="FootnoteReference"/>
          <w:spacing w:val="-3"/>
          <w:szCs w:val="22"/>
        </w:rPr>
        <w:footnoteReference w:id="27"/>
      </w:r>
      <w:r>
        <w:rPr>
          <w:spacing w:val="-3"/>
          <w:szCs w:val="22"/>
        </w:rPr>
        <w:t xml:space="preserve">  </w:t>
      </w:r>
      <w:r>
        <w:rPr>
          <w:szCs w:val="22"/>
        </w:rPr>
        <w:t>AT&amp;T asserts that AT&amp;T Southeast is considered dominant with respect to this service.</w:t>
      </w:r>
      <w:r>
        <w:rPr>
          <w:rStyle w:val="FootnoteReference"/>
          <w:szCs w:val="22"/>
        </w:rPr>
        <w:footnoteReference w:id="28"/>
      </w:r>
    </w:p>
    <w:p w14:paraId="2FF99200" w14:textId="77777777" w:rsidR="00E063AA" w:rsidRDefault="00E063A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555FA79" w14:textId="21463008" w:rsidR="008E2599" w:rsidRPr="001535BF" w:rsidRDefault="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8E2599" w:rsidRPr="00316C43">
        <w:rPr>
          <w:i/>
          <w:szCs w:val="22"/>
        </w:rPr>
        <w:t>Analog Video Service</w:t>
      </w:r>
      <w:r w:rsidR="00472AD9">
        <w:rPr>
          <w:i/>
          <w:szCs w:val="22"/>
        </w:rPr>
        <w:t xml:space="preserve"> – TV-1</w:t>
      </w:r>
      <w:r w:rsidR="008E2599" w:rsidRPr="00316C43">
        <w:rPr>
          <w:i/>
          <w:szCs w:val="22"/>
        </w:rPr>
        <w:t>.</w:t>
      </w:r>
      <w:r w:rsidR="00472AD9">
        <w:rPr>
          <w:szCs w:val="22"/>
        </w:rPr>
        <w:t xml:space="preserve">  </w:t>
      </w:r>
      <w:r w:rsidR="00797804">
        <w:rPr>
          <w:spacing w:val="-3"/>
          <w:szCs w:val="22"/>
        </w:rPr>
        <w:t>AT&amp;T</w:t>
      </w:r>
      <w:r w:rsidR="006076B9">
        <w:rPr>
          <w:spacing w:val="-3"/>
          <w:szCs w:val="22"/>
        </w:rPr>
        <w:t xml:space="preserve"> indicates that </w:t>
      </w:r>
      <w:r w:rsidR="00C722AC">
        <w:rPr>
          <w:spacing w:val="-3"/>
          <w:szCs w:val="22"/>
        </w:rPr>
        <w:t xml:space="preserve">AT&amp;T </w:t>
      </w:r>
      <w:r w:rsidR="0092363D">
        <w:rPr>
          <w:spacing w:val="-3"/>
          <w:szCs w:val="22"/>
        </w:rPr>
        <w:t>Southeast</w:t>
      </w:r>
      <w:r w:rsidR="00C722AC">
        <w:rPr>
          <w:spacing w:val="-3"/>
          <w:szCs w:val="22"/>
        </w:rPr>
        <w:t xml:space="preserve"> </w:t>
      </w:r>
      <w:r w:rsidR="006076B9">
        <w:rPr>
          <w:szCs w:val="22"/>
        </w:rPr>
        <w:t>currently offer</w:t>
      </w:r>
      <w:r w:rsidR="00D14CE4">
        <w:rPr>
          <w:szCs w:val="22"/>
        </w:rPr>
        <w:t>s</w:t>
      </w:r>
      <w:r w:rsidR="006076B9">
        <w:rPr>
          <w:szCs w:val="22"/>
        </w:rPr>
        <w:t xml:space="preserve"> </w:t>
      </w:r>
      <w:r w:rsidR="0092363D">
        <w:rPr>
          <w:szCs w:val="22"/>
        </w:rPr>
        <w:t>BellSouth Analog Video Service</w:t>
      </w:r>
      <w:r w:rsidR="00472AD9">
        <w:rPr>
          <w:szCs w:val="22"/>
        </w:rPr>
        <w:t xml:space="preserve"> – TV-</w:t>
      </w:r>
      <w:r w:rsidR="0092363D">
        <w:rPr>
          <w:szCs w:val="22"/>
        </w:rPr>
        <w:t xml:space="preserve">1 (a.k.a. BellSouth SPA Broadcast Quality Video) </w:t>
      </w:r>
      <w:r w:rsidR="0092363D" w:rsidRPr="0092363D">
        <w:rPr>
          <w:szCs w:val="22"/>
        </w:rPr>
        <w:t>(Analog Video Service</w:t>
      </w:r>
      <w:r w:rsidR="00472AD9">
        <w:rPr>
          <w:szCs w:val="22"/>
        </w:rPr>
        <w:t xml:space="preserve"> – TV</w:t>
      </w:r>
      <w:r w:rsidR="0092363D" w:rsidRPr="0092363D">
        <w:rPr>
          <w:szCs w:val="22"/>
        </w:rPr>
        <w:t>-1)</w:t>
      </w:r>
      <w:r w:rsidR="0092363D">
        <w:rPr>
          <w:szCs w:val="22"/>
        </w:rPr>
        <w:t xml:space="preserve"> </w:t>
      </w:r>
      <w:r w:rsidR="007928BF">
        <w:rPr>
          <w:szCs w:val="22"/>
        </w:rPr>
        <w:t xml:space="preserve">in the </w:t>
      </w:r>
      <w:r w:rsidR="008C464B">
        <w:rPr>
          <w:szCs w:val="22"/>
        </w:rPr>
        <w:t>Trial Wire Centers</w:t>
      </w:r>
      <w:r w:rsidR="00183BA5">
        <w:rPr>
          <w:szCs w:val="22"/>
        </w:rPr>
        <w:t>.</w:t>
      </w:r>
      <w:r w:rsidR="00C2014A">
        <w:rPr>
          <w:rStyle w:val="FootnoteReference"/>
          <w:szCs w:val="22"/>
        </w:rPr>
        <w:footnoteReference w:id="29"/>
      </w:r>
      <w:r w:rsidR="004B5F5F" w:rsidRPr="00D53951">
        <w:rPr>
          <w:b/>
          <w:szCs w:val="22"/>
        </w:rPr>
        <w:t xml:space="preserve"> </w:t>
      </w:r>
      <w:r w:rsidR="004B5F5F">
        <w:rPr>
          <w:szCs w:val="22"/>
        </w:rPr>
        <w:t xml:space="preserve"> </w:t>
      </w:r>
      <w:r w:rsidR="0092363D">
        <w:rPr>
          <w:szCs w:val="22"/>
        </w:rPr>
        <w:t xml:space="preserve">AT&amp;T </w:t>
      </w:r>
      <w:r w:rsidR="00101630">
        <w:rPr>
          <w:szCs w:val="22"/>
        </w:rPr>
        <w:t>describes</w:t>
      </w:r>
      <w:r w:rsidR="0092363D">
        <w:rPr>
          <w:szCs w:val="22"/>
        </w:rPr>
        <w:t xml:space="preserve"> </w:t>
      </w:r>
      <w:r w:rsidR="00472AD9">
        <w:rPr>
          <w:szCs w:val="22"/>
        </w:rPr>
        <w:t>Analog Video Service – TV-1</w:t>
      </w:r>
      <w:r w:rsidR="0092363D" w:rsidRPr="0092363D">
        <w:rPr>
          <w:szCs w:val="22"/>
        </w:rPr>
        <w:t xml:space="preserve"> </w:t>
      </w:r>
      <w:r w:rsidR="00101630">
        <w:rPr>
          <w:szCs w:val="22"/>
        </w:rPr>
        <w:t>a</w:t>
      </w:r>
      <w:r w:rsidR="0092363D">
        <w:rPr>
          <w:szCs w:val="22"/>
        </w:rPr>
        <w:t>s a legacy TDM-based video service that provides one-way transmission of National Television Systems Committee video signals between customer designated premises or between a customer</w:t>
      </w:r>
      <w:r w:rsidR="00FF5785">
        <w:rPr>
          <w:szCs w:val="22"/>
        </w:rPr>
        <w:t xml:space="preserve"> designated premises and a Telephone Company central office via fiber optic facilities.</w:t>
      </w:r>
      <w:r w:rsidR="00C2014A">
        <w:rPr>
          <w:rStyle w:val="FootnoteReference"/>
          <w:szCs w:val="22"/>
        </w:rPr>
        <w:footnoteReference w:id="30"/>
      </w:r>
      <w:r w:rsidR="00FF5785">
        <w:rPr>
          <w:szCs w:val="22"/>
        </w:rPr>
        <w:t xml:space="preserve">  </w:t>
      </w:r>
      <w:r w:rsidR="00101630">
        <w:rPr>
          <w:szCs w:val="22"/>
        </w:rPr>
        <w:t>A</w:t>
      </w:r>
      <w:r w:rsidR="00797804">
        <w:rPr>
          <w:szCs w:val="22"/>
        </w:rPr>
        <w:t>T&amp;T</w:t>
      </w:r>
      <w:r w:rsidR="00D941A7">
        <w:rPr>
          <w:szCs w:val="22"/>
        </w:rPr>
        <w:t xml:space="preserve"> explains that </w:t>
      </w:r>
      <w:r w:rsidR="00FD2DAB" w:rsidRPr="0092363D">
        <w:rPr>
          <w:szCs w:val="22"/>
        </w:rPr>
        <w:t>Analog Video Service</w:t>
      </w:r>
      <w:r w:rsidR="00472AD9">
        <w:rPr>
          <w:szCs w:val="22"/>
        </w:rPr>
        <w:t xml:space="preserve"> – TV</w:t>
      </w:r>
      <w:r w:rsidR="00FD2DAB" w:rsidRPr="0092363D">
        <w:rPr>
          <w:szCs w:val="22"/>
        </w:rPr>
        <w:t>-1</w:t>
      </w:r>
      <w:r w:rsidR="00D941A7">
        <w:rPr>
          <w:szCs w:val="22"/>
        </w:rPr>
        <w:t xml:space="preserve"> transports one channel of video and up to four audio channels at 30 Hz to 6.6 </w:t>
      </w:r>
      <w:r w:rsidR="002D5D4A">
        <w:rPr>
          <w:szCs w:val="22"/>
        </w:rPr>
        <w:t>M</w:t>
      </w:r>
      <w:r w:rsidR="00D941A7">
        <w:rPr>
          <w:szCs w:val="22"/>
        </w:rPr>
        <w:t>Hz.</w:t>
      </w:r>
      <w:r w:rsidR="00560E16">
        <w:rPr>
          <w:rStyle w:val="FootnoteReference"/>
          <w:szCs w:val="22"/>
        </w:rPr>
        <w:footnoteReference w:id="31"/>
      </w:r>
      <w:r w:rsidR="00D941A7">
        <w:rPr>
          <w:szCs w:val="22"/>
        </w:rPr>
        <w:t xml:space="preserve">  </w:t>
      </w:r>
      <w:r w:rsidR="00194469">
        <w:rPr>
          <w:spacing w:val="-3"/>
          <w:szCs w:val="22"/>
        </w:rPr>
        <w:t>AT&amp;T indicates</w:t>
      </w:r>
      <w:r w:rsidR="00523E03">
        <w:rPr>
          <w:spacing w:val="-3"/>
          <w:szCs w:val="22"/>
        </w:rPr>
        <w:t>, however,</w:t>
      </w:r>
      <w:r w:rsidR="00194469">
        <w:rPr>
          <w:spacing w:val="-3"/>
          <w:szCs w:val="22"/>
        </w:rPr>
        <w:t xml:space="preserve"> that </w:t>
      </w:r>
      <w:r w:rsidR="0026797C">
        <w:rPr>
          <w:spacing w:val="-3"/>
          <w:szCs w:val="22"/>
        </w:rPr>
        <w:t xml:space="preserve">AT&amp;T </w:t>
      </w:r>
      <w:r w:rsidR="00341B81">
        <w:rPr>
          <w:spacing w:val="-3"/>
          <w:szCs w:val="22"/>
        </w:rPr>
        <w:t xml:space="preserve">Southeast </w:t>
      </w:r>
      <w:r w:rsidR="0084162C">
        <w:rPr>
          <w:spacing w:val="-3"/>
          <w:szCs w:val="22"/>
        </w:rPr>
        <w:t xml:space="preserve">plans to </w:t>
      </w:r>
      <w:r w:rsidR="00D1590E">
        <w:rPr>
          <w:spacing w:val="-3"/>
          <w:szCs w:val="22"/>
        </w:rPr>
        <w:t>discontinue</w:t>
      </w:r>
      <w:r w:rsidR="0084162C">
        <w:rPr>
          <w:spacing w:val="-3"/>
          <w:szCs w:val="22"/>
        </w:rPr>
        <w:t xml:space="preserve"> </w:t>
      </w:r>
      <w:r w:rsidR="00FD2DAB" w:rsidRPr="0092363D">
        <w:rPr>
          <w:szCs w:val="22"/>
        </w:rPr>
        <w:t>Analog Video Service</w:t>
      </w:r>
      <w:r w:rsidR="00472AD9">
        <w:rPr>
          <w:szCs w:val="22"/>
        </w:rPr>
        <w:t xml:space="preserve"> – TV</w:t>
      </w:r>
      <w:r w:rsidR="00FD2DAB" w:rsidRPr="0092363D">
        <w:rPr>
          <w:szCs w:val="22"/>
        </w:rPr>
        <w:t>-1</w:t>
      </w:r>
      <w:r w:rsidR="0084162C">
        <w:rPr>
          <w:spacing w:val="-3"/>
          <w:szCs w:val="22"/>
        </w:rPr>
        <w:t xml:space="preserve"> in the </w:t>
      </w:r>
      <w:r w:rsidR="008C464B">
        <w:rPr>
          <w:spacing w:val="-3"/>
          <w:szCs w:val="22"/>
        </w:rPr>
        <w:t>Trial Wire Centers</w:t>
      </w:r>
      <w:r w:rsidR="0084162C">
        <w:rPr>
          <w:spacing w:val="-3"/>
          <w:szCs w:val="22"/>
        </w:rPr>
        <w:t xml:space="preserve"> on or a</w:t>
      </w:r>
      <w:r w:rsidR="0026797C">
        <w:rPr>
          <w:spacing w:val="-3"/>
          <w:szCs w:val="22"/>
        </w:rPr>
        <w:t>fter</w:t>
      </w:r>
      <w:r w:rsidR="0084162C">
        <w:rPr>
          <w:spacing w:val="-3"/>
          <w:szCs w:val="22"/>
        </w:rPr>
        <w:t xml:space="preserve"> </w:t>
      </w:r>
      <w:r w:rsidR="00D1590E">
        <w:rPr>
          <w:spacing w:val="-3"/>
          <w:szCs w:val="22"/>
        </w:rPr>
        <w:t>October 14</w:t>
      </w:r>
      <w:r w:rsidR="00341B81">
        <w:rPr>
          <w:spacing w:val="-3"/>
          <w:szCs w:val="22"/>
        </w:rPr>
        <w:t>, 2016</w:t>
      </w:r>
      <w:r w:rsidR="009E20EF">
        <w:rPr>
          <w:spacing w:val="-3"/>
          <w:szCs w:val="22"/>
        </w:rPr>
        <w:t xml:space="preserve">, </w:t>
      </w:r>
      <w:r w:rsidR="00341B81">
        <w:rPr>
          <w:spacing w:val="-3"/>
          <w:szCs w:val="22"/>
        </w:rPr>
        <w:t>pending regulatory approval</w:t>
      </w:r>
      <w:r w:rsidR="0056061F">
        <w:rPr>
          <w:spacing w:val="-3"/>
          <w:szCs w:val="22"/>
        </w:rPr>
        <w:t>.</w:t>
      </w:r>
      <w:r w:rsidR="006453E6">
        <w:rPr>
          <w:rStyle w:val="FootnoteReference"/>
          <w:spacing w:val="-3"/>
          <w:szCs w:val="22"/>
        </w:rPr>
        <w:footnoteReference w:id="32"/>
      </w:r>
      <w:r w:rsidR="00523E03">
        <w:rPr>
          <w:spacing w:val="-3"/>
          <w:szCs w:val="22"/>
        </w:rPr>
        <w:t xml:space="preserve"> </w:t>
      </w:r>
      <w:r w:rsidR="0026797C">
        <w:rPr>
          <w:spacing w:val="-3"/>
          <w:szCs w:val="22"/>
        </w:rPr>
        <w:t xml:space="preserve"> </w:t>
      </w:r>
      <w:r w:rsidR="00523E03" w:rsidRPr="00523E03">
        <w:rPr>
          <w:spacing w:val="-3"/>
          <w:szCs w:val="22"/>
        </w:rPr>
        <w:t>AT&amp;T states</w:t>
      </w:r>
      <w:r w:rsidR="00523E03">
        <w:rPr>
          <w:spacing w:val="-3"/>
          <w:szCs w:val="22"/>
        </w:rPr>
        <w:t xml:space="preserve"> </w:t>
      </w:r>
      <w:r w:rsidR="00523E03" w:rsidRPr="00523E03">
        <w:rPr>
          <w:spacing w:val="-3"/>
          <w:szCs w:val="22"/>
        </w:rPr>
        <w:t>that AT&amp;T Southeast currently has no customers that subscribe to Analog Video Service</w:t>
      </w:r>
      <w:r w:rsidR="00472AD9">
        <w:rPr>
          <w:spacing w:val="-3"/>
          <w:szCs w:val="22"/>
        </w:rPr>
        <w:t xml:space="preserve"> – TV</w:t>
      </w:r>
      <w:r w:rsidR="00523E03" w:rsidRPr="00523E03">
        <w:rPr>
          <w:spacing w:val="-3"/>
          <w:szCs w:val="22"/>
        </w:rPr>
        <w:t xml:space="preserve">-1 in the </w:t>
      </w:r>
      <w:r w:rsidR="008C464B">
        <w:rPr>
          <w:spacing w:val="-3"/>
          <w:szCs w:val="22"/>
        </w:rPr>
        <w:t>Trial Wire Centers</w:t>
      </w:r>
      <w:r w:rsidR="00523E03" w:rsidRPr="00523E03">
        <w:rPr>
          <w:spacing w:val="-3"/>
          <w:szCs w:val="22"/>
        </w:rPr>
        <w:t>.</w:t>
      </w:r>
      <w:r w:rsidR="000A2F50">
        <w:rPr>
          <w:rStyle w:val="FootnoteReference"/>
          <w:spacing w:val="-3"/>
          <w:szCs w:val="22"/>
        </w:rPr>
        <w:footnoteReference w:id="33"/>
      </w:r>
      <w:r w:rsidR="00523E03" w:rsidRPr="00523E03">
        <w:rPr>
          <w:spacing w:val="-3"/>
          <w:szCs w:val="22"/>
        </w:rPr>
        <w:t xml:space="preserve">  </w:t>
      </w:r>
      <w:r w:rsidR="00D92C96">
        <w:rPr>
          <w:spacing w:val="-3"/>
          <w:szCs w:val="22"/>
        </w:rPr>
        <w:t xml:space="preserve">The Applicant </w:t>
      </w:r>
      <w:r w:rsidR="00400D21">
        <w:rPr>
          <w:spacing w:val="-3"/>
          <w:szCs w:val="22"/>
        </w:rPr>
        <w:t>maintains</w:t>
      </w:r>
      <w:r w:rsidR="0093058B">
        <w:rPr>
          <w:spacing w:val="-3"/>
          <w:szCs w:val="22"/>
        </w:rPr>
        <w:t xml:space="preserve"> that </w:t>
      </w:r>
      <w:r w:rsidR="00D92C96">
        <w:rPr>
          <w:spacing w:val="-3"/>
          <w:szCs w:val="22"/>
        </w:rPr>
        <w:t xml:space="preserve">the public convenience and necessity will not be adversely affected by the proposed </w:t>
      </w:r>
      <w:r w:rsidR="00D1590E">
        <w:rPr>
          <w:spacing w:val="-3"/>
          <w:szCs w:val="22"/>
        </w:rPr>
        <w:t>discontinuance</w:t>
      </w:r>
      <w:r w:rsidR="00560E16">
        <w:rPr>
          <w:spacing w:val="-3"/>
          <w:szCs w:val="22"/>
        </w:rPr>
        <w:t xml:space="preserve"> of </w:t>
      </w:r>
      <w:r w:rsidR="00FD2DAB" w:rsidRPr="0092363D">
        <w:rPr>
          <w:szCs w:val="22"/>
        </w:rPr>
        <w:t>Analog Video Service</w:t>
      </w:r>
      <w:r w:rsidR="00472AD9">
        <w:rPr>
          <w:szCs w:val="22"/>
        </w:rPr>
        <w:t xml:space="preserve"> – TV</w:t>
      </w:r>
      <w:r w:rsidR="00FD2DAB" w:rsidRPr="0092363D">
        <w:rPr>
          <w:szCs w:val="22"/>
        </w:rPr>
        <w:t>-1</w:t>
      </w:r>
      <w:r w:rsidR="00560E16">
        <w:rPr>
          <w:spacing w:val="-3"/>
          <w:szCs w:val="22"/>
        </w:rPr>
        <w:t xml:space="preserve"> because there is no customer demand for this service.</w:t>
      </w:r>
      <w:r w:rsidR="000A2F50">
        <w:rPr>
          <w:rStyle w:val="FootnoteReference"/>
          <w:spacing w:val="-3"/>
          <w:szCs w:val="22"/>
        </w:rPr>
        <w:footnoteReference w:id="34"/>
      </w:r>
      <w:r w:rsidR="00560E16">
        <w:rPr>
          <w:spacing w:val="-3"/>
          <w:szCs w:val="22"/>
        </w:rPr>
        <w:t xml:space="preserve">  </w:t>
      </w:r>
      <w:r w:rsidR="00797804">
        <w:rPr>
          <w:spacing w:val="-3"/>
          <w:szCs w:val="22"/>
        </w:rPr>
        <w:t>AT&amp;T</w:t>
      </w:r>
      <w:r w:rsidR="00344041">
        <w:rPr>
          <w:spacing w:val="-3"/>
          <w:szCs w:val="22"/>
        </w:rPr>
        <w:t xml:space="preserve"> </w:t>
      </w:r>
      <w:r w:rsidR="00400D21">
        <w:rPr>
          <w:spacing w:val="-3"/>
          <w:szCs w:val="22"/>
        </w:rPr>
        <w:t xml:space="preserve">states </w:t>
      </w:r>
      <w:r w:rsidR="00CC22A9">
        <w:rPr>
          <w:spacing w:val="-3"/>
          <w:szCs w:val="22"/>
        </w:rPr>
        <w:t>that</w:t>
      </w:r>
      <w:r w:rsidR="00B1514F">
        <w:rPr>
          <w:spacing w:val="-3"/>
          <w:szCs w:val="22"/>
        </w:rPr>
        <w:t xml:space="preserve"> </w:t>
      </w:r>
      <w:r w:rsidR="008F065B">
        <w:rPr>
          <w:spacing w:val="-3"/>
          <w:szCs w:val="22"/>
        </w:rPr>
        <w:t xml:space="preserve">AT&amp;T </w:t>
      </w:r>
      <w:r w:rsidR="00560E16">
        <w:rPr>
          <w:spacing w:val="-3"/>
          <w:szCs w:val="22"/>
        </w:rPr>
        <w:t xml:space="preserve">Southeast currently offers Serial </w:t>
      </w:r>
      <w:r w:rsidR="0078188F">
        <w:rPr>
          <w:spacing w:val="-3"/>
          <w:szCs w:val="22"/>
        </w:rPr>
        <w:t>Component Video Service (SCVS) to satisfy market demand for video transport services.</w:t>
      </w:r>
      <w:r w:rsidR="000A2F50">
        <w:rPr>
          <w:rStyle w:val="FootnoteReference"/>
          <w:spacing w:val="-3"/>
          <w:szCs w:val="22"/>
        </w:rPr>
        <w:footnoteReference w:id="35"/>
      </w:r>
      <w:r w:rsidR="0078188F">
        <w:rPr>
          <w:spacing w:val="-3"/>
          <w:szCs w:val="22"/>
        </w:rPr>
        <w:t xml:space="preserve">  AT&amp;T describes SCVS as an IP-based digital video service that provides standards-based 270 Mbps digital video transport for one-way transport of high quality digital video and audio signals.</w:t>
      </w:r>
      <w:r w:rsidR="000A2F50">
        <w:rPr>
          <w:rStyle w:val="FootnoteReference"/>
          <w:spacing w:val="-3"/>
          <w:szCs w:val="22"/>
        </w:rPr>
        <w:footnoteReference w:id="36"/>
      </w:r>
      <w:r w:rsidR="0078188F">
        <w:rPr>
          <w:spacing w:val="-3"/>
          <w:szCs w:val="22"/>
        </w:rPr>
        <w:t xml:space="preserve">  </w:t>
      </w:r>
      <w:r w:rsidR="00610AD1">
        <w:rPr>
          <w:spacing w:val="-3"/>
          <w:szCs w:val="22"/>
        </w:rPr>
        <w:t>According to AT&amp;T,</w:t>
      </w:r>
      <w:r w:rsidR="0078188F">
        <w:rPr>
          <w:spacing w:val="-3"/>
          <w:szCs w:val="22"/>
        </w:rPr>
        <w:t xml:space="preserve"> SCVS transmits digital video signals in an uncompressed format with no loss of video quality.</w:t>
      </w:r>
      <w:r w:rsidR="000A2F50">
        <w:rPr>
          <w:rStyle w:val="FootnoteReference"/>
          <w:spacing w:val="-3"/>
          <w:szCs w:val="22"/>
        </w:rPr>
        <w:footnoteReference w:id="37"/>
      </w:r>
      <w:r w:rsidR="0078188F">
        <w:rPr>
          <w:spacing w:val="-3"/>
          <w:szCs w:val="22"/>
        </w:rPr>
        <w:t xml:space="preserve">  AT&amp;T emphasizes that SCVS is currently available throughout the </w:t>
      </w:r>
      <w:r w:rsidR="008C464B">
        <w:rPr>
          <w:spacing w:val="-3"/>
          <w:szCs w:val="22"/>
        </w:rPr>
        <w:t>Trial Wire Centers</w:t>
      </w:r>
      <w:r w:rsidR="0078188F">
        <w:rPr>
          <w:spacing w:val="-3"/>
          <w:szCs w:val="22"/>
        </w:rPr>
        <w:t>.</w:t>
      </w:r>
      <w:r w:rsidR="000A2F50">
        <w:rPr>
          <w:rStyle w:val="FootnoteReference"/>
          <w:spacing w:val="-3"/>
          <w:szCs w:val="22"/>
        </w:rPr>
        <w:footnoteReference w:id="38"/>
      </w:r>
      <w:r w:rsidR="0078188F">
        <w:rPr>
          <w:spacing w:val="-3"/>
          <w:szCs w:val="22"/>
        </w:rPr>
        <w:t xml:space="preserve">  </w:t>
      </w:r>
      <w:r w:rsidR="00797804">
        <w:rPr>
          <w:szCs w:val="22"/>
        </w:rPr>
        <w:t>AT&amp;T</w:t>
      </w:r>
      <w:r w:rsidR="006076B9">
        <w:rPr>
          <w:szCs w:val="22"/>
        </w:rPr>
        <w:t xml:space="preserve"> asserts that </w:t>
      </w:r>
      <w:r w:rsidR="008F065B">
        <w:rPr>
          <w:szCs w:val="22"/>
        </w:rPr>
        <w:t xml:space="preserve">AT&amp;T </w:t>
      </w:r>
      <w:r w:rsidR="0078188F">
        <w:rPr>
          <w:szCs w:val="22"/>
        </w:rPr>
        <w:t>Southeast</w:t>
      </w:r>
      <w:r w:rsidR="006076B9">
        <w:rPr>
          <w:szCs w:val="22"/>
        </w:rPr>
        <w:t xml:space="preserve"> is considered dominant with respect to </w:t>
      </w:r>
      <w:r w:rsidR="00FD2DAB">
        <w:rPr>
          <w:szCs w:val="22"/>
        </w:rPr>
        <w:t xml:space="preserve">this </w:t>
      </w:r>
      <w:r w:rsidR="006076B9">
        <w:rPr>
          <w:szCs w:val="22"/>
        </w:rPr>
        <w:t>service.</w:t>
      </w:r>
      <w:r w:rsidR="006453E6">
        <w:rPr>
          <w:rStyle w:val="FootnoteReference"/>
          <w:szCs w:val="22"/>
        </w:rPr>
        <w:footnoteReference w:id="39"/>
      </w:r>
    </w:p>
    <w:p w14:paraId="6E76AFBF"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A4130A4" w14:textId="503A9BA2" w:rsidR="00665F81" w:rsidRDefault="006076B9" w:rsidP="00F55135">
      <w:pPr>
        <w:rPr>
          <w:szCs w:val="22"/>
        </w:rPr>
      </w:pPr>
      <w:r>
        <w:rPr>
          <w:szCs w:val="22"/>
        </w:rPr>
        <w:tab/>
        <w:t>In accordance with section 63.71(</w:t>
      </w:r>
      <w:r w:rsidR="009F48E3">
        <w:rPr>
          <w:szCs w:val="22"/>
        </w:rPr>
        <w:t>e</w:t>
      </w:r>
      <w:r>
        <w:rPr>
          <w:szCs w:val="22"/>
        </w:rPr>
        <w:t xml:space="preserve">) of the Commission’s rules, </w:t>
      </w:r>
      <w:r w:rsidR="00797804">
        <w:rPr>
          <w:szCs w:val="22"/>
        </w:rPr>
        <w:t>AT&amp;T</w:t>
      </w:r>
      <w:r>
        <w:rPr>
          <w:szCs w:val="22"/>
        </w:rPr>
        <w:t>’s application</w:t>
      </w:r>
      <w:r w:rsidR="00CB48D4">
        <w:rPr>
          <w:szCs w:val="22"/>
        </w:rPr>
        <w:t>(s)</w:t>
      </w:r>
      <w:r>
        <w:rPr>
          <w:szCs w:val="22"/>
        </w:rPr>
        <w:t xml:space="preserve"> will be deemed granted automatically on </w:t>
      </w:r>
      <w:r w:rsidR="009F48E3">
        <w:rPr>
          <w:szCs w:val="22"/>
        </w:rPr>
        <w:t>October 14</w:t>
      </w:r>
      <w:r w:rsidR="00F400C2">
        <w:rPr>
          <w:szCs w:val="22"/>
        </w:rPr>
        <w:t>,</w:t>
      </w:r>
      <w:r w:rsidR="00601A4B">
        <w:rPr>
          <w:szCs w:val="22"/>
        </w:rPr>
        <w:t xml:space="preserve"> 2016,</w:t>
      </w:r>
      <w:r w:rsidR="00F400C2">
        <w:rPr>
          <w:szCs w:val="22"/>
        </w:rPr>
        <w:t xml:space="preserve"> </w:t>
      </w:r>
      <w:r>
        <w:rPr>
          <w:szCs w:val="22"/>
        </w:rPr>
        <w:t xml:space="preserve">the </w:t>
      </w:r>
      <w:r w:rsidR="00610AD1">
        <w:rPr>
          <w:szCs w:val="22"/>
        </w:rPr>
        <w:t>60th</w:t>
      </w:r>
      <w:r>
        <w:rPr>
          <w:szCs w:val="22"/>
        </w:rPr>
        <w:t xml:space="preserve"> day after the release date of this </w:t>
      </w:r>
      <w:r w:rsidR="00601A4B">
        <w:rPr>
          <w:szCs w:val="22"/>
        </w:rPr>
        <w:t>P</w:t>
      </w:r>
      <w:r>
        <w:rPr>
          <w:szCs w:val="22"/>
        </w:rPr>
        <w:t xml:space="preserve">ublic </w:t>
      </w:r>
      <w:r w:rsidR="00601A4B">
        <w:rPr>
          <w:szCs w:val="22"/>
        </w:rPr>
        <w:t>N</w:t>
      </w:r>
      <w:r>
        <w:rPr>
          <w:szCs w:val="22"/>
        </w:rPr>
        <w:t xml:space="preserve">otice, unless the Commission notifies </w:t>
      </w:r>
      <w:r w:rsidR="00797804">
        <w:rPr>
          <w:szCs w:val="22"/>
        </w:rPr>
        <w:t>AT&amp;T</w:t>
      </w:r>
      <w:r>
        <w:rPr>
          <w:szCs w:val="22"/>
        </w:rPr>
        <w:t xml:space="preserve"> that the grant</w:t>
      </w:r>
      <w:r w:rsidR="00CB48D4">
        <w:rPr>
          <w:szCs w:val="22"/>
        </w:rPr>
        <w:t>(s)</w:t>
      </w:r>
      <w:r>
        <w:rPr>
          <w:szCs w:val="22"/>
        </w:rPr>
        <w:t xml:space="preserve"> will not be automatically effective.</w:t>
      </w:r>
      <w:r w:rsidR="00F400C2">
        <w:rPr>
          <w:rStyle w:val="FootnoteReference"/>
          <w:szCs w:val="22"/>
        </w:rPr>
        <w:footnoteReference w:id="40"/>
      </w:r>
      <w:r>
        <w:rPr>
          <w:szCs w:val="22"/>
        </w:rPr>
        <w:t xml:space="preserve">  </w:t>
      </w:r>
      <w:r w:rsidR="00601A4B">
        <w:rPr>
          <w:rFonts w:eastAsia="MS Mincho"/>
          <w:szCs w:val="22"/>
        </w:rPr>
        <w:t xml:space="preserve">We note that the date on which an application for Commission authorization is deemed granted may be different from the date on which an applicant is authorized to discontinue, reduce, or impair service.  </w:t>
      </w:r>
      <w:r>
        <w:rPr>
          <w:szCs w:val="22"/>
        </w:rPr>
        <w:t xml:space="preserve">In the </w:t>
      </w:r>
      <w:r w:rsidR="003C4023">
        <w:rPr>
          <w:szCs w:val="22"/>
        </w:rPr>
        <w:t>A</w:t>
      </w:r>
      <w:r>
        <w:rPr>
          <w:szCs w:val="22"/>
        </w:rPr>
        <w:t>pplication</w:t>
      </w:r>
      <w:r w:rsidR="00CB48D4">
        <w:rPr>
          <w:szCs w:val="22"/>
        </w:rPr>
        <w:t>(s)</w:t>
      </w:r>
      <w:r>
        <w:rPr>
          <w:szCs w:val="22"/>
        </w:rPr>
        <w:t xml:space="preserve">, </w:t>
      </w:r>
      <w:r w:rsidR="00797804">
        <w:rPr>
          <w:szCs w:val="22"/>
        </w:rPr>
        <w:t>AT&amp;T</w:t>
      </w:r>
      <w:r>
        <w:rPr>
          <w:szCs w:val="22"/>
        </w:rPr>
        <w:t xml:space="preserve"> indicat</w:t>
      </w:r>
      <w:r w:rsidR="002F50D2">
        <w:rPr>
          <w:szCs w:val="22"/>
        </w:rPr>
        <w:t xml:space="preserve">es that </w:t>
      </w:r>
      <w:r w:rsidR="002B47E0">
        <w:rPr>
          <w:szCs w:val="22"/>
        </w:rPr>
        <w:t xml:space="preserve">AT&amp;T </w:t>
      </w:r>
      <w:r w:rsidR="00610AD1">
        <w:rPr>
          <w:szCs w:val="22"/>
        </w:rPr>
        <w:t>Southeast</w:t>
      </w:r>
      <w:r w:rsidR="002B47E0">
        <w:rPr>
          <w:szCs w:val="22"/>
        </w:rPr>
        <w:t xml:space="preserve"> </w:t>
      </w:r>
      <w:r w:rsidR="002F50D2">
        <w:rPr>
          <w:szCs w:val="22"/>
        </w:rPr>
        <w:t xml:space="preserve">plans to </w:t>
      </w:r>
      <w:r w:rsidR="00053074">
        <w:rPr>
          <w:szCs w:val="22"/>
        </w:rPr>
        <w:t>discontinue</w:t>
      </w:r>
      <w:r w:rsidR="00610AD1">
        <w:rPr>
          <w:szCs w:val="22"/>
        </w:rPr>
        <w:t xml:space="preserve"> </w:t>
      </w:r>
      <w:r w:rsidR="00D92C96">
        <w:rPr>
          <w:spacing w:val="-3"/>
          <w:szCs w:val="22"/>
        </w:rPr>
        <w:t>the Affected Service</w:t>
      </w:r>
      <w:r w:rsidR="00831EC5">
        <w:rPr>
          <w:spacing w:val="-3"/>
          <w:szCs w:val="22"/>
        </w:rPr>
        <w:t>s</w:t>
      </w:r>
      <w:r w:rsidR="00610AD1">
        <w:rPr>
          <w:spacing w:val="-3"/>
          <w:szCs w:val="22"/>
        </w:rPr>
        <w:t xml:space="preserve"> </w:t>
      </w:r>
      <w:r w:rsidR="00D36448">
        <w:rPr>
          <w:spacing w:val="-3"/>
          <w:szCs w:val="22"/>
        </w:rPr>
        <w:t xml:space="preserve">in the </w:t>
      </w:r>
      <w:r w:rsidR="008C464B">
        <w:rPr>
          <w:spacing w:val="-3"/>
          <w:szCs w:val="22"/>
        </w:rPr>
        <w:t>Trial Wire Centers</w:t>
      </w:r>
      <w:r w:rsidR="00D36448">
        <w:rPr>
          <w:spacing w:val="-3"/>
          <w:szCs w:val="22"/>
        </w:rPr>
        <w:t xml:space="preserve"> </w:t>
      </w:r>
      <w:r w:rsidR="00F14A28">
        <w:rPr>
          <w:spacing w:val="-3"/>
          <w:szCs w:val="22"/>
        </w:rPr>
        <w:t>on or a</w:t>
      </w:r>
      <w:r w:rsidR="002B47E0">
        <w:rPr>
          <w:spacing w:val="-3"/>
          <w:szCs w:val="22"/>
        </w:rPr>
        <w:t>fter</w:t>
      </w:r>
      <w:r w:rsidR="00F14A28">
        <w:rPr>
          <w:spacing w:val="-3"/>
          <w:szCs w:val="22"/>
        </w:rPr>
        <w:t xml:space="preserve"> </w:t>
      </w:r>
      <w:r w:rsidR="00053074">
        <w:rPr>
          <w:spacing w:val="-3"/>
          <w:szCs w:val="22"/>
        </w:rPr>
        <w:t>October 14</w:t>
      </w:r>
      <w:r w:rsidR="00D92C96">
        <w:rPr>
          <w:spacing w:val="-3"/>
          <w:szCs w:val="22"/>
        </w:rPr>
        <w:t>, 201</w:t>
      </w:r>
      <w:r w:rsidR="00610AD1">
        <w:rPr>
          <w:spacing w:val="-3"/>
          <w:szCs w:val="22"/>
        </w:rPr>
        <w:t>6</w:t>
      </w:r>
      <w:r w:rsidR="00D92C96">
        <w:rPr>
          <w:spacing w:val="-3"/>
          <w:szCs w:val="22"/>
        </w:rPr>
        <w:t xml:space="preserve">, </w:t>
      </w:r>
      <w:r w:rsidR="00BF6C17">
        <w:rPr>
          <w:spacing w:val="-3"/>
          <w:szCs w:val="22"/>
        </w:rPr>
        <w:t>pending regulatory approval</w:t>
      </w:r>
      <w:r w:rsidR="00D92C96">
        <w:rPr>
          <w:spacing w:val="-3"/>
          <w:szCs w:val="22"/>
        </w:rPr>
        <w:t>.</w:t>
      </w:r>
      <w:r w:rsidR="00340ACC">
        <w:rPr>
          <w:szCs w:val="22"/>
        </w:rPr>
        <w:t xml:space="preserve">  </w:t>
      </w:r>
      <w:r>
        <w:rPr>
          <w:szCs w:val="22"/>
        </w:rPr>
        <w:t>Accordingly, pursuant to section 63.71(</w:t>
      </w:r>
      <w:r w:rsidR="00053074">
        <w:rPr>
          <w:szCs w:val="22"/>
        </w:rPr>
        <w:t>e</w:t>
      </w:r>
      <w:r>
        <w:rPr>
          <w:szCs w:val="22"/>
        </w:rPr>
        <w:t>)</w:t>
      </w:r>
      <w:r w:rsidR="00BB7773">
        <w:rPr>
          <w:szCs w:val="22"/>
        </w:rPr>
        <w:t>,</w:t>
      </w:r>
      <w:r>
        <w:rPr>
          <w:szCs w:val="22"/>
        </w:rPr>
        <w:t xml:space="preserve"> </w:t>
      </w:r>
      <w:r w:rsidR="00BB7773" w:rsidRPr="009C502C">
        <w:rPr>
          <w:rFonts w:eastAsia="MS Mincho"/>
          <w:szCs w:val="22"/>
        </w:rPr>
        <w:t xml:space="preserve">and the terms outlined in each </w:t>
      </w:r>
      <w:r w:rsidR="00BB7773">
        <w:rPr>
          <w:rFonts w:eastAsia="MS Mincho"/>
          <w:szCs w:val="22"/>
        </w:rPr>
        <w:t>application</w:t>
      </w:r>
      <w:r w:rsidR="00BF6C17">
        <w:rPr>
          <w:szCs w:val="22"/>
        </w:rPr>
        <w:t>,</w:t>
      </w:r>
      <w:r>
        <w:rPr>
          <w:szCs w:val="22"/>
        </w:rPr>
        <w:t xml:space="preserve"> absent further Commission action, </w:t>
      </w:r>
      <w:r w:rsidR="00797804">
        <w:rPr>
          <w:szCs w:val="22"/>
        </w:rPr>
        <w:t>AT&amp;T</w:t>
      </w:r>
      <w:r>
        <w:rPr>
          <w:szCs w:val="22"/>
        </w:rPr>
        <w:t xml:space="preserve"> </w:t>
      </w:r>
      <w:r w:rsidR="00610AD1">
        <w:rPr>
          <w:szCs w:val="22"/>
        </w:rPr>
        <w:t>Southeast</w:t>
      </w:r>
      <w:r w:rsidR="002B47E0">
        <w:rPr>
          <w:szCs w:val="22"/>
        </w:rPr>
        <w:t xml:space="preserve"> </w:t>
      </w:r>
      <w:r>
        <w:rPr>
          <w:szCs w:val="22"/>
        </w:rPr>
        <w:t xml:space="preserve">may </w:t>
      </w:r>
      <w:r w:rsidR="00BB7773">
        <w:rPr>
          <w:szCs w:val="22"/>
        </w:rPr>
        <w:t>discontinue</w:t>
      </w:r>
      <w:r w:rsidR="00610AD1">
        <w:rPr>
          <w:szCs w:val="22"/>
        </w:rPr>
        <w:t xml:space="preserve"> </w:t>
      </w:r>
      <w:r w:rsidR="00541E6E">
        <w:rPr>
          <w:szCs w:val="22"/>
        </w:rPr>
        <w:t>the Affected Service</w:t>
      </w:r>
      <w:r w:rsidR="00BB7773">
        <w:rPr>
          <w:szCs w:val="22"/>
        </w:rPr>
        <w:t>(</w:t>
      </w:r>
      <w:r w:rsidR="00541E6E">
        <w:rPr>
          <w:szCs w:val="22"/>
        </w:rPr>
        <w:t>s</w:t>
      </w:r>
      <w:r w:rsidR="00BB7773">
        <w:rPr>
          <w:szCs w:val="22"/>
        </w:rPr>
        <w:t>)</w:t>
      </w:r>
      <w:r w:rsidR="00610AD1">
        <w:rPr>
          <w:szCs w:val="22"/>
        </w:rPr>
        <w:t xml:space="preserve"> </w:t>
      </w:r>
      <w:r>
        <w:rPr>
          <w:szCs w:val="22"/>
        </w:rPr>
        <w:t xml:space="preserve">in </w:t>
      </w:r>
      <w:r w:rsidR="00190CF0">
        <w:rPr>
          <w:szCs w:val="22"/>
        </w:rPr>
        <w:t xml:space="preserve">the </w:t>
      </w:r>
      <w:r w:rsidR="008C464B">
        <w:rPr>
          <w:szCs w:val="22"/>
        </w:rPr>
        <w:t>Trial Wire Centers</w:t>
      </w:r>
      <w:r>
        <w:rPr>
          <w:szCs w:val="22"/>
        </w:rPr>
        <w:t xml:space="preserve"> on or after </w:t>
      </w:r>
      <w:r w:rsidR="00BB7773">
        <w:rPr>
          <w:b/>
          <w:szCs w:val="22"/>
        </w:rPr>
        <w:t>October 14</w:t>
      </w:r>
      <w:r w:rsidR="00D92C96">
        <w:rPr>
          <w:b/>
          <w:szCs w:val="22"/>
        </w:rPr>
        <w:t>, 201</w:t>
      </w:r>
      <w:r w:rsidR="00BF6C17">
        <w:rPr>
          <w:b/>
          <w:szCs w:val="22"/>
        </w:rPr>
        <w:t>6</w:t>
      </w:r>
      <w:r w:rsidR="00665F81">
        <w:rPr>
          <w:szCs w:val="22"/>
        </w:rPr>
        <w:t xml:space="preserve">, in accordance with </w:t>
      </w:r>
      <w:r w:rsidR="002B47E0">
        <w:rPr>
          <w:szCs w:val="22"/>
        </w:rPr>
        <w:t>AT&amp;T’s</w:t>
      </w:r>
      <w:r w:rsidR="00665F81">
        <w:rPr>
          <w:szCs w:val="22"/>
        </w:rPr>
        <w:t xml:space="preserve"> filed representations</w:t>
      </w:r>
      <w:r>
        <w:rPr>
          <w:szCs w:val="22"/>
        </w:rPr>
        <w:t xml:space="preserve">.  </w:t>
      </w:r>
      <w:r w:rsidR="00BB7773" w:rsidRPr="00792917">
        <w:rPr>
          <w:rFonts w:eastAsia="MS Mincho"/>
          <w:szCs w:val="22"/>
        </w:rPr>
        <w:t>For purposes of computation of time when filing a petition for reconsideration</w:t>
      </w:r>
      <w:r w:rsidR="00BB7773">
        <w:rPr>
          <w:rFonts w:eastAsia="MS Mincho"/>
          <w:szCs w:val="22"/>
        </w:rPr>
        <w:t>,</w:t>
      </w:r>
      <w:r w:rsidR="00BB7773" w:rsidRPr="00792917">
        <w:rPr>
          <w:rFonts w:eastAsia="MS Mincho"/>
          <w:szCs w:val="22"/>
        </w:rPr>
        <w:t xml:space="preserve"> application for review, or </w:t>
      </w:r>
      <w:r w:rsidR="00BB7773">
        <w:rPr>
          <w:rFonts w:eastAsia="MS Mincho"/>
          <w:szCs w:val="22"/>
        </w:rPr>
        <w:t>petition f</w:t>
      </w:r>
      <w:r w:rsidR="00BB7773" w:rsidRPr="00792917">
        <w:rPr>
          <w:rFonts w:eastAsia="MS Mincho"/>
          <w:szCs w:val="22"/>
        </w:rPr>
        <w:t>or judicial review of the Commission’s decision</w:t>
      </w:r>
      <w:r w:rsidR="00BB7773">
        <w:rPr>
          <w:rFonts w:eastAsia="MS Mincho"/>
          <w:szCs w:val="22"/>
        </w:rPr>
        <w:t>(s)</w:t>
      </w:r>
      <w:r w:rsidR="00BB7773" w:rsidRPr="00792917">
        <w:rPr>
          <w:rFonts w:eastAsia="MS Mincho"/>
          <w:szCs w:val="22"/>
        </w:rPr>
        <w:t>, the date of “public notice” shall be the latter of the auto grant date stated above in this Public Notice, or the release date</w:t>
      </w:r>
      <w:r w:rsidR="00BB7773">
        <w:rPr>
          <w:rFonts w:eastAsia="MS Mincho"/>
          <w:szCs w:val="22"/>
        </w:rPr>
        <w:t>(s)</w:t>
      </w:r>
      <w:r w:rsidR="00BB7773" w:rsidRPr="00792917">
        <w:rPr>
          <w:rFonts w:eastAsia="MS Mincho"/>
          <w:szCs w:val="22"/>
        </w:rPr>
        <w:t xml:space="preserve"> of any further public notice</w:t>
      </w:r>
      <w:r w:rsidR="00BB7773">
        <w:rPr>
          <w:rFonts w:eastAsia="MS Mincho"/>
          <w:szCs w:val="22"/>
        </w:rPr>
        <w:t>(s)</w:t>
      </w:r>
      <w:r w:rsidR="00BB7773" w:rsidRPr="00792917">
        <w:rPr>
          <w:rFonts w:eastAsia="MS Mincho"/>
          <w:szCs w:val="22"/>
        </w:rPr>
        <w:t xml:space="preserve"> or order</w:t>
      </w:r>
      <w:r w:rsidR="00BB7773">
        <w:rPr>
          <w:rFonts w:eastAsia="MS Mincho"/>
          <w:szCs w:val="22"/>
        </w:rPr>
        <w:t>(s)</w:t>
      </w:r>
      <w:r w:rsidR="00BB7773" w:rsidRPr="00792917">
        <w:rPr>
          <w:rFonts w:eastAsia="MS Mincho"/>
          <w:szCs w:val="22"/>
        </w:rPr>
        <w:t xml:space="preserve"> announcing final </w:t>
      </w:r>
      <w:r w:rsidR="00BB7773" w:rsidRPr="00F92C2C">
        <w:rPr>
          <w:rFonts w:eastAsia="MS Mincho"/>
          <w:szCs w:val="22"/>
        </w:rPr>
        <w:t xml:space="preserve">Commission </w:t>
      </w:r>
      <w:r w:rsidR="00BB7773" w:rsidRPr="00792917">
        <w:rPr>
          <w:rFonts w:eastAsia="MS Mincho"/>
          <w:szCs w:val="22"/>
        </w:rPr>
        <w:t>action, as applicable.  Should no petitions for reconsideration, applications for review, or petitions for judicial review be timely filed, the proceeding</w:t>
      </w:r>
      <w:r w:rsidR="00BB7773">
        <w:rPr>
          <w:rFonts w:eastAsia="MS Mincho"/>
          <w:szCs w:val="22"/>
        </w:rPr>
        <w:t>(s)</w:t>
      </w:r>
      <w:r w:rsidR="00BB7773" w:rsidRPr="00792917">
        <w:rPr>
          <w:rFonts w:eastAsia="MS Mincho"/>
          <w:szCs w:val="22"/>
        </w:rPr>
        <w:t xml:space="preserve"> listed in this Public Notice shall be terminated, and the docket</w:t>
      </w:r>
      <w:r w:rsidR="00BB7773">
        <w:rPr>
          <w:rFonts w:eastAsia="MS Mincho"/>
          <w:szCs w:val="22"/>
        </w:rPr>
        <w:t>(s)</w:t>
      </w:r>
      <w:r w:rsidR="00BB7773" w:rsidRPr="00792917">
        <w:rPr>
          <w:rFonts w:eastAsia="MS Mincho"/>
          <w:szCs w:val="22"/>
        </w:rPr>
        <w:t xml:space="preserve"> will be closed.</w:t>
      </w:r>
    </w:p>
    <w:p w14:paraId="11F3DFF8" w14:textId="77777777" w:rsidR="00A9453D" w:rsidRDefault="00A9453D" w:rsidP="00F55135">
      <w:pPr>
        <w:rPr>
          <w:szCs w:val="22"/>
        </w:rPr>
      </w:pPr>
    </w:p>
    <w:p w14:paraId="53E3DF25" w14:textId="4629E720" w:rsidR="00A9453D" w:rsidRPr="00DA140B" w:rsidRDefault="00DA140B" w:rsidP="00DA140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szCs w:val="22"/>
        </w:rPr>
        <w:tab/>
      </w:r>
      <w:r w:rsidR="00A9453D" w:rsidRPr="00A9453D">
        <w:rPr>
          <w:szCs w:val="22"/>
        </w:rPr>
        <w:t xml:space="preserve">Comments </w:t>
      </w:r>
      <w:r w:rsidR="00056726">
        <w:rPr>
          <w:szCs w:val="22"/>
        </w:rPr>
        <w:t>addressing</w:t>
      </w:r>
      <w:r w:rsidR="00A9453D" w:rsidRPr="00A9453D">
        <w:rPr>
          <w:szCs w:val="22"/>
        </w:rPr>
        <w:t xml:space="preserve"> </w:t>
      </w:r>
      <w:r w:rsidR="007E3877">
        <w:rPr>
          <w:szCs w:val="22"/>
        </w:rPr>
        <w:t>any of these</w:t>
      </w:r>
      <w:r w:rsidR="007E3877" w:rsidRPr="00D332AC">
        <w:rPr>
          <w:rFonts w:eastAsia="MS Mincho"/>
          <w:szCs w:val="22"/>
        </w:rPr>
        <w:t xml:space="preserve"> </w:t>
      </w:r>
      <w:r w:rsidR="007E3877">
        <w:rPr>
          <w:rFonts w:eastAsia="MS Mincho"/>
          <w:szCs w:val="22"/>
        </w:rPr>
        <w:t>applications</w:t>
      </w:r>
      <w:r w:rsidR="00A9453D" w:rsidRPr="00A9453D">
        <w:rPr>
          <w:szCs w:val="22"/>
        </w:rPr>
        <w:t xml:space="preserve"> must be filed with the Commission on or before </w:t>
      </w:r>
      <w:r w:rsidR="007E3877">
        <w:rPr>
          <w:b/>
          <w:szCs w:val="22"/>
        </w:rPr>
        <w:t>September 14</w:t>
      </w:r>
      <w:r w:rsidR="00A9453D" w:rsidRPr="00A9453D">
        <w:rPr>
          <w:b/>
          <w:szCs w:val="22"/>
        </w:rPr>
        <w:t>, 201</w:t>
      </w:r>
      <w:r w:rsidR="007E3877">
        <w:rPr>
          <w:b/>
          <w:szCs w:val="22"/>
        </w:rPr>
        <w:t>6</w:t>
      </w:r>
      <w:r w:rsidR="00A9453D" w:rsidRPr="00A9453D">
        <w:rPr>
          <w:szCs w:val="22"/>
        </w:rPr>
        <w:t xml:space="preserve">.  Such comments should refer to </w:t>
      </w:r>
      <w:r>
        <w:rPr>
          <w:b/>
          <w:kern w:val="0"/>
          <w:szCs w:val="22"/>
        </w:rPr>
        <w:t>GN Docket No. 13-5</w:t>
      </w:r>
      <w:r w:rsidRPr="00C65EF6">
        <w:rPr>
          <w:kern w:val="0"/>
          <w:szCs w:val="22"/>
        </w:rPr>
        <w:t>,</w:t>
      </w:r>
      <w:r>
        <w:rPr>
          <w:b/>
          <w:kern w:val="0"/>
          <w:szCs w:val="22"/>
        </w:rPr>
        <w:t xml:space="preserve"> GN Docket No. 12-353</w:t>
      </w:r>
      <w:r>
        <w:rPr>
          <w:b/>
          <w:szCs w:val="22"/>
        </w:rPr>
        <w:t xml:space="preserve"> </w:t>
      </w:r>
      <w:r w:rsidRPr="00316C43">
        <w:rPr>
          <w:szCs w:val="22"/>
        </w:rPr>
        <w:t xml:space="preserve">and </w:t>
      </w:r>
      <w:r w:rsidR="00056726" w:rsidRPr="00316C43">
        <w:rPr>
          <w:szCs w:val="22"/>
        </w:rPr>
        <w:t xml:space="preserve">the following WC Docket and </w:t>
      </w:r>
      <w:r w:rsidRPr="00316C43">
        <w:rPr>
          <w:szCs w:val="22"/>
        </w:rPr>
        <w:t>Comp. Pol. File No</w:t>
      </w:r>
      <w:r w:rsidR="00056726" w:rsidRPr="00316C43">
        <w:rPr>
          <w:szCs w:val="22"/>
        </w:rPr>
        <w:t>s</w:t>
      </w:r>
      <w:r w:rsidRPr="00316C43">
        <w:rPr>
          <w:szCs w:val="22"/>
        </w:rPr>
        <w:t xml:space="preserve">. </w:t>
      </w:r>
      <w:r w:rsidR="00056726" w:rsidRPr="00316C43">
        <w:rPr>
          <w:szCs w:val="22"/>
        </w:rPr>
        <w:t>as applicable:</w:t>
      </w:r>
      <w:r w:rsidR="00056726">
        <w:rPr>
          <w:b/>
          <w:szCs w:val="22"/>
        </w:rPr>
        <w:t xml:space="preserve">  </w:t>
      </w:r>
      <w:r w:rsidR="002805A0" w:rsidRPr="00A9453D">
        <w:rPr>
          <w:b/>
          <w:szCs w:val="22"/>
        </w:rPr>
        <w:t xml:space="preserve">WC Docket No. </w:t>
      </w:r>
      <w:r w:rsidR="002805A0">
        <w:rPr>
          <w:b/>
          <w:szCs w:val="22"/>
        </w:rPr>
        <w:t>1</w:t>
      </w:r>
      <w:r w:rsidR="007E3877">
        <w:rPr>
          <w:b/>
          <w:szCs w:val="22"/>
        </w:rPr>
        <w:t>6-249</w:t>
      </w:r>
      <w:r w:rsidR="002805A0">
        <w:rPr>
          <w:b/>
          <w:szCs w:val="22"/>
        </w:rPr>
        <w:t xml:space="preserve"> </w:t>
      </w:r>
      <w:r w:rsidR="002805A0" w:rsidRPr="00316C43">
        <w:rPr>
          <w:szCs w:val="22"/>
        </w:rPr>
        <w:t>and</w:t>
      </w:r>
      <w:r w:rsidR="002805A0">
        <w:rPr>
          <w:b/>
          <w:szCs w:val="22"/>
        </w:rPr>
        <w:t xml:space="preserve"> Comp. Pol. File No. 1</w:t>
      </w:r>
      <w:r w:rsidR="007E3877">
        <w:rPr>
          <w:b/>
          <w:szCs w:val="22"/>
        </w:rPr>
        <w:t>334</w:t>
      </w:r>
      <w:r w:rsidR="002805A0">
        <w:rPr>
          <w:b/>
          <w:szCs w:val="22"/>
        </w:rPr>
        <w:t xml:space="preserve"> </w:t>
      </w:r>
      <w:r w:rsidR="002805A0" w:rsidRPr="00316C43">
        <w:rPr>
          <w:szCs w:val="22"/>
        </w:rPr>
        <w:t>for the Analog Voice Grade Private Line Services Application</w:t>
      </w:r>
      <w:r w:rsidR="002805A0" w:rsidRPr="007E3877">
        <w:rPr>
          <w:szCs w:val="22"/>
        </w:rPr>
        <w:t>;</w:t>
      </w:r>
      <w:r w:rsidR="002576B1">
        <w:rPr>
          <w:szCs w:val="22"/>
        </w:rPr>
        <w:t xml:space="preserve"> </w:t>
      </w:r>
      <w:r w:rsidR="002576B1" w:rsidRPr="002805A0">
        <w:rPr>
          <w:b/>
          <w:szCs w:val="22"/>
        </w:rPr>
        <w:t>WC Docket No. 1</w:t>
      </w:r>
      <w:r w:rsidR="002576B1">
        <w:rPr>
          <w:b/>
          <w:szCs w:val="22"/>
        </w:rPr>
        <w:t>6-250</w:t>
      </w:r>
      <w:r w:rsidR="002576B1" w:rsidRPr="002805A0">
        <w:rPr>
          <w:b/>
          <w:szCs w:val="22"/>
        </w:rPr>
        <w:t xml:space="preserve"> </w:t>
      </w:r>
      <w:r w:rsidR="002576B1" w:rsidRPr="00316C43">
        <w:rPr>
          <w:szCs w:val="22"/>
        </w:rPr>
        <w:t>and</w:t>
      </w:r>
      <w:r w:rsidR="002576B1" w:rsidRPr="002805A0">
        <w:rPr>
          <w:b/>
          <w:szCs w:val="22"/>
        </w:rPr>
        <w:t xml:space="preserve"> Comp. Pol. File No. 1</w:t>
      </w:r>
      <w:r w:rsidR="002576B1">
        <w:rPr>
          <w:b/>
          <w:szCs w:val="22"/>
        </w:rPr>
        <w:t>335</w:t>
      </w:r>
      <w:r w:rsidR="002576B1" w:rsidRPr="002805A0">
        <w:rPr>
          <w:b/>
          <w:szCs w:val="22"/>
        </w:rPr>
        <w:t xml:space="preserve"> </w:t>
      </w:r>
      <w:r w:rsidR="002576B1" w:rsidRPr="00316C43">
        <w:rPr>
          <w:szCs w:val="22"/>
        </w:rPr>
        <w:t>for the</w:t>
      </w:r>
      <w:r w:rsidR="002576B1" w:rsidRPr="000D04B1">
        <w:rPr>
          <w:snapToGrid/>
          <w:kern w:val="0"/>
          <w:sz w:val="20"/>
        </w:rPr>
        <w:t xml:space="preserve"> </w:t>
      </w:r>
      <w:r w:rsidR="002576B1" w:rsidRPr="00316C43">
        <w:rPr>
          <w:szCs w:val="22"/>
        </w:rPr>
        <w:t>Program Audio Service Application</w:t>
      </w:r>
      <w:r w:rsidR="002805A0" w:rsidRPr="00C65EF6">
        <w:rPr>
          <w:szCs w:val="22"/>
        </w:rPr>
        <w:t>; and</w:t>
      </w:r>
      <w:r w:rsidR="002805A0">
        <w:rPr>
          <w:b/>
          <w:szCs w:val="22"/>
        </w:rPr>
        <w:t xml:space="preserve"> </w:t>
      </w:r>
      <w:r w:rsidR="002576B1" w:rsidRPr="00A9453D">
        <w:rPr>
          <w:b/>
          <w:szCs w:val="22"/>
        </w:rPr>
        <w:t>WC Docket No. 1</w:t>
      </w:r>
      <w:r w:rsidR="002576B1">
        <w:rPr>
          <w:b/>
          <w:szCs w:val="22"/>
        </w:rPr>
        <w:t>6-218</w:t>
      </w:r>
      <w:r w:rsidR="002576B1" w:rsidRPr="002805A0">
        <w:rPr>
          <w:b/>
          <w:szCs w:val="22"/>
        </w:rPr>
        <w:t xml:space="preserve"> </w:t>
      </w:r>
      <w:r w:rsidR="002576B1" w:rsidRPr="00316C43">
        <w:rPr>
          <w:szCs w:val="22"/>
        </w:rPr>
        <w:t>and</w:t>
      </w:r>
      <w:r w:rsidR="002576B1">
        <w:rPr>
          <w:b/>
          <w:szCs w:val="22"/>
        </w:rPr>
        <w:t xml:space="preserve"> Comp. Pol. File No. 1336 </w:t>
      </w:r>
      <w:r w:rsidR="002576B1" w:rsidRPr="00316C43">
        <w:rPr>
          <w:szCs w:val="22"/>
        </w:rPr>
        <w:t>for the</w:t>
      </w:r>
      <w:r w:rsidR="002576B1" w:rsidRPr="000D04B1">
        <w:rPr>
          <w:snapToGrid/>
          <w:kern w:val="0"/>
          <w:sz w:val="20"/>
        </w:rPr>
        <w:t xml:space="preserve"> </w:t>
      </w:r>
      <w:r w:rsidR="002576B1" w:rsidRPr="00316C43">
        <w:rPr>
          <w:szCs w:val="22"/>
        </w:rPr>
        <w:t>Analog Video Service</w:t>
      </w:r>
      <w:r w:rsidR="00472AD9">
        <w:rPr>
          <w:szCs w:val="22"/>
        </w:rPr>
        <w:t xml:space="preserve"> – TV</w:t>
      </w:r>
      <w:r w:rsidR="002576B1" w:rsidRPr="00316C43">
        <w:rPr>
          <w:szCs w:val="22"/>
        </w:rPr>
        <w:t>-1 Application</w:t>
      </w:r>
      <w:r w:rsidR="00A9453D" w:rsidRPr="00A9453D">
        <w:rPr>
          <w:szCs w:val="22"/>
        </w:rPr>
        <w:t>.  Comments should include specific information about the impact of th</w:t>
      </w:r>
      <w:r w:rsidR="002805A0">
        <w:rPr>
          <w:szCs w:val="22"/>
        </w:rPr>
        <w:t>e</w:t>
      </w:r>
      <w:r w:rsidR="00A9453D" w:rsidRPr="00A9453D">
        <w:rPr>
          <w:szCs w:val="22"/>
        </w:rPr>
        <w:t xml:space="preserv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41"/>
      </w:r>
      <w:r>
        <w:rPr>
          <w:szCs w:val="22"/>
        </w:rPr>
        <w:t xml:space="preserve">  Comments may be filed electronically using the Internet by accessing the ECFS:  </w:t>
      </w:r>
      <w:hyperlink r:id="rId8" w:history="1">
        <w:r w:rsidRPr="00CC1686">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14:paraId="67F4752A" w14:textId="77777777" w:rsidR="00A9453D" w:rsidRPr="00A9453D" w:rsidRDefault="00A9453D" w:rsidP="00A9453D">
      <w:pPr>
        <w:rPr>
          <w:szCs w:val="22"/>
        </w:rPr>
      </w:pPr>
    </w:p>
    <w:p w14:paraId="283FCD96" w14:textId="2CD45B38" w:rsidR="00A9453D" w:rsidRPr="007E3877" w:rsidRDefault="00A9453D" w:rsidP="00A9453D">
      <w:pPr>
        <w:rPr>
          <w:b/>
          <w:szCs w:val="22"/>
        </w:rPr>
      </w:pPr>
      <w:r w:rsidRPr="00A9453D">
        <w:rPr>
          <w:szCs w:val="22"/>
        </w:rPr>
        <w:tab/>
        <w:t xml:space="preserve">Parties who choose to file by paper must file an original and one copy of each filing.  </w:t>
      </w:r>
      <w:r w:rsidR="001F309D" w:rsidRPr="001F309D">
        <w:rPr>
          <w:szCs w:val="22"/>
        </w:rPr>
        <w:t>Because more than one docket or rulemaking number appears in the caption of this proceeding, filers must submit two additional copies for each additional docket or rulemaking number.</w:t>
      </w:r>
      <w:r w:rsidR="001F309D">
        <w:rPr>
          <w:szCs w:val="22"/>
        </w:rPr>
        <w:t xml:space="preserve">  </w:t>
      </w:r>
      <w:r w:rsidRPr="00A9453D">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B7720B">
        <w:rPr>
          <w:szCs w:val="22"/>
          <w:u w:val="single"/>
        </w:rPr>
        <w:t>before</w:t>
      </w:r>
      <w:r w:rsidRPr="00A9453D">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32BEBA9A" w14:textId="77777777" w:rsidR="00A9453D" w:rsidRPr="00A9453D" w:rsidRDefault="00A9453D" w:rsidP="00A9453D">
      <w:pPr>
        <w:rPr>
          <w:szCs w:val="22"/>
        </w:rPr>
      </w:pPr>
    </w:p>
    <w:p w14:paraId="5A0967E2" w14:textId="77777777" w:rsidR="00A9453D" w:rsidRPr="00A9453D" w:rsidRDefault="00A9453D" w:rsidP="00A9453D">
      <w:pPr>
        <w:rPr>
          <w:szCs w:val="22"/>
        </w:rPr>
      </w:pPr>
      <w:r w:rsidRPr="00A9453D">
        <w:rPr>
          <w:szCs w:val="22"/>
        </w:rPr>
        <w:tab/>
        <w:t>Copies of the comments may also be sent to the Competition Policy Division, Wireline Competition Bureau, Federal Communications Commission, 445 12th Street, S.W., Room 5-C140, Washington, D.C. 20554, Attention:  Carmell Weathers, or faxed to the FCC at (202) 418-1413, Attention:  Carmell Weathers.  In addition, comments should be served upon the Applicant.</w:t>
      </w:r>
    </w:p>
    <w:p w14:paraId="35E31CF2" w14:textId="77777777" w:rsidR="00A9453D" w:rsidRPr="00A9453D" w:rsidRDefault="00A9453D" w:rsidP="00A9453D">
      <w:pPr>
        <w:rPr>
          <w:szCs w:val="22"/>
        </w:rPr>
      </w:pPr>
    </w:p>
    <w:p w14:paraId="64DA5391" w14:textId="32E52B86" w:rsidR="00A9453D" w:rsidRPr="004B5F28" w:rsidRDefault="00A9453D" w:rsidP="004B5F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A9453D">
        <w:rPr>
          <w:szCs w:val="22"/>
        </w:rPr>
        <w:tab/>
      </w:r>
      <w:r w:rsidR="004B5F28" w:rsidRPr="004B5F28">
        <w:rPr>
          <w:szCs w:val="22"/>
        </w:rPr>
        <w:t>These proceedings are considered “permit but disclose” proceedings for purposes of the Commission’s ex parte rules.</w:t>
      </w:r>
      <w:r w:rsidR="004B5F28" w:rsidRPr="004B5F28">
        <w:rPr>
          <w:szCs w:val="22"/>
          <w:vertAlign w:val="superscript"/>
        </w:rPr>
        <w:footnoteReference w:id="42"/>
      </w:r>
      <w:r w:rsidR="004B5F28" w:rsidRPr="004B5F28">
        <w:rPr>
          <w:szCs w:val="22"/>
        </w:rPr>
        <w:t xml:space="preserve">  Participants should familiarize themselves with the Commission’s </w:t>
      </w:r>
      <w:r w:rsidR="004B5F28" w:rsidRPr="004B5F28">
        <w:rPr>
          <w:i/>
          <w:szCs w:val="22"/>
        </w:rPr>
        <w:t>ex parte</w:t>
      </w:r>
      <w:r w:rsidR="004B5F28" w:rsidRPr="004B5F28">
        <w:rPr>
          <w:szCs w:val="22"/>
        </w:rPr>
        <w:t xml:space="preserve"> rules.  </w:t>
      </w:r>
      <w:r w:rsidR="004B5F28" w:rsidRPr="004B5F28">
        <w:t xml:space="preserve">Persons making </w:t>
      </w:r>
      <w:r w:rsidR="004B5F28" w:rsidRPr="004B5F28">
        <w:rPr>
          <w:i/>
        </w:rPr>
        <w:t xml:space="preserve">ex parte </w:t>
      </w:r>
      <w:r w:rsidR="004B5F28" w:rsidRPr="004B5F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B5F28" w:rsidRPr="004B5F28">
        <w:rPr>
          <w:i/>
          <w:iCs/>
        </w:rPr>
        <w:t xml:space="preserve">ex parte </w:t>
      </w:r>
      <w:r w:rsidR="004B5F28" w:rsidRPr="004B5F28">
        <w:t xml:space="preserve">presentations are reminded that memoranda summarizing the presentation must (1) list all persons attending or otherwise participating in the meeting at which the </w:t>
      </w:r>
      <w:r w:rsidR="004B5F28" w:rsidRPr="004B5F28">
        <w:rPr>
          <w:i/>
          <w:iCs/>
        </w:rPr>
        <w:t xml:space="preserve">ex parte </w:t>
      </w:r>
      <w:r w:rsidR="004B5F28" w:rsidRPr="004B5F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B5F28" w:rsidRPr="004B5F28">
        <w:rPr>
          <w:i/>
          <w:iCs/>
        </w:rPr>
        <w:t xml:space="preserve">ex parte </w:t>
      </w:r>
      <w:r w:rsidR="004B5F28" w:rsidRPr="004B5F28">
        <w:t xml:space="preserve">meetings are deemed to be written </w:t>
      </w:r>
      <w:r w:rsidR="004B5F28" w:rsidRPr="004B5F28">
        <w:rPr>
          <w:i/>
          <w:iCs/>
        </w:rPr>
        <w:t>ex parte</w:t>
      </w:r>
      <w:r w:rsidR="004B5F28" w:rsidRPr="004B5F28">
        <w:t xml:space="preserve"> presentations and must be filed consistent with rule 1.1206(b).</w:t>
      </w:r>
    </w:p>
    <w:p w14:paraId="26C4D1D8" w14:textId="77777777" w:rsidR="00A9453D" w:rsidRPr="00A9453D" w:rsidRDefault="00A9453D" w:rsidP="00A9453D">
      <w:pPr>
        <w:rPr>
          <w:szCs w:val="22"/>
        </w:rPr>
      </w:pPr>
    </w:p>
    <w:p w14:paraId="67B32215" w14:textId="7041F114" w:rsidR="00A9453D" w:rsidRPr="00A9453D" w:rsidRDefault="00A9453D" w:rsidP="00A9453D">
      <w:pPr>
        <w:rPr>
          <w:szCs w:val="22"/>
        </w:rPr>
      </w:pPr>
      <w:r w:rsidRPr="00A9453D">
        <w:rPr>
          <w:szCs w:val="22"/>
        </w:rPr>
        <w:tab/>
        <w:t xml:space="preserve">People with Disabilities:  To request materials in accessible formats for people with disabilities (Braille, large print, electronic files, audio format), send an e-mail to </w:t>
      </w:r>
      <w:hyperlink r:id="rId9" w:history="1">
        <w:r w:rsidRPr="00B541EA">
          <w:rPr>
            <w:rStyle w:val="Hyperlink"/>
            <w:szCs w:val="22"/>
          </w:rPr>
          <w:t>fcc504@fcc.gov</w:t>
        </w:r>
      </w:hyperlink>
      <w:r w:rsidRPr="00A9453D">
        <w:rPr>
          <w:szCs w:val="22"/>
        </w:rPr>
        <w:t xml:space="preserve"> or call the Consumer &amp; Governmental Affairs Bureau at (202) 418-0530 (voice), (888) 835-5322 (tty).</w:t>
      </w:r>
    </w:p>
    <w:p w14:paraId="5E2F7EEE" w14:textId="77777777" w:rsidR="00A9453D" w:rsidRPr="00A9453D" w:rsidRDefault="00A9453D" w:rsidP="00A9453D">
      <w:pPr>
        <w:rPr>
          <w:szCs w:val="22"/>
        </w:rPr>
      </w:pPr>
    </w:p>
    <w:p w14:paraId="5F25619A" w14:textId="4DDFF75F" w:rsidR="00A9453D" w:rsidRPr="00A9453D" w:rsidRDefault="00A9453D" w:rsidP="00A9453D">
      <w:pPr>
        <w:rPr>
          <w:szCs w:val="22"/>
        </w:rPr>
      </w:pPr>
      <w:r w:rsidRPr="00A9453D">
        <w:rPr>
          <w:szCs w:val="22"/>
        </w:rPr>
        <w:tab/>
        <w:t xml:space="preserve">For further information, contact Carmell Weathers, (202) 418-2325 (voice), </w:t>
      </w:r>
      <w:hyperlink r:id="rId10" w:history="1">
        <w:r w:rsidRPr="00B541EA">
          <w:rPr>
            <w:rStyle w:val="Hyperlink"/>
            <w:szCs w:val="22"/>
          </w:rPr>
          <w:t>Carmell.Weathers@fcc.gov</w:t>
        </w:r>
      </w:hyperlink>
      <w:r w:rsidRPr="00A9453D">
        <w:rPr>
          <w:szCs w:val="22"/>
        </w:rPr>
        <w:t xml:space="preserve">, </w:t>
      </w:r>
      <w:r w:rsidR="00303124" w:rsidRPr="00665F81">
        <w:rPr>
          <w:szCs w:val="22"/>
        </w:rPr>
        <w:t>of the Competition Policy Division, Wireline Competition Bureau</w:t>
      </w:r>
      <w:r w:rsidR="00303124">
        <w:rPr>
          <w:szCs w:val="22"/>
        </w:rPr>
        <w:t>,</w:t>
      </w:r>
      <w:r w:rsidR="00303124" w:rsidRPr="00A9453D">
        <w:rPr>
          <w:szCs w:val="22"/>
        </w:rPr>
        <w:t xml:space="preserve"> </w:t>
      </w:r>
      <w:r w:rsidR="002805A0">
        <w:rPr>
          <w:szCs w:val="22"/>
        </w:rPr>
        <w:t>Rodney McDonald</w:t>
      </w:r>
      <w:r w:rsidR="002805A0" w:rsidRPr="00665F81">
        <w:rPr>
          <w:szCs w:val="22"/>
        </w:rPr>
        <w:t>, (202) 418-7</w:t>
      </w:r>
      <w:r w:rsidR="002805A0">
        <w:rPr>
          <w:szCs w:val="22"/>
        </w:rPr>
        <w:t>513</w:t>
      </w:r>
      <w:r w:rsidR="002805A0" w:rsidRPr="00665F81">
        <w:rPr>
          <w:szCs w:val="22"/>
        </w:rPr>
        <w:t xml:space="preserve"> (voice), </w:t>
      </w:r>
      <w:hyperlink r:id="rId11" w:history="1">
        <w:r w:rsidR="002805A0" w:rsidRPr="00AC517E">
          <w:rPr>
            <w:rStyle w:val="Hyperlink"/>
            <w:szCs w:val="22"/>
          </w:rPr>
          <w:t>Rodney.McDonald@fcc.gov</w:t>
        </w:r>
      </w:hyperlink>
      <w:r w:rsidR="002805A0" w:rsidRPr="00665F81">
        <w:rPr>
          <w:szCs w:val="22"/>
        </w:rPr>
        <w:t>, of the Competition Policy Division, Wireline Competition Bureau</w:t>
      </w:r>
      <w:r w:rsidR="002805A0" w:rsidRPr="00A9453D">
        <w:rPr>
          <w:szCs w:val="22"/>
        </w:rPr>
        <w:t xml:space="preserve"> </w:t>
      </w:r>
      <w:r w:rsidR="002805A0">
        <w:rPr>
          <w:szCs w:val="22"/>
        </w:rPr>
        <w:t xml:space="preserve">(for the </w:t>
      </w:r>
      <w:r w:rsidR="002805A0" w:rsidRPr="00316C43">
        <w:rPr>
          <w:szCs w:val="22"/>
        </w:rPr>
        <w:t>Analog Voice Grade Private Line Services Application</w:t>
      </w:r>
      <w:r w:rsidR="00303124" w:rsidRPr="00316C43">
        <w:rPr>
          <w:szCs w:val="22"/>
        </w:rPr>
        <w:t xml:space="preserve"> or the Program Audio Service Application</w:t>
      </w:r>
      <w:r w:rsidR="002805A0" w:rsidRPr="00316C43">
        <w:rPr>
          <w:szCs w:val="22"/>
        </w:rPr>
        <w:t>)</w:t>
      </w:r>
      <w:r w:rsidR="00303124" w:rsidRPr="00316C43">
        <w:rPr>
          <w:szCs w:val="22"/>
        </w:rPr>
        <w:t>,</w:t>
      </w:r>
      <w:r w:rsidR="002805A0" w:rsidRPr="00316C43">
        <w:rPr>
          <w:szCs w:val="22"/>
        </w:rPr>
        <w:t xml:space="preserve"> or</w:t>
      </w:r>
      <w:r w:rsidR="002805A0">
        <w:rPr>
          <w:b/>
          <w:szCs w:val="22"/>
        </w:rPr>
        <w:t xml:space="preserve"> </w:t>
      </w:r>
      <w:r w:rsidRPr="00A9453D">
        <w:rPr>
          <w:szCs w:val="22"/>
        </w:rPr>
        <w:t xml:space="preserve">Kimberly Jackson, (202) 418-7393 (voice), </w:t>
      </w:r>
      <w:hyperlink r:id="rId12" w:history="1">
        <w:r w:rsidRPr="00B541EA">
          <w:rPr>
            <w:rStyle w:val="Hyperlink"/>
            <w:szCs w:val="22"/>
          </w:rPr>
          <w:t>Kimberly.Jackson@fcc.gov</w:t>
        </w:r>
      </w:hyperlink>
      <w:r w:rsidRPr="00A9453D">
        <w:rPr>
          <w:szCs w:val="22"/>
        </w:rPr>
        <w:t>, of the Competition Policy Division, Wireline Competition Bureau</w:t>
      </w:r>
      <w:r w:rsidR="00303124">
        <w:rPr>
          <w:szCs w:val="22"/>
        </w:rPr>
        <w:t xml:space="preserve"> (for the</w:t>
      </w:r>
      <w:r w:rsidR="00303124" w:rsidRPr="00303124">
        <w:rPr>
          <w:b/>
          <w:szCs w:val="22"/>
        </w:rPr>
        <w:t xml:space="preserve"> </w:t>
      </w:r>
      <w:r w:rsidR="00303124" w:rsidRPr="00316C43">
        <w:rPr>
          <w:szCs w:val="22"/>
        </w:rPr>
        <w:t>Analog Video Service</w:t>
      </w:r>
      <w:r w:rsidR="00472AD9">
        <w:rPr>
          <w:szCs w:val="22"/>
        </w:rPr>
        <w:t xml:space="preserve"> – TV</w:t>
      </w:r>
      <w:r w:rsidR="00303124" w:rsidRPr="00316C43">
        <w:rPr>
          <w:szCs w:val="22"/>
        </w:rPr>
        <w:t>-1 Application)</w:t>
      </w:r>
      <w:r w:rsidRPr="00A9453D">
        <w:rPr>
          <w:szCs w:val="22"/>
        </w:rPr>
        <w:t xml:space="preserve">.  The tty number is (888) 835-5322.  For further information on procedures regarding section 214 please visit </w:t>
      </w:r>
      <w:hyperlink r:id="rId13" w:history="1">
        <w:r w:rsidR="00614AAE" w:rsidRPr="00366A35">
          <w:rPr>
            <w:rStyle w:val="Hyperlink"/>
            <w:szCs w:val="22"/>
          </w:rPr>
          <w:t xml:space="preserve">https://www.fcc.gov/encyclopedia/domestic-section-214-discontinuance-service </w:t>
        </w:r>
      </w:hyperlink>
      <w:r w:rsidRPr="00A9453D">
        <w:rPr>
          <w:szCs w:val="22"/>
        </w:rPr>
        <w:t>.</w:t>
      </w:r>
    </w:p>
    <w:p w14:paraId="381E356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9F46053" w14:textId="77777777"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F20462A" w14:textId="77777777"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14:paraId="04309666" w14:textId="77777777"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8207" w14:textId="77777777" w:rsidR="00B52043" w:rsidRDefault="00B52043">
      <w:r>
        <w:separator/>
      </w:r>
    </w:p>
  </w:endnote>
  <w:endnote w:type="continuationSeparator" w:id="0">
    <w:p w14:paraId="26AC7F98" w14:textId="77777777" w:rsidR="00B52043" w:rsidRDefault="00B5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62A4" w14:textId="77777777" w:rsidR="00BB674D" w:rsidRDefault="00BB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6A36" w14:textId="77777777"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F066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9446" w14:textId="77777777" w:rsidR="00BB674D" w:rsidRDefault="00BB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BE8A" w14:textId="77777777" w:rsidR="00B52043" w:rsidRDefault="00B52043">
      <w:r>
        <w:separator/>
      </w:r>
    </w:p>
  </w:footnote>
  <w:footnote w:type="continuationSeparator" w:id="0">
    <w:p w14:paraId="69FCA906" w14:textId="77777777" w:rsidR="00B52043" w:rsidRDefault="00B52043">
      <w:r>
        <w:continuationSeparator/>
      </w:r>
    </w:p>
  </w:footnote>
  <w:footnote w:id="1">
    <w:p w14:paraId="3EC87477" w14:textId="77777777" w:rsidR="00167E22" w:rsidRPr="000B1A08" w:rsidRDefault="00167E22" w:rsidP="00763CD9">
      <w:pPr>
        <w:pStyle w:val="FootnoteText"/>
        <w:spacing w:after="120"/>
        <w:rPr>
          <w:sz w:val="20"/>
        </w:rPr>
      </w:pPr>
      <w:r>
        <w:rPr>
          <w:rStyle w:val="FootnoteReference"/>
        </w:rPr>
        <w:footnoteRef/>
      </w:r>
      <w:r>
        <w:t xml:space="preserve"> </w:t>
      </w:r>
      <w:r w:rsidRPr="000B1A08">
        <w:rPr>
          <w:sz w:val="20"/>
        </w:rPr>
        <w:t>AT&amp;T Southeast’s address is listed as 675 W Peachtree Street NW, Atlanta GA 30308.</w:t>
      </w:r>
    </w:p>
  </w:footnote>
  <w:footnote w:id="2">
    <w:p w14:paraId="2B28BE8A" w14:textId="77777777" w:rsidR="00167E22" w:rsidRPr="00336D59" w:rsidRDefault="00167E22" w:rsidP="00763CD9">
      <w:pPr>
        <w:pStyle w:val="FootnoteText"/>
        <w:spacing w:after="120"/>
        <w:rPr>
          <w:sz w:val="20"/>
        </w:rPr>
      </w:pPr>
      <w:r>
        <w:rPr>
          <w:rStyle w:val="FootnoteReference"/>
        </w:rPr>
        <w:footnoteRef/>
      </w:r>
      <w:r>
        <w:t xml:space="preserve"> </w:t>
      </w:r>
      <w:r w:rsidRPr="00336D59">
        <w:rPr>
          <w:sz w:val="20"/>
        </w:rPr>
        <w:t>47 U.S.C. § 214</w:t>
      </w:r>
      <w:r>
        <w:rPr>
          <w:sz w:val="20"/>
        </w:rPr>
        <w:t>.</w:t>
      </w:r>
    </w:p>
  </w:footnote>
  <w:footnote w:id="3">
    <w:p w14:paraId="55228EA5" w14:textId="22C66E82" w:rsidR="00167E22" w:rsidRDefault="00167E22" w:rsidP="00763CD9">
      <w:pPr>
        <w:pStyle w:val="FootnoteText"/>
        <w:spacing w:after="120"/>
      </w:pPr>
      <w:r>
        <w:rPr>
          <w:rStyle w:val="FootnoteReference"/>
        </w:rPr>
        <w:footnoteRef/>
      </w:r>
      <w:r>
        <w:t xml:space="preserve"> </w:t>
      </w:r>
      <w:r w:rsidRPr="00336D59">
        <w:rPr>
          <w:sz w:val="20"/>
        </w:rPr>
        <w:t>47 CFR § 63.71</w:t>
      </w:r>
      <w:r>
        <w:rPr>
          <w:sz w:val="20"/>
        </w:rPr>
        <w:t>.</w:t>
      </w:r>
    </w:p>
  </w:footnote>
  <w:footnote w:id="4">
    <w:p w14:paraId="040B3C8D" w14:textId="77777777" w:rsidR="002D4A00" w:rsidRDefault="002D4A00" w:rsidP="002D4A00">
      <w:pPr>
        <w:pStyle w:val="FootnoteText"/>
        <w:spacing w:after="120"/>
      </w:pPr>
      <w:r>
        <w:rPr>
          <w:rStyle w:val="FootnoteReference"/>
        </w:rPr>
        <w:footnoteRef/>
      </w:r>
      <w:r>
        <w:t xml:space="preserve"> </w:t>
      </w:r>
      <w:r w:rsidRPr="000D59B6">
        <w:rPr>
          <w:i/>
          <w:sz w:val="20"/>
        </w:rPr>
        <w:t>See</w:t>
      </w:r>
      <w:r w:rsidRPr="000D59B6">
        <w:rPr>
          <w:sz w:val="20"/>
        </w:rPr>
        <w:t xml:space="preserve"> AT&amp;T Proposal for Wire Center Trials, GN Docket Nos. 13-5 and 12-353 </w:t>
      </w:r>
      <w:r>
        <w:rPr>
          <w:sz w:val="20"/>
        </w:rPr>
        <w:t xml:space="preserve">at 10-11 </w:t>
      </w:r>
      <w:r w:rsidRPr="000D59B6">
        <w:rPr>
          <w:sz w:val="20"/>
        </w:rPr>
        <w:t xml:space="preserve">(filed </w:t>
      </w:r>
      <w:r>
        <w:rPr>
          <w:sz w:val="20"/>
        </w:rPr>
        <w:t>Mar</w:t>
      </w:r>
      <w:r w:rsidRPr="000D59B6">
        <w:rPr>
          <w:sz w:val="20"/>
        </w:rPr>
        <w:t xml:space="preserve">. </w:t>
      </w:r>
      <w:r>
        <w:rPr>
          <w:sz w:val="20"/>
        </w:rPr>
        <w:t>11</w:t>
      </w:r>
      <w:r w:rsidRPr="000D59B6">
        <w:rPr>
          <w:sz w:val="20"/>
        </w:rPr>
        <w:t>, 2014)</w:t>
      </w:r>
      <w:r>
        <w:rPr>
          <w:sz w:val="20"/>
        </w:rPr>
        <w:t xml:space="preserve"> (redacted version for public inspection)</w:t>
      </w:r>
      <w:r w:rsidRPr="000D59B6">
        <w:rPr>
          <w:sz w:val="20"/>
        </w:rPr>
        <w:t xml:space="preserve"> (“AT&amp;T Proposal”).</w:t>
      </w:r>
      <w:r w:rsidRPr="0051193B">
        <w:t xml:space="preserve"> </w:t>
      </w:r>
      <w:r>
        <w:t xml:space="preserve"> </w:t>
      </w:r>
      <w:r w:rsidRPr="0051193B">
        <w:rPr>
          <w:sz w:val="20"/>
        </w:rPr>
        <w:t>AT&amp;T’s proposal did not request any relief from the Commission at that time.</w:t>
      </w:r>
    </w:p>
  </w:footnote>
  <w:footnote w:id="5">
    <w:p w14:paraId="32E8958F" w14:textId="77777777" w:rsidR="00D055E3" w:rsidRPr="0051193B" w:rsidRDefault="00D055E3" w:rsidP="00763CD9">
      <w:pPr>
        <w:pStyle w:val="FootnoteText"/>
        <w:spacing w:after="120"/>
        <w:rPr>
          <w:sz w:val="20"/>
        </w:rPr>
      </w:pPr>
      <w:r w:rsidRPr="009B569F">
        <w:rPr>
          <w:rStyle w:val="FootnoteReference"/>
        </w:rPr>
        <w:footnoteRef/>
      </w:r>
      <w:r w:rsidRPr="000E1336">
        <w:t xml:space="preserve"> </w:t>
      </w:r>
      <w:r>
        <w:rPr>
          <w:i/>
          <w:sz w:val="20"/>
        </w:rPr>
        <w:t>See</w:t>
      </w:r>
      <w:r>
        <w:rPr>
          <w:sz w:val="20"/>
        </w:rPr>
        <w:t xml:space="preserve"> Letter from David L. Talbott, Assistant Vice President, Federal Regulatory, AT&amp;T Services Inc., to Ms. Marlene H. Dortch, Secretary, Federal Communications Commission, GN Docket Nos. 13-5, 12-353, Attach. at 1 (filed Oct. 30, 2015).</w:t>
      </w:r>
    </w:p>
  </w:footnote>
  <w:footnote w:id="6">
    <w:p w14:paraId="231D8B02" w14:textId="3F8BDE45" w:rsidR="0055368F" w:rsidRPr="000D59B6" w:rsidRDefault="0055368F" w:rsidP="00763CD9">
      <w:pPr>
        <w:pStyle w:val="FootnoteText"/>
        <w:spacing w:after="120"/>
        <w:rPr>
          <w:sz w:val="20"/>
        </w:rPr>
      </w:pPr>
      <w:r w:rsidRPr="009B569F">
        <w:rPr>
          <w:rStyle w:val="FootnoteReference"/>
        </w:rPr>
        <w:footnoteRef/>
      </w:r>
      <w:r w:rsidRPr="009B569F">
        <w:t xml:space="preserve"> </w:t>
      </w:r>
      <w:r w:rsidR="0051193B" w:rsidRPr="000D59B6">
        <w:rPr>
          <w:i/>
          <w:iCs/>
          <w:sz w:val="20"/>
        </w:rPr>
        <w:t>Technology Transitions, et al.</w:t>
      </w:r>
      <w:r w:rsidR="0051193B" w:rsidRPr="000D59B6">
        <w:rPr>
          <w:sz w:val="20"/>
        </w:rPr>
        <w:t>, GN Docket No. 13-5 et al., Order, Report and Order and Further Notice of Proposed Rulemaking, Report and Order, Order and Further Notice of Proposed Rulemaking, Proposal for Ongoing Data Initiative, 29 FCC Rcd 1433</w:t>
      </w:r>
      <w:r w:rsidR="0051193B">
        <w:rPr>
          <w:sz w:val="20"/>
        </w:rPr>
        <w:t>, 1441, para. 22</w:t>
      </w:r>
      <w:r w:rsidR="0051193B" w:rsidRPr="000D59B6">
        <w:rPr>
          <w:sz w:val="20"/>
        </w:rPr>
        <w:t xml:space="preserve"> (2014) (</w:t>
      </w:r>
      <w:r w:rsidR="0051193B">
        <w:rPr>
          <w:i/>
          <w:iCs/>
          <w:sz w:val="20"/>
        </w:rPr>
        <w:t>Technology Transitions Order</w:t>
      </w:r>
      <w:r w:rsidR="0051193B" w:rsidRPr="000D59B6">
        <w:rPr>
          <w:sz w:val="20"/>
        </w:rPr>
        <w:t>).</w:t>
      </w:r>
    </w:p>
  </w:footnote>
  <w:footnote w:id="7">
    <w:p w14:paraId="1B9A7005" w14:textId="2A036F92" w:rsidR="0055368F" w:rsidRPr="000D59B6" w:rsidRDefault="0055368F" w:rsidP="00763CD9">
      <w:pPr>
        <w:pStyle w:val="FootnoteText"/>
        <w:spacing w:after="120"/>
        <w:rPr>
          <w:sz w:val="20"/>
        </w:rPr>
      </w:pPr>
      <w:r w:rsidRPr="009B569F">
        <w:rPr>
          <w:rStyle w:val="FootnoteReference"/>
        </w:rPr>
        <w:footnoteRef/>
      </w:r>
      <w:r w:rsidR="001C1F04" w:rsidRPr="001C1F04">
        <w:rPr>
          <w:sz w:val="20"/>
        </w:rPr>
        <w:t xml:space="preserve"> </w:t>
      </w:r>
      <w:r w:rsidR="001C1F04" w:rsidRPr="000D59B6">
        <w:rPr>
          <w:sz w:val="20"/>
        </w:rPr>
        <w:t>AT&amp;T Proposal for Wire Center Trials, GN Docket Nos. 13-5 and 12-353</w:t>
      </w:r>
      <w:r w:rsidR="001C1F04">
        <w:rPr>
          <w:sz w:val="20"/>
        </w:rPr>
        <w:t xml:space="preserve"> </w:t>
      </w:r>
      <w:r w:rsidR="001C1F04" w:rsidRPr="000D59B6">
        <w:rPr>
          <w:sz w:val="20"/>
        </w:rPr>
        <w:t xml:space="preserve">(filed </w:t>
      </w:r>
      <w:r w:rsidR="001C1F04">
        <w:rPr>
          <w:sz w:val="20"/>
        </w:rPr>
        <w:t>Feb. 27, 2014</w:t>
      </w:r>
      <w:r w:rsidR="00245753" w:rsidRPr="000D59B6">
        <w:rPr>
          <w:sz w:val="20"/>
        </w:rPr>
        <w:t>)</w:t>
      </w:r>
      <w:r w:rsidR="00245753">
        <w:rPr>
          <w:sz w:val="20"/>
        </w:rPr>
        <w:t xml:space="preserve"> (</w:t>
      </w:r>
      <w:r w:rsidR="001C1F04">
        <w:rPr>
          <w:sz w:val="20"/>
        </w:rPr>
        <w:t xml:space="preserve">confidential version); </w:t>
      </w:r>
      <w:r w:rsidR="001C1F04">
        <w:rPr>
          <w:i/>
          <w:sz w:val="20"/>
        </w:rPr>
        <w:t>see also</w:t>
      </w:r>
      <w:r w:rsidR="001C1F04">
        <w:rPr>
          <w:sz w:val="20"/>
        </w:rPr>
        <w:t xml:space="preserve"> AT&amp;T Proposal.</w:t>
      </w:r>
    </w:p>
  </w:footnote>
  <w:footnote w:id="8">
    <w:p w14:paraId="1A525AFF" w14:textId="3D77BC4E" w:rsidR="00757095" w:rsidRDefault="00757095" w:rsidP="00763CD9">
      <w:pPr>
        <w:pStyle w:val="FootnoteText"/>
        <w:spacing w:after="120"/>
      </w:pPr>
      <w:r>
        <w:rPr>
          <w:rStyle w:val="FootnoteReference"/>
        </w:rPr>
        <w:footnoteRef/>
      </w:r>
      <w:r>
        <w:t xml:space="preserve"> </w:t>
      </w:r>
      <w:r w:rsidRPr="000D59B6">
        <w:rPr>
          <w:i/>
          <w:sz w:val="20"/>
        </w:rPr>
        <w:t>See</w:t>
      </w:r>
      <w:r w:rsidRPr="000D59B6">
        <w:rPr>
          <w:sz w:val="20"/>
        </w:rPr>
        <w:t xml:space="preserve"> AT&amp;T Proposal </w:t>
      </w:r>
      <w:r w:rsidR="008F05FA">
        <w:rPr>
          <w:sz w:val="20"/>
        </w:rPr>
        <w:t>at 12</w:t>
      </w:r>
      <w:r w:rsidRPr="000D59B6">
        <w:rPr>
          <w:sz w:val="20"/>
        </w:rPr>
        <w:t>.</w:t>
      </w:r>
    </w:p>
  </w:footnote>
  <w:footnote w:id="9">
    <w:p w14:paraId="0EC81E33" w14:textId="62B8D51C" w:rsidR="0055368F" w:rsidRPr="000D59B6" w:rsidRDefault="0055368F" w:rsidP="00763CD9">
      <w:pPr>
        <w:pStyle w:val="FootnoteText"/>
        <w:spacing w:after="120"/>
        <w:rPr>
          <w:sz w:val="20"/>
        </w:rPr>
      </w:pPr>
      <w:r w:rsidRPr="009B569F">
        <w:rPr>
          <w:rStyle w:val="FootnoteReference"/>
        </w:rPr>
        <w:footnoteRef/>
      </w:r>
      <w:r w:rsidRPr="000E1336">
        <w:t xml:space="preserve"> </w:t>
      </w:r>
      <w:r w:rsidRPr="000D59B6">
        <w:rPr>
          <w:i/>
          <w:sz w:val="20"/>
        </w:rPr>
        <w:t>See</w:t>
      </w:r>
      <w:r w:rsidRPr="000D59B6">
        <w:rPr>
          <w:sz w:val="20"/>
        </w:rPr>
        <w:t xml:space="preserve"> AT&amp;T Proposal, Operating Plan at 1.</w:t>
      </w:r>
    </w:p>
  </w:footnote>
  <w:footnote w:id="10">
    <w:p w14:paraId="2E3B4EB7" w14:textId="607FE30C" w:rsidR="0055368F" w:rsidRPr="000D59B6" w:rsidRDefault="0055368F" w:rsidP="00763CD9">
      <w:pPr>
        <w:pStyle w:val="FootnoteText"/>
        <w:spacing w:after="120"/>
        <w:rPr>
          <w:sz w:val="20"/>
        </w:rPr>
      </w:pPr>
      <w:r w:rsidRPr="009B569F">
        <w:rPr>
          <w:rStyle w:val="FootnoteReference"/>
        </w:rPr>
        <w:footnoteRef/>
      </w:r>
      <w:r w:rsidRPr="000E1336">
        <w:t xml:space="preserve"> </w:t>
      </w:r>
      <w:r w:rsidRPr="000D59B6">
        <w:rPr>
          <w:i/>
          <w:sz w:val="20"/>
        </w:rPr>
        <w:t>See</w:t>
      </w:r>
      <w:r w:rsidRPr="000D59B6">
        <w:rPr>
          <w:sz w:val="20"/>
        </w:rPr>
        <w:t xml:space="preserve"> AT&amp;T Proposal, Operating Plan at 1, 12 n.23.</w:t>
      </w:r>
    </w:p>
  </w:footnote>
  <w:footnote w:id="11">
    <w:p w14:paraId="34478132" w14:textId="33BB62EC" w:rsidR="0055368F" w:rsidRPr="000D59B6" w:rsidRDefault="0055368F" w:rsidP="00763CD9">
      <w:pPr>
        <w:pStyle w:val="FootnoteText"/>
        <w:spacing w:after="120"/>
        <w:rPr>
          <w:sz w:val="20"/>
        </w:rPr>
      </w:pPr>
      <w:r w:rsidRPr="009B569F">
        <w:rPr>
          <w:rStyle w:val="FootnoteReference"/>
        </w:rPr>
        <w:footnoteRef/>
      </w:r>
      <w:r w:rsidRPr="000E1336">
        <w:t xml:space="preserve"> </w:t>
      </w:r>
      <w:r w:rsidR="00CE6495">
        <w:rPr>
          <w:sz w:val="20"/>
        </w:rPr>
        <w:t xml:space="preserve">  </w:t>
      </w:r>
      <w:r w:rsidR="00CE6495" w:rsidRPr="00A96F4B">
        <w:rPr>
          <w:i/>
          <w:sz w:val="20"/>
        </w:rPr>
        <w:t>Id.</w:t>
      </w:r>
    </w:p>
  </w:footnote>
  <w:footnote w:id="12">
    <w:p w14:paraId="3742F846" w14:textId="03913571" w:rsidR="005E5844" w:rsidRPr="00ED5D3C" w:rsidRDefault="005E5844" w:rsidP="000D1CCA">
      <w:pPr>
        <w:autoSpaceDE w:val="0"/>
        <w:autoSpaceDN w:val="0"/>
        <w:adjustRightInd w:val="0"/>
        <w:spacing w:after="120"/>
        <w:rPr>
          <w:sz w:val="20"/>
        </w:rPr>
      </w:pPr>
      <w:r w:rsidRPr="00ED5D3C">
        <w:rPr>
          <w:rStyle w:val="FootnoteReference"/>
          <w:sz w:val="20"/>
        </w:rPr>
        <w:footnoteRef/>
      </w:r>
      <w:r w:rsidRPr="00ED5D3C">
        <w:rPr>
          <w:sz w:val="20"/>
        </w:rPr>
        <w:t xml:space="preserve"> </w:t>
      </w:r>
      <w:r w:rsidR="00BA0D2C">
        <w:rPr>
          <w:i/>
          <w:sz w:val="20"/>
        </w:rPr>
        <w:t xml:space="preserve">See </w:t>
      </w:r>
      <w:r w:rsidR="00BA0D2C">
        <w:rPr>
          <w:sz w:val="20"/>
        </w:rPr>
        <w:t>AT&amp;T Proposal at 17-18 (“</w:t>
      </w:r>
      <w:r w:rsidR="00BA0D2C" w:rsidRPr="00BA0D2C">
        <w:rPr>
          <w:sz w:val="20"/>
        </w:rPr>
        <w:t>AT&amp;T proposes to include in the trials all of its consumer TDM-based voice and internet access transport services, and to offer AT&amp;T’s U-verse Voice service, AT&amp;T’s U-verse High</w:t>
      </w:r>
      <w:r w:rsidR="00BA0D2C">
        <w:rPr>
          <w:sz w:val="20"/>
        </w:rPr>
        <w:t xml:space="preserve"> </w:t>
      </w:r>
      <w:r w:rsidR="00BA0D2C" w:rsidRPr="00BA0D2C">
        <w:rPr>
          <w:sz w:val="20"/>
        </w:rPr>
        <w:t>Speed Internet services, and AT&amp;T Mobility’s Wireless Home Phone and Wireless Home Phone and Internet with 4G LTE Broadband services in place of those TDM services.</w:t>
      </w:r>
      <w:r w:rsidR="00BA0D2C">
        <w:rPr>
          <w:sz w:val="20"/>
        </w:rPr>
        <w:t>”)</w:t>
      </w:r>
      <w:r w:rsidR="000D1CCA">
        <w:rPr>
          <w:sz w:val="20"/>
        </w:rPr>
        <w:t>; AT&amp;T Proposal at 28-29 (“A</w:t>
      </w:r>
      <w:r w:rsidR="000D1CCA" w:rsidRPr="000D1CCA">
        <w:rPr>
          <w:sz w:val="20"/>
        </w:rPr>
        <w:t>T&amp;T intends to pursue additional phases of these trials that would include, with the Commission’s authorization through the Section 214 process, the complete withdrawal of</w:t>
      </w:r>
      <w:r w:rsidR="00A60ABB">
        <w:rPr>
          <w:sz w:val="20"/>
        </w:rPr>
        <w:t xml:space="preserve"> TDM-based wholesale services.</w:t>
      </w:r>
      <w:r w:rsidR="000D1CCA">
        <w:rPr>
          <w:sz w:val="20"/>
        </w:rPr>
        <w:t xml:space="preserve"> . . . </w:t>
      </w:r>
      <w:r w:rsidR="000D1CCA" w:rsidRPr="000D1CCA">
        <w:rPr>
          <w:sz w:val="20"/>
        </w:rPr>
        <w:t>Accordingly, AT&amp;T has identified the replacement products that already are available as alternatives to current legacy TDM services – such as the AT&amp;T Switched Ethernet (ASE) service that is available to replace DSn-level special access services and high capacity loop and transport UNEs – and will provide customers who choose to do so the opportunity to transition to those alternatives in this initial</w:t>
      </w:r>
      <w:r w:rsidR="000D1CCA">
        <w:rPr>
          <w:sz w:val="20"/>
        </w:rPr>
        <w:t xml:space="preserve"> </w:t>
      </w:r>
      <w:r w:rsidR="000D1CCA" w:rsidRPr="000D1CCA">
        <w:rPr>
          <w:sz w:val="20"/>
        </w:rPr>
        <w:t>phase of the trial</w:t>
      </w:r>
      <w:r w:rsidR="000D1CCA">
        <w:rPr>
          <w:sz w:val="20"/>
        </w:rPr>
        <w:t>.”).</w:t>
      </w:r>
    </w:p>
  </w:footnote>
  <w:footnote w:id="13">
    <w:p w14:paraId="630A1327" w14:textId="2D6410CC" w:rsidR="001C1F04" w:rsidRDefault="001C1F04" w:rsidP="00763CD9">
      <w:pPr>
        <w:pStyle w:val="FootnoteText"/>
        <w:spacing w:after="120"/>
      </w:pPr>
      <w:r>
        <w:rPr>
          <w:rStyle w:val="FootnoteReference"/>
        </w:rPr>
        <w:footnoteRef/>
      </w:r>
      <w:r>
        <w:t xml:space="preserve"> </w:t>
      </w:r>
      <w:r>
        <w:rPr>
          <w:i/>
          <w:sz w:val="20"/>
        </w:rPr>
        <w:t>See</w:t>
      </w:r>
      <w:r>
        <w:rPr>
          <w:sz w:val="20"/>
        </w:rPr>
        <w:t xml:space="preserve"> </w:t>
      </w:r>
      <w:r w:rsidRPr="00892FBD">
        <w:rPr>
          <w:sz w:val="20"/>
        </w:rPr>
        <w:t xml:space="preserve">Section 63.71 Application of </w:t>
      </w:r>
      <w:r>
        <w:rPr>
          <w:sz w:val="20"/>
        </w:rPr>
        <w:t>BellSouth Telecommunications, LLC d/b/a AT&amp;T Southeast</w:t>
      </w:r>
      <w:r w:rsidRPr="00892FBD">
        <w:rPr>
          <w:sz w:val="20"/>
        </w:rPr>
        <w:t xml:space="preserve"> </w:t>
      </w:r>
      <w:r>
        <w:rPr>
          <w:sz w:val="20"/>
        </w:rPr>
        <w:t>F</w:t>
      </w:r>
      <w:r w:rsidRPr="00892FBD">
        <w:rPr>
          <w:sz w:val="20"/>
        </w:rPr>
        <w:t xml:space="preserve">or Authority </w:t>
      </w:r>
      <w:r>
        <w:rPr>
          <w:sz w:val="20"/>
        </w:rPr>
        <w:t>Pursuant to Section 214 of The Communications Act of 1934, As Amended, T</w:t>
      </w:r>
      <w:r w:rsidRPr="00892FBD">
        <w:rPr>
          <w:sz w:val="20"/>
        </w:rPr>
        <w:t xml:space="preserve">o Discontinue </w:t>
      </w:r>
      <w:r>
        <w:rPr>
          <w:sz w:val="20"/>
        </w:rPr>
        <w:t>the Provision of Service</w:t>
      </w:r>
      <w:r w:rsidRPr="00892FBD">
        <w:rPr>
          <w:sz w:val="20"/>
        </w:rPr>
        <w:t>, WC Docket No. 1</w:t>
      </w:r>
      <w:r w:rsidR="006C10EF">
        <w:rPr>
          <w:sz w:val="20"/>
        </w:rPr>
        <w:t>6</w:t>
      </w:r>
      <w:r w:rsidRPr="00892FBD">
        <w:rPr>
          <w:sz w:val="20"/>
        </w:rPr>
        <w:t>-</w:t>
      </w:r>
      <w:r w:rsidR="006C10EF">
        <w:rPr>
          <w:sz w:val="20"/>
        </w:rPr>
        <w:t>249</w:t>
      </w:r>
      <w:r>
        <w:rPr>
          <w:sz w:val="20"/>
        </w:rPr>
        <w:t>, Technology Transitions, GN Docket No. 13-5, AT&amp;T Petition to Launch a Proceeding Concerning the TDM-to-IP Transition</w:t>
      </w:r>
      <w:r w:rsidR="00991706">
        <w:rPr>
          <w:sz w:val="20"/>
        </w:rPr>
        <w:t xml:space="preserve">, at </w:t>
      </w:r>
      <w:r w:rsidR="00630348">
        <w:rPr>
          <w:sz w:val="20"/>
        </w:rPr>
        <w:t>1-</w:t>
      </w:r>
      <w:r w:rsidR="00991706">
        <w:rPr>
          <w:sz w:val="20"/>
        </w:rPr>
        <w:t xml:space="preserve">2 </w:t>
      </w:r>
      <w:r w:rsidRPr="00892FBD">
        <w:rPr>
          <w:sz w:val="20"/>
        </w:rPr>
        <w:t xml:space="preserve">(filed </w:t>
      </w:r>
      <w:r w:rsidR="006C10EF">
        <w:rPr>
          <w:sz w:val="20"/>
        </w:rPr>
        <w:t>July</w:t>
      </w:r>
      <w:r>
        <w:rPr>
          <w:sz w:val="20"/>
        </w:rPr>
        <w:t xml:space="preserve"> </w:t>
      </w:r>
      <w:r w:rsidR="006C10EF">
        <w:rPr>
          <w:sz w:val="20"/>
        </w:rPr>
        <w:t>1</w:t>
      </w:r>
      <w:r w:rsidRPr="00892FBD">
        <w:rPr>
          <w:sz w:val="20"/>
        </w:rPr>
        <w:t>, 201</w:t>
      </w:r>
      <w:r w:rsidR="006C10EF">
        <w:rPr>
          <w:sz w:val="20"/>
        </w:rPr>
        <w:t>6</w:t>
      </w:r>
      <w:r w:rsidRPr="00ED4065">
        <w:rPr>
          <w:sz w:val="20"/>
        </w:rPr>
        <w:t>),</w:t>
      </w:r>
      <w:r>
        <w:rPr>
          <w:sz w:val="20"/>
        </w:rPr>
        <w:t xml:space="preserve"> </w:t>
      </w:r>
      <w:hyperlink r:id="rId1" w:history="1">
        <w:r w:rsidR="006C10EF" w:rsidRPr="009E1B46">
          <w:rPr>
            <w:rStyle w:val="Hyperlink"/>
            <w:sz w:val="20"/>
          </w:rPr>
          <w:t>https://www.fcc.gov/ecfs/filing/107011510028647</w:t>
        </w:r>
      </w:hyperlink>
      <w:r w:rsidR="00991706">
        <w:rPr>
          <w:sz w:val="20"/>
        </w:rPr>
        <w:t xml:space="preserve"> </w:t>
      </w:r>
      <w:r w:rsidRPr="00ED4065">
        <w:rPr>
          <w:sz w:val="20"/>
        </w:rPr>
        <w:t>(</w:t>
      </w:r>
      <w:r>
        <w:rPr>
          <w:sz w:val="20"/>
        </w:rPr>
        <w:t xml:space="preserve">Analog Voice Grade Private Line Services </w:t>
      </w:r>
      <w:r w:rsidRPr="00ED4065">
        <w:rPr>
          <w:sz w:val="20"/>
        </w:rPr>
        <w:t>Application)</w:t>
      </w:r>
      <w:r>
        <w:rPr>
          <w:sz w:val="20"/>
        </w:rPr>
        <w:t>.</w:t>
      </w:r>
    </w:p>
  </w:footnote>
  <w:footnote w:id="14">
    <w:p w14:paraId="3F15B0C8" w14:textId="6C9522A8" w:rsidR="00E063AA" w:rsidRPr="00560E16" w:rsidRDefault="00E063AA" w:rsidP="00763CD9">
      <w:pPr>
        <w:pStyle w:val="FootnoteText"/>
        <w:spacing w:after="120"/>
        <w:rPr>
          <w:sz w:val="20"/>
        </w:rPr>
      </w:pPr>
      <w:r w:rsidRPr="00560E16">
        <w:rPr>
          <w:rStyle w:val="FootnoteReference"/>
          <w:sz w:val="20"/>
        </w:rPr>
        <w:footnoteRef/>
      </w:r>
      <w:r w:rsidRPr="00560E16">
        <w:rPr>
          <w:sz w:val="20"/>
        </w:rPr>
        <w:t xml:space="preserve"> </w:t>
      </w:r>
      <w:r w:rsidR="00C2014A">
        <w:rPr>
          <w:sz w:val="20"/>
        </w:rPr>
        <w:t xml:space="preserve">Analog Voice Grade Private Line Services </w:t>
      </w:r>
      <w:r w:rsidR="00C2014A" w:rsidRPr="00ED4065">
        <w:rPr>
          <w:sz w:val="20"/>
        </w:rPr>
        <w:t>Application</w:t>
      </w:r>
      <w:r w:rsidR="00C2014A">
        <w:rPr>
          <w:sz w:val="20"/>
        </w:rPr>
        <w:t xml:space="preserve"> at 2</w:t>
      </w:r>
      <w:r w:rsidR="00991706">
        <w:rPr>
          <w:i/>
          <w:sz w:val="20"/>
        </w:rPr>
        <w:t>; s</w:t>
      </w:r>
      <w:r w:rsidR="00991706" w:rsidRPr="00FC0759">
        <w:rPr>
          <w:i/>
          <w:sz w:val="20"/>
        </w:rPr>
        <w:t>ee</w:t>
      </w:r>
      <w:r w:rsidR="00991706" w:rsidRPr="00560E16">
        <w:rPr>
          <w:sz w:val="20"/>
        </w:rPr>
        <w:t xml:space="preserve"> </w:t>
      </w:r>
      <w:r w:rsidR="00991706">
        <w:rPr>
          <w:sz w:val="20"/>
        </w:rPr>
        <w:t xml:space="preserve">also </w:t>
      </w:r>
      <w:r w:rsidRPr="00560E16">
        <w:rPr>
          <w:sz w:val="20"/>
        </w:rPr>
        <w:t>BellSouth Telecommunications Tariff, FCC No. 1, Section</w:t>
      </w:r>
      <w:r>
        <w:rPr>
          <w:sz w:val="20"/>
        </w:rPr>
        <w:t>s</w:t>
      </w:r>
      <w:r w:rsidRPr="00560E16">
        <w:rPr>
          <w:sz w:val="20"/>
        </w:rPr>
        <w:t xml:space="preserve"> 7.2.</w:t>
      </w:r>
      <w:r>
        <w:rPr>
          <w:sz w:val="20"/>
        </w:rPr>
        <w:t>3 and 23.5.2.3</w:t>
      </w:r>
      <w:r w:rsidRPr="00560E16">
        <w:rPr>
          <w:sz w:val="20"/>
        </w:rPr>
        <w:t>.</w:t>
      </w:r>
    </w:p>
  </w:footnote>
  <w:footnote w:id="15">
    <w:p w14:paraId="784B0C0F" w14:textId="15F29B5A" w:rsidR="00991706" w:rsidRPr="003934D7" w:rsidRDefault="00991706" w:rsidP="00763CD9">
      <w:pPr>
        <w:pStyle w:val="FootnoteText"/>
        <w:spacing w:after="120"/>
        <w:rPr>
          <w:sz w:val="20"/>
        </w:rPr>
      </w:pPr>
      <w:r>
        <w:rPr>
          <w:rStyle w:val="FootnoteReference"/>
        </w:rPr>
        <w:footnoteRef/>
      </w:r>
      <w:r>
        <w:t xml:space="preserve"> </w:t>
      </w:r>
      <w:r w:rsidR="00C2014A">
        <w:rPr>
          <w:sz w:val="20"/>
        </w:rPr>
        <w:t xml:space="preserve">Analog Voice Grade Private Line Services </w:t>
      </w:r>
      <w:r w:rsidR="00C2014A" w:rsidRPr="00ED4065">
        <w:rPr>
          <w:sz w:val="20"/>
        </w:rPr>
        <w:t>Application</w:t>
      </w:r>
      <w:r>
        <w:rPr>
          <w:sz w:val="20"/>
        </w:rPr>
        <w:t xml:space="preserve"> at 2.</w:t>
      </w:r>
    </w:p>
  </w:footnote>
  <w:footnote w:id="16">
    <w:p w14:paraId="4A7A140C" w14:textId="5CD4BFD4" w:rsidR="00384C1D" w:rsidRDefault="00384C1D" w:rsidP="00763CD9">
      <w:pPr>
        <w:pStyle w:val="FootnoteText"/>
        <w:spacing w:after="120"/>
      </w:pPr>
      <w:r>
        <w:rPr>
          <w:rStyle w:val="FootnoteReference"/>
        </w:rPr>
        <w:footnoteRef/>
      </w:r>
      <w:r>
        <w:t xml:space="preserve"> </w:t>
      </w:r>
      <w:r>
        <w:rPr>
          <w:sz w:val="20"/>
        </w:rPr>
        <w:t xml:space="preserve">Analog Voice Grade Private Line Services </w:t>
      </w:r>
      <w:r w:rsidRPr="00ED4065">
        <w:rPr>
          <w:sz w:val="20"/>
        </w:rPr>
        <w:t>Application</w:t>
      </w:r>
      <w:r>
        <w:rPr>
          <w:sz w:val="20"/>
        </w:rPr>
        <w:t xml:space="preserve"> at </w:t>
      </w:r>
      <w:r w:rsidR="00AE1993">
        <w:rPr>
          <w:sz w:val="20"/>
        </w:rPr>
        <w:t>3</w:t>
      </w:r>
      <w:r>
        <w:rPr>
          <w:sz w:val="20"/>
        </w:rPr>
        <w:t>.</w:t>
      </w:r>
    </w:p>
  </w:footnote>
  <w:footnote w:id="17">
    <w:p w14:paraId="5D897A06" w14:textId="2BEB7299" w:rsidR="00384C1D" w:rsidRDefault="00384C1D"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w:t>
      </w:r>
    </w:p>
  </w:footnote>
  <w:footnote w:id="18">
    <w:p w14:paraId="1A649D6B" w14:textId="20A1D0F5" w:rsidR="00384C1D" w:rsidRDefault="00384C1D"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w:t>
      </w:r>
    </w:p>
  </w:footnote>
  <w:footnote w:id="19">
    <w:p w14:paraId="6715B399" w14:textId="3A5CC050" w:rsidR="00384C1D" w:rsidRPr="00A96F4B" w:rsidRDefault="00384C1D" w:rsidP="00763CD9">
      <w:pPr>
        <w:pStyle w:val="FootnoteText"/>
        <w:spacing w:after="120"/>
        <w:rPr>
          <w:i/>
        </w:rPr>
      </w:pPr>
      <w:r>
        <w:rPr>
          <w:rStyle w:val="FootnoteReference"/>
        </w:rPr>
        <w:footnoteRef/>
      </w:r>
      <w:r>
        <w:t xml:space="preserve"> </w:t>
      </w:r>
      <w:r w:rsidR="00B02C6B">
        <w:rPr>
          <w:sz w:val="20"/>
        </w:rPr>
        <w:t xml:space="preserve"> </w:t>
      </w:r>
      <w:r w:rsidR="00B02C6B" w:rsidRPr="00A96F4B">
        <w:rPr>
          <w:i/>
          <w:sz w:val="20"/>
        </w:rPr>
        <w:t>Id.</w:t>
      </w:r>
    </w:p>
  </w:footnote>
  <w:footnote w:id="20">
    <w:p w14:paraId="49475957" w14:textId="7AD9FE4D" w:rsidR="00EB0473" w:rsidRPr="003934D7" w:rsidRDefault="00EB0473" w:rsidP="00763CD9">
      <w:pPr>
        <w:pStyle w:val="FootnoteText"/>
        <w:spacing w:after="120"/>
        <w:rPr>
          <w:sz w:val="20"/>
        </w:rPr>
      </w:pPr>
      <w:r>
        <w:rPr>
          <w:rStyle w:val="FootnoteReference"/>
        </w:rPr>
        <w:footnoteRef/>
      </w:r>
      <w:r>
        <w:t xml:space="preserve"> </w:t>
      </w:r>
      <w:r>
        <w:rPr>
          <w:i/>
          <w:sz w:val="20"/>
        </w:rPr>
        <w:t>Id</w:t>
      </w:r>
      <w:r>
        <w:rPr>
          <w:sz w:val="20"/>
        </w:rPr>
        <w:t>.</w:t>
      </w:r>
    </w:p>
  </w:footnote>
  <w:footnote w:id="21">
    <w:p w14:paraId="18111C40" w14:textId="261F768D" w:rsidR="00223A5A" w:rsidRPr="003934D7" w:rsidRDefault="00223A5A" w:rsidP="00223A5A">
      <w:pPr>
        <w:pStyle w:val="FootnoteText"/>
        <w:spacing w:after="120"/>
        <w:rPr>
          <w:sz w:val="20"/>
        </w:rPr>
      </w:pPr>
      <w:r>
        <w:rPr>
          <w:rStyle w:val="FootnoteReference"/>
        </w:rPr>
        <w:footnoteRef/>
      </w:r>
      <w:r>
        <w:t xml:space="preserve"> </w:t>
      </w:r>
      <w:r w:rsidRPr="00892FBD">
        <w:rPr>
          <w:sz w:val="20"/>
        </w:rPr>
        <w:t xml:space="preserve">Section 63.71 Application of </w:t>
      </w:r>
      <w:r>
        <w:rPr>
          <w:sz w:val="20"/>
        </w:rPr>
        <w:t>BellSouth Telecommunications, LLC d/b/a AT&amp;T Southeast</w:t>
      </w:r>
      <w:r w:rsidRPr="00892FBD">
        <w:rPr>
          <w:sz w:val="20"/>
        </w:rPr>
        <w:t xml:space="preserve"> </w:t>
      </w:r>
      <w:r>
        <w:rPr>
          <w:sz w:val="20"/>
        </w:rPr>
        <w:t>F</w:t>
      </w:r>
      <w:r w:rsidRPr="00892FBD">
        <w:rPr>
          <w:sz w:val="20"/>
        </w:rPr>
        <w:t xml:space="preserve">or Authority </w:t>
      </w:r>
      <w:r>
        <w:rPr>
          <w:sz w:val="20"/>
        </w:rPr>
        <w:t>Pursuant to Section 214 of The Communications Act of 1934, As Amended, T</w:t>
      </w:r>
      <w:r w:rsidRPr="00892FBD">
        <w:rPr>
          <w:sz w:val="20"/>
        </w:rPr>
        <w:t xml:space="preserve">o Discontinue </w:t>
      </w:r>
      <w:r>
        <w:rPr>
          <w:sz w:val="20"/>
        </w:rPr>
        <w:t>the Provision of Service</w:t>
      </w:r>
      <w:r w:rsidRPr="00892FBD">
        <w:rPr>
          <w:sz w:val="20"/>
        </w:rPr>
        <w:t>, WC Docket No. 1</w:t>
      </w:r>
      <w:r w:rsidR="00630348">
        <w:rPr>
          <w:sz w:val="20"/>
        </w:rPr>
        <w:t>6-250</w:t>
      </w:r>
      <w:r>
        <w:rPr>
          <w:sz w:val="20"/>
        </w:rPr>
        <w:t>, Technology Transitions, GN Docket No. 13-5, AT&amp;T Petition to Launch a Proceeding Concerning the TDM-to-IP Transition</w:t>
      </w:r>
      <w:r w:rsidRPr="00892FBD">
        <w:rPr>
          <w:sz w:val="20"/>
        </w:rPr>
        <w:t xml:space="preserve"> </w:t>
      </w:r>
      <w:r>
        <w:rPr>
          <w:sz w:val="20"/>
        </w:rPr>
        <w:t xml:space="preserve">at 1-2 </w:t>
      </w:r>
      <w:r w:rsidRPr="00892FBD">
        <w:rPr>
          <w:sz w:val="20"/>
        </w:rPr>
        <w:t xml:space="preserve">(filed </w:t>
      </w:r>
      <w:r w:rsidR="00630348">
        <w:rPr>
          <w:sz w:val="20"/>
        </w:rPr>
        <w:t>July 1</w:t>
      </w:r>
      <w:r w:rsidRPr="00892FBD">
        <w:rPr>
          <w:sz w:val="20"/>
        </w:rPr>
        <w:t>, 201</w:t>
      </w:r>
      <w:r w:rsidR="00630348">
        <w:rPr>
          <w:sz w:val="20"/>
        </w:rPr>
        <w:t>6</w:t>
      </w:r>
      <w:r w:rsidRPr="00ED4065">
        <w:rPr>
          <w:sz w:val="20"/>
        </w:rPr>
        <w:t>),</w:t>
      </w:r>
      <w:r>
        <w:rPr>
          <w:sz w:val="20"/>
        </w:rPr>
        <w:t xml:space="preserve"> </w:t>
      </w:r>
      <w:hyperlink r:id="rId2" w:history="1">
        <w:r w:rsidR="00630348" w:rsidRPr="009E1B46">
          <w:rPr>
            <w:rStyle w:val="Hyperlink"/>
            <w:sz w:val="20"/>
          </w:rPr>
          <w:t>https://www.fcc.gov/ecfs/filing/107012224922812</w:t>
        </w:r>
      </w:hyperlink>
      <w:r>
        <w:rPr>
          <w:sz w:val="20"/>
        </w:rPr>
        <w:t xml:space="preserve"> </w:t>
      </w:r>
      <w:r w:rsidRPr="00ED4065">
        <w:rPr>
          <w:sz w:val="20"/>
        </w:rPr>
        <w:t>(</w:t>
      </w:r>
      <w:r w:rsidRPr="002F1750">
        <w:rPr>
          <w:sz w:val="20"/>
        </w:rPr>
        <w:t xml:space="preserve">Program Audio Service </w:t>
      </w:r>
      <w:r w:rsidRPr="00ED4065">
        <w:rPr>
          <w:sz w:val="20"/>
        </w:rPr>
        <w:t>Application)</w:t>
      </w:r>
      <w:r>
        <w:rPr>
          <w:sz w:val="20"/>
        </w:rPr>
        <w:t>.</w:t>
      </w:r>
    </w:p>
  </w:footnote>
  <w:footnote w:id="22">
    <w:p w14:paraId="63759119" w14:textId="77777777" w:rsidR="00223A5A" w:rsidRPr="003934D7" w:rsidRDefault="00223A5A" w:rsidP="00223A5A">
      <w:pPr>
        <w:pStyle w:val="FootnoteText"/>
        <w:spacing w:after="120"/>
        <w:rPr>
          <w:sz w:val="20"/>
        </w:rPr>
      </w:pPr>
      <w:r>
        <w:rPr>
          <w:rStyle w:val="FootnoteReference"/>
        </w:rPr>
        <w:footnoteRef/>
      </w:r>
      <w:r>
        <w:t xml:space="preserve"> </w:t>
      </w:r>
      <w:r w:rsidRPr="002F1750">
        <w:rPr>
          <w:sz w:val="20"/>
        </w:rPr>
        <w:t xml:space="preserve">Program Audio Service </w:t>
      </w:r>
      <w:r w:rsidRPr="00ED4065">
        <w:rPr>
          <w:sz w:val="20"/>
        </w:rPr>
        <w:t>Application</w:t>
      </w:r>
      <w:r>
        <w:rPr>
          <w:sz w:val="20"/>
        </w:rPr>
        <w:t xml:space="preserve"> at 2.</w:t>
      </w:r>
    </w:p>
  </w:footnote>
  <w:footnote w:id="23">
    <w:p w14:paraId="304C61B9" w14:textId="77777777" w:rsidR="00223A5A" w:rsidRPr="00560E16" w:rsidRDefault="00223A5A" w:rsidP="00223A5A">
      <w:pPr>
        <w:pStyle w:val="FootnoteText"/>
        <w:spacing w:after="120"/>
        <w:rPr>
          <w:sz w:val="20"/>
        </w:rPr>
      </w:pPr>
      <w:r w:rsidRPr="00560E16">
        <w:rPr>
          <w:rStyle w:val="FootnoteReference"/>
          <w:sz w:val="20"/>
        </w:rPr>
        <w:footnoteRef/>
      </w:r>
      <w:r w:rsidRPr="00560E16">
        <w:rPr>
          <w:sz w:val="20"/>
        </w:rPr>
        <w:t xml:space="preserve"> </w:t>
      </w:r>
      <w:r>
        <w:rPr>
          <w:i/>
          <w:sz w:val="20"/>
        </w:rPr>
        <w:t>Id.</w:t>
      </w:r>
      <w:r>
        <w:rPr>
          <w:sz w:val="20"/>
        </w:rPr>
        <w:t xml:space="preserve">; </w:t>
      </w:r>
      <w:r>
        <w:rPr>
          <w:i/>
          <w:sz w:val="20"/>
        </w:rPr>
        <w:t>s</w:t>
      </w:r>
      <w:r w:rsidRPr="00FC0759">
        <w:rPr>
          <w:i/>
          <w:sz w:val="20"/>
        </w:rPr>
        <w:t>ee</w:t>
      </w:r>
      <w:r>
        <w:rPr>
          <w:i/>
          <w:sz w:val="20"/>
        </w:rPr>
        <w:t xml:space="preserve"> also</w:t>
      </w:r>
      <w:r w:rsidRPr="00560E16">
        <w:rPr>
          <w:sz w:val="20"/>
        </w:rPr>
        <w:t xml:space="preserve"> BellSouth Telecommunications Tariff, FCC No. 1, Section 7.2.</w:t>
      </w:r>
      <w:r>
        <w:rPr>
          <w:sz w:val="20"/>
        </w:rPr>
        <w:t>4</w:t>
      </w:r>
      <w:r w:rsidRPr="00560E16">
        <w:rPr>
          <w:sz w:val="20"/>
        </w:rPr>
        <w:t>.</w:t>
      </w:r>
    </w:p>
  </w:footnote>
  <w:footnote w:id="24">
    <w:p w14:paraId="7D4DB06C" w14:textId="77777777" w:rsidR="00223A5A" w:rsidRDefault="00223A5A" w:rsidP="00223A5A">
      <w:pPr>
        <w:pStyle w:val="FootnoteText"/>
        <w:spacing w:after="120"/>
      </w:pPr>
      <w:r>
        <w:rPr>
          <w:rStyle w:val="FootnoteReference"/>
        </w:rPr>
        <w:footnoteRef/>
      </w:r>
      <w:r>
        <w:t xml:space="preserve"> </w:t>
      </w:r>
      <w:r w:rsidRPr="002F1750">
        <w:rPr>
          <w:sz w:val="20"/>
        </w:rPr>
        <w:t xml:space="preserve">Program Audio Service </w:t>
      </w:r>
      <w:r w:rsidRPr="00ED4065">
        <w:rPr>
          <w:sz w:val="20"/>
        </w:rPr>
        <w:t>Application</w:t>
      </w:r>
      <w:r>
        <w:rPr>
          <w:sz w:val="20"/>
        </w:rPr>
        <w:t xml:space="preserve"> at 2.</w:t>
      </w:r>
    </w:p>
  </w:footnote>
  <w:footnote w:id="25">
    <w:p w14:paraId="2876249C" w14:textId="7D64C338" w:rsidR="00223A5A" w:rsidRPr="003934D7" w:rsidRDefault="00223A5A" w:rsidP="00223A5A">
      <w:pPr>
        <w:pStyle w:val="FootnoteText"/>
        <w:spacing w:after="120"/>
        <w:rPr>
          <w:sz w:val="20"/>
        </w:rPr>
      </w:pPr>
      <w:r>
        <w:rPr>
          <w:rStyle w:val="FootnoteReference"/>
        </w:rPr>
        <w:footnoteRef/>
      </w:r>
      <w:r>
        <w:t xml:space="preserve"> </w:t>
      </w:r>
      <w:r>
        <w:rPr>
          <w:sz w:val="20"/>
        </w:rPr>
        <w:t xml:space="preserve"> </w:t>
      </w:r>
      <w:r w:rsidRPr="00A96F4B">
        <w:rPr>
          <w:i/>
          <w:sz w:val="20"/>
        </w:rPr>
        <w:t>Id.</w:t>
      </w:r>
      <w:r>
        <w:rPr>
          <w:sz w:val="20"/>
        </w:rPr>
        <w:t xml:space="preserve"> at 3.</w:t>
      </w:r>
    </w:p>
  </w:footnote>
  <w:footnote w:id="26">
    <w:p w14:paraId="5767346F" w14:textId="77777777" w:rsidR="00223A5A" w:rsidRDefault="00223A5A" w:rsidP="00223A5A">
      <w:pPr>
        <w:pStyle w:val="FootnoteText"/>
        <w:spacing w:after="120"/>
      </w:pPr>
      <w:r>
        <w:rPr>
          <w:rStyle w:val="FootnoteReference"/>
        </w:rPr>
        <w:footnoteRef/>
      </w:r>
      <w:r>
        <w:t xml:space="preserve"> </w:t>
      </w:r>
      <w:r>
        <w:rPr>
          <w:sz w:val="20"/>
        </w:rPr>
        <w:t xml:space="preserve"> </w:t>
      </w:r>
      <w:r w:rsidRPr="00A96F4B">
        <w:rPr>
          <w:i/>
          <w:sz w:val="20"/>
        </w:rPr>
        <w:t>Id.</w:t>
      </w:r>
    </w:p>
  </w:footnote>
  <w:footnote w:id="27">
    <w:p w14:paraId="2D537645" w14:textId="77777777" w:rsidR="00223A5A" w:rsidRDefault="00223A5A" w:rsidP="00223A5A">
      <w:pPr>
        <w:pStyle w:val="FootnoteText"/>
        <w:spacing w:after="120"/>
      </w:pPr>
      <w:r>
        <w:rPr>
          <w:rStyle w:val="FootnoteReference"/>
        </w:rPr>
        <w:footnoteRef/>
      </w:r>
      <w:r>
        <w:t xml:space="preserve"> </w:t>
      </w:r>
      <w:r>
        <w:rPr>
          <w:sz w:val="20"/>
        </w:rPr>
        <w:t xml:space="preserve"> </w:t>
      </w:r>
      <w:r w:rsidRPr="00A96F4B">
        <w:rPr>
          <w:i/>
          <w:sz w:val="20"/>
        </w:rPr>
        <w:t>Id.</w:t>
      </w:r>
    </w:p>
  </w:footnote>
  <w:footnote w:id="28">
    <w:p w14:paraId="75ECF6C7" w14:textId="77777777" w:rsidR="00223A5A" w:rsidRPr="003934D7" w:rsidRDefault="00223A5A" w:rsidP="00223A5A">
      <w:pPr>
        <w:pStyle w:val="FootnoteText"/>
        <w:spacing w:after="120"/>
        <w:rPr>
          <w:i/>
          <w:sz w:val="20"/>
        </w:rPr>
      </w:pPr>
      <w:r>
        <w:rPr>
          <w:rStyle w:val="FootnoteReference"/>
        </w:rPr>
        <w:footnoteRef/>
      </w:r>
      <w:r>
        <w:t xml:space="preserve"> </w:t>
      </w:r>
      <w:r>
        <w:rPr>
          <w:i/>
          <w:sz w:val="20"/>
        </w:rPr>
        <w:t>Id.</w:t>
      </w:r>
    </w:p>
  </w:footnote>
  <w:footnote w:id="29">
    <w:p w14:paraId="7DE96396" w14:textId="7C8A0456" w:rsidR="00C2014A" w:rsidRDefault="00C2014A" w:rsidP="00763CD9">
      <w:pPr>
        <w:pStyle w:val="FootnoteText"/>
        <w:spacing w:after="120"/>
      </w:pPr>
      <w:r>
        <w:rPr>
          <w:rStyle w:val="FootnoteReference"/>
        </w:rPr>
        <w:footnoteRef/>
      </w:r>
      <w:r>
        <w:t xml:space="preserve"> </w:t>
      </w:r>
      <w:r>
        <w:rPr>
          <w:sz w:val="20"/>
        </w:rPr>
        <w:t>Section 63.71 Application of Bellsouth Telecommunications, LLC d/b/a AT&amp;T Southeast For Authority Pursuant to Section 214 of The Communications Act of 1934, As Amended, To Discontinue the Provision of Service, WC Docket No. 1</w:t>
      </w:r>
      <w:r w:rsidR="00472AD9">
        <w:rPr>
          <w:sz w:val="20"/>
        </w:rPr>
        <w:t>6-218</w:t>
      </w:r>
      <w:r>
        <w:rPr>
          <w:sz w:val="20"/>
        </w:rPr>
        <w:t xml:space="preserve">, Technology Transitions, GN Docket No. 13-5, AT&amp;T Petition to Launch a Proceeding Concerning the TDM-to-IP Transition at 1-2 (filed </w:t>
      </w:r>
      <w:r w:rsidR="00472AD9">
        <w:rPr>
          <w:sz w:val="20"/>
        </w:rPr>
        <w:t>July 1</w:t>
      </w:r>
      <w:r>
        <w:rPr>
          <w:sz w:val="20"/>
        </w:rPr>
        <w:t>, 201</w:t>
      </w:r>
      <w:r w:rsidR="00472AD9">
        <w:rPr>
          <w:sz w:val="20"/>
        </w:rPr>
        <w:t>6</w:t>
      </w:r>
      <w:r>
        <w:rPr>
          <w:sz w:val="20"/>
        </w:rPr>
        <w:t xml:space="preserve">), </w:t>
      </w:r>
      <w:hyperlink r:id="rId3" w:history="1">
        <w:r w:rsidR="00FC7F03" w:rsidRPr="00366A35">
          <w:rPr>
            <w:rStyle w:val="Hyperlink"/>
            <w:sz w:val="20"/>
          </w:rPr>
          <w:t>https://www.fcc.gov/ecfs/filing/10701143191548</w:t>
        </w:r>
      </w:hyperlink>
      <w:r>
        <w:rPr>
          <w:sz w:val="20"/>
        </w:rPr>
        <w:t xml:space="preserve"> (</w:t>
      </w:r>
      <w:r w:rsidRPr="002F1750">
        <w:rPr>
          <w:sz w:val="20"/>
        </w:rPr>
        <w:t>Analog Video Service</w:t>
      </w:r>
      <w:r w:rsidR="00472AD9">
        <w:rPr>
          <w:sz w:val="20"/>
        </w:rPr>
        <w:t xml:space="preserve"> – TV</w:t>
      </w:r>
      <w:r w:rsidRPr="004402B7">
        <w:rPr>
          <w:sz w:val="20"/>
        </w:rPr>
        <w:t>-1</w:t>
      </w:r>
      <w:r w:rsidRPr="002F1750">
        <w:rPr>
          <w:sz w:val="20"/>
        </w:rPr>
        <w:t xml:space="preserve"> </w:t>
      </w:r>
      <w:r>
        <w:rPr>
          <w:sz w:val="20"/>
        </w:rPr>
        <w:t>Application).</w:t>
      </w:r>
    </w:p>
  </w:footnote>
  <w:footnote w:id="30">
    <w:p w14:paraId="5E6F5A82" w14:textId="3D43936F" w:rsidR="00C2014A" w:rsidRDefault="00C2014A" w:rsidP="00763CD9">
      <w:pPr>
        <w:pStyle w:val="FootnoteText"/>
        <w:spacing w:after="120"/>
      </w:pPr>
      <w:r>
        <w:rPr>
          <w:rStyle w:val="FootnoteReference"/>
        </w:rPr>
        <w:footnoteRef/>
      </w:r>
      <w:r>
        <w:t xml:space="preserve"> </w:t>
      </w:r>
      <w:r w:rsidRPr="002F1750">
        <w:rPr>
          <w:sz w:val="20"/>
        </w:rPr>
        <w:t>Analog Video Service</w:t>
      </w:r>
      <w:r w:rsidR="00472AD9">
        <w:rPr>
          <w:sz w:val="20"/>
        </w:rPr>
        <w:t xml:space="preserve"> – TV</w:t>
      </w:r>
      <w:r w:rsidRPr="004402B7">
        <w:rPr>
          <w:sz w:val="20"/>
        </w:rPr>
        <w:t>-1</w:t>
      </w:r>
      <w:r w:rsidRPr="002F1750">
        <w:rPr>
          <w:sz w:val="20"/>
        </w:rPr>
        <w:t xml:space="preserve"> </w:t>
      </w:r>
      <w:r>
        <w:rPr>
          <w:sz w:val="20"/>
        </w:rPr>
        <w:t>Application at 2</w:t>
      </w:r>
      <w:r w:rsidR="00D1590E">
        <w:rPr>
          <w:sz w:val="20"/>
        </w:rPr>
        <w:t>-3</w:t>
      </w:r>
      <w:r>
        <w:rPr>
          <w:sz w:val="20"/>
        </w:rPr>
        <w:t>.</w:t>
      </w:r>
    </w:p>
  </w:footnote>
  <w:footnote w:id="31">
    <w:p w14:paraId="0B9548CA" w14:textId="01B21DD2" w:rsidR="00560E16" w:rsidRPr="00560E16" w:rsidRDefault="00560E16" w:rsidP="00763CD9">
      <w:pPr>
        <w:pStyle w:val="FootnoteText"/>
        <w:spacing w:after="120"/>
        <w:rPr>
          <w:sz w:val="20"/>
        </w:rPr>
      </w:pPr>
      <w:r w:rsidRPr="00560E16">
        <w:rPr>
          <w:rStyle w:val="FootnoteReference"/>
          <w:sz w:val="20"/>
        </w:rPr>
        <w:footnoteRef/>
      </w:r>
      <w:r w:rsidRPr="00560E16">
        <w:rPr>
          <w:sz w:val="20"/>
        </w:rPr>
        <w:t xml:space="preserve"> </w:t>
      </w:r>
      <w:r w:rsidR="006453E6">
        <w:rPr>
          <w:i/>
          <w:sz w:val="20"/>
        </w:rPr>
        <w:t>Id.</w:t>
      </w:r>
      <w:r w:rsidR="00D1590E">
        <w:rPr>
          <w:i/>
          <w:sz w:val="20"/>
        </w:rPr>
        <w:t xml:space="preserve"> </w:t>
      </w:r>
      <w:r w:rsidR="00D1590E">
        <w:rPr>
          <w:sz w:val="20"/>
        </w:rPr>
        <w:t>at 3</w:t>
      </w:r>
      <w:r w:rsidR="006453E6" w:rsidRPr="00763CD9">
        <w:rPr>
          <w:sz w:val="20"/>
        </w:rPr>
        <w:t>;</w:t>
      </w:r>
      <w:r w:rsidR="006453E6">
        <w:rPr>
          <w:i/>
          <w:sz w:val="20"/>
        </w:rPr>
        <w:t xml:space="preserve"> s</w:t>
      </w:r>
      <w:r w:rsidRPr="00FC0759">
        <w:rPr>
          <w:i/>
          <w:sz w:val="20"/>
        </w:rPr>
        <w:t>ee</w:t>
      </w:r>
      <w:r w:rsidR="006453E6">
        <w:rPr>
          <w:i/>
          <w:sz w:val="20"/>
        </w:rPr>
        <w:t xml:space="preserve"> also</w:t>
      </w:r>
      <w:r w:rsidRPr="00560E16">
        <w:rPr>
          <w:sz w:val="20"/>
        </w:rPr>
        <w:t xml:space="preserve"> BellSouth Telecommunications Tariff, FCC No. 1</w:t>
      </w:r>
      <w:r w:rsidR="00BA7F07">
        <w:rPr>
          <w:sz w:val="20"/>
        </w:rPr>
        <w:t>, Sections 7.2.5 and 23.5.2.5.1</w:t>
      </w:r>
      <w:r w:rsidRPr="00560E16">
        <w:rPr>
          <w:sz w:val="20"/>
        </w:rPr>
        <w:t>.</w:t>
      </w:r>
    </w:p>
  </w:footnote>
  <w:footnote w:id="32">
    <w:p w14:paraId="7F6E18E3" w14:textId="325503EB" w:rsidR="006453E6" w:rsidRDefault="006453E6" w:rsidP="00763CD9">
      <w:pPr>
        <w:pStyle w:val="FootnoteText"/>
        <w:spacing w:after="120"/>
      </w:pPr>
      <w:r>
        <w:rPr>
          <w:rStyle w:val="FootnoteReference"/>
        </w:rPr>
        <w:footnoteRef/>
      </w:r>
      <w:r>
        <w:t xml:space="preserve"> </w:t>
      </w:r>
      <w:r w:rsidRPr="002F1750">
        <w:rPr>
          <w:sz w:val="20"/>
        </w:rPr>
        <w:t>Analog Video Service</w:t>
      </w:r>
      <w:r w:rsidR="00472AD9">
        <w:rPr>
          <w:sz w:val="20"/>
        </w:rPr>
        <w:t xml:space="preserve"> – TV</w:t>
      </w:r>
      <w:r w:rsidRPr="004402B7">
        <w:rPr>
          <w:sz w:val="20"/>
        </w:rPr>
        <w:t>-1</w:t>
      </w:r>
      <w:r w:rsidRPr="002F1750">
        <w:rPr>
          <w:sz w:val="20"/>
        </w:rPr>
        <w:t xml:space="preserve"> </w:t>
      </w:r>
      <w:r>
        <w:rPr>
          <w:sz w:val="20"/>
        </w:rPr>
        <w:t>Application at 2.</w:t>
      </w:r>
    </w:p>
  </w:footnote>
  <w:footnote w:id="33">
    <w:p w14:paraId="03C0A9FC" w14:textId="64FA9261"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 xml:space="preserve"> at 3.</w:t>
      </w:r>
    </w:p>
  </w:footnote>
  <w:footnote w:id="34">
    <w:p w14:paraId="31D0E5B0" w14:textId="24997B84"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w:t>
      </w:r>
      <w:r w:rsidR="00B02C6B">
        <w:rPr>
          <w:sz w:val="20"/>
        </w:rPr>
        <w:t xml:space="preserve"> </w:t>
      </w:r>
    </w:p>
  </w:footnote>
  <w:footnote w:id="35">
    <w:p w14:paraId="1F05C676" w14:textId="1B6259C7"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w:t>
      </w:r>
    </w:p>
  </w:footnote>
  <w:footnote w:id="36">
    <w:p w14:paraId="7480A5A0" w14:textId="48936B49"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7">
    <w:p w14:paraId="36E8D453" w14:textId="50967821"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8">
    <w:p w14:paraId="55F9A2EC" w14:textId="04479E3B"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9">
    <w:p w14:paraId="3A4B7CB3" w14:textId="271AFAC4" w:rsidR="006453E6" w:rsidRPr="003934D7" w:rsidRDefault="006453E6" w:rsidP="00763CD9">
      <w:pPr>
        <w:pStyle w:val="FootnoteText"/>
        <w:spacing w:after="120"/>
        <w:rPr>
          <w:sz w:val="20"/>
        </w:rPr>
      </w:pPr>
      <w:r>
        <w:rPr>
          <w:rStyle w:val="FootnoteReference"/>
        </w:rPr>
        <w:footnoteRef/>
      </w:r>
      <w:r>
        <w:t xml:space="preserve"> </w:t>
      </w:r>
      <w:r>
        <w:rPr>
          <w:i/>
          <w:sz w:val="20"/>
        </w:rPr>
        <w:t>Id</w:t>
      </w:r>
      <w:r>
        <w:rPr>
          <w:sz w:val="20"/>
        </w:rPr>
        <w:t>.</w:t>
      </w:r>
    </w:p>
  </w:footnote>
  <w:footnote w:id="40">
    <w:p w14:paraId="79163456" w14:textId="4627CC86" w:rsidR="00F400C2" w:rsidRPr="00F400C2" w:rsidRDefault="00F400C2" w:rsidP="00763CD9">
      <w:pPr>
        <w:pStyle w:val="FootnoteText"/>
        <w:spacing w:after="120"/>
        <w:rPr>
          <w:sz w:val="20"/>
        </w:rPr>
      </w:pPr>
      <w:r w:rsidRPr="00F400C2">
        <w:rPr>
          <w:rStyle w:val="FootnoteReference"/>
          <w:sz w:val="20"/>
        </w:rPr>
        <w:footnoteRef/>
      </w:r>
      <w:r w:rsidRPr="00F400C2">
        <w:rPr>
          <w:sz w:val="20"/>
        </w:rPr>
        <w:t xml:space="preserve"> </w:t>
      </w:r>
      <w:r w:rsidRPr="00F400C2">
        <w:rPr>
          <w:i/>
          <w:sz w:val="20"/>
        </w:rPr>
        <w:t>See</w:t>
      </w:r>
      <w:r w:rsidRPr="00F400C2">
        <w:rPr>
          <w:sz w:val="20"/>
        </w:rPr>
        <w:t xml:space="preserve"> 47 CFR § 63.71(</w:t>
      </w:r>
      <w:r w:rsidR="009F48E3">
        <w:rPr>
          <w:sz w:val="20"/>
        </w:rPr>
        <w:t>e</w:t>
      </w:r>
      <w:r w:rsidRPr="00F400C2">
        <w:rPr>
          <w:sz w:val="20"/>
        </w:rPr>
        <w:t>) (stating, in relevant part, that an application filed by a dominant carrier “shall be automatically granted on the 60th day… unless the Commission has notified the applicant that the grant will not be automatically effective.”).</w:t>
      </w:r>
    </w:p>
  </w:footnote>
  <w:footnote w:id="41">
    <w:p w14:paraId="63E2C7F8" w14:textId="77777777" w:rsidR="00DA140B" w:rsidRPr="001E7EF5" w:rsidRDefault="00DA140B" w:rsidP="00763CD9">
      <w:pPr>
        <w:pStyle w:val="FootnoteText"/>
        <w:spacing w:after="120"/>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2">
    <w:p w14:paraId="00FADC61" w14:textId="77777777" w:rsidR="004B5F28" w:rsidRPr="007F5954" w:rsidRDefault="004B5F28" w:rsidP="004B5F28">
      <w:pPr>
        <w:pStyle w:val="FootnoteText"/>
        <w:rPr>
          <w:sz w:val="20"/>
        </w:rPr>
      </w:pPr>
      <w:r w:rsidRPr="00C91996">
        <w:rPr>
          <w:rStyle w:val="FootnoteReference"/>
          <w:sz w:val="20"/>
        </w:rPr>
        <w:footnoteRef/>
      </w:r>
      <w:r w:rsidRPr="00C91996">
        <w:rPr>
          <w:sz w:val="20"/>
        </w:rPr>
        <w:t xml:space="preserve"> </w:t>
      </w:r>
      <w:r w:rsidRPr="007F5954">
        <w:rPr>
          <w:sz w:val="20"/>
        </w:rPr>
        <w:t>47 CFR §</w:t>
      </w:r>
      <w:r>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BCE2" w14:textId="77777777" w:rsidR="00BB674D" w:rsidRDefault="00BB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E932" w14:textId="77777777" w:rsidR="00BB674D" w:rsidRDefault="00BB6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7C85" w14:textId="77777777"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32BD51E" wp14:editId="239BCD72">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BD51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2B255752" wp14:editId="5293B48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14:paraId="1A71ED8F" w14:textId="77777777"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0780E99F" wp14:editId="778F3F0B">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33EF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D72715F" wp14:editId="3A742467">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2715F"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8AF"/>
    <w:rsid w:val="00014815"/>
    <w:rsid w:val="00022DF6"/>
    <w:rsid w:val="00027BAB"/>
    <w:rsid w:val="00031A27"/>
    <w:rsid w:val="00031DB3"/>
    <w:rsid w:val="000430FF"/>
    <w:rsid w:val="00053074"/>
    <w:rsid w:val="00056726"/>
    <w:rsid w:val="00060E31"/>
    <w:rsid w:val="00063952"/>
    <w:rsid w:val="00073BD3"/>
    <w:rsid w:val="000754A2"/>
    <w:rsid w:val="000918AC"/>
    <w:rsid w:val="0009304F"/>
    <w:rsid w:val="000A2F50"/>
    <w:rsid w:val="000A57F9"/>
    <w:rsid w:val="000B2BB3"/>
    <w:rsid w:val="000D04B1"/>
    <w:rsid w:val="000D1CCA"/>
    <w:rsid w:val="000D548F"/>
    <w:rsid w:val="000D5DE0"/>
    <w:rsid w:val="000E0624"/>
    <w:rsid w:val="00100A48"/>
    <w:rsid w:val="00101630"/>
    <w:rsid w:val="00103856"/>
    <w:rsid w:val="0010714C"/>
    <w:rsid w:val="0011281D"/>
    <w:rsid w:val="00113A58"/>
    <w:rsid w:val="0012289B"/>
    <w:rsid w:val="001246F8"/>
    <w:rsid w:val="001400DF"/>
    <w:rsid w:val="00142BBE"/>
    <w:rsid w:val="001535BF"/>
    <w:rsid w:val="001563E8"/>
    <w:rsid w:val="00164205"/>
    <w:rsid w:val="001655F0"/>
    <w:rsid w:val="00167479"/>
    <w:rsid w:val="0016774A"/>
    <w:rsid w:val="00167E22"/>
    <w:rsid w:val="00180CEC"/>
    <w:rsid w:val="00183BA5"/>
    <w:rsid w:val="0018556A"/>
    <w:rsid w:val="00190CF0"/>
    <w:rsid w:val="00194469"/>
    <w:rsid w:val="00195CA1"/>
    <w:rsid w:val="001A6FD8"/>
    <w:rsid w:val="001B583B"/>
    <w:rsid w:val="001B658E"/>
    <w:rsid w:val="001C1F04"/>
    <w:rsid w:val="001E3067"/>
    <w:rsid w:val="001F309D"/>
    <w:rsid w:val="00201DA3"/>
    <w:rsid w:val="00204D6E"/>
    <w:rsid w:val="002134E1"/>
    <w:rsid w:val="00215431"/>
    <w:rsid w:val="0022083E"/>
    <w:rsid w:val="00223A5A"/>
    <w:rsid w:val="00227580"/>
    <w:rsid w:val="002277DC"/>
    <w:rsid w:val="00231B6C"/>
    <w:rsid w:val="00233D93"/>
    <w:rsid w:val="00245753"/>
    <w:rsid w:val="0025219D"/>
    <w:rsid w:val="00254F8D"/>
    <w:rsid w:val="00257267"/>
    <w:rsid w:val="002576B1"/>
    <w:rsid w:val="0026797C"/>
    <w:rsid w:val="0027578A"/>
    <w:rsid w:val="002764AA"/>
    <w:rsid w:val="002805A0"/>
    <w:rsid w:val="00293B1F"/>
    <w:rsid w:val="002976A8"/>
    <w:rsid w:val="002A24C5"/>
    <w:rsid w:val="002A51ED"/>
    <w:rsid w:val="002A5801"/>
    <w:rsid w:val="002A6528"/>
    <w:rsid w:val="002A6A01"/>
    <w:rsid w:val="002B47E0"/>
    <w:rsid w:val="002C784A"/>
    <w:rsid w:val="002D4210"/>
    <w:rsid w:val="002D4A00"/>
    <w:rsid w:val="002D5D4A"/>
    <w:rsid w:val="002E0041"/>
    <w:rsid w:val="002E3D86"/>
    <w:rsid w:val="002F1750"/>
    <w:rsid w:val="002F50D2"/>
    <w:rsid w:val="00301316"/>
    <w:rsid w:val="003029BD"/>
    <w:rsid w:val="00303124"/>
    <w:rsid w:val="003130C6"/>
    <w:rsid w:val="00316C43"/>
    <w:rsid w:val="00324F97"/>
    <w:rsid w:val="00334EC6"/>
    <w:rsid w:val="00336D59"/>
    <w:rsid w:val="003406AF"/>
    <w:rsid w:val="00340ACC"/>
    <w:rsid w:val="00341B81"/>
    <w:rsid w:val="00344041"/>
    <w:rsid w:val="00350FA7"/>
    <w:rsid w:val="00365F45"/>
    <w:rsid w:val="003706B0"/>
    <w:rsid w:val="00371CFE"/>
    <w:rsid w:val="00372803"/>
    <w:rsid w:val="00372D85"/>
    <w:rsid w:val="003772BE"/>
    <w:rsid w:val="00377EF3"/>
    <w:rsid w:val="003833CC"/>
    <w:rsid w:val="0038451A"/>
    <w:rsid w:val="00384C1D"/>
    <w:rsid w:val="00390D17"/>
    <w:rsid w:val="003934D7"/>
    <w:rsid w:val="003A52F7"/>
    <w:rsid w:val="003B1145"/>
    <w:rsid w:val="003B25B6"/>
    <w:rsid w:val="003B5FE9"/>
    <w:rsid w:val="003C3CE6"/>
    <w:rsid w:val="003C4023"/>
    <w:rsid w:val="003D7FEE"/>
    <w:rsid w:val="003E5B01"/>
    <w:rsid w:val="00400D21"/>
    <w:rsid w:val="00403EC9"/>
    <w:rsid w:val="004067BA"/>
    <w:rsid w:val="00422D9C"/>
    <w:rsid w:val="00425A28"/>
    <w:rsid w:val="00430D8A"/>
    <w:rsid w:val="00430E01"/>
    <w:rsid w:val="004402B7"/>
    <w:rsid w:val="0046770E"/>
    <w:rsid w:val="00470578"/>
    <w:rsid w:val="00470CBA"/>
    <w:rsid w:val="00472A9C"/>
    <w:rsid w:val="00472AD9"/>
    <w:rsid w:val="0047675F"/>
    <w:rsid w:val="00490A6C"/>
    <w:rsid w:val="00494EE1"/>
    <w:rsid w:val="00495C60"/>
    <w:rsid w:val="004B0E6A"/>
    <w:rsid w:val="004B5F28"/>
    <w:rsid w:val="004B5F5F"/>
    <w:rsid w:val="004C058A"/>
    <w:rsid w:val="004C374A"/>
    <w:rsid w:val="004D09AF"/>
    <w:rsid w:val="004D1067"/>
    <w:rsid w:val="004E0BB0"/>
    <w:rsid w:val="004E76FF"/>
    <w:rsid w:val="004F2204"/>
    <w:rsid w:val="004F2486"/>
    <w:rsid w:val="004F36CB"/>
    <w:rsid w:val="004F69AF"/>
    <w:rsid w:val="004F6EB6"/>
    <w:rsid w:val="0050025A"/>
    <w:rsid w:val="0051193B"/>
    <w:rsid w:val="00512692"/>
    <w:rsid w:val="00513B3F"/>
    <w:rsid w:val="00523B41"/>
    <w:rsid w:val="00523E03"/>
    <w:rsid w:val="0052642D"/>
    <w:rsid w:val="005275D8"/>
    <w:rsid w:val="00541E6E"/>
    <w:rsid w:val="00541F34"/>
    <w:rsid w:val="00542D12"/>
    <w:rsid w:val="0055368F"/>
    <w:rsid w:val="00553F2C"/>
    <w:rsid w:val="0056061F"/>
    <w:rsid w:val="00560E16"/>
    <w:rsid w:val="005705BB"/>
    <w:rsid w:val="005736AC"/>
    <w:rsid w:val="00583D4C"/>
    <w:rsid w:val="0059174B"/>
    <w:rsid w:val="005A61F8"/>
    <w:rsid w:val="005A6B70"/>
    <w:rsid w:val="005B3BC1"/>
    <w:rsid w:val="005C1457"/>
    <w:rsid w:val="005C1A75"/>
    <w:rsid w:val="005D242A"/>
    <w:rsid w:val="005D3B72"/>
    <w:rsid w:val="005D5EC3"/>
    <w:rsid w:val="005E186E"/>
    <w:rsid w:val="005E552E"/>
    <w:rsid w:val="005E5844"/>
    <w:rsid w:val="005E69B8"/>
    <w:rsid w:val="005F2D83"/>
    <w:rsid w:val="005F3D3C"/>
    <w:rsid w:val="005F4567"/>
    <w:rsid w:val="00601A4B"/>
    <w:rsid w:val="006059A1"/>
    <w:rsid w:val="006076B9"/>
    <w:rsid w:val="00610AD1"/>
    <w:rsid w:val="00614AAE"/>
    <w:rsid w:val="00615FF1"/>
    <w:rsid w:val="00617C57"/>
    <w:rsid w:val="006221A3"/>
    <w:rsid w:val="00625657"/>
    <w:rsid w:val="0062607B"/>
    <w:rsid w:val="00630348"/>
    <w:rsid w:val="00634F0E"/>
    <w:rsid w:val="00641BC9"/>
    <w:rsid w:val="006428F0"/>
    <w:rsid w:val="006453E6"/>
    <w:rsid w:val="0064544B"/>
    <w:rsid w:val="00653590"/>
    <w:rsid w:val="00665F81"/>
    <w:rsid w:val="0069129C"/>
    <w:rsid w:val="0069520D"/>
    <w:rsid w:val="006C10EF"/>
    <w:rsid w:val="006C4E2A"/>
    <w:rsid w:val="006D0ED3"/>
    <w:rsid w:val="006D2FE9"/>
    <w:rsid w:val="006E5A0A"/>
    <w:rsid w:val="006F0E7F"/>
    <w:rsid w:val="006F3148"/>
    <w:rsid w:val="006F47AF"/>
    <w:rsid w:val="006F7DF7"/>
    <w:rsid w:val="0070506A"/>
    <w:rsid w:val="00741CF4"/>
    <w:rsid w:val="00745DBD"/>
    <w:rsid w:val="00753136"/>
    <w:rsid w:val="00755114"/>
    <w:rsid w:val="00756BBB"/>
    <w:rsid w:val="00757095"/>
    <w:rsid w:val="00757E0D"/>
    <w:rsid w:val="007619C5"/>
    <w:rsid w:val="00763CD9"/>
    <w:rsid w:val="0078188F"/>
    <w:rsid w:val="00782B0A"/>
    <w:rsid w:val="00784250"/>
    <w:rsid w:val="007928BF"/>
    <w:rsid w:val="00794ED9"/>
    <w:rsid w:val="00797804"/>
    <w:rsid w:val="007C4328"/>
    <w:rsid w:val="007C5D2B"/>
    <w:rsid w:val="007E05A2"/>
    <w:rsid w:val="007E3856"/>
    <w:rsid w:val="007E3877"/>
    <w:rsid w:val="007F0E6D"/>
    <w:rsid w:val="007F6F72"/>
    <w:rsid w:val="00801281"/>
    <w:rsid w:val="00801FA7"/>
    <w:rsid w:val="00813D8D"/>
    <w:rsid w:val="00815732"/>
    <w:rsid w:val="00831EC5"/>
    <w:rsid w:val="008363CA"/>
    <w:rsid w:val="0084162C"/>
    <w:rsid w:val="00863F65"/>
    <w:rsid w:val="00871A05"/>
    <w:rsid w:val="0088076B"/>
    <w:rsid w:val="0088524C"/>
    <w:rsid w:val="00885765"/>
    <w:rsid w:val="00887434"/>
    <w:rsid w:val="00894AD6"/>
    <w:rsid w:val="008A4C17"/>
    <w:rsid w:val="008B01AC"/>
    <w:rsid w:val="008C464B"/>
    <w:rsid w:val="008C6F51"/>
    <w:rsid w:val="008E2599"/>
    <w:rsid w:val="008E562F"/>
    <w:rsid w:val="008E6AAB"/>
    <w:rsid w:val="008F05FA"/>
    <w:rsid w:val="008F065B"/>
    <w:rsid w:val="008F21F5"/>
    <w:rsid w:val="008F744F"/>
    <w:rsid w:val="00900740"/>
    <w:rsid w:val="009046EA"/>
    <w:rsid w:val="00913C0A"/>
    <w:rsid w:val="00916F88"/>
    <w:rsid w:val="0092363D"/>
    <w:rsid w:val="0093058B"/>
    <w:rsid w:val="00932B55"/>
    <w:rsid w:val="00940D25"/>
    <w:rsid w:val="00941330"/>
    <w:rsid w:val="00943DBC"/>
    <w:rsid w:val="00955F52"/>
    <w:rsid w:val="00960A4B"/>
    <w:rsid w:val="00972BEA"/>
    <w:rsid w:val="009826B1"/>
    <w:rsid w:val="00991706"/>
    <w:rsid w:val="00994CAD"/>
    <w:rsid w:val="00997AC1"/>
    <w:rsid w:val="009A69CC"/>
    <w:rsid w:val="009A6F01"/>
    <w:rsid w:val="009C4B96"/>
    <w:rsid w:val="009C7FD4"/>
    <w:rsid w:val="009E08E8"/>
    <w:rsid w:val="009E20EF"/>
    <w:rsid w:val="009E76D4"/>
    <w:rsid w:val="009F406C"/>
    <w:rsid w:val="009F48E3"/>
    <w:rsid w:val="00A0534E"/>
    <w:rsid w:val="00A20755"/>
    <w:rsid w:val="00A220AA"/>
    <w:rsid w:val="00A33B1A"/>
    <w:rsid w:val="00A34AC8"/>
    <w:rsid w:val="00A41FE3"/>
    <w:rsid w:val="00A453A7"/>
    <w:rsid w:val="00A474F3"/>
    <w:rsid w:val="00A47D22"/>
    <w:rsid w:val="00A535CE"/>
    <w:rsid w:val="00A60ABB"/>
    <w:rsid w:val="00A63386"/>
    <w:rsid w:val="00A7256C"/>
    <w:rsid w:val="00A72C99"/>
    <w:rsid w:val="00A75AC1"/>
    <w:rsid w:val="00A777DF"/>
    <w:rsid w:val="00A87A1E"/>
    <w:rsid w:val="00A9453D"/>
    <w:rsid w:val="00A96F4B"/>
    <w:rsid w:val="00AA51B5"/>
    <w:rsid w:val="00AC204D"/>
    <w:rsid w:val="00AE1993"/>
    <w:rsid w:val="00AF1C87"/>
    <w:rsid w:val="00AF4DCE"/>
    <w:rsid w:val="00B02C6B"/>
    <w:rsid w:val="00B03FFF"/>
    <w:rsid w:val="00B12304"/>
    <w:rsid w:val="00B1514F"/>
    <w:rsid w:val="00B20791"/>
    <w:rsid w:val="00B300F5"/>
    <w:rsid w:val="00B33B88"/>
    <w:rsid w:val="00B416B1"/>
    <w:rsid w:val="00B456EB"/>
    <w:rsid w:val="00B4582B"/>
    <w:rsid w:val="00B505EF"/>
    <w:rsid w:val="00B52043"/>
    <w:rsid w:val="00B541EA"/>
    <w:rsid w:val="00B57BE4"/>
    <w:rsid w:val="00B6052B"/>
    <w:rsid w:val="00B633A5"/>
    <w:rsid w:val="00B7249D"/>
    <w:rsid w:val="00B76108"/>
    <w:rsid w:val="00B7659E"/>
    <w:rsid w:val="00B7720B"/>
    <w:rsid w:val="00B9036C"/>
    <w:rsid w:val="00B96EC6"/>
    <w:rsid w:val="00BA0D2C"/>
    <w:rsid w:val="00BA4056"/>
    <w:rsid w:val="00BA7F07"/>
    <w:rsid w:val="00BB674D"/>
    <w:rsid w:val="00BB7773"/>
    <w:rsid w:val="00BC19A0"/>
    <w:rsid w:val="00BD1EE2"/>
    <w:rsid w:val="00BD62CE"/>
    <w:rsid w:val="00BD63BF"/>
    <w:rsid w:val="00BE7843"/>
    <w:rsid w:val="00BF4ABD"/>
    <w:rsid w:val="00BF6C17"/>
    <w:rsid w:val="00BF7845"/>
    <w:rsid w:val="00C0750F"/>
    <w:rsid w:val="00C11763"/>
    <w:rsid w:val="00C168EF"/>
    <w:rsid w:val="00C2014A"/>
    <w:rsid w:val="00C32B96"/>
    <w:rsid w:val="00C41320"/>
    <w:rsid w:val="00C4454F"/>
    <w:rsid w:val="00C53950"/>
    <w:rsid w:val="00C65EF6"/>
    <w:rsid w:val="00C719AB"/>
    <w:rsid w:val="00C722AC"/>
    <w:rsid w:val="00C73941"/>
    <w:rsid w:val="00C8157E"/>
    <w:rsid w:val="00C91715"/>
    <w:rsid w:val="00CA08BE"/>
    <w:rsid w:val="00CA5DC5"/>
    <w:rsid w:val="00CA6220"/>
    <w:rsid w:val="00CA701D"/>
    <w:rsid w:val="00CB48D4"/>
    <w:rsid w:val="00CC22A9"/>
    <w:rsid w:val="00CD325F"/>
    <w:rsid w:val="00CD4822"/>
    <w:rsid w:val="00CE03D3"/>
    <w:rsid w:val="00CE2B3F"/>
    <w:rsid w:val="00CE5142"/>
    <w:rsid w:val="00CE6495"/>
    <w:rsid w:val="00D00F11"/>
    <w:rsid w:val="00D01597"/>
    <w:rsid w:val="00D04C06"/>
    <w:rsid w:val="00D052B9"/>
    <w:rsid w:val="00D055E3"/>
    <w:rsid w:val="00D14CE4"/>
    <w:rsid w:val="00D1590E"/>
    <w:rsid w:val="00D15FA1"/>
    <w:rsid w:val="00D22488"/>
    <w:rsid w:val="00D27673"/>
    <w:rsid w:val="00D32BF6"/>
    <w:rsid w:val="00D36448"/>
    <w:rsid w:val="00D37D53"/>
    <w:rsid w:val="00D44619"/>
    <w:rsid w:val="00D47265"/>
    <w:rsid w:val="00D47B1B"/>
    <w:rsid w:val="00D51C87"/>
    <w:rsid w:val="00D53951"/>
    <w:rsid w:val="00D55F58"/>
    <w:rsid w:val="00D67031"/>
    <w:rsid w:val="00D8222A"/>
    <w:rsid w:val="00D90C02"/>
    <w:rsid w:val="00D92C96"/>
    <w:rsid w:val="00D941A7"/>
    <w:rsid w:val="00D97C49"/>
    <w:rsid w:val="00DA079B"/>
    <w:rsid w:val="00DA140B"/>
    <w:rsid w:val="00DA285C"/>
    <w:rsid w:val="00DB488C"/>
    <w:rsid w:val="00DB5002"/>
    <w:rsid w:val="00DB5081"/>
    <w:rsid w:val="00DC072C"/>
    <w:rsid w:val="00DC6C63"/>
    <w:rsid w:val="00DD07D2"/>
    <w:rsid w:val="00DD1A37"/>
    <w:rsid w:val="00DE011D"/>
    <w:rsid w:val="00DE0187"/>
    <w:rsid w:val="00DE4C14"/>
    <w:rsid w:val="00DF0401"/>
    <w:rsid w:val="00E063AA"/>
    <w:rsid w:val="00E10CBD"/>
    <w:rsid w:val="00E13E91"/>
    <w:rsid w:val="00E150A6"/>
    <w:rsid w:val="00E17550"/>
    <w:rsid w:val="00E17913"/>
    <w:rsid w:val="00E17BA7"/>
    <w:rsid w:val="00E30DB8"/>
    <w:rsid w:val="00E327F8"/>
    <w:rsid w:val="00E44F65"/>
    <w:rsid w:val="00E4555A"/>
    <w:rsid w:val="00E45CD9"/>
    <w:rsid w:val="00E52336"/>
    <w:rsid w:val="00E5766B"/>
    <w:rsid w:val="00E64ADA"/>
    <w:rsid w:val="00E65AAC"/>
    <w:rsid w:val="00E739F1"/>
    <w:rsid w:val="00E9291D"/>
    <w:rsid w:val="00E93B45"/>
    <w:rsid w:val="00E96918"/>
    <w:rsid w:val="00EA2E09"/>
    <w:rsid w:val="00EA34A7"/>
    <w:rsid w:val="00EA7F60"/>
    <w:rsid w:val="00EB0473"/>
    <w:rsid w:val="00EB1140"/>
    <w:rsid w:val="00EC50FC"/>
    <w:rsid w:val="00ED000B"/>
    <w:rsid w:val="00ED379D"/>
    <w:rsid w:val="00ED4C53"/>
    <w:rsid w:val="00ED5D3C"/>
    <w:rsid w:val="00EE32D6"/>
    <w:rsid w:val="00EF2344"/>
    <w:rsid w:val="00F066CF"/>
    <w:rsid w:val="00F14A28"/>
    <w:rsid w:val="00F22954"/>
    <w:rsid w:val="00F27EE1"/>
    <w:rsid w:val="00F312DC"/>
    <w:rsid w:val="00F400C2"/>
    <w:rsid w:val="00F55135"/>
    <w:rsid w:val="00F77F4E"/>
    <w:rsid w:val="00F90534"/>
    <w:rsid w:val="00FB06C4"/>
    <w:rsid w:val="00FB1838"/>
    <w:rsid w:val="00FB5BB9"/>
    <w:rsid w:val="00FC0759"/>
    <w:rsid w:val="00FC1CD8"/>
    <w:rsid w:val="00FC7F03"/>
    <w:rsid w:val="00FD2DAB"/>
    <w:rsid w:val="00FD6904"/>
    <w:rsid w:val="00FE187B"/>
    <w:rsid w:val="00FF1473"/>
    <w:rsid w:val="00FF2033"/>
    <w:rsid w:val="00FF3374"/>
    <w:rsid w:val="00FF5084"/>
    <w:rsid w:val="00FF51F4"/>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F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001659212">
      <w:bodyDiv w:val="1"/>
      <w:marLeft w:val="0"/>
      <w:marRight w:val="0"/>
      <w:marTop w:val="0"/>
      <w:marBottom w:val="0"/>
      <w:divBdr>
        <w:top w:val="none" w:sz="0" w:space="0" w:color="auto"/>
        <w:left w:val="none" w:sz="0" w:space="0" w:color="auto"/>
        <w:bottom w:val="none" w:sz="0" w:space="0" w:color="auto"/>
        <w:right w:val="none" w:sz="0" w:space="0" w:color="auto"/>
      </w:divBdr>
      <w:divsChild>
        <w:div w:id="219446299">
          <w:marLeft w:val="0"/>
          <w:marRight w:val="0"/>
          <w:marTop w:val="0"/>
          <w:marBottom w:val="0"/>
          <w:divBdr>
            <w:top w:val="none" w:sz="0" w:space="0" w:color="auto"/>
            <w:left w:val="none" w:sz="0" w:space="0" w:color="auto"/>
            <w:bottom w:val="none" w:sz="0" w:space="0" w:color="auto"/>
            <w:right w:val="none" w:sz="0" w:space="0" w:color="auto"/>
          </w:divBdr>
        </w:div>
      </w:divsChild>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ncyclopedia/domestic-section-214-discontinuance-servic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armell.Weather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cc504@fcc.gov%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cfs/filing/10701143191548" TargetMode="External"/><Relationship Id="rId2" Type="http://schemas.openxmlformats.org/officeDocument/2006/relationships/hyperlink" Target="https://www.fcc.gov/ecfs/filing/107012224922812" TargetMode="External"/><Relationship Id="rId1" Type="http://schemas.openxmlformats.org/officeDocument/2006/relationships/hyperlink" Target="https://www.fcc.gov/ecfs/filing/1070115100286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13390</Characters>
  <Application>Microsoft Office Word</Application>
  <DocSecurity>0</DocSecurity>
  <Lines>194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2016-08-15T19:12:00Z</dcterms:created>
  <dcterms:modified xsi:type="dcterms:W3CDTF">2016-08-15T19:12:00Z</dcterms:modified>
  <cp:category> </cp:category>
  <cp:contentStatus> </cp:contentStatus>
</cp:coreProperties>
</file>