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BD" w:rsidRDefault="004B7631">
      <w:pPr>
        <w:jc w:val="center"/>
        <w:rPr>
          <w:b/>
          <w:szCs w:val="22"/>
        </w:rPr>
      </w:pPr>
      <w:bookmarkStart w:id="0" w:name="_GoBack"/>
      <w:bookmarkEnd w:id="0"/>
      <w:r>
        <w:rPr>
          <w:b/>
          <w:szCs w:val="22"/>
        </w:rPr>
        <w:t>Before the</w:t>
      </w:r>
    </w:p>
    <w:p w:rsidR="00B911BD" w:rsidRDefault="004B7631">
      <w:pPr>
        <w:jc w:val="center"/>
        <w:rPr>
          <w:b/>
          <w:szCs w:val="22"/>
        </w:rPr>
      </w:pPr>
      <w:r>
        <w:rPr>
          <w:b/>
          <w:szCs w:val="22"/>
        </w:rPr>
        <w:t>Federal Communications Commission</w:t>
      </w:r>
    </w:p>
    <w:p w:rsidR="00B911BD" w:rsidRDefault="004B7631">
      <w:pPr>
        <w:jc w:val="center"/>
        <w:rPr>
          <w:b/>
          <w:szCs w:val="22"/>
        </w:rPr>
      </w:pPr>
      <w:r>
        <w:rPr>
          <w:b/>
          <w:szCs w:val="22"/>
        </w:rPr>
        <w:t>Washington, D.C. 20554</w:t>
      </w:r>
    </w:p>
    <w:p w:rsidR="00B911BD" w:rsidRDefault="00B911BD">
      <w:pPr>
        <w:rPr>
          <w:szCs w:val="22"/>
        </w:rPr>
      </w:pPr>
    </w:p>
    <w:tbl>
      <w:tblPr>
        <w:tblW w:w="9558" w:type="dxa"/>
        <w:tblLayout w:type="fixed"/>
        <w:tblLook w:val="0000" w:firstRow="0" w:lastRow="0" w:firstColumn="0" w:lastColumn="0" w:noHBand="0" w:noVBand="0"/>
      </w:tblPr>
      <w:tblGrid>
        <w:gridCol w:w="4698"/>
        <w:gridCol w:w="540"/>
        <w:gridCol w:w="4320"/>
      </w:tblGrid>
      <w:tr w:rsidR="00B911BD">
        <w:tc>
          <w:tcPr>
            <w:tcW w:w="4698" w:type="dxa"/>
          </w:tcPr>
          <w:p w:rsidR="00B911BD" w:rsidRDefault="004B7631">
            <w:pPr>
              <w:ind w:right="-18"/>
              <w:rPr>
                <w:szCs w:val="22"/>
              </w:rPr>
            </w:pPr>
            <w:r>
              <w:rPr>
                <w:szCs w:val="22"/>
              </w:rPr>
              <w:t>In the Matter of</w:t>
            </w:r>
          </w:p>
          <w:p w:rsidR="00B911BD" w:rsidRDefault="00B911BD">
            <w:pPr>
              <w:ind w:right="-18"/>
              <w:rPr>
                <w:szCs w:val="22"/>
              </w:rPr>
            </w:pPr>
          </w:p>
          <w:p w:rsidR="00B911BD" w:rsidRDefault="00E75841">
            <w:pPr>
              <w:ind w:right="-108"/>
              <w:rPr>
                <w:szCs w:val="22"/>
              </w:rPr>
            </w:pPr>
            <w:r>
              <w:rPr>
                <w:szCs w:val="22"/>
              </w:rPr>
              <w:t>SPECTRUM NETWORKS GROUP, LLC</w:t>
            </w:r>
          </w:p>
          <w:p w:rsidR="00B911BD" w:rsidRDefault="00B911BD">
            <w:pPr>
              <w:ind w:right="-18"/>
              <w:rPr>
                <w:szCs w:val="22"/>
              </w:rPr>
            </w:pPr>
          </w:p>
          <w:p w:rsidR="003319BA" w:rsidRDefault="007312FA" w:rsidP="003319BA">
            <w:pPr>
              <w:ind w:right="-18"/>
              <w:rPr>
                <w:szCs w:val="22"/>
              </w:rPr>
            </w:pPr>
            <w:r w:rsidRPr="007312FA">
              <w:rPr>
                <w:szCs w:val="22"/>
              </w:rPr>
              <w:t xml:space="preserve">Petition for Orders </w:t>
            </w:r>
            <w:r>
              <w:rPr>
                <w:szCs w:val="22"/>
              </w:rPr>
              <w:t>t</w:t>
            </w:r>
            <w:r w:rsidR="00186662">
              <w:rPr>
                <w:szCs w:val="22"/>
              </w:rPr>
              <w:t>o Show Cause</w:t>
            </w:r>
          </w:p>
          <w:p w:rsidR="006010F3" w:rsidRDefault="006010F3" w:rsidP="000069F0">
            <w:pPr>
              <w:ind w:right="-18"/>
              <w:rPr>
                <w:szCs w:val="22"/>
              </w:rPr>
            </w:pPr>
          </w:p>
        </w:tc>
        <w:tc>
          <w:tcPr>
            <w:tcW w:w="540" w:type="dxa"/>
          </w:tcPr>
          <w:p w:rsidR="00B911BD" w:rsidRPr="00420156" w:rsidRDefault="004B7631">
            <w:pPr>
              <w:rPr>
                <w:b/>
                <w:szCs w:val="22"/>
              </w:rPr>
            </w:pPr>
            <w:r w:rsidRPr="00420156">
              <w:rPr>
                <w:b/>
                <w:szCs w:val="22"/>
              </w:rPr>
              <w:t>)</w:t>
            </w:r>
          </w:p>
          <w:p w:rsidR="00B911BD" w:rsidRPr="00420156" w:rsidRDefault="004B7631">
            <w:pPr>
              <w:rPr>
                <w:b/>
                <w:szCs w:val="22"/>
              </w:rPr>
            </w:pPr>
            <w:r w:rsidRPr="00420156">
              <w:rPr>
                <w:b/>
                <w:szCs w:val="22"/>
              </w:rPr>
              <w:t>)</w:t>
            </w:r>
          </w:p>
          <w:p w:rsidR="00B911BD" w:rsidRPr="00420156" w:rsidRDefault="004B7631">
            <w:pPr>
              <w:rPr>
                <w:b/>
                <w:szCs w:val="22"/>
              </w:rPr>
            </w:pPr>
            <w:r w:rsidRPr="00420156">
              <w:rPr>
                <w:b/>
                <w:szCs w:val="22"/>
              </w:rPr>
              <w:t>)</w:t>
            </w:r>
          </w:p>
          <w:p w:rsidR="00B911BD" w:rsidRPr="00420156" w:rsidRDefault="004B7631">
            <w:pPr>
              <w:rPr>
                <w:b/>
                <w:szCs w:val="22"/>
              </w:rPr>
            </w:pPr>
            <w:r w:rsidRPr="00420156">
              <w:rPr>
                <w:b/>
                <w:szCs w:val="22"/>
              </w:rPr>
              <w:t>)</w:t>
            </w:r>
          </w:p>
          <w:p w:rsidR="00B911BD" w:rsidRPr="00420156" w:rsidRDefault="004B7631">
            <w:pPr>
              <w:rPr>
                <w:b/>
                <w:szCs w:val="22"/>
              </w:rPr>
            </w:pPr>
            <w:r w:rsidRPr="00420156">
              <w:rPr>
                <w:b/>
                <w:szCs w:val="22"/>
              </w:rPr>
              <w:t>)</w:t>
            </w:r>
          </w:p>
          <w:p w:rsidR="00B911BD" w:rsidRPr="00420156" w:rsidRDefault="004B7631">
            <w:pPr>
              <w:rPr>
                <w:b/>
                <w:szCs w:val="22"/>
              </w:rPr>
            </w:pPr>
            <w:r w:rsidRPr="00420156">
              <w:rPr>
                <w:b/>
                <w:szCs w:val="22"/>
              </w:rPr>
              <w:t>)</w:t>
            </w:r>
          </w:p>
          <w:p w:rsidR="00B911BD" w:rsidRPr="00420156" w:rsidRDefault="004B7631">
            <w:pPr>
              <w:rPr>
                <w:b/>
                <w:szCs w:val="22"/>
              </w:rPr>
            </w:pPr>
            <w:r w:rsidRPr="00420156">
              <w:rPr>
                <w:b/>
                <w:szCs w:val="22"/>
              </w:rPr>
              <w:t>)</w:t>
            </w:r>
          </w:p>
          <w:p w:rsidR="00B911BD" w:rsidRPr="00420156" w:rsidRDefault="004B7631">
            <w:pPr>
              <w:rPr>
                <w:b/>
                <w:szCs w:val="22"/>
              </w:rPr>
            </w:pPr>
            <w:r w:rsidRPr="00420156">
              <w:rPr>
                <w:b/>
                <w:szCs w:val="22"/>
              </w:rPr>
              <w:t>)</w:t>
            </w:r>
          </w:p>
          <w:p w:rsidR="00A07FEF" w:rsidRDefault="007312FA" w:rsidP="00420156">
            <w:pPr>
              <w:rPr>
                <w:b/>
                <w:szCs w:val="22"/>
              </w:rPr>
            </w:pPr>
            <w:r>
              <w:rPr>
                <w:b/>
                <w:szCs w:val="22"/>
              </w:rPr>
              <w:t>)</w:t>
            </w:r>
          </w:p>
          <w:p w:rsidR="006010F3" w:rsidRDefault="006010F3" w:rsidP="00420156">
            <w:pPr>
              <w:rPr>
                <w:b/>
                <w:szCs w:val="22"/>
              </w:rPr>
            </w:pPr>
            <w:r>
              <w:rPr>
                <w:b/>
                <w:szCs w:val="22"/>
              </w:rPr>
              <w:t>)</w:t>
            </w:r>
          </w:p>
          <w:p w:rsidR="008E7B9F" w:rsidRPr="00420156" w:rsidRDefault="008E7B9F" w:rsidP="003319BA">
            <w:pPr>
              <w:rPr>
                <w:b/>
                <w:szCs w:val="22"/>
              </w:rPr>
            </w:pPr>
            <w:r>
              <w:rPr>
                <w:b/>
                <w:szCs w:val="22"/>
              </w:rPr>
              <w:t>)</w:t>
            </w:r>
          </w:p>
        </w:tc>
        <w:tc>
          <w:tcPr>
            <w:tcW w:w="4320" w:type="dxa"/>
          </w:tcPr>
          <w:p w:rsidR="00E9369D" w:rsidRDefault="00E9369D">
            <w:pPr>
              <w:ind w:left="-108" w:right="-18"/>
              <w:rPr>
                <w:szCs w:val="22"/>
              </w:rPr>
            </w:pPr>
          </w:p>
          <w:p w:rsidR="00E9369D" w:rsidRDefault="00E9369D">
            <w:pPr>
              <w:ind w:left="-108" w:right="-18"/>
              <w:rPr>
                <w:szCs w:val="22"/>
              </w:rPr>
            </w:pPr>
          </w:p>
          <w:p w:rsidR="000069F0" w:rsidRDefault="000069F0" w:rsidP="007312FA">
            <w:pPr>
              <w:ind w:left="-108" w:right="-18"/>
              <w:rPr>
                <w:szCs w:val="22"/>
              </w:rPr>
            </w:pPr>
          </w:p>
          <w:p w:rsidR="000069F0" w:rsidRDefault="000069F0" w:rsidP="007312FA">
            <w:pPr>
              <w:ind w:left="-108" w:right="-18"/>
              <w:rPr>
                <w:szCs w:val="22"/>
              </w:rPr>
            </w:pPr>
          </w:p>
          <w:p w:rsidR="003319BA" w:rsidRDefault="007312FA" w:rsidP="003319BA">
            <w:pPr>
              <w:ind w:left="-108" w:right="-18"/>
              <w:rPr>
                <w:szCs w:val="22"/>
              </w:rPr>
            </w:pPr>
            <w:r w:rsidRPr="007312FA">
              <w:rPr>
                <w:szCs w:val="22"/>
              </w:rPr>
              <w:t>Call Signs WQUI888, WPUC290,</w:t>
            </w:r>
            <w:r>
              <w:rPr>
                <w:szCs w:val="22"/>
              </w:rPr>
              <w:t xml:space="preserve"> </w:t>
            </w:r>
            <w:r w:rsidRPr="007312FA">
              <w:rPr>
                <w:szCs w:val="22"/>
              </w:rPr>
              <w:t>WQVW552, WPJZ221, WPKT872,</w:t>
            </w:r>
            <w:r>
              <w:rPr>
                <w:szCs w:val="22"/>
              </w:rPr>
              <w:t xml:space="preserve"> </w:t>
            </w:r>
            <w:r w:rsidRPr="007312FA">
              <w:rPr>
                <w:szCs w:val="22"/>
              </w:rPr>
              <w:t>WPUV824, WQTB335, WQTC271,</w:t>
            </w:r>
            <w:r>
              <w:rPr>
                <w:szCs w:val="22"/>
              </w:rPr>
              <w:t xml:space="preserve"> </w:t>
            </w:r>
            <w:r w:rsidRPr="007312FA">
              <w:rPr>
                <w:szCs w:val="22"/>
              </w:rPr>
              <w:t>WPEY402, WQVN203, WQVX521,</w:t>
            </w:r>
            <w:r>
              <w:rPr>
                <w:szCs w:val="22"/>
              </w:rPr>
              <w:t xml:space="preserve"> </w:t>
            </w:r>
            <w:r w:rsidRPr="007312FA">
              <w:rPr>
                <w:szCs w:val="22"/>
              </w:rPr>
              <w:t>WNJL371 , WNQL213, WQTE755,</w:t>
            </w:r>
            <w:r>
              <w:rPr>
                <w:szCs w:val="22"/>
              </w:rPr>
              <w:t xml:space="preserve"> </w:t>
            </w:r>
            <w:r w:rsidRPr="007312FA">
              <w:rPr>
                <w:szCs w:val="22"/>
              </w:rPr>
              <w:t>WQTG697, WQTG700, WPPG985,</w:t>
            </w:r>
            <w:r>
              <w:rPr>
                <w:szCs w:val="22"/>
              </w:rPr>
              <w:t xml:space="preserve"> </w:t>
            </w:r>
            <w:r w:rsidRPr="007312FA">
              <w:rPr>
                <w:szCs w:val="22"/>
              </w:rPr>
              <w:t>WQUV855, WPVI804, WQVE909,</w:t>
            </w:r>
            <w:r>
              <w:rPr>
                <w:szCs w:val="22"/>
              </w:rPr>
              <w:t xml:space="preserve"> </w:t>
            </w:r>
            <w:r w:rsidRPr="007312FA">
              <w:rPr>
                <w:szCs w:val="22"/>
              </w:rPr>
              <w:t>WQUA702, WQUT209</w:t>
            </w:r>
            <w:r w:rsidR="000069F0">
              <w:rPr>
                <w:szCs w:val="22"/>
              </w:rPr>
              <w:t>,</w:t>
            </w:r>
            <w:r w:rsidRPr="007312FA">
              <w:rPr>
                <w:szCs w:val="22"/>
              </w:rPr>
              <w:t xml:space="preserve"> and</w:t>
            </w:r>
            <w:r>
              <w:rPr>
                <w:szCs w:val="22"/>
              </w:rPr>
              <w:t xml:space="preserve"> </w:t>
            </w:r>
            <w:r w:rsidRPr="007312FA">
              <w:rPr>
                <w:szCs w:val="22"/>
              </w:rPr>
              <w:t>WQUW935</w:t>
            </w:r>
          </w:p>
          <w:p w:rsidR="006010F3" w:rsidRDefault="006010F3" w:rsidP="008E7B9F">
            <w:pPr>
              <w:ind w:left="-108" w:right="-18"/>
              <w:rPr>
                <w:szCs w:val="22"/>
              </w:rPr>
            </w:pPr>
          </w:p>
        </w:tc>
      </w:tr>
    </w:tbl>
    <w:p w:rsidR="00B911BD" w:rsidRDefault="00F928D5">
      <w:pPr>
        <w:spacing w:before="120"/>
        <w:jc w:val="center"/>
        <w:rPr>
          <w:b/>
          <w:szCs w:val="22"/>
        </w:rPr>
      </w:pPr>
      <w:r>
        <w:rPr>
          <w:b/>
          <w:spacing w:val="-2"/>
          <w:szCs w:val="22"/>
        </w:rPr>
        <w:t>O</w:t>
      </w:r>
      <w:r w:rsidR="004B7631">
        <w:rPr>
          <w:b/>
          <w:spacing w:val="-2"/>
          <w:szCs w:val="22"/>
        </w:rPr>
        <w:t>RDER</w:t>
      </w:r>
      <w:r w:rsidR="009C0D54">
        <w:rPr>
          <w:b/>
          <w:spacing w:val="-2"/>
          <w:szCs w:val="22"/>
        </w:rPr>
        <w:t xml:space="preserve"> </w:t>
      </w:r>
    </w:p>
    <w:p w:rsidR="00B911BD" w:rsidRDefault="00B911BD">
      <w:pPr>
        <w:rPr>
          <w:szCs w:val="22"/>
        </w:rPr>
      </w:pPr>
    </w:p>
    <w:p w:rsidR="00FB07C0" w:rsidRDefault="004B7631" w:rsidP="00FB07C0">
      <w:pPr>
        <w:tabs>
          <w:tab w:val="left" w:pos="5760"/>
        </w:tabs>
        <w:rPr>
          <w:b/>
          <w:szCs w:val="22"/>
        </w:rPr>
      </w:pPr>
      <w:r>
        <w:rPr>
          <w:b/>
          <w:szCs w:val="22"/>
        </w:rPr>
        <w:t xml:space="preserve">   Adopted:  </w:t>
      </w:r>
      <w:r w:rsidR="006B0AE7">
        <w:rPr>
          <w:b/>
          <w:szCs w:val="22"/>
        </w:rPr>
        <w:t>August 11</w:t>
      </w:r>
      <w:r w:rsidR="00D14E22">
        <w:rPr>
          <w:b/>
          <w:szCs w:val="22"/>
        </w:rPr>
        <w:t>, 2016</w:t>
      </w:r>
      <w:r>
        <w:rPr>
          <w:b/>
          <w:szCs w:val="22"/>
        </w:rPr>
        <w:tab/>
        <w:t xml:space="preserve">Released:  </w:t>
      </w:r>
      <w:r w:rsidR="006B0AE7">
        <w:rPr>
          <w:b/>
          <w:szCs w:val="22"/>
        </w:rPr>
        <w:t>August 12</w:t>
      </w:r>
      <w:r w:rsidR="00D14E22">
        <w:rPr>
          <w:b/>
          <w:szCs w:val="22"/>
        </w:rPr>
        <w:t>, 2016</w:t>
      </w:r>
    </w:p>
    <w:p w:rsidR="00FB07C0" w:rsidRDefault="00FB07C0" w:rsidP="00FB07C0">
      <w:pPr>
        <w:tabs>
          <w:tab w:val="left" w:pos="5760"/>
        </w:tabs>
        <w:rPr>
          <w:b/>
          <w:szCs w:val="22"/>
        </w:rPr>
      </w:pPr>
    </w:p>
    <w:p w:rsidR="00FB07C0" w:rsidRDefault="00FB07C0" w:rsidP="00FB07C0">
      <w:pPr>
        <w:tabs>
          <w:tab w:val="left" w:pos="5760"/>
        </w:tabs>
        <w:rPr>
          <w:szCs w:val="22"/>
        </w:rPr>
      </w:pPr>
      <w:r>
        <w:rPr>
          <w:szCs w:val="22"/>
        </w:rPr>
        <w:t>By the</w:t>
      </w:r>
      <w:r>
        <w:rPr>
          <w:spacing w:val="-2"/>
          <w:szCs w:val="22"/>
        </w:rPr>
        <w:t xml:space="preserve"> Deputy Chief, Mobility Division, Wireless Telecommunications Bureau:</w:t>
      </w:r>
    </w:p>
    <w:p w:rsidR="00FB07C0" w:rsidRPr="00FB07C0" w:rsidRDefault="00FB07C0" w:rsidP="00FB07C0">
      <w:pPr>
        <w:tabs>
          <w:tab w:val="left" w:pos="5760"/>
        </w:tabs>
        <w:rPr>
          <w:b/>
          <w:szCs w:val="22"/>
        </w:rPr>
      </w:pPr>
    </w:p>
    <w:p w:rsidR="00FB07C0" w:rsidRDefault="00FB07C0" w:rsidP="00FB07C0">
      <w:pPr>
        <w:pStyle w:val="Heading1"/>
        <w:widowControl/>
        <w:jc w:val="left"/>
        <w:rPr>
          <w:szCs w:val="22"/>
        </w:rPr>
      </w:pPr>
      <w:r>
        <w:rPr>
          <w:szCs w:val="22"/>
        </w:rPr>
        <w:t>IntrodUctION</w:t>
      </w:r>
    </w:p>
    <w:p w:rsidR="00FB07C0" w:rsidRDefault="00FB07C0" w:rsidP="00FB07C0">
      <w:pPr>
        <w:pStyle w:val="ParaNum"/>
        <w:widowControl/>
        <w:numPr>
          <w:ilvl w:val="0"/>
          <w:numId w:val="26"/>
        </w:numPr>
        <w:jc w:val="left"/>
      </w:pPr>
      <w:r>
        <w:t xml:space="preserve">We have before us </w:t>
      </w:r>
      <w:r w:rsidR="00A0275A">
        <w:t xml:space="preserve">a </w:t>
      </w:r>
      <w:r w:rsidR="003319BA">
        <w:t>petition</w:t>
      </w:r>
      <w:r>
        <w:t xml:space="preserve"> filed by Spectrum Networks Group, LLC (SNG) </w:t>
      </w:r>
      <w:r w:rsidR="003319BA">
        <w:t xml:space="preserve">seeking </w:t>
      </w:r>
      <w:r w:rsidR="00A0275A">
        <w:t>a) </w:t>
      </w:r>
      <w:r w:rsidR="003319BA">
        <w:t xml:space="preserve">revocation of </w:t>
      </w:r>
      <w:r w:rsidR="00073599">
        <w:t xml:space="preserve">the </w:t>
      </w:r>
      <w:r w:rsidR="00A0275A">
        <w:t xml:space="preserve">above-captioned </w:t>
      </w:r>
      <w:r w:rsidR="003319BA">
        <w:t xml:space="preserve">896-901/935-940 MHz (900 MHz) </w:t>
      </w:r>
      <w:r w:rsidR="00A91335">
        <w:t xml:space="preserve">Business/Industrial/Land Transportation (B/ILT) </w:t>
      </w:r>
      <w:r w:rsidR="00A0275A">
        <w:t>licenses</w:t>
      </w:r>
      <w:r w:rsidR="00073599">
        <w:t xml:space="preserve"> </w:t>
      </w:r>
      <w:r w:rsidR="00A91335">
        <w:t xml:space="preserve">on the grounds that the licensees are </w:t>
      </w:r>
      <w:r w:rsidR="00A0275A">
        <w:t>using the</w:t>
      </w:r>
      <w:r w:rsidR="00A91335">
        <w:t xml:space="preserve"> B/ILT channels</w:t>
      </w:r>
      <w:r w:rsidR="00A0275A">
        <w:t xml:space="preserve"> to provide Specialized Mobile Radio (SMR) service</w:t>
      </w:r>
      <w:r w:rsidR="00A91335">
        <w:t xml:space="preserve">, and </w:t>
      </w:r>
      <w:r w:rsidR="00A0275A">
        <w:t xml:space="preserve">b) </w:t>
      </w:r>
      <w:r w:rsidR="00A91335">
        <w:t xml:space="preserve">decertification of the Part 90 frequency coordinator that coordinated </w:t>
      </w:r>
      <w:r w:rsidR="00BE0257">
        <w:t xml:space="preserve">certain </w:t>
      </w:r>
      <w:r w:rsidR="00A91335">
        <w:t>applications at issue.</w:t>
      </w:r>
      <w:r w:rsidR="00A91335">
        <w:rPr>
          <w:rStyle w:val="FootnoteReference"/>
        </w:rPr>
        <w:footnoteReference w:id="2"/>
      </w:r>
      <w:r w:rsidR="00A91335">
        <w:t xml:space="preserve">  </w:t>
      </w:r>
      <w:r w:rsidR="004B7631">
        <w:t xml:space="preserve">As discussed below, we </w:t>
      </w:r>
      <w:r w:rsidR="005C6D01">
        <w:t>deny</w:t>
      </w:r>
      <w:r w:rsidR="00F079EC">
        <w:t xml:space="preserve"> the </w:t>
      </w:r>
      <w:r w:rsidR="00A91335">
        <w:t>p</w:t>
      </w:r>
      <w:r w:rsidR="00F079EC">
        <w:t>etition</w:t>
      </w:r>
      <w:r w:rsidR="00A91335">
        <w:t>.</w:t>
      </w:r>
    </w:p>
    <w:p w:rsidR="00FB07C0" w:rsidRDefault="00FB07C0" w:rsidP="00FB07C0">
      <w:pPr>
        <w:pStyle w:val="Heading1"/>
        <w:widowControl/>
        <w:jc w:val="left"/>
        <w:rPr>
          <w:szCs w:val="22"/>
        </w:rPr>
      </w:pPr>
      <w:r>
        <w:rPr>
          <w:szCs w:val="22"/>
        </w:rPr>
        <w:t>BACKGROUND</w:t>
      </w:r>
    </w:p>
    <w:p w:rsidR="00FB07C0" w:rsidRDefault="008A2E7B" w:rsidP="00FB07C0">
      <w:pPr>
        <w:pStyle w:val="ParaNum"/>
        <w:jc w:val="left"/>
      </w:pPr>
      <w:r>
        <w:t>The 900 MHz band consist</w:t>
      </w:r>
      <w:r w:rsidR="00A0275A">
        <w:t>s</w:t>
      </w:r>
      <w:r w:rsidR="008044FE">
        <w:t xml:space="preserve"> of </w:t>
      </w:r>
      <w:r>
        <w:t xml:space="preserve">channels that alternate between SMR blocks licensed geographically </w:t>
      </w:r>
      <w:r w:rsidR="00965D43">
        <w:t>and assigned by competitive bidding,</w:t>
      </w:r>
      <w:r>
        <w:t xml:space="preserve"> and B/ILT blocks in which channels are assigned on a site-by-site basis.</w:t>
      </w:r>
      <w:r w:rsidR="00A91335">
        <w:rPr>
          <w:rStyle w:val="FootnoteReference"/>
        </w:rPr>
        <w:footnoteReference w:id="3"/>
      </w:r>
      <w:r>
        <w:t xml:space="preserve">  </w:t>
      </w:r>
      <w:r w:rsidR="00DC2377">
        <w:t>B/ILT eligibility is generally limited to entities engaged in commercial, educational, medical, or similar activities</w:t>
      </w:r>
      <w:r w:rsidR="00B56079">
        <w:t>, or entities providing communications service to their own B/ILT-eligible affiliate.</w:t>
      </w:r>
      <w:r w:rsidR="00B56079">
        <w:rPr>
          <w:rStyle w:val="FootnoteReference"/>
        </w:rPr>
        <w:footnoteReference w:id="4"/>
      </w:r>
      <w:r w:rsidR="00B56079">
        <w:t xml:space="preserve">  </w:t>
      </w:r>
      <w:r w:rsidR="00D817C6">
        <w:t>Section 90.617</w:t>
      </w:r>
      <w:r w:rsidR="00E052B5">
        <w:t>(c)</w:t>
      </w:r>
      <w:r w:rsidRPr="00420156">
        <w:t xml:space="preserve"> </w:t>
      </w:r>
      <w:r w:rsidR="00E052B5">
        <w:t xml:space="preserve">of the Commission’s rules </w:t>
      </w:r>
      <w:r w:rsidRPr="00420156">
        <w:t>provides that SMR system</w:t>
      </w:r>
      <w:r>
        <w:t>s</w:t>
      </w:r>
      <w:r w:rsidR="00B56079">
        <w:t xml:space="preserve">, which are </w:t>
      </w:r>
      <w:r w:rsidR="00B56079" w:rsidRPr="00A77DB3">
        <w:t>defined as those “in which licensees provide land mobile communications services (other than radiolocation services) in the 800 MHz and 900</w:t>
      </w:r>
      <w:r w:rsidR="00B56079">
        <w:t> </w:t>
      </w:r>
      <w:r w:rsidR="00B56079" w:rsidRPr="00A77DB3">
        <w:t>MHz bands on a commercial basis to entities eligible to be licensed under this part, Federal Government entities, and individuals</w:t>
      </w:r>
      <w:r w:rsidR="00B56079">
        <w:t>,</w:t>
      </w:r>
      <w:r w:rsidR="00B56079" w:rsidRPr="00A77DB3">
        <w:t>”</w:t>
      </w:r>
      <w:r w:rsidR="00B56079">
        <w:rPr>
          <w:rStyle w:val="FootnoteReference"/>
        </w:rPr>
        <w:footnoteReference w:id="5"/>
      </w:r>
      <w:r>
        <w:t xml:space="preserve"> </w:t>
      </w:r>
      <w:r w:rsidR="00025E69">
        <w:t>will not be authorized</w:t>
      </w:r>
      <w:r>
        <w:t xml:space="preserve"> on 900 </w:t>
      </w:r>
      <w:r w:rsidRPr="00420156">
        <w:t>MHz B/ILT channels.</w:t>
      </w:r>
      <w:r>
        <w:rPr>
          <w:rStyle w:val="FootnoteReference"/>
        </w:rPr>
        <w:footnoteReference w:id="6"/>
      </w:r>
      <w:r>
        <w:t xml:space="preserve">  </w:t>
      </w:r>
      <w:r w:rsidR="00E052B5">
        <w:t>900 MHz B/ILT licensees</w:t>
      </w:r>
      <w:r w:rsidR="00B56079">
        <w:t xml:space="preserve"> may, however,</w:t>
      </w:r>
      <w:r w:rsidR="00E052B5">
        <w:t xml:space="preserve"> </w:t>
      </w:r>
      <w:r w:rsidR="00B56079">
        <w:t>share their spectrum with other B/ILT eligibles on a non-profit, cost-shared basis,</w:t>
      </w:r>
      <w:r w:rsidR="00B56079">
        <w:rPr>
          <w:rStyle w:val="FootnoteReference"/>
        </w:rPr>
        <w:footnoteReference w:id="7"/>
      </w:r>
      <w:r w:rsidR="00B56079">
        <w:t xml:space="preserve"> or </w:t>
      </w:r>
      <w:r w:rsidR="00E052B5">
        <w:t xml:space="preserve">convert their licenses to commercial authorizations </w:t>
      </w:r>
      <w:r w:rsidR="00B438BE">
        <w:t>and/</w:t>
      </w:r>
      <w:r w:rsidR="00E052B5">
        <w:t xml:space="preserve">or assign their </w:t>
      </w:r>
      <w:r w:rsidR="00E052B5">
        <w:lastRenderedPageBreak/>
        <w:t>licenses to SMR entities</w:t>
      </w:r>
      <w:r w:rsidR="00B56079">
        <w:t>.</w:t>
      </w:r>
      <w:r w:rsidR="00E052B5">
        <w:rPr>
          <w:rStyle w:val="FootnoteReference"/>
        </w:rPr>
        <w:footnoteReference w:id="8"/>
      </w:r>
      <w:r w:rsidR="00E052B5">
        <w:t xml:space="preserve"> </w:t>
      </w:r>
    </w:p>
    <w:p w:rsidR="004F6BCA" w:rsidRDefault="00B04DA4" w:rsidP="006B0AE7">
      <w:pPr>
        <w:pStyle w:val="ParaNum"/>
        <w:jc w:val="left"/>
      </w:pPr>
      <w:r>
        <w:t xml:space="preserve">SNG </w:t>
      </w:r>
      <w:r w:rsidR="00B438BE">
        <w:t xml:space="preserve">requests the initiation of proceedings to revoke </w:t>
      </w:r>
      <w:r w:rsidR="00025E69">
        <w:t xml:space="preserve">licenses for </w:t>
      </w:r>
      <w:r w:rsidR="00B438BE">
        <w:t xml:space="preserve">900 MHz B/ILT </w:t>
      </w:r>
      <w:r w:rsidR="00025E69">
        <w:t>channel</w:t>
      </w:r>
      <w:r w:rsidR="00B438BE">
        <w:t>s</w:t>
      </w:r>
      <w:r w:rsidR="00025E69">
        <w:t xml:space="preserve"> granted </w:t>
      </w:r>
      <w:r w:rsidR="00C87763">
        <w:t>recently</w:t>
      </w:r>
      <w:r w:rsidR="00C87763">
        <w:rPr>
          <w:rStyle w:val="FootnoteReference"/>
        </w:rPr>
        <w:footnoteReference w:id="9"/>
      </w:r>
      <w:r w:rsidR="00C87763">
        <w:t xml:space="preserve"> </w:t>
      </w:r>
      <w:r w:rsidR="00025E69">
        <w:t>to the following entities</w:t>
      </w:r>
      <w:r w:rsidR="00B438BE">
        <w:t>, on the grounds that the licensees do not use the stations for private, internal communications, but rather provide commercial service to third parties</w:t>
      </w:r>
      <w:r w:rsidR="00C37039">
        <w:t xml:space="preserve">:  </w:t>
      </w:r>
      <w:r w:rsidR="00F878B3">
        <w:t xml:space="preserve">5G Properties, LLC </w:t>
      </w:r>
      <w:r w:rsidR="00F3340D">
        <w:t xml:space="preserve">(5G) </w:t>
      </w:r>
      <w:r w:rsidR="00F878B3">
        <w:t xml:space="preserve">(Call Sign WQUI888), </w:t>
      </w:r>
      <w:r w:rsidR="00C37039">
        <w:t>Clark Wireless</w:t>
      </w:r>
      <w:r w:rsidR="00E64BCD">
        <w:t xml:space="preserve"> Inc.</w:t>
      </w:r>
      <w:r w:rsidR="00F3340D">
        <w:t xml:space="preserve"> (Clark)</w:t>
      </w:r>
      <w:r w:rsidR="00C37039">
        <w:t xml:space="preserve"> (WQVW552), Classic Ventures </w:t>
      </w:r>
      <w:r w:rsidR="00F878B3">
        <w:t xml:space="preserve">Diversified, Inc. </w:t>
      </w:r>
      <w:r w:rsidR="00B042FE">
        <w:t xml:space="preserve">(Classic) </w:t>
      </w:r>
      <w:r w:rsidR="00C37039">
        <w:t>(WPJZ221), Communications Unlimited</w:t>
      </w:r>
      <w:r w:rsidR="00FB5B18">
        <w:t xml:space="preserve"> (CU)</w:t>
      </w:r>
      <w:r w:rsidR="00C37039">
        <w:t xml:space="preserve"> (WPUV824), Creative Communications </w:t>
      </w:r>
      <w:r w:rsidR="00F878B3">
        <w:t xml:space="preserve">Sales and Rentals, Inc. </w:t>
      </w:r>
      <w:r w:rsidR="00B042FE">
        <w:t xml:space="preserve">(Creative) </w:t>
      </w:r>
      <w:r w:rsidR="00C37039">
        <w:t xml:space="preserve">(WQTB335), Dailey and Wells </w:t>
      </w:r>
      <w:r w:rsidR="00F878B3">
        <w:t xml:space="preserve">Communications </w:t>
      </w:r>
      <w:r w:rsidR="00B042FE">
        <w:t xml:space="preserve">(DW) </w:t>
      </w:r>
      <w:r w:rsidR="00C37039">
        <w:t xml:space="preserve">(WQTC271), DB Network Communications </w:t>
      </w:r>
      <w:r w:rsidR="00B042FE">
        <w:t xml:space="preserve">(DB) </w:t>
      </w:r>
      <w:r w:rsidR="00C37039">
        <w:t>(WPEY402), ESP Wireless Technologies</w:t>
      </w:r>
      <w:r w:rsidR="00B042FE">
        <w:t xml:space="preserve"> (ESP)</w:t>
      </w:r>
      <w:r w:rsidR="00C37039">
        <w:t xml:space="preserve"> (WQVN203, WQVX521), Mobile Relay Associates </w:t>
      </w:r>
      <w:r w:rsidR="00F3340D">
        <w:t xml:space="preserve">(MRA) </w:t>
      </w:r>
      <w:r w:rsidR="00C37039">
        <w:t xml:space="preserve">(WNJL371), </w:t>
      </w:r>
      <w:r w:rsidR="00F878B3">
        <w:t xml:space="preserve">Allen Pooley (WPUC290), </w:t>
      </w:r>
      <w:r w:rsidR="00C37039">
        <w:t xml:space="preserve">Radio Unlimited </w:t>
      </w:r>
      <w:r w:rsidR="00FB5B18">
        <w:t xml:space="preserve">(RU) </w:t>
      </w:r>
      <w:r w:rsidR="00C37039">
        <w:t>(</w:t>
      </w:r>
      <w:r w:rsidR="00C37039" w:rsidRPr="0029585D">
        <w:t>WQTE755, WQTG697, WQTG700</w:t>
      </w:r>
      <w:r w:rsidR="00C37039">
        <w:t xml:space="preserve">), </w:t>
      </w:r>
      <w:r w:rsidR="00F878B3">
        <w:t>Randall Schmi</w:t>
      </w:r>
      <w:r w:rsidR="001B027F">
        <w:t>t</w:t>
      </w:r>
      <w:r w:rsidR="00F878B3">
        <w:t xml:space="preserve">t (WNQL213), </w:t>
      </w:r>
      <w:r w:rsidR="00C37039">
        <w:t xml:space="preserve">TaxiStuff, LLC (WQVE909), Tri-Electronics (WQUA702), </w:t>
      </w:r>
      <w:r w:rsidR="00F878B3">
        <w:t xml:space="preserve">Ruben Vazquez (WPPG985), </w:t>
      </w:r>
      <w:r w:rsidR="00C37039">
        <w:t>and Vegas Wireless (WQUT209, WQUW935).</w:t>
      </w:r>
      <w:r w:rsidR="005403E1">
        <w:rPr>
          <w:rStyle w:val="FootnoteReference"/>
        </w:rPr>
        <w:footnoteReference w:id="10"/>
      </w:r>
      <w:r w:rsidR="00F3340D">
        <w:t xml:space="preserve">  SNG </w:t>
      </w:r>
      <w:r w:rsidR="000E2F87">
        <w:t>also seeks</w:t>
      </w:r>
      <w:r w:rsidR="00F3340D">
        <w:t xml:space="preserve"> decertification of </w:t>
      </w:r>
      <w:r w:rsidR="000E2F87">
        <w:t xml:space="preserve">frequency coordinator </w:t>
      </w:r>
      <w:r w:rsidR="00F3340D">
        <w:t>Enterprise Wireless Alliance (EWA)</w:t>
      </w:r>
      <w:r w:rsidR="000E2F87">
        <w:t>,</w:t>
      </w:r>
      <w:r w:rsidR="00F3340D">
        <w:t xml:space="preserve"> based on </w:t>
      </w:r>
      <w:r w:rsidR="000E2F87">
        <w:t>its handling of</w:t>
      </w:r>
      <w:r w:rsidR="00F3340D">
        <w:t xml:space="preserve"> </w:t>
      </w:r>
      <w:r w:rsidR="009E0FDF">
        <w:t xml:space="preserve">applications regarding </w:t>
      </w:r>
      <w:r w:rsidR="00F3340D">
        <w:t>5G</w:t>
      </w:r>
      <w:r w:rsidR="000E2F87">
        <w:t>’s</w:t>
      </w:r>
      <w:r w:rsidR="00F3340D">
        <w:t xml:space="preserve"> </w:t>
      </w:r>
      <w:r w:rsidR="009E0FDF">
        <w:t>st</w:t>
      </w:r>
      <w:r w:rsidR="00F3340D">
        <w:t>ation.</w:t>
      </w:r>
      <w:r w:rsidR="00F3340D">
        <w:rPr>
          <w:rStyle w:val="FootnoteReference"/>
        </w:rPr>
        <w:footnoteReference w:id="11"/>
      </w:r>
      <w:r w:rsidR="00F3340D">
        <w:t xml:space="preserve">  MRA,</w:t>
      </w:r>
      <w:r w:rsidR="006C2447">
        <w:rPr>
          <w:rStyle w:val="FootnoteReference"/>
        </w:rPr>
        <w:footnoteReference w:id="12"/>
      </w:r>
      <w:r w:rsidR="00F3340D">
        <w:t xml:space="preserve"> TaxiStuff,</w:t>
      </w:r>
      <w:r w:rsidR="006C2447">
        <w:rPr>
          <w:rStyle w:val="FootnoteReference"/>
        </w:rPr>
        <w:footnoteReference w:id="13"/>
      </w:r>
      <w:r w:rsidR="00F3340D">
        <w:t xml:space="preserve"> and EWA</w:t>
      </w:r>
      <w:r w:rsidR="006C2447">
        <w:rPr>
          <w:rStyle w:val="FootnoteReference"/>
        </w:rPr>
        <w:footnoteReference w:id="14"/>
      </w:r>
      <w:r w:rsidR="00F3340D">
        <w:t xml:space="preserve"> filed oppositions to the petition.  SNG filed a reply.</w:t>
      </w:r>
      <w:r w:rsidR="006C2447">
        <w:rPr>
          <w:rStyle w:val="FootnoteReference"/>
        </w:rPr>
        <w:footnoteReference w:id="15"/>
      </w:r>
      <w:r w:rsidR="001D2C69">
        <w:t xml:space="preserve">  </w:t>
      </w:r>
      <w:r w:rsidR="00F3340D">
        <w:t>I</w:t>
      </w:r>
      <w:r w:rsidR="00D85A34">
        <w:t xml:space="preserve">n </w:t>
      </w:r>
      <w:r w:rsidR="00F3340D">
        <w:t>addition, the Wireless Telecommunications Bureau’s Mobility Division</w:t>
      </w:r>
      <w:r w:rsidR="005D00E2">
        <w:t xml:space="preserve"> (Division)</w:t>
      </w:r>
      <w:r w:rsidR="00F3340D">
        <w:t xml:space="preserve">, </w:t>
      </w:r>
      <w:r w:rsidR="005D00E2">
        <w:t xml:space="preserve">acting </w:t>
      </w:r>
      <w:r w:rsidR="00F3340D">
        <w:t>pursuant to section 308(b) of the Communications Act of 1934,</w:t>
      </w:r>
      <w:r w:rsidR="000318BF" w:rsidRPr="000318BF">
        <w:t xml:space="preserve"> </w:t>
      </w:r>
      <w:r w:rsidR="000318BF">
        <w:t>as amended,</w:t>
      </w:r>
      <w:r w:rsidR="00F3340D">
        <w:rPr>
          <w:rStyle w:val="FootnoteReference"/>
        </w:rPr>
        <w:footnoteReference w:id="16"/>
      </w:r>
      <w:r w:rsidR="00F3340D">
        <w:t xml:space="preserve"> sent inquiry letters seeking information regarding each licensee’s B/ILT eligibility and whether </w:t>
      </w:r>
      <w:r w:rsidR="00C87763">
        <w:t xml:space="preserve">(and, if so, how) </w:t>
      </w:r>
      <w:r w:rsidR="00F3340D">
        <w:t>it provided communications services to third parties.</w:t>
      </w:r>
      <w:r w:rsidR="00AE2085">
        <w:rPr>
          <w:rStyle w:val="FootnoteReference"/>
        </w:rPr>
        <w:footnoteReference w:id="17"/>
      </w:r>
      <w:r w:rsidR="00F3340D">
        <w:t xml:space="preserve">  </w:t>
      </w:r>
    </w:p>
    <w:p w:rsidR="00B911BD" w:rsidRDefault="004B7631" w:rsidP="003B3F77">
      <w:pPr>
        <w:pStyle w:val="Heading1"/>
        <w:widowControl/>
        <w:jc w:val="left"/>
        <w:rPr>
          <w:szCs w:val="22"/>
        </w:rPr>
      </w:pPr>
      <w:r>
        <w:rPr>
          <w:szCs w:val="22"/>
        </w:rPr>
        <w:t>DISCUSSION</w:t>
      </w:r>
    </w:p>
    <w:p w:rsidR="00D51D74" w:rsidRDefault="00D51D74" w:rsidP="00DD5EE9">
      <w:pPr>
        <w:pStyle w:val="ParaNum"/>
        <w:widowControl/>
        <w:numPr>
          <w:ilvl w:val="0"/>
          <w:numId w:val="26"/>
        </w:numPr>
        <w:jc w:val="left"/>
      </w:pPr>
      <w:r>
        <w:t>As explained below, we conclude that SNG has not demonstrated that any of the licenses at issue should be revoked.</w:t>
      </w:r>
      <w:r>
        <w:rPr>
          <w:rStyle w:val="FootnoteReference"/>
        </w:rPr>
        <w:footnoteReference w:id="18"/>
      </w:r>
      <w:r>
        <w:t xml:space="preserve">  </w:t>
      </w:r>
      <w:r w:rsidR="001D2C69">
        <w:t xml:space="preserve">SNG’s petition is based largely on speculation and incomplete facts, and is </w:t>
      </w:r>
      <w:r w:rsidR="001D2C69">
        <w:lastRenderedPageBreak/>
        <w:t xml:space="preserve">contradicted by important information provided by the various licensees subject to Commission rules prohibiting misrepresentation or omission of material facts.  </w:t>
      </w:r>
      <w:r>
        <w:t xml:space="preserve">Nor has SNG provided grounds </w:t>
      </w:r>
      <w:r w:rsidR="009E0FDF">
        <w:t>to decertify</w:t>
      </w:r>
      <w:r>
        <w:t xml:space="preserve"> EWA.</w:t>
      </w:r>
    </w:p>
    <w:p w:rsidR="00B042FE" w:rsidRPr="009E0FDF" w:rsidRDefault="00D51D74" w:rsidP="002E7EF7">
      <w:pPr>
        <w:pStyle w:val="ParaNum"/>
        <w:widowControl/>
        <w:numPr>
          <w:ilvl w:val="0"/>
          <w:numId w:val="26"/>
        </w:numPr>
        <w:jc w:val="left"/>
        <w:rPr>
          <w:i/>
        </w:rPr>
      </w:pPr>
      <w:r w:rsidRPr="009E0FDF">
        <w:rPr>
          <w:i/>
        </w:rPr>
        <w:t xml:space="preserve">License Revocation Requests.  </w:t>
      </w:r>
      <w:r w:rsidR="00025E69">
        <w:t>SNG divides the licensees into two groups:  “Licensees Whose Applications Facially Demon</w:t>
      </w:r>
      <w:r w:rsidR="004535FE">
        <w:t>strate Service to Third Parties</w:t>
      </w:r>
      <w:r w:rsidR="00025E69">
        <w:t>”</w:t>
      </w:r>
      <w:r w:rsidR="00EB04AD">
        <w:rPr>
          <w:rStyle w:val="FootnoteReference"/>
        </w:rPr>
        <w:footnoteReference w:id="19"/>
      </w:r>
      <w:r w:rsidR="00025E69">
        <w:t xml:space="preserve"> and “Licensees That Appear to Offer Services to Other</w:t>
      </w:r>
      <w:r w:rsidR="00AE2085">
        <w:t>s without Disclosing Such Plans</w:t>
      </w:r>
      <w:r w:rsidR="009E0FDF">
        <w:t>.</w:t>
      </w:r>
      <w:r w:rsidR="00025E69">
        <w:t>”</w:t>
      </w:r>
      <w:r w:rsidR="00EB04AD">
        <w:rPr>
          <w:rStyle w:val="FootnoteReference"/>
        </w:rPr>
        <w:footnoteReference w:id="20"/>
      </w:r>
      <w:r w:rsidR="00AE2085">
        <w:t xml:space="preserve"> </w:t>
      </w:r>
      <w:r w:rsidR="009E0FDF">
        <w:t xml:space="preserve"> It </w:t>
      </w:r>
      <w:r w:rsidR="00C50576">
        <w:t xml:space="preserve">challenges </w:t>
      </w:r>
      <w:r>
        <w:t xml:space="preserve">the “Licensees Whose Applications Facially Demonstrate Service to Third Parties,” </w:t>
      </w:r>
      <w:r w:rsidR="00C50576">
        <w:t xml:space="preserve">based </w:t>
      </w:r>
      <w:r w:rsidR="00C03A8E">
        <w:t xml:space="preserve">largely </w:t>
      </w:r>
      <w:r w:rsidR="00C50576">
        <w:t>on the license</w:t>
      </w:r>
      <w:r w:rsidR="004535FE">
        <w:t>s</w:t>
      </w:r>
      <w:r w:rsidR="00C50576">
        <w:t>’ description of the licensee</w:t>
      </w:r>
      <w:r w:rsidR="004535FE">
        <w:t>s</w:t>
      </w:r>
      <w:r w:rsidR="00C50576">
        <w:t>’</w:t>
      </w:r>
      <w:r w:rsidR="00652070">
        <w:t xml:space="preserve"> eligibility</w:t>
      </w:r>
      <w:r w:rsidR="00C50576">
        <w:t>.</w:t>
      </w:r>
      <w:r w:rsidR="00445C70">
        <w:t xml:space="preserve">  </w:t>
      </w:r>
      <w:r w:rsidR="00224F5C">
        <w:t>As to this group, SNG’s petition is based on the premise tha</w:t>
      </w:r>
      <w:r w:rsidR="006B0AE7">
        <w:t>t</w:t>
      </w:r>
      <w:r w:rsidR="00224F5C">
        <w:t xml:space="preserve"> the licensees have “stated openly that they will use their licenses to provide services to others.”</w:t>
      </w:r>
      <w:r w:rsidR="00224F5C">
        <w:rPr>
          <w:rStyle w:val="FootnoteReference"/>
        </w:rPr>
        <w:footnoteReference w:id="21"/>
      </w:r>
      <w:r w:rsidR="00224F5C">
        <w:t xml:space="preserve">  But a</w:t>
      </w:r>
      <w:r w:rsidR="00445C70">
        <w:t xml:space="preserve">s noted above, 900 MHz B/ILT licensees </w:t>
      </w:r>
      <w:r w:rsidR="00224F5C">
        <w:t xml:space="preserve">are allowed to provide service to others.  Specifically, they </w:t>
      </w:r>
      <w:r w:rsidR="009E0FDF">
        <w:t>may</w:t>
      </w:r>
      <w:r w:rsidR="00445C70">
        <w:t xml:space="preserve"> provide service to other B/ILT eligibles on a non-profit, cost-shared basis</w:t>
      </w:r>
      <w:r w:rsidR="00772902">
        <w:t>, so</w:t>
      </w:r>
      <w:r w:rsidR="00445C70">
        <w:t xml:space="preserve"> the fact that a license indicates</w:t>
      </w:r>
      <w:r w:rsidR="004535FE">
        <w:t>,</w:t>
      </w:r>
      <w:r w:rsidR="004535FE" w:rsidRPr="009E0FDF">
        <w:rPr>
          <w:i/>
        </w:rPr>
        <w:t xml:space="preserve"> e.g.</w:t>
      </w:r>
      <w:r w:rsidR="004535FE">
        <w:t xml:space="preserve">, </w:t>
      </w:r>
      <w:r w:rsidR="00445C70">
        <w:t xml:space="preserve">that </w:t>
      </w:r>
      <w:r w:rsidR="00BE28BF">
        <w:t xml:space="preserve">“communications service will </w:t>
      </w:r>
      <w:r w:rsidR="004535FE">
        <w:t>be offered to Part 90 eligibles</w:t>
      </w:r>
      <w:r w:rsidR="00BE28BF">
        <w:t>”</w:t>
      </w:r>
      <w:r w:rsidR="00BE28BF">
        <w:rPr>
          <w:rStyle w:val="FootnoteReference"/>
        </w:rPr>
        <w:footnoteReference w:id="22"/>
      </w:r>
      <w:r w:rsidR="00BE28BF">
        <w:t xml:space="preserve"> or </w:t>
      </w:r>
      <w:r w:rsidR="00224F5C">
        <w:t xml:space="preserve">that </w:t>
      </w:r>
      <w:r w:rsidR="00445C70">
        <w:t xml:space="preserve">the licensee </w:t>
      </w:r>
      <w:r w:rsidR="004535FE">
        <w:t>provides “radio service to private users”</w:t>
      </w:r>
      <w:r w:rsidR="004535FE">
        <w:rPr>
          <w:rStyle w:val="FootnoteReference"/>
        </w:rPr>
        <w:footnoteReference w:id="23"/>
      </w:r>
      <w:r w:rsidR="004535FE">
        <w:t xml:space="preserve"> or </w:t>
      </w:r>
      <w:r w:rsidR="004951C4">
        <w:t>“</w:t>
      </w:r>
      <w:r w:rsidR="00445C70">
        <w:t>rental communications”</w:t>
      </w:r>
      <w:r w:rsidR="001B4DAD">
        <w:rPr>
          <w:rStyle w:val="FootnoteReference"/>
        </w:rPr>
        <w:footnoteReference w:id="24"/>
      </w:r>
      <w:r w:rsidR="001B4DAD">
        <w:t xml:space="preserve"> </w:t>
      </w:r>
      <w:r w:rsidR="00445C70">
        <w:t xml:space="preserve">does not by itself demonstrate that the licensee is providing </w:t>
      </w:r>
      <w:r w:rsidR="00855C2D">
        <w:t xml:space="preserve">a prohibited </w:t>
      </w:r>
      <w:r w:rsidR="00445C70">
        <w:t>SMR service</w:t>
      </w:r>
      <w:r w:rsidR="00855C2D">
        <w:t xml:space="preserve"> on B/ILT channels</w:t>
      </w:r>
      <w:r w:rsidR="001523AF">
        <w:t>.  SNG provides</w:t>
      </w:r>
      <w:r w:rsidR="00445C70">
        <w:t xml:space="preserve"> no information</w:t>
      </w:r>
      <w:r w:rsidR="00224F5C">
        <w:t>, but only speculation,</w:t>
      </w:r>
      <w:r w:rsidR="00445C70">
        <w:t xml:space="preserve"> regarding whether these licensees provide service to third parties on a non-profit or for-profit basis.  </w:t>
      </w:r>
      <w:r w:rsidR="001523AF">
        <w:t xml:space="preserve">Moreover, </w:t>
      </w:r>
      <w:r w:rsidR="00224F5C">
        <w:t>the licensees generally contradict SNG’s assertions.</w:t>
      </w:r>
      <w:r w:rsidR="00224F5C">
        <w:rPr>
          <w:rStyle w:val="FootnoteReference"/>
        </w:rPr>
        <w:footnoteReference w:id="25"/>
      </w:r>
      <w:r w:rsidR="00224F5C">
        <w:t xml:space="preserve">  </w:t>
      </w:r>
      <w:r w:rsidR="009D439D">
        <w:t>S</w:t>
      </w:r>
      <w:r w:rsidR="00772902">
        <w:t>ome licensees</w:t>
      </w:r>
      <w:r w:rsidR="00D95F9B">
        <w:t xml:space="preserve"> specify</w:t>
      </w:r>
      <w:r w:rsidR="001523AF">
        <w:t xml:space="preserve"> in their response to the </w:t>
      </w:r>
      <w:r w:rsidR="009E0FDF">
        <w:t>Divi</w:t>
      </w:r>
      <w:r w:rsidR="001523AF">
        <w:t>sion’s inquiry</w:t>
      </w:r>
      <w:r w:rsidR="00772902">
        <w:t xml:space="preserve"> that they provide service on a cost-shared basis</w:t>
      </w:r>
      <w:r w:rsidR="001523AF">
        <w:t>;</w:t>
      </w:r>
      <w:r w:rsidR="00772902">
        <w:rPr>
          <w:rStyle w:val="FootnoteReference"/>
        </w:rPr>
        <w:footnoteReference w:id="26"/>
      </w:r>
      <w:r w:rsidR="00772902">
        <w:t xml:space="preserve"> </w:t>
      </w:r>
      <w:r w:rsidR="001523AF">
        <w:t>and ot</w:t>
      </w:r>
      <w:r w:rsidR="00772902">
        <w:t>hers respond that, notwithstanding the eligibility description on the license, the station is used only for private, internal communications.</w:t>
      </w:r>
      <w:r w:rsidR="00772902">
        <w:rPr>
          <w:rStyle w:val="FootnoteReference"/>
        </w:rPr>
        <w:footnoteReference w:id="27"/>
      </w:r>
      <w:r w:rsidR="00772902">
        <w:t xml:space="preserve">  </w:t>
      </w:r>
      <w:r w:rsidR="001523AF">
        <w:t xml:space="preserve">In addition, </w:t>
      </w:r>
      <w:r w:rsidR="00D95F9B">
        <w:t>t</w:t>
      </w:r>
      <w:r w:rsidR="006E00EF">
        <w:t xml:space="preserve">he </w:t>
      </w:r>
      <w:r w:rsidR="0037773E">
        <w:t>CU and Schmi</w:t>
      </w:r>
      <w:r w:rsidR="001B027F">
        <w:t>t</w:t>
      </w:r>
      <w:r w:rsidR="0037773E">
        <w:t xml:space="preserve">t </w:t>
      </w:r>
      <w:r w:rsidR="006E00EF">
        <w:t xml:space="preserve">licenses were converted to </w:t>
      </w:r>
      <w:r w:rsidR="00652070">
        <w:t>commercial authorizations</w:t>
      </w:r>
      <w:r w:rsidR="006E00EF">
        <w:t xml:space="preserve"> before SNG filed its petition</w:t>
      </w:r>
      <w:r w:rsidR="00D95F9B">
        <w:t>.</w:t>
      </w:r>
      <w:r w:rsidR="006E00EF">
        <w:rPr>
          <w:rStyle w:val="FootnoteReference"/>
        </w:rPr>
        <w:footnoteReference w:id="28"/>
      </w:r>
      <w:r w:rsidR="009D439D">
        <w:t xml:space="preserve">  In the face of these licensees’ statements, SNG’s speculation does not present sufficient grounds to merit initiation of revocation proceedings.</w:t>
      </w:r>
    </w:p>
    <w:p w:rsidR="00EB04AD" w:rsidRPr="00EB04AD" w:rsidRDefault="00D31368" w:rsidP="00DD5EE9">
      <w:pPr>
        <w:pStyle w:val="ParaNum"/>
        <w:widowControl/>
        <w:numPr>
          <w:ilvl w:val="0"/>
          <w:numId w:val="26"/>
        </w:numPr>
        <w:jc w:val="left"/>
        <w:rPr>
          <w:i/>
        </w:rPr>
      </w:pPr>
      <w:r>
        <w:t xml:space="preserve">We address </w:t>
      </w:r>
      <w:r w:rsidR="00657890">
        <w:t xml:space="preserve">the “Licensees That Appear to Offer Services to Others without Disclosing Such Plans” </w:t>
      </w:r>
      <w:r w:rsidR="00693965">
        <w:t>individually</w:t>
      </w:r>
      <w:r w:rsidR="00D95F9B">
        <w:t>, below</w:t>
      </w:r>
      <w:r w:rsidR="00693965">
        <w:t>.</w:t>
      </w:r>
    </w:p>
    <w:p w:rsidR="00AE2085" w:rsidRPr="00B042FE" w:rsidRDefault="00B042FE" w:rsidP="00DD5EE9">
      <w:pPr>
        <w:pStyle w:val="ParaNum"/>
        <w:widowControl/>
        <w:numPr>
          <w:ilvl w:val="0"/>
          <w:numId w:val="26"/>
        </w:numPr>
        <w:jc w:val="left"/>
        <w:rPr>
          <w:i/>
        </w:rPr>
      </w:pPr>
      <w:r>
        <w:rPr>
          <w:u w:val="single"/>
        </w:rPr>
        <w:t>5G</w:t>
      </w:r>
      <w:r>
        <w:t>.</w:t>
      </w:r>
      <w:r w:rsidR="00832245">
        <w:t xml:space="preserve">  The bas</w:t>
      </w:r>
      <w:r w:rsidR="009D439D">
        <w:t>i</w:t>
      </w:r>
      <w:r w:rsidR="00832245">
        <w:t>s for SNG’s assertion that 5G offer</w:t>
      </w:r>
      <w:r w:rsidR="00F12E3B">
        <w:t>s</w:t>
      </w:r>
      <w:r w:rsidR="00832245">
        <w:t xml:space="preserve"> service to third parties </w:t>
      </w:r>
      <w:r w:rsidR="009D439D">
        <w:t>is essentially</w:t>
      </w:r>
      <w:r w:rsidR="00832245">
        <w:t xml:space="preserve"> that </w:t>
      </w:r>
      <w:r w:rsidR="009D439D">
        <w:t xml:space="preserve">Golden State Communications, Inc. (Golden State), acknowledged that it was not an eligible B/ILT licensee by canceling its license for </w:t>
      </w:r>
      <w:r w:rsidR="00832245">
        <w:t>Station WQ</w:t>
      </w:r>
      <w:r w:rsidR="00A33CF7">
        <w:t>TY741</w:t>
      </w:r>
      <w:r w:rsidR="00AB34C6">
        <w:t xml:space="preserve"> </w:t>
      </w:r>
      <w:r w:rsidR="00D95F9B">
        <w:t>after</w:t>
      </w:r>
      <w:r w:rsidR="00832245">
        <w:t xml:space="preserve"> SNG </w:t>
      </w:r>
      <w:r w:rsidR="002371E4">
        <w:t>raised questions</w:t>
      </w:r>
      <w:r w:rsidR="009D439D">
        <w:t>,</w:t>
      </w:r>
      <w:r w:rsidR="002371E4">
        <w:rPr>
          <w:rStyle w:val="FootnoteReference"/>
        </w:rPr>
        <w:footnoteReference w:id="29"/>
      </w:r>
      <w:r w:rsidR="002371E4">
        <w:t xml:space="preserve"> </w:t>
      </w:r>
      <w:r w:rsidR="009D439D">
        <w:t xml:space="preserve">that 5G is the “apparent alter ego” of Golden State, </w:t>
      </w:r>
      <w:r w:rsidR="002371E4">
        <w:t xml:space="preserve">and </w:t>
      </w:r>
      <w:r w:rsidR="009D439D">
        <w:t>that 5G under Call Sign WQUI888 continued the ineligible activities in which SNG believes Golden State was engaged.</w:t>
      </w:r>
      <w:r w:rsidR="002371E4">
        <w:t xml:space="preserve"> </w:t>
      </w:r>
      <w:r w:rsidR="009D439D">
        <w:t xml:space="preserve"> In support of the idea that </w:t>
      </w:r>
      <w:r w:rsidR="00F12E3B">
        <w:t>5G and Golden State a</w:t>
      </w:r>
      <w:r w:rsidR="00C03A8E">
        <w:t>r</w:t>
      </w:r>
      <w:r w:rsidR="00F12E3B">
        <w:t xml:space="preserve">e commonly controlled, </w:t>
      </w:r>
      <w:r w:rsidR="009D439D">
        <w:t>SNG asserts</w:t>
      </w:r>
      <w:r w:rsidR="00C03A8E">
        <w:t xml:space="preserve"> that</w:t>
      </w:r>
      <w:r w:rsidR="00F12E3B">
        <w:t xml:space="preserve"> </w:t>
      </w:r>
      <w:r w:rsidR="005F0B41">
        <w:t xml:space="preserve">one of the contacts for Golden State </w:t>
      </w:r>
      <w:r w:rsidR="0003315C">
        <w:t xml:space="preserve">(Gary Carroll) </w:t>
      </w:r>
      <w:r w:rsidR="004174F7">
        <w:t>and the conta</w:t>
      </w:r>
      <w:r w:rsidR="00F12E3B">
        <w:t>ct for 5G</w:t>
      </w:r>
      <w:r w:rsidR="0003315C">
        <w:t xml:space="preserve"> (Elizabeth Carroll)</w:t>
      </w:r>
      <w:r w:rsidR="00F12E3B">
        <w:t xml:space="preserve"> </w:t>
      </w:r>
      <w:r w:rsidR="004174F7">
        <w:t>“appear to be married.”</w:t>
      </w:r>
      <w:r w:rsidR="00F12E3B">
        <w:rPr>
          <w:rStyle w:val="FootnoteReference"/>
        </w:rPr>
        <w:footnoteReference w:id="30"/>
      </w:r>
      <w:r w:rsidR="00AB34C6">
        <w:t xml:space="preserve">  SNG offers no information regarding how 5G uses Station WQUI888.  </w:t>
      </w:r>
      <w:r w:rsidR="004174F7">
        <w:t>Even assuming t</w:t>
      </w:r>
      <w:r w:rsidR="00AB34C6">
        <w:t>hat the principals of 5G also control Golden State</w:t>
      </w:r>
      <w:r w:rsidR="004174F7">
        <w:t>, such common control</w:t>
      </w:r>
      <w:r w:rsidR="00AB34C6">
        <w:t xml:space="preserve"> does not demonstrate that </w:t>
      </w:r>
      <w:r w:rsidR="00044995">
        <w:t xml:space="preserve">the activities of </w:t>
      </w:r>
      <w:r w:rsidR="00AB34C6">
        <w:t xml:space="preserve">5G </w:t>
      </w:r>
      <w:r w:rsidR="00044995">
        <w:t>are</w:t>
      </w:r>
      <w:r w:rsidR="00AB34C6">
        <w:t xml:space="preserve"> not B/ILT-eligible</w:t>
      </w:r>
      <w:r w:rsidR="00C03A8E">
        <w:t>, or that 5G provides for-profit communications services to third parties</w:t>
      </w:r>
      <w:r w:rsidR="00AB34C6">
        <w:t>.</w:t>
      </w:r>
      <w:r w:rsidR="004174F7">
        <w:t xml:space="preserve">  SNG has not demonstrated grounds for initiation of proceedings to revoke the license for Station WQUI888.</w:t>
      </w:r>
    </w:p>
    <w:p w:rsidR="00B042FE" w:rsidRPr="00B042FE" w:rsidRDefault="00B042FE" w:rsidP="00DD5EE9">
      <w:pPr>
        <w:pStyle w:val="ParaNum"/>
        <w:widowControl/>
        <w:numPr>
          <w:ilvl w:val="0"/>
          <w:numId w:val="26"/>
        </w:numPr>
        <w:jc w:val="left"/>
        <w:rPr>
          <w:i/>
        </w:rPr>
      </w:pPr>
      <w:r>
        <w:rPr>
          <w:u w:val="single"/>
        </w:rPr>
        <w:t>Clark</w:t>
      </w:r>
      <w:r>
        <w:t>.</w:t>
      </w:r>
      <w:r w:rsidR="004174F7">
        <w:t xml:space="preserve">  SNG </w:t>
      </w:r>
      <w:r w:rsidR="00C03A8E">
        <w:t>challenges</w:t>
      </w:r>
      <w:r w:rsidR="004174F7">
        <w:t xml:space="preserve"> </w:t>
      </w:r>
      <w:r w:rsidR="00D95F9B">
        <w:t xml:space="preserve">Clark’s </w:t>
      </w:r>
      <w:r w:rsidR="00C03A8E">
        <w:t>license</w:t>
      </w:r>
      <w:r w:rsidR="004174F7">
        <w:t xml:space="preserve"> </w:t>
      </w:r>
      <w:r w:rsidR="00A33CF7">
        <w:t xml:space="preserve">by asserting that </w:t>
      </w:r>
      <w:r w:rsidR="004174F7">
        <w:t>Clark’s website “makes it clear that the core business of Clark Wireless is to provide rental radio and wireless services to others.”</w:t>
      </w:r>
      <w:r w:rsidR="004174F7">
        <w:rPr>
          <w:rStyle w:val="FootnoteReference"/>
        </w:rPr>
        <w:footnoteReference w:id="31"/>
      </w:r>
      <w:r w:rsidR="004174F7">
        <w:t xml:space="preserve">  </w:t>
      </w:r>
      <w:r w:rsidR="00044995">
        <w:t>In response to the Division’s inquiry, Clark states that it uses Station WQVW552 to coordinate the activity of its employees, and not for providing communications to third parties.</w:t>
      </w:r>
      <w:r w:rsidR="00044995">
        <w:rPr>
          <w:rStyle w:val="FootnoteReference"/>
        </w:rPr>
        <w:footnoteReference w:id="32"/>
      </w:r>
      <w:r w:rsidR="00044995">
        <w:t xml:space="preserve">  We note that Clark holds </w:t>
      </w:r>
      <w:r w:rsidR="00A33CF7">
        <w:t>more th</w:t>
      </w:r>
      <w:r w:rsidR="006B0AE7">
        <w:t>a</w:t>
      </w:r>
      <w:r w:rsidR="00A33CF7">
        <w:t>n thirty</w:t>
      </w:r>
      <w:r w:rsidR="00044995">
        <w:t xml:space="preserve"> Part 90 licenses</w:t>
      </w:r>
      <w:r w:rsidR="00A33CF7">
        <w:t xml:space="preserve"> other than Station WQVW552</w:t>
      </w:r>
      <w:r w:rsidR="00044995">
        <w:t xml:space="preserve">, the great majority of which authorize commercial service to third parties.  </w:t>
      </w:r>
      <w:r w:rsidR="00A33CF7">
        <w:t xml:space="preserve">Clark can provide wireless radio services to others using those stations, while using Station WQVW552 for its private, internal communications.  </w:t>
      </w:r>
      <w:r w:rsidR="00044995">
        <w:t>SNG has not demonstrated grounds for initiation of proceedings to revoke the license for Station WQVW552.</w:t>
      </w:r>
    </w:p>
    <w:p w:rsidR="00B042FE" w:rsidRPr="00B042FE" w:rsidRDefault="00B042FE" w:rsidP="00DD5EE9">
      <w:pPr>
        <w:pStyle w:val="ParaNum"/>
        <w:widowControl/>
        <w:numPr>
          <w:ilvl w:val="0"/>
          <w:numId w:val="26"/>
        </w:numPr>
        <w:jc w:val="left"/>
        <w:rPr>
          <w:i/>
        </w:rPr>
      </w:pPr>
      <w:r>
        <w:rPr>
          <w:u w:val="single"/>
        </w:rPr>
        <w:t>DW</w:t>
      </w:r>
      <w:r>
        <w:t>.</w:t>
      </w:r>
      <w:r w:rsidR="0098666C">
        <w:t xml:space="preserve">  DW was granted a license for Station WQTC271 in </w:t>
      </w:r>
      <w:r w:rsidR="007C5EFB">
        <w:t xml:space="preserve">January </w:t>
      </w:r>
      <w:r w:rsidR="0098666C">
        <w:t>201</w:t>
      </w:r>
      <w:r w:rsidR="007C5EFB">
        <w:t>4</w:t>
      </w:r>
      <w:r w:rsidR="0098666C">
        <w:t>,</w:t>
      </w:r>
      <w:r w:rsidR="0098666C">
        <w:rPr>
          <w:rStyle w:val="FootnoteReference"/>
        </w:rPr>
        <w:footnoteReference w:id="33"/>
      </w:r>
      <w:r w:rsidR="0098666C">
        <w:t xml:space="preserve"> and converted it from B/ILT to SMR use </w:t>
      </w:r>
      <w:r w:rsidR="007C5EFB">
        <w:t>later</w:t>
      </w:r>
      <w:r w:rsidR="00C03A8E">
        <w:t xml:space="preserve"> that year</w:t>
      </w:r>
      <w:r w:rsidR="0098666C">
        <w:t>.</w:t>
      </w:r>
      <w:r w:rsidR="0098666C">
        <w:rPr>
          <w:rStyle w:val="FootnoteReference"/>
        </w:rPr>
        <w:footnoteReference w:id="34"/>
      </w:r>
      <w:r w:rsidR="0098666C">
        <w:t xml:space="preserve">  </w:t>
      </w:r>
      <w:r w:rsidR="00C03A8E">
        <w:t>Based on this</w:t>
      </w:r>
      <w:r w:rsidR="007C5EFB">
        <w:t xml:space="preserve"> timing and the </w:t>
      </w:r>
      <w:r w:rsidR="00C03A8E">
        <w:t xml:space="preserve">large number of </w:t>
      </w:r>
      <w:r w:rsidR="007C5EFB">
        <w:t>authorize</w:t>
      </w:r>
      <w:r w:rsidR="00C03A8E">
        <w:t>d</w:t>
      </w:r>
      <w:r w:rsidR="007C5EFB">
        <w:t xml:space="preserve"> mobile units, </w:t>
      </w:r>
      <w:r w:rsidR="0098666C">
        <w:t>SNG suggests that DW never used the station for B/ILT purposes and “the objective may have been to serve third parties from the start.”</w:t>
      </w:r>
      <w:r w:rsidR="0098666C">
        <w:rPr>
          <w:rStyle w:val="FootnoteReference"/>
        </w:rPr>
        <w:footnoteReference w:id="35"/>
      </w:r>
      <w:r w:rsidR="0098666C">
        <w:t xml:space="preserve">  </w:t>
      </w:r>
      <w:r w:rsidR="0003395B">
        <w:t>The Commission exp</w:t>
      </w:r>
      <w:r w:rsidR="0087784B">
        <w:t>ressly declined to impose a hold</w:t>
      </w:r>
      <w:r w:rsidR="0003395B">
        <w:t>ing period before a 900 MHz B/ILT license could be converted to commercial use,</w:t>
      </w:r>
      <w:r w:rsidR="0003395B">
        <w:rPr>
          <w:rStyle w:val="FootnoteReference"/>
        </w:rPr>
        <w:footnoteReference w:id="36"/>
      </w:r>
      <w:r w:rsidR="0003395B">
        <w:t xml:space="preserve"> so the fact that the license was modified ten months after it was granted </w:t>
      </w:r>
      <w:r w:rsidR="00A33CF7">
        <w:t>does not demonstrate</w:t>
      </w:r>
      <w:r w:rsidR="00C03A8E">
        <w:t xml:space="preserve"> any</w:t>
      </w:r>
      <w:r w:rsidR="0003395B">
        <w:t xml:space="preserve"> </w:t>
      </w:r>
      <w:r w:rsidR="0087784B">
        <w:t>impropriety</w:t>
      </w:r>
      <w:r w:rsidR="0003395B">
        <w:t xml:space="preserve">.  Moreover, </w:t>
      </w:r>
      <w:r w:rsidR="0060133F">
        <w:t xml:space="preserve">DW explains </w:t>
      </w:r>
      <w:r w:rsidR="0003395B">
        <w:t xml:space="preserve">in its reply to the Division’s letter </w:t>
      </w:r>
      <w:r w:rsidR="0060133F">
        <w:t>that it constructed and used the station to provide constant monitoring of and communication with hundreds of communications sites and networks that it oversees and maintains for its customers, as well as for internal dispatch communications betwe</w:t>
      </w:r>
      <w:r w:rsidR="00C03A8E">
        <w:t>en employees, but not for third-</w:t>
      </w:r>
      <w:r w:rsidR="0060133F">
        <w:t>part</w:t>
      </w:r>
      <w:r w:rsidR="0087784B">
        <w:t>y</w:t>
      </w:r>
      <w:r w:rsidR="0060133F">
        <w:t xml:space="preserve"> communications.</w:t>
      </w:r>
      <w:r w:rsidR="0060133F">
        <w:rPr>
          <w:rStyle w:val="FootnoteReference"/>
        </w:rPr>
        <w:footnoteReference w:id="37"/>
      </w:r>
      <w:r w:rsidR="0060133F">
        <w:t xml:space="preserve">  Based on the record before us, we conclude that SNG has not demonstrated grounds for initiation of proceedings to revoke the license for Station WQTC271.  </w:t>
      </w:r>
    </w:p>
    <w:p w:rsidR="00B042FE" w:rsidRPr="00EB04AD" w:rsidRDefault="00B042FE" w:rsidP="00DD5EE9">
      <w:pPr>
        <w:pStyle w:val="ParaNum"/>
        <w:widowControl/>
        <w:numPr>
          <w:ilvl w:val="0"/>
          <w:numId w:val="26"/>
        </w:numPr>
        <w:jc w:val="left"/>
        <w:rPr>
          <w:i/>
        </w:rPr>
      </w:pPr>
      <w:r>
        <w:rPr>
          <w:u w:val="single"/>
        </w:rPr>
        <w:t>DB</w:t>
      </w:r>
      <w:r>
        <w:t>.</w:t>
      </w:r>
      <w:r w:rsidR="005E291F">
        <w:t xml:space="preserve">  DB states in its response to the Division that it provides service on Station WPEY402 on a non-profit, cost-shared basis.</w:t>
      </w:r>
      <w:r w:rsidR="005E291F">
        <w:rPr>
          <w:rStyle w:val="FootnoteReference"/>
        </w:rPr>
        <w:footnoteReference w:id="38"/>
      </w:r>
      <w:r w:rsidR="005E291F">
        <w:t xml:space="preserve">  SNG’s inferences based on the number of authorized mobile units and the fact that the license contact address is a communications company also owned by DB’s principal</w:t>
      </w:r>
      <w:r w:rsidR="005E291F">
        <w:rPr>
          <w:rStyle w:val="FootnoteReference"/>
        </w:rPr>
        <w:footnoteReference w:id="39"/>
      </w:r>
      <w:r w:rsidR="005E291F">
        <w:t xml:space="preserve"> do not demonstrate grounds for initiation of proceedings to revoke the license for Station WPEY402.</w:t>
      </w:r>
    </w:p>
    <w:p w:rsidR="00EB04AD" w:rsidRPr="00EB04AD" w:rsidRDefault="00EB04AD" w:rsidP="00DD5EE9">
      <w:pPr>
        <w:pStyle w:val="ParaNum"/>
        <w:widowControl/>
        <w:numPr>
          <w:ilvl w:val="0"/>
          <w:numId w:val="26"/>
        </w:numPr>
        <w:jc w:val="left"/>
        <w:rPr>
          <w:i/>
        </w:rPr>
      </w:pPr>
      <w:r>
        <w:rPr>
          <w:u w:val="single"/>
        </w:rPr>
        <w:t>ESP</w:t>
      </w:r>
      <w:r>
        <w:t>.</w:t>
      </w:r>
      <w:r w:rsidR="00192CC0">
        <w:t xml:space="preserve">  </w:t>
      </w:r>
      <w:r w:rsidR="00E32F32">
        <w:t>SNG filed its petition seeking revocation of ESP’s licenses for Stations WQVN203 and WQVX521 shortly after the licenses were granted and before either station had been constructed</w:t>
      </w:r>
      <w:r w:rsidR="0067596D">
        <w:t xml:space="preserve">, so there was no basis </w:t>
      </w:r>
      <w:r w:rsidR="00937DD9">
        <w:t>at that time</w:t>
      </w:r>
      <w:r w:rsidR="0067596D">
        <w:t xml:space="preserve"> for </w:t>
      </w:r>
      <w:r w:rsidR="00E32F32">
        <w:t xml:space="preserve">SNG’s </w:t>
      </w:r>
      <w:r w:rsidR="0067596D">
        <w:t>“questions as to whether ESP Wireless is truly using its licenses for internal use only.”</w:t>
      </w:r>
      <w:r w:rsidR="0067596D">
        <w:rPr>
          <w:rStyle w:val="FootnoteReference"/>
        </w:rPr>
        <w:footnoteReference w:id="40"/>
      </w:r>
      <w:r w:rsidR="0067596D">
        <w:t xml:space="preserve">  </w:t>
      </w:r>
      <w:r w:rsidR="00A81012">
        <w:t>ESP state</w:t>
      </w:r>
      <w:r w:rsidR="00F0639A">
        <w:t>s</w:t>
      </w:r>
      <w:r w:rsidR="00A81012">
        <w:t xml:space="preserve"> in response to the Division’s inquiry that the licenses were obtained for private, internal communications in support of planned business operations.</w:t>
      </w:r>
      <w:r w:rsidR="00A81012">
        <w:rPr>
          <w:rStyle w:val="FootnoteReference"/>
        </w:rPr>
        <w:footnoteReference w:id="41"/>
      </w:r>
      <w:r w:rsidR="00A81012">
        <w:t xml:space="preserve">  </w:t>
      </w:r>
      <w:r w:rsidR="0067596D">
        <w:t>SNG has not demonstrated grounds for initiation of proceedings to revoke the licenses for Stations WQVN203 and WQVX521.</w:t>
      </w:r>
    </w:p>
    <w:p w:rsidR="00EB04AD" w:rsidRPr="00B042FE" w:rsidRDefault="00EB04AD" w:rsidP="00DD5EE9">
      <w:pPr>
        <w:pStyle w:val="ParaNum"/>
        <w:widowControl/>
        <w:numPr>
          <w:ilvl w:val="0"/>
          <w:numId w:val="26"/>
        </w:numPr>
        <w:jc w:val="left"/>
        <w:rPr>
          <w:i/>
        </w:rPr>
      </w:pPr>
      <w:r>
        <w:rPr>
          <w:u w:val="single"/>
        </w:rPr>
        <w:t>MRA</w:t>
      </w:r>
      <w:r>
        <w:t>.</w:t>
      </w:r>
      <w:r w:rsidR="00200CF8">
        <w:t xml:space="preserve">  </w:t>
      </w:r>
      <w:r w:rsidR="0054234E">
        <w:t xml:space="preserve">SNG notes that MRA offers communications services to Part 90 eligibles, </w:t>
      </w:r>
      <w:r w:rsidR="00E513D4">
        <w:t xml:space="preserve">which, </w:t>
      </w:r>
      <w:r w:rsidR="00A33CF7">
        <w:t xml:space="preserve">according </w:t>
      </w:r>
      <w:r w:rsidR="00E513D4">
        <w:t>to SNG, “mak[es]</w:t>
      </w:r>
      <w:r w:rsidR="0054234E">
        <w:t xml:space="preserve"> it likely that [MRA] is serving third parties with its license” for Station WNJL371.</w:t>
      </w:r>
      <w:r w:rsidR="0054234E">
        <w:rPr>
          <w:rStyle w:val="FootnoteReference"/>
        </w:rPr>
        <w:footnoteReference w:id="42"/>
      </w:r>
      <w:r w:rsidR="0054234E">
        <w:t xml:space="preserve">  MRA explains that it offers digital communications services, but Station WNJL371 is an analog station that MRA acquired for use </w:t>
      </w:r>
      <w:r w:rsidR="00416D7C">
        <w:t>by</w:t>
      </w:r>
      <w:r w:rsidR="0054234E">
        <w:t xml:space="preserve"> its own personnel and contractors.</w:t>
      </w:r>
      <w:r w:rsidR="0054234E">
        <w:rPr>
          <w:rStyle w:val="FootnoteReference"/>
        </w:rPr>
        <w:footnoteReference w:id="43"/>
      </w:r>
      <w:r w:rsidR="00E513D4">
        <w:t xml:space="preserve">  </w:t>
      </w:r>
      <w:r w:rsidR="00A33CF7">
        <w:t xml:space="preserve">In light of the information provided by MRA, </w:t>
      </w:r>
      <w:r w:rsidR="00E513D4">
        <w:t>SNG</w:t>
      </w:r>
      <w:r w:rsidR="00A33CF7">
        <w:t>’s speculation does not provide</w:t>
      </w:r>
      <w:r w:rsidR="00E513D4">
        <w:t xml:space="preserve"> grounds for initiation of proceedings to revoke the license for Station WNJL371.</w:t>
      </w:r>
    </w:p>
    <w:p w:rsidR="00B042FE" w:rsidRPr="00B042FE" w:rsidRDefault="00B042FE" w:rsidP="00DD5EE9">
      <w:pPr>
        <w:pStyle w:val="ParaNum"/>
        <w:widowControl/>
        <w:numPr>
          <w:ilvl w:val="0"/>
          <w:numId w:val="26"/>
        </w:numPr>
        <w:jc w:val="left"/>
        <w:rPr>
          <w:i/>
        </w:rPr>
      </w:pPr>
      <w:r>
        <w:rPr>
          <w:u w:val="single"/>
        </w:rPr>
        <w:t>TaxiStuff</w:t>
      </w:r>
      <w:r>
        <w:t>.</w:t>
      </w:r>
      <w:r w:rsidR="00464935">
        <w:t xml:space="preserve">  SNG filed its petition seeking revocation of TaxiStuff’s license for Station WQVE909 before the station had been constructed, so there was no basis </w:t>
      </w:r>
      <w:r w:rsidR="00937DD9">
        <w:t xml:space="preserve">at that time </w:t>
      </w:r>
      <w:r w:rsidR="00464935">
        <w:t>for SNG’s assertion that “[TaxiStuff] is likely providing the radios to others to use them instead of using them internally.”</w:t>
      </w:r>
      <w:r w:rsidR="00464935">
        <w:rPr>
          <w:rStyle w:val="FootnoteReference"/>
        </w:rPr>
        <w:footnoteReference w:id="44"/>
      </w:r>
      <w:r w:rsidR="00552BC4">
        <w:t xml:space="preserve">  TaxiStuff explain</w:t>
      </w:r>
      <w:r w:rsidR="0054234E">
        <w:t xml:space="preserve">s </w:t>
      </w:r>
      <w:r w:rsidR="00464935">
        <w:t xml:space="preserve">that </w:t>
      </w:r>
      <w:r w:rsidR="0054234E">
        <w:t xml:space="preserve">it </w:t>
      </w:r>
      <w:r w:rsidR="00464935">
        <w:t>obtained the license for private, internal communications in support of it</w:t>
      </w:r>
      <w:r w:rsidR="00552BC4">
        <w:t>s</w:t>
      </w:r>
      <w:r w:rsidR="00464935">
        <w:t xml:space="preserve"> business of providing goods and services </w:t>
      </w:r>
      <w:r w:rsidR="00BC2505">
        <w:t>for</w:t>
      </w:r>
      <w:r w:rsidR="00464935">
        <w:t xml:space="preserve"> taxicabs.</w:t>
      </w:r>
      <w:r w:rsidR="00464935">
        <w:rPr>
          <w:rStyle w:val="FootnoteReference"/>
        </w:rPr>
        <w:footnoteReference w:id="45"/>
      </w:r>
      <w:r w:rsidR="00464935">
        <w:t xml:space="preserve">  SNG has not demonstrated grounds for initiation of proceedings to revoke the license for Station WQVE909.</w:t>
      </w:r>
    </w:p>
    <w:p w:rsidR="001D30AD" w:rsidRPr="001D30AD" w:rsidRDefault="00B042FE" w:rsidP="001D30AD">
      <w:pPr>
        <w:pStyle w:val="ParaNum"/>
        <w:widowControl/>
        <w:numPr>
          <w:ilvl w:val="0"/>
          <w:numId w:val="26"/>
        </w:numPr>
        <w:jc w:val="left"/>
        <w:rPr>
          <w:i/>
        </w:rPr>
      </w:pPr>
      <w:r>
        <w:rPr>
          <w:u w:val="single"/>
        </w:rPr>
        <w:t>Vegas Wireless</w:t>
      </w:r>
      <w:r>
        <w:t>.</w:t>
      </w:r>
      <w:r w:rsidR="001D30AD">
        <w:t xml:space="preserve">  </w:t>
      </w:r>
      <w:r w:rsidR="004B168D">
        <w:t xml:space="preserve">The licenses </w:t>
      </w:r>
      <w:r w:rsidR="00416D7C">
        <w:t xml:space="preserve">of Vegas Wireless, which describes itself as a two-way radio sales and service company, </w:t>
      </w:r>
      <w:r w:rsidR="00657890">
        <w:t xml:space="preserve">for Stations WQUT209 and WQUW935 </w:t>
      </w:r>
      <w:r w:rsidR="001D30AD">
        <w:t>authorize up to 1,400 mobile units in San Diego</w:t>
      </w:r>
      <w:r w:rsidR="004B168D">
        <w:t xml:space="preserve">.  </w:t>
      </w:r>
      <w:r w:rsidR="004536D7">
        <w:t>SNG notes that Vegas Wireless’s website does not identify San Diego as an area where the company offers service, and concludes, “It is unclear how Vegas Wireless, which does not appear to have any operations in San Diego, could possibly use 1,400 radios for its internal needs in that market.”</w:t>
      </w:r>
      <w:r w:rsidR="004536D7">
        <w:rPr>
          <w:rStyle w:val="FootnoteReference"/>
        </w:rPr>
        <w:footnoteReference w:id="46"/>
      </w:r>
      <w:r w:rsidR="004536D7">
        <w:t xml:space="preserve">  </w:t>
      </w:r>
      <w:r w:rsidR="0099599F">
        <w:t xml:space="preserve">Again, SNG offers speculation rather than firm evidence that Vegas Wireless is providing SMR service, and that speculation is countered by Vegas Wireless.  </w:t>
      </w:r>
      <w:r w:rsidR="004536D7">
        <w:t xml:space="preserve">That </w:t>
      </w:r>
      <w:r w:rsidR="004B168D">
        <w:t xml:space="preserve">Vegas Wireless does not appear </w:t>
      </w:r>
      <w:r w:rsidR="00552BC4">
        <w:t xml:space="preserve">to </w:t>
      </w:r>
      <w:r w:rsidR="004B168D">
        <w:t xml:space="preserve">offer </w:t>
      </w:r>
      <w:r w:rsidR="004536D7">
        <w:t xml:space="preserve">communications </w:t>
      </w:r>
      <w:r w:rsidR="004B168D">
        <w:t>service in San Diego does not support SNG’s argume</w:t>
      </w:r>
      <w:r w:rsidR="00464E42">
        <w:t xml:space="preserve">nt that Vegas Wireless is </w:t>
      </w:r>
      <w:r w:rsidR="00657890">
        <w:t xml:space="preserve">using these stations to </w:t>
      </w:r>
      <w:r w:rsidR="004B168D">
        <w:t>provid</w:t>
      </w:r>
      <w:r w:rsidR="00657890">
        <w:t>e</w:t>
      </w:r>
      <w:r w:rsidR="004B168D">
        <w:t xml:space="preserve"> SMR service in San Diego.</w:t>
      </w:r>
      <w:r w:rsidR="00464E42">
        <w:t xml:space="preserve">  </w:t>
      </w:r>
      <w:r w:rsidR="004536D7">
        <w:t>In response to the Division’s inquiry, Vegas Wireless states that it uses the stations only for private, internal</w:t>
      </w:r>
      <w:r w:rsidR="00657890">
        <w:t xml:space="preserve"> </w:t>
      </w:r>
      <w:r w:rsidR="004536D7">
        <w:t>communications and has never used them to provide communications services to third parties.</w:t>
      </w:r>
      <w:r w:rsidR="004536D7">
        <w:rPr>
          <w:rStyle w:val="FootnoteReference"/>
        </w:rPr>
        <w:footnoteReference w:id="47"/>
      </w:r>
      <w:r w:rsidR="004536D7">
        <w:t xml:space="preserve">  </w:t>
      </w:r>
      <w:r w:rsidR="00464E42">
        <w:t>Based on the record before us, we conclude that SNG has not demonstrated grounds for initiation of proceedings to revoke the license for Stations WQUT209 and WQUW935.</w:t>
      </w:r>
    </w:p>
    <w:p w:rsidR="00A77CC5" w:rsidRDefault="00504C6C" w:rsidP="00A77CC5">
      <w:pPr>
        <w:pStyle w:val="ParaNum"/>
        <w:jc w:val="left"/>
      </w:pPr>
      <w:r>
        <w:t xml:space="preserve">  </w:t>
      </w:r>
      <w:r w:rsidR="00662E32" w:rsidRPr="00A77CC5">
        <w:rPr>
          <w:i/>
        </w:rPr>
        <w:t xml:space="preserve">Petition </w:t>
      </w:r>
      <w:r w:rsidR="00D1076F" w:rsidRPr="00A77CC5">
        <w:rPr>
          <w:i/>
        </w:rPr>
        <w:t>for</w:t>
      </w:r>
      <w:r w:rsidR="00662E32" w:rsidRPr="00A77CC5">
        <w:rPr>
          <w:i/>
        </w:rPr>
        <w:t xml:space="preserve"> </w:t>
      </w:r>
      <w:r w:rsidR="00D1076F" w:rsidRPr="00A77CC5">
        <w:rPr>
          <w:i/>
        </w:rPr>
        <w:t>Decertification of</w:t>
      </w:r>
      <w:r w:rsidR="00662E32" w:rsidRPr="00A77CC5">
        <w:rPr>
          <w:i/>
        </w:rPr>
        <w:t xml:space="preserve"> EWA Frequency Coordination Authority</w:t>
      </w:r>
      <w:r w:rsidR="00A77CC5">
        <w:t>.</w:t>
      </w:r>
      <w:r w:rsidR="00DE364C">
        <w:t xml:space="preserve">  </w:t>
      </w:r>
      <w:r w:rsidR="00A77CC5">
        <w:t xml:space="preserve">SNG asserts that EWA </w:t>
      </w:r>
      <w:r w:rsidR="004536D7">
        <w:t xml:space="preserve">colluded with the principals of 5G and Golden State to enable them to retain the </w:t>
      </w:r>
      <w:r w:rsidR="00FB6E19">
        <w:t xml:space="preserve">B/ILT </w:t>
      </w:r>
      <w:r w:rsidR="004536D7">
        <w:t xml:space="preserve">channels </w:t>
      </w:r>
      <w:r w:rsidR="00416D7C">
        <w:t xml:space="preserve">originally assigned to Golden State </w:t>
      </w:r>
      <w:r w:rsidR="004536D7">
        <w:t>despite</w:t>
      </w:r>
      <w:r w:rsidR="00416D7C">
        <w:t xml:space="preserve"> </w:t>
      </w:r>
      <w:r w:rsidR="004536D7">
        <w:t>Golden State’s ineligibility</w:t>
      </w:r>
      <w:r w:rsidR="00FB6E19">
        <w:t>, by</w:t>
      </w:r>
      <w:r w:rsidR="004536D7">
        <w:t xml:space="preserve"> </w:t>
      </w:r>
      <w:r w:rsidR="00FB6E19">
        <w:t xml:space="preserve">improperly </w:t>
      </w:r>
      <w:r w:rsidR="00A77CC5">
        <w:t>coordinat</w:t>
      </w:r>
      <w:r w:rsidR="00FB6E19">
        <w:t>ing</w:t>
      </w:r>
      <w:r w:rsidR="00A77CC5">
        <w:t xml:space="preserve"> the 5G application while the</w:t>
      </w:r>
      <w:r w:rsidR="00791FC6">
        <w:t xml:space="preserve"> channels</w:t>
      </w:r>
      <w:r w:rsidR="00A77CC5">
        <w:t xml:space="preserve"> were still licensed to Golden State</w:t>
      </w:r>
      <w:r w:rsidR="00791FC6">
        <w:t>.</w:t>
      </w:r>
      <w:r w:rsidR="00791FC6">
        <w:rPr>
          <w:rStyle w:val="FootnoteReference"/>
        </w:rPr>
        <w:footnoteReference w:id="48"/>
      </w:r>
      <w:r w:rsidR="00791FC6">
        <w:t xml:space="preserve">  </w:t>
      </w:r>
      <w:r w:rsidR="00EA3FEF">
        <w:t xml:space="preserve">None of this is supported by the record.  </w:t>
      </w:r>
      <w:r w:rsidR="008C32C2">
        <w:t xml:space="preserve">EWA coordinated the 5G application on June 12, 2014 – </w:t>
      </w:r>
      <w:r w:rsidR="008C32C2" w:rsidRPr="008C32C2">
        <w:rPr>
          <w:i/>
        </w:rPr>
        <w:t>after</w:t>
      </w:r>
      <w:r w:rsidR="008C32C2">
        <w:t xml:space="preserve"> </w:t>
      </w:r>
      <w:r w:rsidR="004536D7">
        <w:t>Golden State’s license for Station WQTY741 was canceled on June 11, 2014</w:t>
      </w:r>
      <w:r w:rsidR="00EA3FEF">
        <w:t>.  In addition,</w:t>
      </w:r>
      <w:r w:rsidR="00791FC6">
        <w:t xml:space="preserve"> </w:t>
      </w:r>
      <w:r w:rsidR="00EA3FEF">
        <w:t>as noted above</w:t>
      </w:r>
      <w:r w:rsidR="00791FC6">
        <w:t xml:space="preserve">, SNG has not shown that </w:t>
      </w:r>
      <w:r w:rsidR="00FB6E19">
        <w:t xml:space="preserve">5G </w:t>
      </w:r>
      <w:r w:rsidR="00E21B9A">
        <w:t xml:space="preserve">does not </w:t>
      </w:r>
      <w:r w:rsidR="00FB6E19">
        <w:t xml:space="preserve">engage in </w:t>
      </w:r>
      <w:r w:rsidR="00E21B9A">
        <w:t>a</w:t>
      </w:r>
      <w:r w:rsidR="00FB6E19">
        <w:t>n</w:t>
      </w:r>
      <w:r w:rsidR="00E21B9A">
        <w:t>y</w:t>
      </w:r>
      <w:r w:rsidR="00791FC6">
        <w:t xml:space="preserve"> B/ILT-eligible</w:t>
      </w:r>
      <w:r w:rsidR="00FB6E19">
        <w:t xml:space="preserve"> activities</w:t>
      </w:r>
      <w:r w:rsidR="00791FC6">
        <w:t>.</w:t>
      </w:r>
      <w:r w:rsidR="00791FC6">
        <w:rPr>
          <w:rStyle w:val="FootnoteReference"/>
        </w:rPr>
        <w:footnoteReference w:id="49"/>
      </w:r>
      <w:r w:rsidR="0003315C">
        <w:t xml:space="preserve">  Moreover, EWA explains that Mr. Carroll indicated that 5G was a building maintenance company</w:t>
      </w:r>
      <w:r w:rsidR="00FB6E19">
        <w:t>.</w:t>
      </w:r>
      <w:r w:rsidR="0003315C">
        <w:rPr>
          <w:rStyle w:val="FootnoteReference"/>
        </w:rPr>
        <w:footnoteReference w:id="50"/>
      </w:r>
      <w:r w:rsidR="0003315C">
        <w:t xml:space="preserve"> </w:t>
      </w:r>
      <w:r w:rsidR="00FB6E19">
        <w:t xml:space="preserve"> W</w:t>
      </w:r>
      <w:r w:rsidR="0003315C">
        <w:t xml:space="preserve">e agree with EWA that frequency coordinators are charged with ensuring that the application is technically correct but not with </w:t>
      </w:r>
      <w:r w:rsidR="00FB6E19">
        <w:t>investigating and verifying</w:t>
      </w:r>
      <w:r w:rsidR="0003315C">
        <w:t xml:space="preserve"> the applicant’s eligibility</w:t>
      </w:r>
      <w:r w:rsidR="00657890">
        <w:t xml:space="preserve"> statement</w:t>
      </w:r>
      <w:r w:rsidR="0003315C">
        <w:t>.</w:t>
      </w:r>
      <w:r w:rsidR="0003315C">
        <w:rPr>
          <w:rStyle w:val="FootnoteReference"/>
        </w:rPr>
        <w:footnoteReference w:id="51"/>
      </w:r>
      <w:r w:rsidR="0003315C">
        <w:t xml:space="preserve">  SNG has not demonstrated grounds for decertifying EWA as a frequency coordinator.</w:t>
      </w:r>
    </w:p>
    <w:p w:rsidR="00B911BD" w:rsidRDefault="00BC6FCE" w:rsidP="003B3F77">
      <w:pPr>
        <w:pStyle w:val="Heading1"/>
        <w:widowControl/>
        <w:jc w:val="left"/>
        <w:rPr>
          <w:i/>
          <w:szCs w:val="22"/>
        </w:rPr>
      </w:pPr>
      <w:r>
        <w:rPr>
          <w:szCs w:val="22"/>
        </w:rPr>
        <w:t>Conclusion and o</w:t>
      </w:r>
      <w:r w:rsidR="004B7631">
        <w:rPr>
          <w:szCs w:val="22"/>
        </w:rPr>
        <w:t>rdering ClausES</w:t>
      </w:r>
    </w:p>
    <w:p w:rsidR="00BC6FCE" w:rsidRPr="00BC6FCE" w:rsidRDefault="00BC6FCE" w:rsidP="003B3F77">
      <w:pPr>
        <w:pStyle w:val="ParaNum"/>
        <w:widowControl/>
        <w:jc w:val="left"/>
        <w:rPr>
          <w:i/>
          <w:szCs w:val="22"/>
        </w:rPr>
      </w:pPr>
      <w:r>
        <w:rPr>
          <w:szCs w:val="22"/>
        </w:rPr>
        <w:t xml:space="preserve">SNG’s petition is based largely on speculation, conjecture, and </w:t>
      </w:r>
      <w:r w:rsidR="00CE16C4">
        <w:rPr>
          <w:szCs w:val="22"/>
        </w:rPr>
        <w:t>overlook</w:t>
      </w:r>
      <w:r>
        <w:rPr>
          <w:szCs w:val="22"/>
        </w:rPr>
        <w:t xml:space="preserve">ing information </w:t>
      </w:r>
      <w:r w:rsidR="00D95F9B">
        <w:rPr>
          <w:szCs w:val="22"/>
        </w:rPr>
        <w:t xml:space="preserve">set forth </w:t>
      </w:r>
      <w:r>
        <w:rPr>
          <w:szCs w:val="22"/>
        </w:rPr>
        <w:t xml:space="preserve">in </w:t>
      </w:r>
      <w:r w:rsidR="00D95F9B">
        <w:rPr>
          <w:szCs w:val="22"/>
        </w:rPr>
        <w:t xml:space="preserve">the Commission’s </w:t>
      </w:r>
      <w:r>
        <w:rPr>
          <w:szCs w:val="22"/>
        </w:rPr>
        <w:t>U</w:t>
      </w:r>
      <w:r w:rsidR="00D95F9B">
        <w:rPr>
          <w:szCs w:val="22"/>
        </w:rPr>
        <w:t xml:space="preserve">niversal </w:t>
      </w:r>
      <w:r>
        <w:rPr>
          <w:szCs w:val="22"/>
        </w:rPr>
        <w:t>L</w:t>
      </w:r>
      <w:r w:rsidR="00D95F9B">
        <w:rPr>
          <w:szCs w:val="22"/>
        </w:rPr>
        <w:t xml:space="preserve">icensing </w:t>
      </w:r>
      <w:r>
        <w:rPr>
          <w:szCs w:val="22"/>
        </w:rPr>
        <w:t>S</w:t>
      </w:r>
      <w:r w:rsidR="00D95F9B">
        <w:rPr>
          <w:szCs w:val="22"/>
        </w:rPr>
        <w:t>ystem</w:t>
      </w:r>
      <w:r>
        <w:rPr>
          <w:szCs w:val="22"/>
        </w:rPr>
        <w:t xml:space="preserve">.  </w:t>
      </w:r>
      <w:r w:rsidR="00FC144F">
        <w:rPr>
          <w:szCs w:val="22"/>
        </w:rPr>
        <w:t>This</w:t>
      </w:r>
      <w:r>
        <w:rPr>
          <w:szCs w:val="22"/>
        </w:rPr>
        <w:t xml:space="preserve"> does not constitute a basis for Commission action.</w:t>
      </w:r>
      <w:r>
        <w:rPr>
          <w:rStyle w:val="FootnoteReference"/>
          <w:szCs w:val="22"/>
        </w:rPr>
        <w:footnoteReference w:id="52"/>
      </w:r>
      <w:r>
        <w:rPr>
          <w:szCs w:val="22"/>
        </w:rPr>
        <w:t xml:space="preserve">  </w:t>
      </w:r>
      <w:r w:rsidR="0099599F">
        <w:rPr>
          <w:szCs w:val="22"/>
        </w:rPr>
        <w:t xml:space="preserve">Moreover, SNG’s conclusions are generally contradicted by the information provided by the holders of the licenses at issue.  </w:t>
      </w:r>
      <w:r>
        <w:rPr>
          <w:szCs w:val="22"/>
        </w:rPr>
        <w:t xml:space="preserve">Based on the record before us, we conclude that SNG has not demonstrated </w:t>
      </w:r>
      <w:r w:rsidR="00FC144F">
        <w:t xml:space="preserve">grounds for initiation of proceedings to revoke </w:t>
      </w:r>
      <w:r>
        <w:rPr>
          <w:szCs w:val="22"/>
        </w:rPr>
        <w:t>any of the challenged licenses, or t</w:t>
      </w:r>
      <w:r w:rsidR="00FC144F">
        <w:rPr>
          <w:szCs w:val="22"/>
        </w:rPr>
        <w:t>o decertify</w:t>
      </w:r>
      <w:r>
        <w:rPr>
          <w:szCs w:val="22"/>
        </w:rPr>
        <w:t xml:space="preserve"> EWA as a Part 90 frequency coordinator.  We therefore deny the petition.  This action is without prejudice to the filing of a sufficient complaint </w:t>
      </w:r>
      <w:r w:rsidR="0099599F">
        <w:rPr>
          <w:szCs w:val="22"/>
        </w:rPr>
        <w:t xml:space="preserve">providing evidence </w:t>
      </w:r>
      <w:r>
        <w:rPr>
          <w:szCs w:val="22"/>
        </w:rPr>
        <w:t xml:space="preserve">that any of the stations at issue is </w:t>
      </w:r>
      <w:r w:rsidR="00B438BE">
        <w:rPr>
          <w:szCs w:val="22"/>
        </w:rPr>
        <w:t xml:space="preserve">being </w:t>
      </w:r>
      <w:r>
        <w:rPr>
          <w:szCs w:val="22"/>
        </w:rPr>
        <w:t>operat</w:t>
      </w:r>
      <w:r w:rsidR="00B438BE">
        <w:rPr>
          <w:szCs w:val="22"/>
        </w:rPr>
        <w:t>ed</w:t>
      </w:r>
      <w:r>
        <w:rPr>
          <w:szCs w:val="22"/>
        </w:rPr>
        <w:t xml:space="preserve"> in violation of the Commission’s rules</w:t>
      </w:r>
      <w:r w:rsidR="001D30AD">
        <w:rPr>
          <w:szCs w:val="22"/>
        </w:rPr>
        <w:t>, or to further investigation by Commission staff</w:t>
      </w:r>
      <w:r>
        <w:rPr>
          <w:szCs w:val="22"/>
        </w:rPr>
        <w:t>.</w:t>
      </w:r>
    </w:p>
    <w:p w:rsidR="00484463" w:rsidRPr="00484463" w:rsidRDefault="00484463" w:rsidP="003B3F77">
      <w:pPr>
        <w:pStyle w:val="ParaNum"/>
        <w:widowControl/>
        <w:jc w:val="left"/>
        <w:rPr>
          <w:i/>
          <w:szCs w:val="22"/>
        </w:rPr>
      </w:pPr>
      <w:r w:rsidRPr="00484463">
        <w:rPr>
          <w:szCs w:val="22"/>
        </w:rPr>
        <w:t>Accordingly, I</w:t>
      </w:r>
      <w:r w:rsidR="00B56079">
        <w:rPr>
          <w:szCs w:val="22"/>
        </w:rPr>
        <w:t>T IS ORDERED THAT, pursuant to s</w:t>
      </w:r>
      <w:r w:rsidRPr="00484463">
        <w:rPr>
          <w:szCs w:val="22"/>
        </w:rPr>
        <w:t>ection</w:t>
      </w:r>
      <w:r w:rsidR="00774498">
        <w:rPr>
          <w:szCs w:val="22"/>
        </w:rPr>
        <w:t>s</w:t>
      </w:r>
      <w:r w:rsidRPr="00484463">
        <w:rPr>
          <w:szCs w:val="22"/>
        </w:rPr>
        <w:t xml:space="preserve"> 4(i)</w:t>
      </w:r>
      <w:r w:rsidR="00774498">
        <w:rPr>
          <w:szCs w:val="22"/>
        </w:rPr>
        <w:t xml:space="preserve"> and 312(a)</w:t>
      </w:r>
      <w:r w:rsidRPr="00484463">
        <w:rPr>
          <w:szCs w:val="22"/>
        </w:rPr>
        <w:t xml:space="preserve"> of the Communications Act of 1934, as amended, </w:t>
      </w:r>
      <w:r w:rsidR="006C55F6">
        <w:rPr>
          <w:szCs w:val="22"/>
        </w:rPr>
        <w:t>47 U.S.C. §</w:t>
      </w:r>
      <w:r w:rsidR="00774498">
        <w:rPr>
          <w:szCs w:val="22"/>
        </w:rPr>
        <w:t>§ 154(i) and 312(a),</w:t>
      </w:r>
      <w:r w:rsidR="00B56079">
        <w:rPr>
          <w:szCs w:val="22"/>
        </w:rPr>
        <w:t xml:space="preserve"> and s</w:t>
      </w:r>
      <w:r w:rsidR="006C55F6">
        <w:rPr>
          <w:szCs w:val="22"/>
        </w:rPr>
        <w:t>ection</w:t>
      </w:r>
      <w:r w:rsidR="00B56079">
        <w:rPr>
          <w:szCs w:val="22"/>
        </w:rPr>
        <w:t xml:space="preserve"> 1.41 of the Commission’s r</w:t>
      </w:r>
      <w:r w:rsidRPr="00484463">
        <w:rPr>
          <w:szCs w:val="22"/>
        </w:rPr>
        <w:t>ules, 47 CFR</w:t>
      </w:r>
      <w:r w:rsidR="00D13D1C">
        <w:rPr>
          <w:szCs w:val="22"/>
        </w:rPr>
        <w:t xml:space="preserve"> § </w:t>
      </w:r>
      <w:r w:rsidRPr="006C55F6">
        <w:rPr>
          <w:szCs w:val="22"/>
        </w:rPr>
        <w:t>1.41,</w:t>
      </w:r>
      <w:r w:rsidRPr="00484463">
        <w:rPr>
          <w:szCs w:val="22"/>
        </w:rPr>
        <w:t xml:space="preserve"> the </w:t>
      </w:r>
      <w:r w:rsidR="00D13D1C">
        <w:rPr>
          <w:szCs w:val="22"/>
        </w:rPr>
        <w:t>Petition for Orders to Show Cause</w:t>
      </w:r>
      <w:r w:rsidR="00D13D1C" w:rsidRPr="00D13D1C">
        <w:rPr>
          <w:szCs w:val="22"/>
        </w:rPr>
        <w:t xml:space="preserve"> </w:t>
      </w:r>
      <w:r w:rsidRPr="00484463">
        <w:rPr>
          <w:szCs w:val="22"/>
        </w:rPr>
        <w:t xml:space="preserve">filed by </w:t>
      </w:r>
      <w:r w:rsidR="00D13D1C">
        <w:t>Spectrum Networks Group</w:t>
      </w:r>
      <w:r>
        <w:t xml:space="preserve"> on </w:t>
      </w:r>
      <w:r w:rsidR="00D13D1C">
        <w:t>June 26, 2015</w:t>
      </w:r>
      <w:r w:rsidR="00B56079">
        <w:t>,</w:t>
      </w:r>
      <w:r>
        <w:t xml:space="preserve"> </w:t>
      </w:r>
      <w:r w:rsidR="00B56079">
        <w:t>I</w:t>
      </w:r>
      <w:r>
        <w:t xml:space="preserve">S </w:t>
      </w:r>
      <w:r w:rsidR="00A52685">
        <w:t>DENIED</w:t>
      </w:r>
      <w:r>
        <w:t>.</w:t>
      </w:r>
    </w:p>
    <w:p w:rsidR="00B911BD" w:rsidRDefault="004B7631" w:rsidP="003B3F77">
      <w:pPr>
        <w:pStyle w:val="ParaNum"/>
        <w:widowControl/>
        <w:jc w:val="left"/>
        <w:rPr>
          <w:i/>
          <w:szCs w:val="22"/>
        </w:rPr>
      </w:pPr>
      <w:r>
        <w:rPr>
          <w:szCs w:val="22"/>
        </w:rPr>
        <w:t>This action is taken under delegated authority pursuant to Sections 0.131</w:t>
      </w:r>
      <w:r w:rsidR="00B438BE">
        <w:rPr>
          <w:szCs w:val="22"/>
        </w:rPr>
        <w:t xml:space="preserve"> and 0.331 of the Commission’s r</w:t>
      </w:r>
      <w:r>
        <w:rPr>
          <w:szCs w:val="22"/>
        </w:rPr>
        <w:t>ules, 47 CFR §§ 0.131, 0.331.</w:t>
      </w:r>
    </w:p>
    <w:p w:rsidR="00B911BD" w:rsidRDefault="004B7631">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t>FEDERAL COMMUNICATIONS COMMISSION</w:t>
      </w:r>
    </w:p>
    <w:p w:rsidR="00B911BD" w:rsidRDefault="00B911BD">
      <w:pPr>
        <w:pStyle w:val="ParaNum"/>
        <w:widowControl/>
        <w:numPr>
          <w:ilvl w:val="0"/>
          <w:numId w:val="0"/>
        </w:numPr>
        <w:spacing w:after="0"/>
        <w:rPr>
          <w:szCs w:val="22"/>
        </w:rPr>
      </w:pPr>
    </w:p>
    <w:p w:rsidR="00CE16C4" w:rsidRDefault="00CE16C4">
      <w:pPr>
        <w:pStyle w:val="ParaNum"/>
        <w:widowControl/>
        <w:numPr>
          <w:ilvl w:val="0"/>
          <w:numId w:val="0"/>
        </w:numPr>
        <w:spacing w:after="0"/>
        <w:rPr>
          <w:szCs w:val="22"/>
        </w:rPr>
      </w:pPr>
    </w:p>
    <w:p w:rsidR="00B911BD" w:rsidRDefault="00B911BD">
      <w:pPr>
        <w:pStyle w:val="ParaNum"/>
        <w:widowControl/>
        <w:numPr>
          <w:ilvl w:val="0"/>
          <w:numId w:val="0"/>
        </w:numPr>
        <w:spacing w:after="0"/>
        <w:rPr>
          <w:szCs w:val="22"/>
        </w:rPr>
      </w:pPr>
    </w:p>
    <w:p w:rsidR="00B911BD" w:rsidRDefault="00B911BD">
      <w:pPr>
        <w:pStyle w:val="ParaNum"/>
        <w:widowControl/>
        <w:numPr>
          <w:ilvl w:val="0"/>
          <w:numId w:val="0"/>
        </w:numPr>
        <w:spacing w:after="0"/>
        <w:rPr>
          <w:szCs w:val="22"/>
        </w:rPr>
      </w:pPr>
    </w:p>
    <w:p w:rsidR="00B911BD" w:rsidRDefault="004B7631">
      <w:pPr>
        <w:rPr>
          <w:szCs w:val="22"/>
        </w:rPr>
      </w:pPr>
      <w:r>
        <w:rPr>
          <w:szCs w:val="22"/>
        </w:rPr>
        <w:tab/>
      </w:r>
      <w:r>
        <w:rPr>
          <w:szCs w:val="22"/>
        </w:rPr>
        <w:tab/>
      </w:r>
      <w:r>
        <w:rPr>
          <w:szCs w:val="22"/>
        </w:rPr>
        <w:tab/>
      </w:r>
      <w:r>
        <w:rPr>
          <w:szCs w:val="22"/>
        </w:rPr>
        <w:tab/>
      </w:r>
      <w:r>
        <w:rPr>
          <w:szCs w:val="22"/>
        </w:rPr>
        <w:tab/>
      </w:r>
      <w:r>
        <w:rPr>
          <w:szCs w:val="22"/>
        </w:rPr>
        <w:tab/>
        <w:t>Scot Stone</w:t>
      </w:r>
    </w:p>
    <w:p w:rsidR="00B911BD" w:rsidRDefault="004B7631">
      <w:pPr>
        <w:rPr>
          <w:szCs w:val="22"/>
        </w:rPr>
      </w:pPr>
      <w:r>
        <w:rPr>
          <w:szCs w:val="22"/>
        </w:rPr>
        <w:tab/>
      </w:r>
      <w:r>
        <w:rPr>
          <w:szCs w:val="22"/>
        </w:rPr>
        <w:tab/>
      </w:r>
      <w:r>
        <w:rPr>
          <w:szCs w:val="22"/>
        </w:rPr>
        <w:tab/>
      </w:r>
      <w:r>
        <w:rPr>
          <w:szCs w:val="22"/>
        </w:rPr>
        <w:tab/>
      </w:r>
      <w:r>
        <w:rPr>
          <w:szCs w:val="22"/>
        </w:rPr>
        <w:tab/>
      </w:r>
      <w:r>
        <w:rPr>
          <w:szCs w:val="22"/>
        </w:rPr>
        <w:tab/>
        <w:t>Deputy Chief, Mobility Division</w:t>
      </w:r>
    </w:p>
    <w:p w:rsidR="00E72CEB" w:rsidRDefault="004B7631">
      <w:pPr>
        <w:rPr>
          <w:szCs w:val="22"/>
        </w:rPr>
      </w:pPr>
      <w:r>
        <w:rPr>
          <w:szCs w:val="22"/>
        </w:rPr>
        <w:tab/>
      </w:r>
      <w:r>
        <w:rPr>
          <w:szCs w:val="22"/>
        </w:rPr>
        <w:tab/>
      </w:r>
      <w:r>
        <w:rPr>
          <w:szCs w:val="22"/>
        </w:rPr>
        <w:tab/>
      </w:r>
      <w:r>
        <w:rPr>
          <w:szCs w:val="22"/>
        </w:rPr>
        <w:tab/>
      </w:r>
      <w:r>
        <w:rPr>
          <w:szCs w:val="22"/>
        </w:rPr>
        <w:tab/>
      </w:r>
      <w:r>
        <w:rPr>
          <w:szCs w:val="22"/>
        </w:rPr>
        <w:tab/>
        <w:t>Wireless Telecommunications Bureau</w:t>
      </w:r>
    </w:p>
    <w:sectPr w:rsidR="00E72C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FF" w:rsidRDefault="00594AFF">
      <w:r>
        <w:separator/>
      </w:r>
    </w:p>
  </w:endnote>
  <w:endnote w:type="continuationSeparator" w:id="0">
    <w:p w:rsidR="00594AFF" w:rsidRDefault="0059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93" w:rsidRDefault="007B4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BD" w:rsidRDefault="004B7631">
    <w:pPr>
      <w:pStyle w:val="Footer"/>
      <w:jc w:val="center"/>
    </w:pPr>
    <w:r>
      <w:rPr>
        <w:rStyle w:val="PageNumber"/>
      </w:rPr>
      <w:fldChar w:fldCharType="begin"/>
    </w:r>
    <w:r>
      <w:rPr>
        <w:rStyle w:val="PageNumber"/>
      </w:rPr>
      <w:instrText xml:space="preserve"> PAGE </w:instrText>
    </w:r>
    <w:r>
      <w:rPr>
        <w:rStyle w:val="PageNumber"/>
      </w:rPr>
      <w:fldChar w:fldCharType="separate"/>
    </w:r>
    <w:r w:rsidR="00D7500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93" w:rsidRDefault="007B4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FF" w:rsidRDefault="00594AFF">
      <w:pPr>
        <w:rPr>
          <w:sz w:val="20"/>
        </w:rPr>
      </w:pPr>
      <w:r>
        <w:rPr>
          <w:sz w:val="20"/>
        </w:rPr>
        <w:separator/>
      </w:r>
    </w:p>
  </w:footnote>
  <w:footnote w:type="continuationSeparator" w:id="0">
    <w:p w:rsidR="00594AFF" w:rsidRDefault="00594AFF">
      <w:pPr>
        <w:rPr>
          <w:sz w:val="20"/>
        </w:rPr>
      </w:pPr>
      <w:r>
        <w:rPr>
          <w:sz w:val="20"/>
        </w:rPr>
        <w:separator/>
      </w:r>
    </w:p>
    <w:p w:rsidR="00594AFF" w:rsidRDefault="00594AFF">
      <w:pPr>
        <w:rPr>
          <w:sz w:val="20"/>
        </w:rPr>
      </w:pPr>
      <w:r>
        <w:rPr>
          <w:sz w:val="20"/>
        </w:rPr>
        <w:t>(...continued from previous page)</w:t>
      </w:r>
    </w:p>
  </w:footnote>
  <w:footnote w:type="continuationNotice" w:id="1">
    <w:p w:rsidR="00594AFF" w:rsidRDefault="00594AFF">
      <w:pPr>
        <w:jc w:val="right"/>
        <w:rPr>
          <w:sz w:val="20"/>
        </w:rPr>
      </w:pPr>
      <w:r>
        <w:rPr>
          <w:sz w:val="20"/>
        </w:rPr>
        <w:t>(continued....)</w:t>
      </w:r>
    </w:p>
  </w:footnote>
  <w:footnote w:id="2">
    <w:p w:rsidR="00A91335" w:rsidRPr="00D32B2B" w:rsidRDefault="00A91335" w:rsidP="000318BF">
      <w:pPr>
        <w:pStyle w:val="FootnoteText"/>
        <w:jc w:val="left"/>
      </w:pPr>
      <w:r>
        <w:rPr>
          <w:rStyle w:val="FootnoteReference"/>
        </w:rPr>
        <w:footnoteRef/>
      </w:r>
      <w:r>
        <w:t xml:space="preserve"> Petition of Spectrum Networks Group, LLC, for Orders to Show Cause (filed June 26, 2015) (</w:t>
      </w:r>
      <w:r w:rsidRPr="009C0D54">
        <w:t>Petition</w:t>
      </w:r>
      <w:r>
        <w:t>).</w:t>
      </w:r>
    </w:p>
  </w:footnote>
  <w:footnote w:id="3">
    <w:p w:rsidR="00A91335" w:rsidRPr="00A91335" w:rsidRDefault="00A91335" w:rsidP="000318BF">
      <w:pPr>
        <w:pStyle w:val="FootnoteText"/>
        <w:jc w:val="left"/>
      </w:pPr>
      <w:r>
        <w:rPr>
          <w:rStyle w:val="FootnoteReference"/>
        </w:rPr>
        <w:footnoteRef/>
      </w:r>
      <w:r>
        <w:t xml:space="preserve"> </w:t>
      </w:r>
      <w:r>
        <w:rPr>
          <w:i/>
        </w:rPr>
        <w:t xml:space="preserve">See </w:t>
      </w:r>
      <w:r>
        <w:t xml:space="preserve">47 CFR </w:t>
      </w:r>
      <w:r w:rsidRPr="00A77DB3">
        <w:t>§§</w:t>
      </w:r>
      <w:r>
        <w:t xml:space="preserve"> 90.613, 90.617(c), (f).</w:t>
      </w:r>
    </w:p>
  </w:footnote>
  <w:footnote w:id="4">
    <w:p w:rsidR="00B56079" w:rsidRDefault="00B56079" w:rsidP="000318BF">
      <w:pPr>
        <w:pStyle w:val="FootnoteText"/>
        <w:jc w:val="left"/>
      </w:pPr>
      <w:r>
        <w:rPr>
          <w:rStyle w:val="FootnoteReference"/>
        </w:rPr>
        <w:footnoteRef/>
      </w:r>
      <w:r>
        <w:t xml:space="preserve"> </w:t>
      </w:r>
      <w:r>
        <w:rPr>
          <w:i/>
        </w:rPr>
        <w:t xml:space="preserve">See </w:t>
      </w:r>
      <w:r>
        <w:t xml:space="preserve">47 CFR </w:t>
      </w:r>
      <w:r w:rsidRPr="00A77DB3">
        <w:t>§§</w:t>
      </w:r>
      <w:r>
        <w:t xml:space="preserve"> 90.33(a), 90.35(a).</w:t>
      </w:r>
    </w:p>
  </w:footnote>
  <w:footnote w:id="5">
    <w:p w:rsidR="00B56079" w:rsidRDefault="00B56079" w:rsidP="000318BF">
      <w:pPr>
        <w:pStyle w:val="FootnoteText"/>
        <w:jc w:val="left"/>
      </w:pPr>
      <w:r>
        <w:rPr>
          <w:rStyle w:val="FootnoteReference"/>
        </w:rPr>
        <w:footnoteRef/>
      </w:r>
      <w:r>
        <w:t xml:space="preserve"> </w:t>
      </w:r>
      <w:r w:rsidR="00C87763">
        <w:rPr>
          <w:i/>
        </w:rPr>
        <w:t>See</w:t>
      </w:r>
      <w:r w:rsidR="00C87763" w:rsidRPr="00A77DB3">
        <w:t xml:space="preserve"> </w:t>
      </w:r>
      <w:r w:rsidRPr="00A77DB3">
        <w:t>47 CFR § 90.7.</w:t>
      </w:r>
    </w:p>
  </w:footnote>
  <w:footnote w:id="6">
    <w:p w:rsidR="008A2E7B" w:rsidRDefault="008A2E7B" w:rsidP="000318BF">
      <w:pPr>
        <w:pStyle w:val="FootnoteText"/>
        <w:jc w:val="left"/>
      </w:pPr>
      <w:r>
        <w:rPr>
          <w:rStyle w:val="FootnoteReference"/>
        </w:rPr>
        <w:footnoteRef/>
      </w:r>
      <w:r>
        <w:t xml:space="preserve"> </w:t>
      </w:r>
      <w:r w:rsidR="00E052B5">
        <w:rPr>
          <w:i/>
        </w:rPr>
        <w:t xml:space="preserve">See </w:t>
      </w:r>
      <w:r w:rsidR="00D817C6">
        <w:t>47 CFR § 90.617</w:t>
      </w:r>
      <w:r w:rsidR="00A0275A">
        <w:t>(c)</w:t>
      </w:r>
      <w:r w:rsidR="00E052B5">
        <w:t>.</w:t>
      </w:r>
    </w:p>
  </w:footnote>
  <w:footnote w:id="7">
    <w:p w:rsidR="00B56079" w:rsidRPr="00E052B5" w:rsidRDefault="00B56079" w:rsidP="000318BF">
      <w:pPr>
        <w:pStyle w:val="FootnoteText"/>
        <w:jc w:val="left"/>
      </w:pPr>
      <w:r>
        <w:rPr>
          <w:rStyle w:val="FootnoteReference"/>
        </w:rPr>
        <w:footnoteRef/>
      </w:r>
      <w:r>
        <w:t xml:space="preserve"> </w:t>
      </w:r>
      <w:r>
        <w:rPr>
          <w:i/>
        </w:rPr>
        <w:t xml:space="preserve">See </w:t>
      </w:r>
      <w:r w:rsidRPr="00420156">
        <w:t>47 CFR §§ 90.</w:t>
      </w:r>
      <w:r>
        <w:t>179 introductory paragraph, (e), 90.603(b).</w:t>
      </w:r>
    </w:p>
  </w:footnote>
  <w:footnote w:id="8">
    <w:p w:rsidR="00E052B5" w:rsidRDefault="00E052B5" w:rsidP="000318BF">
      <w:pPr>
        <w:pStyle w:val="FootnoteText"/>
        <w:jc w:val="left"/>
      </w:pPr>
      <w:r>
        <w:rPr>
          <w:rStyle w:val="FootnoteReference"/>
        </w:rPr>
        <w:footnoteRef/>
      </w:r>
      <w:r>
        <w:t xml:space="preserve"> </w:t>
      </w:r>
      <w:r>
        <w:rPr>
          <w:i/>
        </w:rPr>
        <w:t xml:space="preserve">See </w:t>
      </w:r>
      <w:r>
        <w:t>47 CFR § 90.621(f).</w:t>
      </w:r>
    </w:p>
  </w:footnote>
  <w:footnote w:id="9">
    <w:p w:rsidR="00C87763" w:rsidRPr="003E6282" w:rsidRDefault="00C87763" w:rsidP="00C87763">
      <w:pPr>
        <w:pStyle w:val="FootnoteText"/>
        <w:jc w:val="left"/>
      </w:pPr>
      <w:r>
        <w:rPr>
          <w:rStyle w:val="FootnoteReference"/>
        </w:rPr>
        <w:footnoteRef/>
      </w:r>
      <w:r>
        <w:t xml:space="preserve"> In 2013, SNG filed applications for 900 MHz B/ILT channels that ultimately were dismissed because SNG was not B/ILT-eligible and did not demonstrate that a waiver was warranted.  </w:t>
      </w:r>
      <w:r>
        <w:rPr>
          <w:i/>
        </w:rPr>
        <w:t>See Spectrum Networks Group, LLC</w:t>
      </w:r>
      <w:r>
        <w:t xml:space="preserve">, Order, 30 FCC Rcd 3509 (WTB MD 2015), </w:t>
      </w:r>
      <w:r>
        <w:rPr>
          <w:i/>
        </w:rPr>
        <w:t>review pending</w:t>
      </w:r>
      <w:r>
        <w:t>.  SNG states that its petition addresses only licenses that were granted after it filed its applications</w:t>
      </w:r>
      <w:r w:rsidR="001D2C69">
        <w:t>.</w:t>
      </w:r>
      <w:r>
        <w:t xml:space="preserve"> </w:t>
      </w:r>
      <w:r w:rsidR="001D2C69">
        <w:t xml:space="preserve"> </w:t>
      </w:r>
      <w:r w:rsidR="001D2C69">
        <w:rPr>
          <w:i/>
        </w:rPr>
        <w:t>S</w:t>
      </w:r>
      <w:r>
        <w:rPr>
          <w:i/>
        </w:rPr>
        <w:t xml:space="preserve">ee </w:t>
      </w:r>
      <w:r>
        <w:t>Petition at 3</w:t>
      </w:r>
      <w:r w:rsidR="001D2C69">
        <w:t xml:space="preserve">.  As pointed out by some of the licensees, however, </w:t>
      </w:r>
      <w:r w:rsidR="001D2C69">
        <w:rPr>
          <w:i/>
        </w:rPr>
        <w:t>see</w:t>
      </w:r>
      <w:r w:rsidR="001D2C69">
        <w:t xml:space="preserve">, </w:t>
      </w:r>
      <w:r w:rsidR="001D2C69">
        <w:rPr>
          <w:i/>
        </w:rPr>
        <w:t xml:space="preserve">e.g., </w:t>
      </w:r>
      <w:r w:rsidR="001D2C69">
        <w:t xml:space="preserve">Opposition of </w:t>
      </w:r>
      <w:r w:rsidR="001D2C69" w:rsidRPr="00920F85">
        <w:t xml:space="preserve">Mobile Relay Associates to </w:t>
      </w:r>
      <w:r w:rsidR="001D2C69">
        <w:t>“</w:t>
      </w:r>
      <w:r w:rsidR="001D2C69" w:rsidRPr="00920F85">
        <w:t>Petition for Orders to Show Cause</w:t>
      </w:r>
      <w:r w:rsidR="001D2C69">
        <w:t>”</w:t>
      </w:r>
      <w:r w:rsidR="001D2C69" w:rsidRPr="00920F85">
        <w:t xml:space="preserve"> </w:t>
      </w:r>
      <w:r w:rsidR="001D2C69">
        <w:t xml:space="preserve">at 3 </w:t>
      </w:r>
      <w:r w:rsidR="001D2C69" w:rsidRPr="00920F85">
        <w:t>(</w:t>
      </w:r>
      <w:r w:rsidR="001D2C69">
        <w:t xml:space="preserve">filed </w:t>
      </w:r>
      <w:r w:rsidR="001D2C69" w:rsidRPr="00920F85">
        <w:t>July 8, 2015)</w:t>
      </w:r>
      <w:r w:rsidR="001D2C69">
        <w:t xml:space="preserve"> (</w:t>
      </w:r>
      <w:r w:rsidR="001D2C69" w:rsidRPr="006C2447">
        <w:t>MRA Opposition</w:t>
      </w:r>
      <w:r w:rsidR="001D2C69">
        <w:t>)</w:t>
      </w:r>
      <w:r>
        <w:t xml:space="preserve">, </w:t>
      </w:r>
      <w:r w:rsidR="001D2C69">
        <w:t>many</w:t>
      </w:r>
      <w:r>
        <w:t xml:space="preserve"> of the licenses at issue were </w:t>
      </w:r>
      <w:r w:rsidRPr="000318BF">
        <w:t>initially</w:t>
      </w:r>
      <w:r>
        <w:t xml:space="preserve"> granted before then.</w:t>
      </w:r>
    </w:p>
  </w:footnote>
  <w:footnote w:id="10">
    <w:p w:rsidR="005403E1" w:rsidRPr="00F878B3" w:rsidRDefault="005403E1" w:rsidP="000318BF">
      <w:pPr>
        <w:pStyle w:val="FootnoteText"/>
        <w:jc w:val="left"/>
      </w:pPr>
      <w:r>
        <w:rPr>
          <w:rStyle w:val="FootnoteReference"/>
        </w:rPr>
        <w:footnoteRef/>
      </w:r>
      <w:r>
        <w:t xml:space="preserve"> </w:t>
      </w:r>
      <w:r w:rsidR="00C37039">
        <w:t>Petition at 8-17</w:t>
      </w:r>
      <w:r w:rsidR="001B521C">
        <w:t>.</w:t>
      </w:r>
      <w:r w:rsidR="00C37039">
        <w:t xml:space="preserve">  SNG also request</w:t>
      </w:r>
      <w:r w:rsidR="000E2F87">
        <w:t>s</w:t>
      </w:r>
      <w:r w:rsidR="00C37039">
        <w:t xml:space="preserve"> revocation of licenses </w:t>
      </w:r>
      <w:r w:rsidR="00073599">
        <w:t>held by</w:t>
      </w:r>
      <w:r w:rsidR="00C37039">
        <w:t xml:space="preserve"> </w:t>
      </w:r>
      <w:r w:rsidR="00E64BCD">
        <w:t xml:space="preserve">Commenco, Inc. (WPKT872), </w:t>
      </w:r>
      <w:r w:rsidR="00073599">
        <w:t xml:space="preserve">Scramjet Development (WQUV855), and </w:t>
      </w:r>
      <w:r w:rsidR="00F878B3">
        <w:t>Spe</w:t>
      </w:r>
      <w:r w:rsidR="00073599">
        <w:t>cialty Communications (WPVI804)</w:t>
      </w:r>
      <w:r w:rsidR="00F878B3">
        <w:t xml:space="preserve"> but </w:t>
      </w:r>
      <w:r w:rsidR="00E64BCD">
        <w:t>those</w:t>
      </w:r>
      <w:r w:rsidR="00F878B3">
        <w:t xml:space="preserve"> license</w:t>
      </w:r>
      <w:r w:rsidR="00073599">
        <w:t>s</w:t>
      </w:r>
      <w:r w:rsidR="00F878B3">
        <w:t xml:space="preserve"> subsequently w</w:t>
      </w:r>
      <w:r w:rsidR="00E64BCD">
        <w:t>ere</w:t>
      </w:r>
      <w:r w:rsidR="00F878B3">
        <w:t xml:space="preserve"> canceled.  </w:t>
      </w:r>
      <w:r w:rsidR="00F878B3">
        <w:rPr>
          <w:i/>
        </w:rPr>
        <w:t xml:space="preserve">See </w:t>
      </w:r>
      <w:r w:rsidR="00F878B3">
        <w:t>FCC File No</w:t>
      </w:r>
      <w:r w:rsidR="00E64BCD">
        <w:t>s</w:t>
      </w:r>
      <w:r w:rsidR="00F878B3">
        <w:t xml:space="preserve">. </w:t>
      </w:r>
      <w:r w:rsidR="00E64BCD">
        <w:t xml:space="preserve">0006880847 (filed July 20, 2015) (WPKT872), </w:t>
      </w:r>
      <w:r w:rsidR="00F878B3">
        <w:t>0006955153 (filed Sept. 22, 2015)</w:t>
      </w:r>
      <w:r w:rsidR="00E64BCD">
        <w:t xml:space="preserve"> (WPVI804), 0006985865 (filed Oct. 15, 2015) (WQUV855)</w:t>
      </w:r>
      <w:r w:rsidR="00F878B3">
        <w:t>.</w:t>
      </w:r>
    </w:p>
  </w:footnote>
  <w:footnote w:id="11">
    <w:p w:rsidR="00F3340D" w:rsidRDefault="00F3340D" w:rsidP="000318BF">
      <w:pPr>
        <w:pStyle w:val="FootnoteText"/>
        <w:jc w:val="left"/>
      </w:pPr>
      <w:r>
        <w:rPr>
          <w:rStyle w:val="FootnoteReference"/>
        </w:rPr>
        <w:footnoteRef/>
      </w:r>
      <w:r>
        <w:t xml:space="preserve"> Petition at 19-20.</w:t>
      </w:r>
    </w:p>
  </w:footnote>
  <w:footnote w:id="12">
    <w:p w:rsidR="006C2447" w:rsidRDefault="006C2447" w:rsidP="000318BF">
      <w:pPr>
        <w:pStyle w:val="FootnoteText"/>
        <w:jc w:val="left"/>
      </w:pPr>
      <w:r>
        <w:rPr>
          <w:rStyle w:val="FootnoteReference"/>
        </w:rPr>
        <w:footnoteRef/>
      </w:r>
      <w:r w:rsidR="001D2C69">
        <w:t>MRA Opposition</w:t>
      </w:r>
      <w:r>
        <w:t>.</w:t>
      </w:r>
    </w:p>
  </w:footnote>
  <w:footnote w:id="13">
    <w:p w:rsidR="006C2447" w:rsidRDefault="006C2447" w:rsidP="000318BF">
      <w:pPr>
        <w:pStyle w:val="FootnoteText"/>
        <w:jc w:val="left"/>
      </w:pPr>
      <w:r>
        <w:rPr>
          <w:rStyle w:val="FootnoteReference"/>
        </w:rPr>
        <w:footnoteRef/>
      </w:r>
      <w:r>
        <w:t xml:space="preserve"> Letter from Linda J. Harmon, TaxiStuff, LLC, to Marlene Dortch, Secretary, FCC (July 13, 2015)</w:t>
      </w:r>
      <w:r w:rsidR="00BC2505">
        <w:t xml:space="preserve"> (TaxiStuff Opposition)</w:t>
      </w:r>
      <w:r>
        <w:t>.</w:t>
      </w:r>
    </w:p>
  </w:footnote>
  <w:footnote w:id="14">
    <w:p w:rsidR="006C2447" w:rsidRDefault="006C2447" w:rsidP="000318BF">
      <w:pPr>
        <w:pStyle w:val="FootnoteText"/>
        <w:jc w:val="left"/>
      </w:pPr>
      <w:r>
        <w:rPr>
          <w:rStyle w:val="FootnoteReference"/>
        </w:rPr>
        <w:footnoteRef/>
      </w:r>
      <w:r>
        <w:t xml:space="preserve"> Partial Opposition of Enterprise Wireless Alliance to Petition for Orders to Show Cause (filed July 9, 2015) (</w:t>
      </w:r>
      <w:r w:rsidRPr="006C2447">
        <w:t>EWA Opposition</w:t>
      </w:r>
      <w:r>
        <w:t>).</w:t>
      </w:r>
    </w:p>
  </w:footnote>
  <w:footnote w:id="15">
    <w:p w:rsidR="006C2447" w:rsidRDefault="006C2447" w:rsidP="000318BF">
      <w:pPr>
        <w:pStyle w:val="FootnoteText"/>
        <w:jc w:val="left"/>
      </w:pPr>
      <w:r>
        <w:rPr>
          <w:rStyle w:val="FootnoteReference"/>
        </w:rPr>
        <w:footnoteRef/>
      </w:r>
      <w:r>
        <w:t xml:space="preserve"> Reply in Support of Petition for Orders to Show Cause of Spectrum Networks Group, LLC (filed July 21, 2015) (</w:t>
      </w:r>
      <w:r w:rsidRPr="006C2447">
        <w:t>Reply</w:t>
      </w:r>
      <w:r>
        <w:t>).</w:t>
      </w:r>
    </w:p>
  </w:footnote>
  <w:footnote w:id="16">
    <w:p w:rsidR="00F3340D" w:rsidRDefault="00F3340D" w:rsidP="000318BF">
      <w:pPr>
        <w:pStyle w:val="FootnoteText"/>
        <w:jc w:val="left"/>
      </w:pPr>
      <w:r>
        <w:rPr>
          <w:rStyle w:val="FootnoteReference"/>
        </w:rPr>
        <w:footnoteRef/>
      </w:r>
      <w:r>
        <w:t xml:space="preserve"> 47 U.S.C. § 308(b).</w:t>
      </w:r>
    </w:p>
  </w:footnote>
  <w:footnote w:id="17">
    <w:p w:rsidR="00AE2085" w:rsidRDefault="00AE2085" w:rsidP="000318BF">
      <w:pPr>
        <w:pStyle w:val="FootnoteText"/>
        <w:jc w:val="left"/>
      </w:pPr>
      <w:r>
        <w:rPr>
          <w:rStyle w:val="FootnoteReference"/>
        </w:rPr>
        <w:footnoteRef/>
      </w:r>
      <w:r>
        <w:t xml:space="preserve"> The letters were dated August 31, 2015.  Due to an administrative error, there was a delay in mailing some of the letters.  Licensees that received the letters late were granted extensions of time to respond.</w:t>
      </w:r>
    </w:p>
  </w:footnote>
  <w:footnote w:id="18">
    <w:p w:rsidR="00D51D74" w:rsidRPr="00AD3180" w:rsidRDefault="00D51D74" w:rsidP="000318BF">
      <w:pPr>
        <w:pStyle w:val="FootnoteText"/>
        <w:jc w:val="left"/>
        <w:rPr>
          <w:i/>
        </w:rPr>
      </w:pPr>
      <w:r>
        <w:rPr>
          <w:rStyle w:val="FootnoteReference"/>
        </w:rPr>
        <w:footnoteRef/>
      </w:r>
      <w:r>
        <w:t xml:space="preserve"> MRA argues in its opposition that SNG lacks standing.  </w:t>
      </w:r>
      <w:r>
        <w:rPr>
          <w:i/>
        </w:rPr>
        <w:t xml:space="preserve">See </w:t>
      </w:r>
      <w:r w:rsidRPr="00AD3180">
        <w:t>MRA Opposition</w:t>
      </w:r>
      <w:r>
        <w:t xml:space="preserve"> at 1-2.  We agree with SNG, however, that the Petition is an informal request for Commission action pursuant to section 1.41 of the Commission’s rules, 47 CFR § 1.41, for which there is no formal standing requirement.  </w:t>
      </w:r>
      <w:r>
        <w:rPr>
          <w:i/>
        </w:rPr>
        <w:t xml:space="preserve">See </w:t>
      </w:r>
      <w:r w:rsidRPr="00AD3180">
        <w:t>SNG Reply</w:t>
      </w:r>
      <w:r>
        <w:t xml:space="preserve"> at 4-5.  </w:t>
      </w:r>
    </w:p>
  </w:footnote>
  <w:footnote w:id="19">
    <w:p w:rsidR="00EB04AD" w:rsidRDefault="00EB04AD" w:rsidP="000318BF">
      <w:pPr>
        <w:pStyle w:val="FootnoteText"/>
        <w:jc w:val="left"/>
      </w:pPr>
      <w:r>
        <w:rPr>
          <w:rStyle w:val="FootnoteReference"/>
        </w:rPr>
        <w:footnoteRef/>
      </w:r>
      <w:r>
        <w:t xml:space="preserve"> </w:t>
      </w:r>
      <w:r w:rsidR="007B52B4">
        <w:rPr>
          <w:i/>
        </w:rPr>
        <w:t>I.e.</w:t>
      </w:r>
      <w:r w:rsidR="007B52B4">
        <w:t xml:space="preserve">, </w:t>
      </w:r>
      <w:r>
        <w:t>Classic, C</w:t>
      </w:r>
      <w:r w:rsidR="00210B58">
        <w:t>U</w:t>
      </w:r>
      <w:r>
        <w:t>, Creative, Pooley, RU, Schmi</w:t>
      </w:r>
      <w:r w:rsidR="001B027F">
        <w:t>t</w:t>
      </w:r>
      <w:r>
        <w:t>t, Tri-Electronics, and Vazquez.</w:t>
      </w:r>
    </w:p>
  </w:footnote>
  <w:footnote w:id="20">
    <w:p w:rsidR="00EB04AD" w:rsidRDefault="00EB04AD" w:rsidP="000318BF">
      <w:pPr>
        <w:pStyle w:val="FootnoteText"/>
        <w:jc w:val="left"/>
      </w:pPr>
      <w:r>
        <w:rPr>
          <w:rStyle w:val="FootnoteReference"/>
        </w:rPr>
        <w:footnoteRef/>
      </w:r>
      <w:r>
        <w:t xml:space="preserve"> </w:t>
      </w:r>
      <w:r w:rsidR="007B52B4">
        <w:rPr>
          <w:i/>
        </w:rPr>
        <w:t>I.e.</w:t>
      </w:r>
      <w:r w:rsidR="007B52B4">
        <w:t xml:space="preserve">, </w:t>
      </w:r>
      <w:r>
        <w:t>5G, Clark, DW, DB, ESP, MRA, TaxiStuff, and Vegas Wireless.</w:t>
      </w:r>
    </w:p>
  </w:footnote>
  <w:footnote w:id="21">
    <w:p w:rsidR="00224F5C" w:rsidRPr="00224F5C" w:rsidRDefault="00224F5C">
      <w:pPr>
        <w:pStyle w:val="FootnoteText"/>
      </w:pPr>
      <w:r>
        <w:rPr>
          <w:rStyle w:val="FootnoteReference"/>
        </w:rPr>
        <w:footnoteRef/>
      </w:r>
      <w:r>
        <w:t xml:space="preserve"> </w:t>
      </w:r>
      <w:r>
        <w:rPr>
          <w:i/>
        </w:rPr>
        <w:t xml:space="preserve">See </w:t>
      </w:r>
      <w:r>
        <w:t>Petition at 8.</w:t>
      </w:r>
    </w:p>
  </w:footnote>
  <w:footnote w:id="22">
    <w:p w:rsidR="00BE28BF" w:rsidRDefault="00BE28BF" w:rsidP="000318BF">
      <w:pPr>
        <w:pStyle w:val="FootnoteText"/>
        <w:jc w:val="left"/>
      </w:pPr>
      <w:r>
        <w:rPr>
          <w:rStyle w:val="FootnoteReference"/>
        </w:rPr>
        <w:footnoteRef/>
      </w:r>
      <w:r>
        <w:t xml:space="preserve"> RU (WQTE755, WQTG697, WQTG700).</w:t>
      </w:r>
    </w:p>
  </w:footnote>
  <w:footnote w:id="23">
    <w:p w:rsidR="004535FE" w:rsidRDefault="004535FE">
      <w:pPr>
        <w:pStyle w:val="FootnoteText"/>
      </w:pPr>
      <w:r>
        <w:rPr>
          <w:rStyle w:val="FootnoteReference"/>
        </w:rPr>
        <w:footnoteRef/>
      </w:r>
      <w:r>
        <w:t xml:space="preserve"> Vazquez (WPPG985).</w:t>
      </w:r>
    </w:p>
  </w:footnote>
  <w:footnote w:id="24">
    <w:p w:rsidR="001B4DAD" w:rsidRDefault="001B4DAD" w:rsidP="000318BF">
      <w:pPr>
        <w:pStyle w:val="FootnoteText"/>
        <w:jc w:val="left"/>
      </w:pPr>
      <w:r>
        <w:rPr>
          <w:rStyle w:val="FootnoteReference"/>
        </w:rPr>
        <w:footnoteRef/>
      </w:r>
      <w:r>
        <w:t xml:space="preserve"> Tri-Electronics </w:t>
      </w:r>
      <w:r w:rsidR="00BE28BF">
        <w:t>(</w:t>
      </w:r>
      <w:r>
        <w:t>WQUA702</w:t>
      </w:r>
      <w:r w:rsidR="00BE28BF">
        <w:t>)</w:t>
      </w:r>
      <w:r>
        <w:t>.</w:t>
      </w:r>
    </w:p>
  </w:footnote>
  <w:footnote w:id="25">
    <w:p w:rsidR="00224F5C" w:rsidRDefault="00224F5C">
      <w:pPr>
        <w:pStyle w:val="FootnoteText"/>
      </w:pPr>
      <w:r>
        <w:rPr>
          <w:rStyle w:val="FootnoteReference"/>
        </w:rPr>
        <w:footnoteRef/>
      </w:r>
      <w:r>
        <w:t xml:space="preserve"> We give the licensees’ factual statements, provided by knowledg</w:t>
      </w:r>
      <w:r w:rsidR="009D439D">
        <w:t>e</w:t>
      </w:r>
      <w:r>
        <w:t xml:space="preserve">able sources and under threat of penalty </w:t>
      </w:r>
      <w:r w:rsidR="009D439D">
        <w:t>in the case of misrepresentation or material omission, greater weight than SNG’s speculative allegations.</w:t>
      </w:r>
    </w:p>
  </w:footnote>
  <w:footnote w:id="26">
    <w:p w:rsidR="00772902" w:rsidRPr="006E00EF" w:rsidRDefault="00772902" w:rsidP="000318BF">
      <w:pPr>
        <w:pStyle w:val="FootnoteText"/>
        <w:jc w:val="left"/>
      </w:pPr>
      <w:r>
        <w:rPr>
          <w:rStyle w:val="FootnoteReference"/>
        </w:rPr>
        <w:footnoteRef/>
      </w:r>
      <w:r>
        <w:t xml:space="preserve"> </w:t>
      </w:r>
      <w:r>
        <w:rPr>
          <w:i/>
        </w:rPr>
        <w:t xml:space="preserve">See </w:t>
      </w:r>
      <w:r>
        <w:t>Letter from Doug Sinclair, Classic Ventures Diversified Inc. dba Rapid Communications</w:t>
      </w:r>
      <w:r w:rsidR="001523AF">
        <w:t>,</w:t>
      </w:r>
      <w:r>
        <w:t xml:space="preserve"> to Paul Moon, FCC at 1 (Oct. 2</w:t>
      </w:r>
      <w:r w:rsidR="00552BC4">
        <w:t>1</w:t>
      </w:r>
      <w:r>
        <w:t>, 2015); Letter from Elizabeth R. Sachs, Counsel to Creative</w:t>
      </w:r>
      <w:r w:rsidR="001523AF">
        <w:t>,</w:t>
      </w:r>
      <w:r>
        <w:t xml:space="preserve"> to Paul Moon, FCC at 2 (Oct. 13, 2015); E-mail from Terry Mack, Radio Unlimited, to Paul Moon, FCC (Sept. 30, 2015, 2:10 p.m.); </w:t>
      </w:r>
      <w:r>
        <w:rPr>
          <w:i/>
        </w:rPr>
        <w:t xml:space="preserve">see also </w:t>
      </w:r>
      <w:r>
        <w:t xml:space="preserve">FCC File Nos. 0006929078 (filed Aug. 27, 2015, amended Apr. 18, 2016), 0006928466 (filed Aug. 26, 2015, amended Apr. 18, 2016), 0006937286 (filed Sept. 10, 2015, amended Apr. 18, 2016) (filed by RU to modify the eligibility description to specify that “licensee provides service to Part 90 eligibles on a non-profit, no-cost basis”).  </w:t>
      </w:r>
    </w:p>
  </w:footnote>
  <w:footnote w:id="27">
    <w:p w:rsidR="00772902" w:rsidRDefault="00772902" w:rsidP="000318BF">
      <w:pPr>
        <w:pStyle w:val="FootnoteText"/>
        <w:jc w:val="left"/>
      </w:pPr>
      <w:r>
        <w:rPr>
          <w:rStyle w:val="FootnoteReference"/>
        </w:rPr>
        <w:footnoteRef/>
      </w:r>
      <w:r>
        <w:t xml:space="preserve"> </w:t>
      </w:r>
      <w:r>
        <w:rPr>
          <w:i/>
        </w:rPr>
        <w:t xml:space="preserve">See </w:t>
      </w:r>
      <w:r>
        <w:t xml:space="preserve">Letter from Allen Pooley to Federal Communications Commission at 1 (received Sept. 28, 2015) (also noting that his company Ranch Communications, the entity </w:t>
      </w:r>
      <w:r w:rsidR="001523AF">
        <w:t xml:space="preserve">that </w:t>
      </w:r>
      <w:r>
        <w:t>SNG</w:t>
      </w:r>
      <w:r w:rsidR="001523AF">
        <w:t xml:space="preserve"> suggested was using Pooley’s station to provide communications service to third parties</w:t>
      </w:r>
      <w:r>
        <w:t>, is a wireless internet service provider that operates on unlicensed spectrum); Letter from Ruben Vazquez, President, Borderland Communications, to Federal Communications Commission (Oct. 10, 2015).</w:t>
      </w:r>
    </w:p>
  </w:footnote>
  <w:footnote w:id="28">
    <w:p w:rsidR="006E00EF" w:rsidRPr="006E00EF" w:rsidRDefault="006E00EF" w:rsidP="000318BF">
      <w:pPr>
        <w:pStyle w:val="FootnoteText"/>
        <w:jc w:val="left"/>
      </w:pPr>
      <w:r>
        <w:rPr>
          <w:rStyle w:val="FootnoteReference"/>
        </w:rPr>
        <w:footnoteRef/>
      </w:r>
      <w:r>
        <w:t xml:space="preserve"> </w:t>
      </w:r>
      <w:r>
        <w:rPr>
          <w:i/>
        </w:rPr>
        <w:t xml:space="preserve">See </w:t>
      </w:r>
      <w:r>
        <w:t>FCC File No. 0002180373</w:t>
      </w:r>
      <w:r w:rsidR="00FB5B18">
        <w:t>, Public Interest Statement</w:t>
      </w:r>
      <w:r>
        <w:t xml:space="preserve"> (filed May 31, 2005) (assigning license for Call Sign WPUV824 from Star Crystal Communications, Inc., to FCI 900 Inc., a wholly-owned subsidiary of Nextel Communications, which reported </w:t>
      </w:r>
      <w:r w:rsidR="00FB5B18">
        <w:t xml:space="preserve">it would incorporate the frequencies into its SMR system; FCI 900 Inc. assigned the license to Communications Unlimited in 2007, </w:t>
      </w:r>
      <w:r w:rsidR="00FB5B18">
        <w:rPr>
          <w:i/>
        </w:rPr>
        <w:t xml:space="preserve">see </w:t>
      </w:r>
      <w:r w:rsidR="00FB5B18">
        <w:t>FCC File No. 0003235441 (filed Dec. 6, 2007))</w:t>
      </w:r>
      <w:r w:rsidR="0037773E">
        <w:t>; FCC File No. 0006740242 (filed Apr. 6, 2015) (</w:t>
      </w:r>
      <w:r w:rsidR="00652070">
        <w:t>modi</w:t>
      </w:r>
      <w:r w:rsidR="0037773E">
        <w:t xml:space="preserve">fying </w:t>
      </w:r>
      <w:r w:rsidR="00652070">
        <w:t>Schmi</w:t>
      </w:r>
      <w:r w:rsidR="001B027F">
        <w:t>t</w:t>
      </w:r>
      <w:r w:rsidR="00652070">
        <w:t>t’s</w:t>
      </w:r>
      <w:r w:rsidR="0037773E">
        <w:t xml:space="preserve"> license for Call Sign WNQL218 from Business to SMR).</w:t>
      </w:r>
    </w:p>
  </w:footnote>
  <w:footnote w:id="29">
    <w:p w:rsidR="002371E4" w:rsidRPr="002371E4" w:rsidRDefault="002371E4" w:rsidP="000318BF">
      <w:pPr>
        <w:pStyle w:val="FootnoteText"/>
        <w:jc w:val="left"/>
      </w:pPr>
      <w:r>
        <w:rPr>
          <w:rStyle w:val="FootnoteReference"/>
        </w:rPr>
        <w:footnoteRef/>
      </w:r>
      <w:r>
        <w:t xml:space="preserve"> </w:t>
      </w:r>
      <w:r>
        <w:rPr>
          <w:i/>
        </w:rPr>
        <w:t xml:space="preserve">See </w:t>
      </w:r>
      <w:r>
        <w:t>Letter from Pantelis Michalopoulos and Christopher Bjornsen, Counsel to SNG, to Marlene H. Dortch, Secretary, FCC (May 22, 2014) (viewable under application FCC File No. 0006249956)</w:t>
      </w:r>
      <w:r w:rsidR="005F0B41">
        <w:t>.</w:t>
      </w:r>
    </w:p>
  </w:footnote>
  <w:footnote w:id="30">
    <w:p w:rsidR="00F12E3B" w:rsidRPr="00F12E3B" w:rsidRDefault="00F12E3B" w:rsidP="000318BF">
      <w:pPr>
        <w:pStyle w:val="FootnoteText"/>
        <w:jc w:val="left"/>
      </w:pPr>
      <w:r>
        <w:rPr>
          <w:rStyle w:val="FootnoteReference"/>
        </w:rPr>
        <w:footnoteRef/>
      </w:r>
      <w:r>
        <w:t xml:space="preserve"> </w:t>
      </w:r>
      <w:r>
        <w:rPr>
          <w:i/>
        </w:rPr>
        <w:t xml:space="preserve">See </w:t>
      </w:r>
      <w:r>
        <w:t>Petition at 11-12.</w:t>
      </w:r>
    </w:p>
  </w:footnote>
  <w:footnote w:id="31">
    <w:p w:rsidR="004174F7" w:rsidRPr="004174F7" w:rsidRDefault="004174F7" w:rsidP="000318BF">
      <w:pPr>
        <w:pStyle w:val="FootnoteText"/>
        <w:jc w:val="left"/>
      </w:pPr>
      <w:r>
        <w:rPr>
          <w:rStyle w:val="FootnoteReference"/>
        </w:rPr>
        <w:footnoteRef/>
      </w:r>
      <w:r>
        <w:t xml:space="preserve"> </w:t>
      </w:r>
      <w:r>
        <w:rPr>
          <w:i/>
        </w:rPr>
        <w:t>See id.</w:t>
      </w:r>
      <w:r>
        <w:t xml:space="preserve"> at 16-17.</w:t>
      </w:r>
    </w:p>
  </w:footnote>
  <w:footnote w:id="32">
    <w:p w:rsidR="00044995" w:rsidRPr="00044995" w:rsidRDefault="00044995" w:rsidP="000318BF">
      <w:pPr>
        <w:pStyle w:val="FootnoteText"/>
        <w:jc w:val="left"/>
      </w:pPr>
      <w:r>
        <w:rPr>
          <w:rStyle w:val="FootnoteReference"/>
        </w:rPr>
        <w:footnoteRef/>
      </w:r>
      <w:r>
        <w:t xml:space="preserve"> </w:t>
      </w:r>
      <w:r>
        <w:rPr>
          <w:i/>
        </w:rPr>
        <w:t xml:space="preserve">See </w:t>
      </w:r>
      <w:r>
        <w:t>Letter from Aaron Clark, Clark Wireless, to Paul Moon, Federal Communications Commission,</w:t>
      </w:r>
      <w:r w:rsidR="00F0639A">
        <w:t xml:space="preserve"> </w:t>
      </w:r>
      <w:r>
        <w:t>Wireless Telecommunications Bureau, Mo</w:t>
      </w:r>
      <w:r w:rsidR="0060133F">
        <w:t>bility Division at 1-2 (Oct. 27, 2015)</w:t>
      </w:r>
      <w:r>
        <w:t>.</w:t>
      </w:r>
    </w:p>
  </w:footnote>
  <w:footnote w:id="33">
    <w:p w:rsidR="0098666C" w:rsidRDefault="0098666C" w:rsidP="000318BF">
      <w:pPr>
        <w:pStyle w:val="FootnoteText"/>
        <w:jc w:val="left"/>
      </w:pPr>
      <w:r>
        <w:rPr>
          <w:rStyle w:val="FootnoteReference"/>
        </w:rPr>
        <w:footnoteRef/>
      </w:r>
      <w:r>
        <w:t xml:space="preserve"> </w:t>
      </w:r>
      <w:r>
        <w:rPr>
          <w:i/>
        </w:rPr>
        <w:t xml:space="preserve">See </w:t>
      </w:r>
      <w:r>
        <w:t>FCC File No. 0005956677 (filed Sept. 24, 2013).</w:t>
      </w:r>
    </w:p>
  </w:footnote>
  <w:footnote w:id="34">
    <w:p w:rsidR="0098666C" w:rsidRPr="0098666C" w:rsidRDefault="0098666C" w:rsidP="000318BF">
      <w:pPr>
        <w:pStyle w:val="FootnoteText"/>
        <w:jc w:val="left"/>
      </w:pPr>
      <w:r>
        <w:rPr>
          <w:rStyle w:val="FootnoteReference"/>
        </w:rPr>
        <w:footnoteRef/>
      </w:r>
      <w:r>
        <w:t xml:space="preserve"> </w:t>
      </w:r>
      <w:r>
        <w:rPr>
          <w:i/>
        </w:rPr>
        <w:t xml:space="preserve">See </w:t>
      </w:r>
      <w:r>
        <w:t>FCC File No. 0006431744 (filed Aug. 20, 2014).</w:t>
      </w:r>
    </w:p>
  </w:footnote>
  <w:footnote w:id="35">
    <w:p w:rsidR="0098666C" w:rsidRPr="0098666C" w:rsidRDefault="0098666C" w:rsidP="000318BF">
      <w:pPr>
        <w:pStyle w:val="FootnoteText"/>
        <w:jc w:val="left"/>
      </w:pPr>
      <w:r>
        <w:rPr>
          <w:rStyle w:val="FootnoteReference"/>
        </w:rPr>
        <w:footnoteRef/>
      </w:r>
      <w:r>
        <w:t xml:space="preserve"> </w:t>
      </w:r>
      <w:r>
        <w:rPr>
          <w:i/>
        </w:rPr>
        <w:t xml:space="preserve">See </w:t>
      </w:r>
      <w:r>
        <w:t>Petition at 14.</w:t>
      </w:r>
    </w:p>
  </w:footnote>
  <w:footnote w:id="36">
    <w:p w:rsidR="0003395B" w:rsidRPr="0003395B" w:rsidRDefault="0003395B" w:rsidP="000318BF">
      <w:pPr>
        <w:pStyle w:val="FootnoteText"/>
        <w:jc w:val="left"/>
      </w:pPr>
      <w:r>
        <w:rPr>
          <w:rStyle w:val="FootnoteReference"/>
        </w:rPr>
        <w:footnoteRef/>
      </w:r>
      <w:r>
        <w:t xml:space="preserve"> </w:t>
      </w:r>
      <w:r>
        <w:rPr>
          <w:i/>
        </w:rPr>
        <w:t>See Improving Public Safety Communications in the 800 MHz Band, et al.</w:t>
      </w:r>
      <w:r>
        <w:t>, Report and Order, Fifth Report and Order, F</w:t>
      </w:r>
      <w:r w:rsidR="0087784B">
        <w:t>ourth Memorandum Opinion and Order, and Order, 19 FCC Rcd 14969, 15128, para. 337 (2004).</w:t>
      </w:r>
    </w:p>
  </w:footnote>
  <w:footnote w:id="37">
    <w:p w:rsidR="0060133F" w:rsidRPr="0060133F" w:rsidRDefault="0060133F" w:rsidP="000318BF">
      <w:pPr>
        <w:pStyle w:val="FootnoteText"/>
        <w:jc w:val="left"/>
      </w:pPr>
      <w:r>
        <w:rPr>
          <w:rStyle w:val="FootnoteReference"/>
        </w:rPr>
        <w:footnoteRef/>
      </w:r>
      <w:r>
        <w:t xml:space="preserve"> </w:t>
      </w:r>
      <w:r>
        <w:rPr>
          <w:i/>
        </w:rPr>
        <w:t xml:space="preserve">See </w:t>
      </w:r>
      <w:r>
        <w:t>Letter from Matthew J. Platche, Counsel to DW, to Paul Moon, Federal Communications Commission,</w:t>
      </w:r>
      <w:r w:rsidR="00F0639A">
        <w:t xml:space="preserve"> </w:t>
      </w:r>
      <w:r>
        <w:t>Wireless Telecommunications Bureau, Mobility Division at 1-3 (Oct. 13, 2015).</w:t>
      </w:r>
    </w:p>
  </w:footnote>
  <w:footnote w:id="38">
    <w:p w:rsidR="005E291F" w:rsidRPr="005E291F" w:rsidRDefault="005E291F" w:rsidP="000318BF">
      <w:pPr>
        <w:pStyle w:val="FootnoteText"/>
        <w:jc w:val="left"/>
      </w:pPr>
      <w:r>
        <w:rPr>
          <w:rStyle w:val="FootnoteReference"/>
        </w:rPr>
        <w:footnoteRef/>
      </w:r>
      <w:r>
        <w:t xml:space="preserve"> </w:t>
      </w:r>
      <w:r>
        <w:rPr>
          <w:i/>
        </w:rPr>
        <w:t xml:space="preserve">See </w:t>
      </w:r>
      <w:r>
        <w:t>Letter from Lonnie R. Danchik, President, DB, to Paul Moon, Federal Communications Commission,</w:t>
      </w:r>
      <w:r w:rsidR="00F0639A">
        <w:t xml:space="preserve"> </w:t>
      </w:r>
      <w:r>
        <w:t>Wireless Telecommunications Bureau, Mobility Division at 2 (Sept. 25, 2015).</w:t>
      </w:r>
    </w:p>
  </w:footnote>
  <w:footnote w:id="39">
    <w:p w:rsidR="005E291F" w:rsidRPr="005E291F" w:rsidRDefault="005E291F" w:rsidP="000318BF">
      <w:pPr>
        <w:pStyle w:val="FootnoteText"/>
        <w:jc w:val="left"/>
      </w:pPr>
      <w:r>
        <w:rPr>
          <w:rStyle w:val="FootnoteReference"/>
        </w:rPr>
        <w:footnoteRef/>
      </w:r>
      <w:r>
        <w:t xml:space="preserve"> </w:t>
      </w:r>
      <w:r>
        <w:rPr>
          <w:i/>
        </w:rPr>
        <w:t xml:space="preserve">See </w:t>
      </w:r>
      <w:r>
        <w:t>Petition at 15.</w:t>
      </w:r>
    </w:p>
  </w:footnote>
  <w:footnote w:id="40">
    <w:p w:rsidR="0067596D" w:rsidRPr="0067596D" w:rsidRDefault="0067596D" w:rsidP="000318BF">
      <w:pPr>
        <w:pStyle w:val="FootnoteText"/>
        <w:jc w:val="left"/>
      </w:pPr>
      <w:r>
        <w:rPr>
          <w:rStyle w:val="FootnoteReference"/>
        </w:rPr>
        <w:footnoteRef/>
      </w:r>
      <w:r>
        <w:t xml:space="preserve"> </w:t>
      </w:r>
      <w:r>
        <w:rPr>
          <w:i/>
        </w:rPr>
        <w:t>See id.</w:t>
      </w:r>
      <w:r>
        <w:t xml:space="preserve"> at 16.</w:t>
      </w:r>
      <w:r w:rsidR="00A81012">
        <w:t xml:space="preserve">  We also note that SNG misstated the </w:t>
      </w:r>
      <w:r w:rsidR="00937DD9">
        <w:t xml:space="preserve">authorized </w:t>
      </w:r>
      <w:r w:rsidR="00A81012">
        <w:t xml:space="preserve">location as Las Vegas, when the </w:t>
      </w:r>
      <w:r w:rsidR="00937DD9">
        <w:t>licenses are for sites</w:t>
      </w:r>
      <w:r w:rsidR="00A81012">
        <w:t xml:space="preserve"> in Laughlin, Nevada.</w:t>
      </w:r>
    </w:p>
  </w:footnote>
  <w:footnote w:id="41">
    <w:p w:rsidR="00A81012" w:rsidRDefault="00A81012" w:rsidP="000318BF">
      <w:pPr>
        <w:pStyle w:val="FootnoteText"/>
        <w:jc w:val="left"/>
      </w:pPr>
      <w:r>
        <w:rPr>
          <w:rStyle w:val="FootnoteReference"/>
        </w:rPr>
        <w:footnoteRef/>
      </w:r>
      <w:r>
        <w:t xml:space="preserve"> </w:t>
      </w:r>
      <w:r>
        <w:rPr>
          <w:i/>
        </w:rPr>
        <w:t xml:space="preserve">See </w:t>
      </w:r>
      <w:r>
        <w:t>Letter from Robert F. Barcal to Paul Moon, Federal Communications Commission,</w:t>
      </w:r>
      <w:r w:rsidR="00F0639A">
        <w:t xml:space="preserve"> </w:t>
      </w:r>
      <w:r>
        <w:t>Wireless Telecommunications Bureau, Mobility Division at 1-2 (Sept. 30, 2015).</w:t>
      </w:r>
    </w:p>
  </w:footnote>
  <w:footnote w:id="42">
    <w:p w:rsidR="0054234E" w:rsidRDefault="0054234E" w:rsidP="000318BF">
      <w:pPr>
        <w:pStyle w:val="FootnoteText"/>
        <w:jc w:val="left"/>
      </w:pPr>
      <w:r>
        <w:rPr>
          <w:rStyle w:val="FootnoteReference"/>
        </w:rPr>
        <w:footnoteRef/>
      </w:r>
      <w:r>
        <w:t xml:space="preserve"> </w:t>
      </w:r>
      <w:r>
        <w:rPr>
          <w:i/>
        </w:rPr>
        <w:t xml:space="preserve">See </w:t>
      </w:r>
      <w:r>
        <w:t>Petition at 16.</w:t>
      </w:r>
    </w:p>
  </w:footnote>
  <w:footnote w:id="43">
    <w:p w:rsidR="0054234E" w:rsidRPr="00E513D4" w:rsidRDefault="0054234E" w:rsidP="000318BF">
      <w:pPr>
        <w:pStyle w:val="FootnoteText"/>
        <w:jc w:val="left"/>
      </w:pPr>
      <w:r>
        <w:rPr>
          <w:rStyle w:val="FootnoteReference"/>
        </w:rPr>
        <w:footnoteRef/>
      </w:r>
      <w:r>
        <w:t xml:space="preserve"> </w:t>
      </w:r>
      <w:r w:rsidR="00E513D4">
        <w:rPr>
          <w:i/>
        </w:rPr>
        <w:t xml:space="preserve">See </w:t>
      </w:r>
      <w:r w:rsidR="00E513D4">
        <w:t>MRA Opposition at 3; Letter from Mark J. Abrams to Paul Moon, Federal Communications Commission,</w:t>
      </w:r>
      <w:r w:rsidR="00F0639A">
        <w:t xml:space="preserve"> </w:t>
      </w:r>
      <w:r w:rsidR="00E513D4">
        <w:t>Wireless Telecommunications Bureau, Mobility Division at 1-2 (Sept. 30, 2015).</w:t>
      </w:r>
    </w:p>
  </w:footnote>
  <w:footnote w:id="44">
    <w:p w:rsidR="00464935" w:rsidRDefault="00464935" w:rsidP="000318BF">
      <w:pPr>
        <w:pStyle w:val="FootnoteText"/>
        <w:jc w:val="left"/>
      </w:pPr>
      <w:r>
        <w:rPr>
          <w:rStyle w:val="FootnoteReference"/>
        </w:rPr>
        <w:footnoteRef/>
      </w:r>
      <w:r>
        <w:t xml:space="preserve"> </w:t>
      </w:r>
      <w:r>
        <w:rPr>
          <w:i/>
        </w:rPr>
        <w:t xml:space="preserve">See </w:t>
      </w:r>
      <w:r>
        <w:t>Petition at 15.</w:t>
      </w:r>
    </w:p>
  </w:footnote>
  <w:footnote w:id="45">
    <w:p w:rsidR="00464935" w:rsidRPr="00464935" w:rsidRDefault="00464935" w:rsidP="000318BF">
      <w:pPr>
        <w:pStyle w:val="FootnoteText"/>
        <w:jc w:val="left"/>
      </w:pPr>
      <w:r>
        <w:rPr>
          <w:rStyle w:val="FootnoteReference"/>
        </w:rPr>
        <w:footnoteRef/>
      </w:r>
      <w:r>
        <w:t xml:space="preserve"> </w:t>
      </w:r>
      <w:r>
        <w:rPr>
          <w:i/>
        </w:rPr>
        <w:t xml:space="preserve">See </w:t>
      </w:r>
      <w:r w:rsidR="00BC2505">
        <w:t xml:space="preserve">TaxiStuff Opposition at 1-2; </w:t>
      </w:r>
      <w:r>
        <w:t>Letter from Linda J. Harmon, TaxiStuff, LLC, to Paul Moon, Federal Communications Commission,</w:t>
      </w:r>
      <w:r w:rsidR="0054234E">
        <w:t xml:space="preserve"> </w:t>
      </w:r>
      <w:r>
        <w:t xml:space="preserve">Wireless Telecommunications Bureau, Mobility Division at 1-2 (Sept. </w:t>
      </w:r>
      <w:r w:rsidR="00846886">
        <w:t>2</w:t>
      </w:r>
      <w:r>
        <w:t>3, 2015).</w:t>
      </w:r>
    </w:p>
  </w:footnote>
  <w:footnote w:id="46">
    <w:p w:rsidR="004536D7" w:rsidRDefault="004536D7" w:rsidP="004536D7">
      <w:pPr>
        <w:pStyle w:val="FootnoteText"/>
        <w:jc w:val="left"/>
      </w:pPr>
      <w:r>
        <w:rPr>
          <w:rStyle w:val="FootnoteReference"/>
        </w:rPr>
        <w:footnoteRef/>
      </w:r>
      <w:r>
        <w:t xml:space="preserve"> </w:t>
      </w:r>
      <w:r>
        <w:rPr>
          <w:i/>
        </w:rPr>
        <w:t xml:space="preserve">See </w:t>
      </w:r>
      <w:r>
        <w:t>Petition at 13 (footnote omitted).</w:t>
      </w:r>
    </w:p>
  </w:footnote>
  <w:footnote w:id="47">
    <w:p w:rsidR="004536D7" w:rsidRDefault="004536D7" w:rsidP="004536D7">
      <w:pPr>
        <w:pStyle w:val="FootnoteText"/>
        <w:jc w:val="left"/>
      </w:pPr>
      <w:r>
        <w:rPr>
          <w:rStyle w:val="FootnoteReference"/>
        </w:rPr>
        <w:footnoteRef/>
      </w:r>
      <w:r>
        <w:t xml:space="preserve"> </w:t>
      </w:r>
      <w:r>
        <w:rPr>
          <w:i/>
        </w:rPr>
        <w:t xml:space="preserve">See </w:t>
      </w:r>
      <w:r>
        <w:t>Letter from Thomas K. Kurian to Paul Moon, Federal Communications Commission, Wireless Telecommunications Bureau, Mobility Division at 1-2 (Sept. 30, 2015).</w:t>
      </w:r>
    </w:p>
  </w:footnote>
  <w:footnote w:id="48">
    <w:p w:rsidR="00791FC6" w:rsidRPr="00A77CC5" w:rsidRDefault="00791FC6" w:rsidP="000318BF">
      <w:pPr>
        <w:pStyle w:val="FootnoteText"/>
        <w:jc w:val="left"/>
      </w:pPr>
      <w:r>
        <w:rPr>
          <w:rStyle w:val="FootnoteReference"/>
        </w:rPr>
        <w:footnoteRef/>
      </w:r>
      <w:r>
        <w:t xml:space="preserve"> </w:t>
      </w:r>
      <w:r>
        <w:rPr>
          <w:i/>
        </w:rPr>
        <w:t xml:space="preserve">See </w:t>
      </w:r>
      <w:r w:rsidR="004536D7">
        <w:t>Petition</w:t>
      </w:r>
      <w:r>
        <w:rPr>
          <w:i/>
        </w:rPr>
        <w:t xml:space="preserve"> </w:t>
      </w:r>
      <w:r>
        <w:t>at 19-20</w:t>
      </w:r>
      <w:r w:rsidR="00FB6E19">
        <w:t xml:space="preserve"> (citing 47 CFR § 1.934)</w:t>
      </w:r>
      <w:r>
        <w:t xml:space="preserve">.  </w:t>
      </w:r>
    </w:p>
  </w:footnote>
  <w:footnote w:id="49">
    <w:p w:rsidR="00791FC6" w:rsidRPr="00791FC6" w:rsidRDefault="00791FC6" w:rsidP="000318BF">
      <w:pPr>
        <w:pStyle w:val="FootnoteText"/>
        <w:jc w:val="left"/>
      </w:pPr>
      <w:r>
        <w:rPr>
          <w:rStyle w:val="FootnoteReference"/>
        </w:rPr>
        <w:footnoteRef/>
      </w:r>
      <w:r>
        <w:t xml:space="preserve"> </w:t>
      </w:r>
      <w:r>
        <w:rPr>
          <w:i/>
        </w:rPr>
        <w:t>See supra</w:t>
      </w:r>
      <w:r w:rsidR="008C32C2">
        <w:t xml:space="preserve">, para. </w:t>
      </w:r>
      <w:r w:rsidR="001D2C69">
        <w:t>7</w:t>
      </w:r>
      <w:r>
        <w:t>.</w:t>
      </w:r>
    </w:p>
  </w:footnote>
  <w:footnote w:id="50">
    <w:p w:rsidR="0003315C" w:rsidRPr="0003315C" w:rsidRDefault="0003315C" w:rsidP="000318BF">
      <w:pPr>
        <w:pStyle w:val="FootnoteText"/>
        <w:jc w:val="left"/>
      </w:pPr>
      <w:r>
        <w:rPr>
          <w:rStyle w:val="FootnoteReference"/>
        </w:rPr>
        <w:footnoteRef/>
      </w:r>
      <w:r>
        <w:t xml:space="preserve"> </w:t>
      </w:r>
      <w:r>
        <w:rPr>
          <w:i/>
        </w:rPr>
        <w:t xml:space="preserve">See </w:t>
      </w:r>
      <w:r>
        <w:t xml:space="preserve">EWA Opposition at 4.  </w:t>
      </w:r>
    </w:p>
  </w:footnote>
  <w:footnote w:id="51">
    <w:p w:rsidR="0003315C" w:rsidRPr="0003315C" w:rsidRDefault="0003315C" w:rsidP="000318BF">
      <w:pPr>
        <w:pStyle w:val="FootnoteText"/>
        <w:jc w:val="left"/>
      </w:pPr>
      <w:r>
        <w:rPr>
          <w:rStyle w:val="FootnoteReference"/>
        </w:rPr>
        <w:footnoteRef/>
      </w:r>
      <w:r>
        <w:t xml:space="preserve"> </w:t>
      </w:r>
      <w:r>
        <w:rPr>
          <w:i/>
        </w:rPr>
        <w:t>See id.</w:t>
      </w:r>
      <w:r>
        <w:t xml:space="preserve"> at 2-3 (citing </w:t>
      </w:r>
      <w:r w:rsidR="00EA3FEF">
        <w:rPr>
          <w:i/>
        </w:rPr>
        <w:t xml:space="preserve">Frequency Coordination in the </w:t>
      </w:r>
      <w:r>
        <w:rPr>
          <w:i/>
        </w:rPr>
        <w:t>Private Land Mobile Radio Services</w:t>
      </w:r>
      <w:r>
        <w:t xml:space="preserve">, Report and Order, 103 F.C.C. 2d 1093, </w:t>
      </w:r>
      <w:r w:rsidR="00EA3FEF">
        <w:t xml:space="preserve">1103, </w:t>
      </w:r>
      <w:r>
        <w:t>para. 20 (1986)).</w:t>
      </w:r>
    </w:p>
  </w:footnote>
  <w:footnote w:id="52">
    <w:p w:rsidR="00BC6FCE" w:rsidRPr="00BC6FCE" w:rsidRDefault="00BC6FCE" w:rsidP="000318BF">
      <w:pPr>
        <w:pStyle w:val="FootnoteText"/>
        <w:jc w:val="left"/>
      </w:pPr>
      <w:r>
        <w:rPr>
          <w:rStyle w:val="FootnoteReference"/>
        </w:rPr>
        <w:footnoteRef/>
      </w:r>
      <w:r>
        <w:t xml:space="preserve"> </w:t>
      </w:r>
      <w:r>
        <w:rPr>
          <w:i/>
        </w:rPr>
        <w:t>Abundant Ephesian 320 Spectrum, LLC</w:t>
      </w:r>
      <w:r>
        <w:t>, Order and Order on Reconsideration, 30 FCC Rcd 7240, 7243, para. 7 (WTB MD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93" w:rsidRDefault="007B4D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BD" w:rsidRDefault="004B7631">
    <w:pPr>
      <w:pStyle w:val="Header"/>
      <w:tabs>
        <w:tab w:val="clear" w:pos="4320"/>
        <w:tab w:val="clear" w:pos="8640"/>
        <w:tab w:val="center" w:pos="4680"/>
        <w:tab w:val="right" w:pos="9360"/>
      </w:tabs>
      <w:rPr>
        <w:b/>
      </w:rPr>
    </w:pPr>
    <w:r>
      <w:rPr>
        <w:b/>
      </w:rPr>
      <w:tab/>
      <w:t>Federal Communications Commission</w:t>
    </w:r>
    <w:r>
      <w:rPr>
        <w:b/>
      </w:rPr>
      <w:tab/>
      <w:t xml:space="preserve">DA </w:t>
    </w:r>
    <w:r w:rsidR="0044426A">
      <w:rPr>
        <w:b/>
      </w:rPr>
      <w:t>1</w:t>
    </w:r>
    <w:r w:rsidR="007312FA">
      <w:rPr>
        <w:b/>
      </w:rPr>
      <w:t>6</w:t>
    </w:r>
    <w:r w:rsidR="0044426A">
      <w:rPr>
        <w:b/>
      </w:rPr>
      <w:t>-</w:t>
    </w:r>
    <w:r w:rsidR="00B46F05">
      <w:rPr>
        <w:b/>
      </w:rPr>
      <w:t>915</w:t>
    </w:r>
  </w:p>
  <w:p w:rsidR="00B911BD" w:rsidRDefault="0097298E">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5AC620B" wp14:editId="013A144B">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8AD2A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911BD" w:rsidRDefault="00B911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BD" w:rsidRDefault="004B7631">
    <w:pPr>
      <w:pStyle w:val="Header"/>
      <w:tabs>
        <w:tab w:val="clear" w:pos="4320"/>
        <w:tab w:val="clear" w:pos="8640"/>
        <w:tab w:val="center" w:pos="4680"/>
        <w:tab w:val="right" w:pos="9360"/>
      </w:tabs>
      <w:rPr>
        <w:b/>
      </w:rPr>
    </w:pPr>
    <w:r>
      <w:rPr>
        <w:b/>
      </w:rPr>
      <w:tab/>
      <w:t xml:space="preserve">Federal </w:t>
    </w:r>
    <w:r w:rsidR="00C84372">
      <w:rPr>
        <w:b/>
      </w:rPr>
      <w:t>Communications Commission</w:t>
    </w:r>
    <w:r w:rsidR="00C84372">
      <w:rPr>
        <w:b/>
      </w:rPr>
      <w:tab/>
      <w:t>DA 1</w:t>
    </w:r>
    <w:r w:rsidR="007312FA">
      <w:rPr>
        <w:b/>
      </w:rPr>
      <w:t>6</w:t>
    </w:r>
    <w:r w:rsidR="00C84372">
      <w:rPr>
        <w:b/>
      </w:rPr>
      <w:t>-</w:t>
    </w:r>
    <w:r w:rsidR="00B46F05">
      <w:rPr>
        <w:b/>
      </w:rPr>
      <w:t>915</w:t>
    </w:r>
  </w:p>
  <w:p w:rsidR="00B911BD" w:rsidRDefault="0097298E">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9DB54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0D9E2114"/>
    <w:multiLevelType w:val="hybridMultilevel"/>
    <w:tmpl w:val="A28AF3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E6C0FBD"/>
    <w:multiLevelType w:val="hybridMultilevel"/>
    <w:tmpl w:val="FBA2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C804BF0"/>
    <w:multiLevelType w:val="hybridMultilevel"/>
    <w:tmpl w:val="7742C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24A276E"/>
    <w:multiLevelType w:val="hybridMultilevel"/>
    <w:tmpl w:val="BDF4A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B9F7DC1"/>
    <w:multiLevelType w:val="hybridMultilevel"/>
    <w:tmpl w:val="9DC62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3"/>
  </w:num>
  <w:num w:numId="2">
    <w:abstractNumId w:val="25"/>
  </w:num>
  <w:num w:numId="3">
    <w:abstractNumId w:val="4"/>
  </w:num>
  <w:num w:numId="4">
    <w:abstractNumId w:val="19"/>
  </w:num>
  <w:num w:numId="5">
    <w:abstractNumId w:val="5"/>
  </w:num>
  <w:num w:numId="6">
    <w:abstractNumId w:val="22"/>
  </w:num>
  <w:num w:numId="7">
    <w:abstractNumId w:val="15"/>
  </w:num>
  <w:num w:numId="8">
    <w:abstractNumId w:val="6"/>
  </w:num>
  <w:num w:numId="9">
    <w:abstractNumId w:val="21"/>
  </w:num>
  <w:num w:numId="10">
    <w:abstractNumId w:val="12"/>
  </w:num>
  <w:num w:numId="11">
    <w:abstractNumId w:val="11"/>
  </w:num>
  <w:num w:numId="12">
    <w:abstractNumId w:val="7"/>
  </w:num>
  <w:num w:numId="13">
    <w:abstractNumId w:val="14"/>
  </w:num>
  <w:num w:numId="14">
    <w:abstractNumId w:val="20"/>
  </w:num>
  <w:num w:numId="15">
    <w:abstractNumId w:val="2"/>
  </w:num>
  <w:num w:numId="16">
    <w:abstractNumId w:val="3"/>
  </w:num>
  <w:num w:numId="17">
    <w:abstractNumId w:val="9"/>
  </w:num>
  <w:num w:numId="18">
    <w:abstractNumId w:val="0"/>
  </w:num>
  <w:num w:numId="19">
    <w:abstractNumId w:val="10"/>
  </w:num>
  <w:num w:numId="20">
    <w:abstractNumId w:val="16"/>
  </w:num>
  <w:num w:numId="21">
    <w:abstractNumId w:val="18"/>
  </w:num>
  <w:num w:numId="22">
    <w:abstractNumId w:val="8"/>
  </w:num>
  <w:num w:numId="23">
    <w:abstractNumId w:val="1"/>
  </w:num>
  <w:num w:numId="24">
    <w:abstractNumId w:val="24"/>
  </w:num>
  <w:num w:numId="25">
    <w:abstractNumId w:val="14"/>
    <w:lvlOverride w:ilvl="0">
      <w:startOverride w:val="1"/>
    </w:lvlOverride>
  </w:num>
  <w:num w:numId="26">
    <w:abstractNumId w:val="14"/>
    <w:lvlOverride w:ilvl="0">
      <w:startOverride w:val="1"/>
    </w:lvlOverride>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8E"/>
    <w:rsid w:val="000069F0"/>
    <w:rsid w:val="00025E69"/>
    <w:rsid w:val="000314F7"/>
    <w:rsid w:val="000318BF"/>
    <w:rsid w:val="0003257C"/>
    <w:rsid w:val="0003315C"/>
    <w:rsid w:val="0003395B"/>
    <w:rsid w:val="00036172"/>
    <w:rsid w:val="00044995"/>
    <w:rsid w:val="000472A9"/>
    <w:rsid w:val="00065901"/>
    <w:rsid w:val="00073599"/>
    <w:rsid w:val="00075C36"/>
    <w:rsid w:val="00097448"/>
    <w:rsid w:val="0009768B"/>
    <w:rsid w:val="000A2BE1"/>
    <w:rsid w:val="000A6C7D"/>
    <w:rsid w:val="000C68CE"/>
    <w:rsid w:val="000D1C3A"/>
    <w:rsid w:val="000D2825"/>
    <w:rsid w:val="000E2F87"/>
    <w:rsid w:val="000E7B4D"/>
    <w:rsid w:val="00103CBD"/>
    <w:rsid w:val="00122022"/>
    <w:rsid w:val="00143226"/>
    <w:rsid w:val="00144BBC"/>
    <w:rsid w:val="001523AF"/>
    <w:rsid w:val="0015670B"/>
    <w:rsid w:val="00183AE0"/>
    <w:rsid w:val="00186662"/>
    <w:rsid w:val="00186B28"/>
    <w:rsid w:val="00187623"/>
    <w:rsid w:val="001918EC"/>
    <w:rsid w:val="00192CC0"/>
    <w:rsid w:val="001A00B9"/>
    <w:rsid w:val="001A03E7"/>
    <w:rsid w:val="001A0DB9"/>
    <w:rsid w:val="001A25D8"/>
    <w:rsid w:val="001A5B63"/>
    <w:rsid w:val="001B027F"/>
    <w:rsid w:val="001B494A"/>
    <w:rsid w:val="001B4DAD"/>
    <w:rsid w:val="001B521C"/>
    <w:rsid w:val="001C73BC"/>
    <w:rsid w:val="001D2C69"/>
    <w:rsid w:val="001D30AD"/>
    <w:rsid w:val="001D6A45"/>
    <w:rsid w:val="001D795E"/>
    <w:rsid w:val="00200CF8"/>
    <w:rsid w:val="00204824"/>
    <w:rsid w:val="00204D06"/>
    <w:rsid w:val="00210B58"/>
    <w:rsid w:val="00216D04"/>
    <w:rsid w:val="00224F5C"/>
    <w:rsid w:val="00225149"/>
    <w:rsid w:val="0023663D"/>
    <w:rsid w:val="002371E4"/>
    <w:rsid w:val="002373F0"/>
    <w:rsid w:val="00240BDB"/>
    <w:rsid w:val="00257EF9"/>
    <w:rsid w:val="00275A87"/>
    <w:rsid w:val="00276619"/>
    <w:rsid w:val="0027743A"/>
    <w:rsid w:val="00284490"/>
    <w:rsid w:val="002861E0"/>
    <w:rsid w:val="0029377F"/>
    <w:rsid w:val="002B0885"/>
    <w:rsid w:val="002C081C"/>
    <w:rsid w:val="002C46AC"/>
    <w:rsid w:val="002D3838"/>
    <w:rsid w:val="002E34F5"/>
    <w:rsid w:val="002E41F7"/>
    <w:rsid w:val="002E6C5A"/>
    <w:rsid w:val="0030001E"/>
    <w:rsid w:val="00303A9B"/>
    <w:rsid w:val="0030741C"/>
    <w:rsid w:val="00313663"/>
    <w:rsid w:val="00314D12"/>
    <w:rsid w:val="003152F7"/>
    <w:rsid w:val="00326331"/>
    <w:rsid w:val="003319BA"/>
    <w:rsid w:val="0037773E"/>
    <w:rsid w:val="00380D32"/>
    <w:rsid w:val="0039670A"/>
    <w:rsid w:val="003A467A"/>
    <w:rsid w:val="003A7733"/>
    <w:rsid w:val="003A796A"/>
    <w:rsid w:val="003B16DD"/>
    <w:rsid w:val="003B1F54"/>
    <w:rsid w:val="003B3F77"/>
    <w:rsid w:val="003B44C9"/>
    <w:rsid w:val="003C385B"/>
    <w:rsid w:val="003D265C"/>
    <w:rsid w:val="003D498D"/>
    <w:rsid w:val="003D71CF"/>
    <w:rsid w:val="003E6282"/>
    <w:rsid w:val="003F03DC"/>
    <w:rsid w:val="003F3D72"/>
    <w:rsid w:val="0041117A"/>
    <w:rsid w:val="0041235C"/>
    <w:rsid w:val="00415BCA"/>
    <w:rsid w:val="00416D7C"/>
    <w:rsid w:val="004174F7"/>
    <w:rsid w:val="00420156"/>
    <w:rsid w:val="00421D3A"/>
    <w:rsid w:val="00424386"/>
    <w:rsid w:val="00425170"/>
    <w:rsid w:val="004407E3"/>
    <w:rsid w:val="0044426A"/>
    <w:rsid w:val="00445C70"/>
    <w:rsid w:val="00451971"/>
    <w:rsid w:val="004535FE"/>
    <w:rsid w:val="004536D7"/>
    <w:rsid w:val="00462CBF"/>
    <w:rsid w:val="00464935"/>
    <w:rsid w:val="00464E42"/>
    <w:rsid w:val="00465071"/>
    <w:rsid w:val="0048147D"/>
    <w:rsid w:val="00484463"/>
    <w:rsid w:val="004951C4"/>
    <w:rsid w:val="004B168D"/>
    <w:rsid w:val="004B2A0C"/>
    <w:rsid w:val="004B5B67"/>
    <w:rsid w:val="004B7631"/>
    <w:rsid w:val="004C3C88"/>
    <w:rsid w:val="004D13A4"/>
    <w:rsid w:val="004F6BCA"/>
    <w:rsid w:val="00504C6C"/>
    <w:rsid w:val="00506680"/>
    <w:rsid w:val="00522796"/>
    <w:rsid w:val="00527C9C"/>
    <w:rsid w:val="005403E1"/>
    <w:rsid w:val="0054234E"/>
    <w:rsid w:val="00552BC4"/>
    <w:rsid w:val="0057090D"/>
    <w:rsid w:val="0059002F"/>
    <w:rsid w:val="00592577"/>
    <w:rsid w:val="00594AFF"/>
    <w:rsid w:val="005A025A"/>
    <w:rsid w:val="005C4D2D"/>
    <w:rsid w:val="005C6D01"/>
    <w:rsid w:val="005D00E2"/>
    <w:rsid w:val="005E291F"/>
    <w:rsid w:val="005E41ED"/>
    <w:rsid w:val="005E67F8"/>
    <w:rsid w:val="005F0B41"/>
    <w:rsid w:val="005F7323"/>
    <w:rsid w:val="006010F3"/>
    <w:rsid w:val="0060133F"/>
    <w:rsid w:val="006172A2"/>
    <w:rsid w:val="00621AC6"/>
    <w:rsid w:val="00623D9C"/>
    <w:rsid w:val="00625C43"/>
    <w:rsid w:val="00633B45"/>
    <w:rsid w:val="00646B8C"/>
    <w:rsid w:val="006477AA"/>
    <w:rsid w:val="00647B77"/>
    <w:rsid w:val="00652070"/>
    <w:rsid w:val="0065595F"/>
    <w:rsid w:val="00656B9A"/>
    <w:rsid w:val="00657890"/>
    <w:rsid w:val="00661A92"/>
    <w:rsid w:val="00661D97"/>
    <w:rsid w:val="00662E32"/>
    <w:rsid w:val="0067224F"/>
    <w:rsid w:val="0067596D"/>
    <w:rsid w:val="0068022E"/>
    <w:rsid w:val="0068218D"/>
    <w:rsid w:val="00693965"/>
    <w:rsid w:val="006A1686"/>
    <w:rsid w:val="006A1B83"/>
    <w:rsid w:val="006B0AE7"/>
    <w:rsid w:val="006C0C54"/>
    <w:rsid w:val="006C2447"/>
    <w:rsid w:val="006C55F6"/>
    <w:rsid w:val="006E00EF"/>
    <w:rsid w:val="00705B06"/>
    <w:rsid w:val="0072291B"/>
    <w:rsid w:val="00723EBA"/>
    <w:rsid w:val="007312FA"/>
    <w:rsid w:val="00742779"/>
    <w:rsid w:val="007535B4"/>
    <w:rsid w:val="0075711F"/>
    <w:rsid w:val="00767D6D"/>
    <w:rsid w:val="00772902"/>
    <w:rsid w:val="00774498"/>
    <w:rsid w:val="00784A28"/>
    <w:rsid w:val="00791FC6"/>
    <w:rsid w:val="007A13B8"/>
    <w:rsid w:val="007B1B73"/>
    <w:rsid w:val="007B338B"/>
    <w:rsid w:val="007B4D93"/>
    <w:rsid w:val="007B52B4"/>
    <w:rsid w:val="007C5EFB"/>
    <w:rsid w:val="007C79B8"/>
    <w:rsid w:val="007E6736"/>
    <w:rsid w:val="007F7314"/>
    <w:rsid w:val="00801875"/>
    <w:rsid w:val="008044FE"/>
    <w:rsid w:val="0081774F"/>
    <w:rsid w:val="008254A7"/>
    <w:rsid w:val="00832245"/>
    <w:rsid w:val="00840880"/>
    <w:rsid w:val="0084290D"/>
    <w:rsid w:val="00844B9D"/>
    <w:rsid w:val="00845F63"/>
    <w:rsid w:val="008462EA"/>
    <w:rsid w:val="00846886"/>
    <w:rsid w:val="008536E8"/>
    <w:rsid w:val="00854170"/>
    <w:rsid w:val="00854FAD"/>
    <w:rsid w:val="00855C2D"/>
    <w:rsid w:val="008657B8"/>
    <w:rsid w:val="0087784B"/>
    <w:rsid w:val="0088043B"/>
    <w:rsid w:val="0088786C"/>
    <w:rsid w:val="008A2E7B"/>
    <w:rsid w:val="008B1A2D"/>
    <w:rsid w:val="008C32C2"/>
    <w:rsid w:val="008C425D"/>
    <w:rsid w:val="008C739A"/>
    <w:rsid w:val="008E7B9F"/>
    <w:rsid w:val="00911561"/>
    <w:rsid w:val="00920F85"/>
    <w:rsid w:val="00936D7A"/>
    <w:rsid w:val="00937DD9"/>
    <w:rsid w:val="00940AA9"/>
    <w:rsid w:val="00955B77"/>
    <w:rsid w:val="00962570"/>
    <w:rsid w:val="0096367E"/>
    <w:rsid w:val="00965D43"/>
    <w:rsid w:val="0097298E"/>
    <w:rsid w:val="0098666C"/>
    <w:rsid w:val="0099089E"/>
    <w:rsid w:val="0099599F"/>
    <w:rsid w:val="009C0D54"/>
    <w:rsid w:val="009C50D6"/>
    <w:rsid w:val="009D439D"/>
    <w:rsid w:val="009E0FDF"/>
    <w:rsid w:val="009E19E8"/>
    <w:rsid w:val="00A0275A"/>
    <w:rsid w:val="00A07FEF"/>
    <w:rsid w:val="00A10A9A"/>
    <w:rsid w:val="00A11AA7"/>
    <w:rsid w:val="00A145E0"/>
    <w:rsid w:val="00A33CF7"/>
    <w:rsid w:val="00A4111D"/>
    <w:rsid w:val="00A52685"/>
    <w:rsid w:val="00A540F7"/>
    <w:rsid w:val="00A550A8"/>
    <w:rsid w:val="00A61C96"/>
    <w:rsid w:val="00A63505"/>
    <w:rsid w:val="00A662C2"/>
    <w:rsid w:val="00A709F1"/>
    <w:rsid w:val="00A72AE4"/>
    <w:rsid w:val="00A77CC5"/>
    <w:rsid w:val="00A77DB3"/>
    <w:rsid w:val="00A81012"/>
    <w:rsid w:val="00A91335"/>
    <w:rsid w:val="00AA2480"/>
    <w:rsid w:val="00AA647C"/>
    <w:rsid w:val="00AB34C6"/>
    <w:rsid w:val="00AC1C9B"/>
    <w:rsid w:val="00AC376E"/>
    <w:rsid w:val="00AC5CC4"/>
    <w:rsid w:val="00AD3180"/>
    <w:rsid w:val="00AD4C27"/>
    <w:rsid w:val="00AD5B3C"/>
    <w:rsid w:val="00AE2085"/>
    <w:rsid w:val="00AE4138"/>
    <w:rsid w:val="00AE5266"/>
    <w:rsid w:val="00AE5757"/>
    <w:rsid w:val="00AF0B58"/>
    <w:rsid w:val="00AF0BFC"/>
    <w:rsid w:val="00AF5258"/>
    <w:rsid w:val="00B03FB9"/>
    <w:rsid w:val="00B042FE"/>
    <w:rsid w:val="00B04DA4"/>
    <w:rsid w:val="00B05E4F"/>
    <w:rsid w:val="00B105E1"/>
    <w:rsid w:val="00B140D4"/>
    <w:rsid w:val="00B20BF5"/>
    <w:rsid w:val="00B22BED"/>
    <w:rsid w:val="00B3632B"/>
    <w:rsid w:val="00B36E26"/>
    <w:rsid w:val="00B438BE"/>
    <w:rsid w:val="00B46F05"/>
    <w:rsid w:val="00B541A5"/>
    <w:rsid w:val="00B56079"/>
    <w:rsid w:val="00B776C1"/>
    <w:rsid w:val="00B911BD"/>
    <w:rsid w:val="00B92A02"/>
    <w:rsid w:val="00B972D0"/>
    <w:rsid w:val="00BB6E9C"/>
    <w:rsid w:val="00BC144F"/>
    <w:rsid w:val="00BC16E1"/>
    <w:rsid w:val="00BC2505"/>
    <w:rsid w:val="00BC291A"/>
    <w:rsid w:val="00BC6FCE"/>
    <w:rsid w:val="00BD249C"/>
    <w:rsid w:val="00BE0257"/>
    <w:rsid w:val="00BE28BF"/>
    <w:rsid w:val="00BF58F6"/>
    <w:rsid w:val="00C006EE"/>
    <w:rsid w:val="00C03A8E"/>
    <w:rsid w:val="00C166EE"/>
    <w:rsid w:val="00C171A6"/>
    <w:rsid w:val="00C2089F"/>
    <w:rsid w:val="00C2739A"/>
    <w:rsid w:val="00C37039"/>
    <w:rsid w:val="00C50576"/>
    <w:rsid w:val="00C506A8"/>
    <w:rsid w:val="00C51504"/>
    <w:rsid w:val="00C55B05"/>
    <w:rsid w:val="00C561B0"/>
    <w:rsid w:val="00C717F5"/>
    <w:rsid w:val="00C84372"/>
    <w:rsid w:val="00C8729C"/>
    <w:rsid w:val="00C87763"/>
    <w:rsid w:val="00CA05CF"/>
    <w:rsid w:val="00CA1B67"/>
    <w:rsid w:val="00CA2023"/>
    <w:rsid w:val="00CA52AC"/>
    <w:rsid w:val="00CC0AC7"/>
    <w:rsid w:val="00CD3BB3"/>
    <w:rsid w:val="00CE16C4"/>
    <w:rsid w:val="00CE7EAB"/>
    <w:rsid w:val="00D02505"/>
    <w:rsid w:val="00D1076F"/>
    <w:rsid w:val="00D11C80"/>
    <w:rsid w:val="00D13D1C"/>
    <w:rsid w:val="00D14E22"/>
    <w:rsid w:val="00D21A1A"/>
    <w:rsid w:val="00D27FFD"/>
    <w:rsid w:val="00D31368"/>
    <w:rsid w:val="00D32B2B"/>
    <w:rsid w:val="00D3697B"/>
    <w:rsid w:val="00D47CF9"/>
    <w:rsid w:val="00D51D74"/>
    <w:rsid w:val="00D54370"/>
    <w:rsid w:val="00D7411D"/>
    <w:rsid w:val="00D75005"/>
    <w:rsid w:val="00D7791F"/>
    <w:rsid w:val="00D817C6"/>
    <w:rsid w:val="00D81F6B"/>
    <w:rsid w:val="00D8410B"/>
    <w:rsid w:val="00D85A34"/>
    <w:rsid w:val="00D86E26"/>
    <w:rsid w:val="00D87506"/>
    <w:rsid w:val="00D95F9B"/>
    <w:rsid w:val="00D97428"/>
    <w:rsid w:val="00DA535A"/>
    <w:rsid w:val="00DA7A5D"/>
    <w:rsid w:val="00DB0189"/>
    <w:rsid w:val="00DB2EE0"/>
    <w:rsid w:val="00DC2377"/>
    <w:rsid w:val="00DC45A1"/>
    <w:rsid w:val="00DD5EE9"/>
    <w:rsid w:val="00DD6988"/>
    <w:rsid w:val="00DE364C"/>
    <w:rsid w:val="00DF1845"/>
    <w:rsid w:val="00E052B5"/>
    <w:rsid w:val="00E12084"/>
    <w:rsid w:val="00E13866"/>
    <w:rsid w:val="00E14E55"/>
    <w:rsid w:val="00E21B9A"/>
    <w:rsid w:val="00E229B6"/>
    <w:rsid w:val="00E24503"/>
    <w:rsid w:val="00E25639"/>
    <w:rsid w:val="00E32F32"/>
    <w:rsid w:val="00E35E51"/>
    <w:rsid w:val="00E50A90"/>
    <w:rsid w:val="00E513D4"/>
    <w:rsid w:val="00E62294"/>
    <w:rsid w:val="00E64BCD"/>
    <w:rsid w:val="00E71953"/>
    <w:rsid w:val="00E72CEB"/>
    <w:rsid w:val="00E75841"/>
    <w:rsid w:val="00E9369D"/>
    <w:rsid w:val="00EA3FEF"/>
    <w:rsid w:val="00EB04AD"/>
    <w:rsid w:val="00EB1BD2"/>
    <w:rsid w:val="00EB412A"/>
    <w:rsid w:val="00EC0EBD"/>
    <w:rsid w:val="00EC1236"/>
    <w:rsid w:val="00EE2A4A"/>
    <w:rsid w:val="00EE3D0A"/>
    <w:rsid w:val="00EF4A1F"/>
    <w:rsid w:val="00F01ABB"/>
    <w:rsid w:val="00F0392C"/>
    <w:rsid w:val="00F0639A"/>
    <w:rsid w:val="00F06C56"/>
    <w:rsid w:val="00F079EC"/>
    <w:rsid w:val="00F12E3B"/>
    <w:rsid w:val="00F31117"/>
    <w:rsid w:val="00F3340D"/>
    <w:rsid w:val="00F55D47"/>
    <w:rsid w:val="00F67FD8"/>
    <w:rsid w:val="00F803F4"/>
    <w:rsid w:val="00F878B3"/>
    <w:rsid w:val="00F928D5"/>
    <w:rsid w:val="00FA5759"/>
    <w:rsid w:val="00FB07C0"/>
    <w:rsid w:val="00FB5B18"/>
    <w:rsid w:val="00FB6E19"/>
    <w:rsid w:val="00FC144F"/>
    <w:rsid w:val="00FD0E16"/>
    <w:rsid w:val="00FD617F"/>
    <w:rsid w:val="00FE1627"/>
    <w:rsid w:val="00FE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fn Char,fn"/>
    <w:basedOn w:val="Normal"/>
    <w:link w:val="FootnoteTextChar1"/>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documentbody1">
    <w:name w:val="documentbody1"/>
    <w:rPr>
      <w:rFonts w:ascii="Verdana" w:hAnsi="Verdana" w:hint="default"/>
      <w:sz w:val="19"/>
      <w:szCs w:val="19"/>
    </w:rPr>
  </w:style>
  <w:style w:type="character" w:customStyle="1" w:styleId="text-blue1">
    <w:name w:val="text-blue1"/>
    <w:rPr>
      <w:rFonts w:ascii="Verdana" w:hAnsi="Verdana" w:hint="default"/>
      <w:color w:val="000099"/>
      <w:sz w:val="16"/>
      <w:szCs w:val="16"/>
    </w:rPr>
  </w:style>
  <w:style w:type="character" w:customStyle="1" w:styleId="h21">
    <w:name w:val="h21"/>
    <w:rPr>
      <w:rFonts w:ascii="Verdana" w:hAnsi="Verdana" w:hint="default"/>
      <w:b/>
      <w:bCs/>
      <w:color w:val="000099"/>
      <w:sz w:val="24"/>
      <w:szCs w:val="24"/>
    </w:rPr>
  </w:style>
  <w:style w:type="character" w:styleId="Hyperlink">
    <w:name w:val="Hyperlink"/>
    <w:rPr>
      <w:color w:val="0000FF"/>
      <w:u w:val="single"/>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semiHidden/>
    <w:rPr>
      <w:lang w:val="en-US" w:eastAsia="en-US" w:bidi="ar-SA"/>
    </w:rPr>
  </w:style>
  <w:style w:type="character" w:customStyle="1" w:styleId="documentbody5">
    <w:name w:val="documentbody5"/>
    <w:rPr>
      <w:rFonts w:ascii="Verdana" w:hAnsi="Verdana" w:hint="default"/>
      <w:sz w:val="19"/>
      <w:szCs w:val="19"/>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FootnoteTextChar1CharCharChar">
    <w:name w:val="Footnote Text Char1 Char Char Char"/>
    <w:aliases w:val="Footnote Text Char Char Char Char Char,Footnote Text Char1 Char2 Char Char Char Char,Footnote Text Char1 Char Char Char Char Char Char Char,Footnote Text Char1 Char"/>
    <w:semiHidden/>
    <w:locked/>
    <w:rPr>
      <w:rFonts w:cs="Times New Roman"/>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ListParagraph">
    <w:name w:val="List Paragraph"/>
    <w:basedOn w:val="Normal"/>
    <w:uiPriority w:val="34"/>
    <w:qFormat/>
    <w:rsid w:val="008B1A2D"/>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rsid w:val="00FB07C0"/>
    <w:rPr>
      <w:b/>
      <w: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fn Char,fn"/>
    <w:basedOn w:val="Normal"/>
    <w:link w:val="FootnoteTextChar1"/>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documentbody1">
    <w:name w:val="documentbody1"/>
    <w:rPr>
      <w:rFonts w:ascii="Verdana" w:hAnsi="Verdana" w:hint="default"/>
      <w:sz w:val="19"/>
      <w:szCs w:val="19"/>
    </w:rPr>
  </w:style>
  <w:style w:type="character" w:customStyle="1" w:styleId="text-blue1">
    <w:name w:val="text-blue1"/>
    <w:rPr>
      <w:rFonts w:ascii="Verdana" w:hAnsi="Verdana" w:hint="default"/>
      <w:color w:val="000099"/>
      <w:sz w:val="16"/>
      <w:szCs w:val="16"/>
    </w:rPr>
  </w:style>
  <w:style w:type="character" w:customStyle="1" w:styleId="h21">
    <w:name w:val="h21"/>
    <w:rPr>
      <w:rFonts w:ascii="Verdana" w:hAnsi="Verdana" w:hint="default"/>
      <w:b/>
      <w:bCs/>
      <w:color w:val="000099"/>
      <w:sz w:val="24"/>
      <w:szCs w:val="24"/>
    </w:rPr>
  </w:style>
  <w:style w:type="character" w:styleId="Hyperlink">
    <w:name w:val="Hyperlink"/>
    <w:rPr>
      <w:color w:val="0000FF"/>
      <w:u w:val="single"/>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semiHidden/>
    <w:rPr>
      <w:lang w:val="en-US" w:eastAsia="en-US" w:bidi="ar-SA"/>
    </w:rPr>
  </w:style>
  <w:style w:type="character" w:customStyle="1" w:styleId="documentbody5">
    <w:name w:val="documentbody5"/>
    <w:rPr>
      <w:rFonts w:ascii="Verdana" w:hAnsi="Verdana" w:hint="default"/>
      <w:sz w:val="19"/>
      <w:szCs w:val="19"/>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FootnoteTextChar1CharCharChar">
    <w:name w:val="Footnote Text Char1 Char Char Char"/>
    <w:aliases w:val="Footnote Text Char Char Char Char Char,Footnote Text Char1 Char2 Char Char Char Char,Footnote Text Char1 Char Char Char Char Char Char Char,Footnote Text Char1 Char"/>
    <w:semiHidden/>
    <w:locked/>
    <w:rPr>
      <w:rFonts w:cs="Times New Roman"/>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ListParagraph">
    <w:name w:val="List Paragraph"/>
    <w:basedOn w:val="Normal"/>
    <w:uiPriority w:val="34"/>
    <w:qFormat/>
    <w:rsid w:val="008B1A2D"/>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rsid w:val="00FB07C0"/>
    <w:rPr>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10179">
      <w:bodyDiv w:val="1"/>
      <w:marLeft w:val="25"/>
      <w:marRight w:val="25"/>
      <w:marTop w:val="25"/>
      <w:marBottom w:val="25"/>
      <w:divBdr>
        <w:top w:val="none" w:sz="0" w:space="0" w:color="auto"/>
        <w:left w:val="none" w:sz="0" w:space="0" w:color="auto"/>
        <w:bottom w:val="none" w:sz="0" w:space="0" w:color="auto"/>
        <w:right w:val="none" w:sz="0" w:space="0" w:color="auto"/>
      </w:divBdr>
      <w:divsChild>
        <w:div w:id="366103925">
          <w:marLeft w:val="0"/>
          <w:marRight w:val="0"/>
          <w:marTop w:val="0"/>
          <w:marBottom w:val="0"/>
          <w:divBdr>
            <w:top w:val="none" w:sz="0" w:space="0" w:color="auto"/>
            <w:left w:val="none" w:sz="0" w:space="0" w:color="auto"/>
            <w:bottom w:val="none" w:sz="0" w:space="0" w:color="auto"/>
            <w:right w:val="none" w:sz="0" w:space="0" w:color="auto"/>
          </w:divBdr>
          <w:divsChild>
            <w:div w:id="1539735518">
              <w:marLeft w:val="38"/>
              <w:marRight w:val="38"/>
              <w:marTop w:val="38"/>
              <w:marBottom w:val="38"/>
              <w:divBdr>
                <w:top w:val="none" w:sz="0" w:space="0" w:color="auto"/>
                <w:left w:val="none" w:sz="0" w:space="0" w:color="auto"/>
                <w:bottom w:val="none" w:sz="0" w:space="0" w:color="auto"/>
                <w:right w:val="none" w:sz="0" w:space="0" w:color="auto"/>
              </w:divBdr>
              <w:divsChild>
                <w:div w:id="324817521">
                  <w:marLeft w:val="0"/>
                  <w:marRight w:val="0"/>
                  <w:marTop w:val="0"/>
                  <w:marBottom w:val="0"/>
                  <w:divBdr>
                    <w:top w:val="none" w:sz="0" w:space="0" w:color="auto"/>
                    <w:left w:val="none" w:sz="0" w:space="0" w:color="auto"/>
                    <w:bottom w:val="none" w:sz="0" w:space="0" w:color="auto"/>
                    <w:right w:val="none" w:sz="0" w:space="0" w:color="auto"/>
                  </w:divBdr>
                  <w:divsChild>
                    <w:div w:id="439035137">
                      <w:marLeft w:val="301"/>
                      <w:marRight w:val="0"/>
                      <w:marTop w:val="0"/>
                      <w:marBottom w:val="0"/>
                      <w:divBdr>
                        <w:top w:val="none" w:sz="0" w:space="0" w:color="auto"/>
                        <w:left w:val="none" w:sz="0" w:space="0" w:color="auto"/>
                        <w:bottom w:val="none" w:sz="0" w:space="0" w:color="auto"/>
                        <w:right w:val="none" w:sz="0" w:space="0" w:color="auto"/>
                      </w:divBdr>
                    </w:div>
                    <w:div w:id="853766352">
                      <w:marLeft w:val="301"/>
                      <w:marRight w:val="0"/>
                      <w:marTop w:val="0"/>
                      <w:marBottom w:val="0"/>
                      <w:divBdr>
                        <w:top w:val="none" w:sz="0" w:space="0" w:color="auto"/>
                        <w:left w:val="none" w:sz="0" w:space="0" w:color="auto"/>
                        <w:bottom w:val="none" w:sz="0" w:space="0" w:color="auto"/>
                        <w:right w:val="none" w:sz="0" w:space="0" w:color="auto"/>
                      </w:divBdr>
                    </w:div>
                    <w:div w:id="1517764620">
                      <w:marLeft w:val="3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25654">
      <w:bodyDiv w:val="1"/>
      <w:marLeft w:val="0"/>
      <w:marRight w:val="0"/>
      <w:marTop w:val="0"/>
      <w:marBottom w:val="0"/>
      <w:divBdr>
        <w:top w:val="none" w:sz="0" w:space="0" w:color="auto"/>
        <w:left w:val="none" w:sz="0" w:space="0" w:color="auto"/>
        <w:bottom w:val="none" w:sz="0" w:space="0" w:color="auto"/>
        <w:right w:val="none" w:sz="0" w:space="0" w:color="auto"/>
      </w:divBdr>
    </w:div>
    <w:div w:id="1598102723">
      <w:bodyDiv w:val="1"/>
      <w:marLeft w:val="30"/>
      <w:marRight w:val="30"/>
      <w:marTop w:val="30"/>
      <w:marBottom w:val="30"/>
      <w:divBdr>
        <w:top w:val="none" w:sz="0" w:space="0" w:color="auto"/>
        <w:left w:val="none" w:sz="0" w:space="0" w:color="auto"/>
        <w:bottom w:val="none" w:sz="0" w:space="0" w:color="auto"/>
        <w:right w:val="none" w:sz="0" w:space="0" w:color="auto"/>
      </w:divBdr>
      <w:divsChild>
        <w:div w:id="972710771">
          <w:marLeft w:val="0"/>
          <w:marRight w:val="0"/>
          <w:marTop w:val="0"/>
          <w:marBottom w:val="0"/>
          <w:divBdr>
            <w:top w:val="none" w:sz="0" w:space="0" w:color="auto"/>
            <w:left w:val="none" w:sz="0" w:space="0" w:color="auto"/>
            <w:bottom w:val="none" w:sz="0" w:space="0" w:color="auto"/>
            <w:right w:val="none" w:sz="0" w:space="0" w:color="auto"/>
          </w:divBdr>
          <w:divsChild>
            <w:div w:id="1214345295">
              <w:marLeft w:val="45"/>
              <w:marRight w:val="45"/>
              <w:marTop w:val="45"/>
              <w:marBottom w:val="45"/>
              <w:divBdr>
                <w:top w:val="none" w:sz="0" w:space="0" w:color="auto"/>
                <w:left w:val="none" w:sz="0" w:space="0" w:color="auto"/>
                <w:bottom w:val="none" w:sz="0" w:space="0" w:color="auto"/>
                <w:right w:val="none" w:sz="0" w:space="0" w:color="auto"/>
              </w:divBdr>
              <w:divsChild>
                <w:div w:id="918758908">
                  <w:marLeft w:val="0"/>
                  <w:marRight w:val="0"/>
                  <w:marTop w:val="0"/>
                  <w:marBottom w:val="0"/>
                  <w:divBdr>
                    <w:top w:val="none" w:sz="0" w:space="0" w:color="auto"/>
                    <w:left w:val="none" w:sz="0" w:space="0" w:color="auto"/>
                    <w:bottom w:val="none" w:sz="0" w:space="0" w:color="auto"/>
                    <w:right w:val="none" w:sz="0" w:space="0" w:color="auto"/>
                  </w:divBdr>
                  <w:divsChild>
                    <w:div w:id="479076456">
                      <w:marLeft w:val="0"/>
                      <w:marRight w:val="0"/>
                      <w:marTop w:val="0"/>
                      <w:marBottom w:val="0"/>
                      <w:divBdr>
                        <w:top w:val="none" w:sz="0" w:space="0" w:color="auto"/>
                        <w:left w:val="none" w:sz="0" w:space="0" w:color="auto"/>
                        <w:bottom w:val="none" w:sz="0" w:space="0" w:color="auto"/>
                        <w:right w:val="none" w:sz="0" w:space="0" w:color="auto"/>
                      </w:divBdr>
                    </w:div>
                    <w:div w:id="6739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2212</Words>
  <Characters>12428</Characters>
  <Application>Microsoft Office Word</Application>
  <DocSecurity>0</DocSecurity>
  <Lines>198</Lines>
  <Paragraphs>47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14696</CharactersWithSpaces>
  <SharedDoc>false</SharedDoc>
  <HyperlinkBase> </HyperlinkBase>
  <HLinks>
    <vt:vector size="12" baseType="variant">
      <vt:variant>
        <vt:i4>2949135</vt:i4>
      </vt:variant>
      <vt:variant>
        <vt:i4>3</vt:i4>
      </vt:variant>
      <vt:variant>
        <vt:i4>0</vt:i4>
      </vt:variant>
      <vt:variant>
        <vt:i4>5</vt:i4>
      </vt:variant>
      <vt:variant>
        <vt:lpwstr>http://web2.westlaw.com/find/default.wl?mt=Westlaw&amp;db=1000547&amp;docname=47CFRS2.202&amp;rp=%2ffind%2fdefault.wl&amp;findtype=L&amp;ordoc=2031194048&amp;tc=-1&amp;vr=2.0&amp;fn=_top&amp;sv=Split&amp;tf=-1&amp;referencepositiontype=T&amp;pbc=68C64694&amp;referenceposition=SP%3ba83b000018c76&amp;rs=WLW13.10</vt:lpwstr>
      </vt:variant>
      <vt:variant>
        <vt:lpwstr/>
      </vt:variant>
      <vt:variant>
        <vt:i4>458846</vt:i4>
      </vt:variant>
      <vt:variant>
        <vt:i4>0</vt:i4>
      </vt:variant>
      <vt:variant>
        <vt:i4>0</vt:i4>
      </vt:variant>
      <vt:variant>
        <vt:i4>5</vt:i4>
      </vt:variant>
      <vt:variant>
        <vt:lpwstr>http://wireless.fcc.gov/services/index.htm?job=licensing_3&amp;id=industrial_business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2014-01-16T14:57:00Z</cp:lastPrinted>
  <dcterms:created xsi:type="dcterms:W3CDTF">2016-08-11T17:15:00Z</dcterms:created>
  <dcterms:modified xsi:type="dcterms:W3CDTF">2016-08-11T17:15:00Z</dcterms:modified>
  <cp:category> </cp:category>
  <cp:contentStatus> </cp:contentStatus>
</cp:coreProperties>
</file>