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4A" w:rsidRPr="00BE7F4A" w:rsidRDefault="00BE7F4A" w:rsidP="00BE7F4A">
      <w:pPr>
        <w:tabs>
          <w:tab w:val="left" w:pos="-720"/>
          <w:tab w:val="left" w:pos="1203"/>
        </w:tabs>
        <w:suppressAutoHyphens/>
        <w:spacing w:line="28" w:lineRule="exact"/>
        <w:rPr>
          <w:rFonts w:ascii="CG Times" w:hAnsi="CG Times"/>
          <w:sz w:val="20"/>
        </w:rPr>
      </w:pPr>
      <w:bookmarkStart w:id="0" w:name="_GoBack"/>
      <w:bookmarkEnd w:id="0"/>
      <w:r w:rsidRPr="00BE7F4A">
        <w:rPr>
          <w:rFonts w:ascii="CG Times" w:hAnsi="CG Times"/>
          <w:sz w:val="20"/>
        </w:rPr>
        <w:tab/>
      </w:r>
    </w:p>
    <w:p w:rsidR="00BE7F4A" w:rsidRPr="00BE7F4A" w:rsidRDefault="00BE7F4A" w:rsidP="00BE7F4A">
      <w:pPr>
        <w:tabs>
          <w:tab w:val="left" w:pos="-2790"/>
        </w:tabs>
        <w:suppressAutoHyphens/>
        <w:jc w:val="right"/>
        <w:rPr>
          <w:b/>
        </w:rPr>
      </w:pPr>
      <w:r w:rsidRPr="00BE7F4A">
        <w:rPr>
          <w:b/>
        </w:rPr>
        <w:tab/>
      </w:r>
      <w:r w:rsidRPr="00BE7F4A">
        <w:rPr>
          <w:b/>
        </w:rPr>
        <w:tab/>
      </w:r>
      <w:r w:rsidRPr="00BE7F4A">
        <w:rPr>
          <w:b/>
        </w:rPr>
        <w:tab/>
      </w:r>
      <w:r w:rsidRPr="00BE7F4A">
        <w:rPr>
          <w:b/>
        </w:rPr>
        <w:tab/>
        <w:t xml:space="preserve">         </w:t>
      </w:r>
      <w:r w:rsidRPr="00BE7F4A">
        <w:rPr>
          <w:b/>
        </w:rPr>
        <w:tab/>
      </w:r>
      <w:r w:rsidRPr="00BE7F4A">
        <w:rPr>
          <w:b/>
        </w:rPr>
        <w:tab/>
        <w:t xml:space="preserve">       </w:t>
      </w:r>
      <w:r w:rsidRPr="00BE7F4A">
        <w:rPr>
          <w:b/>
        </w:rPr>
        <w:tab/>
        <w:t xml:space="preserve">   DA </w:t>
      </w:r>
      <w:r w:rsidR="00F501BD" w:rsidRPr="00F501BD">
        <w:rPr>
          <w:b/>
        </w:rPr>
        <w:t>16-919</w:t>
      </w:r>
    </w:p>
    <w:p w:rsidR="00BE7F4A" w:rsidRPr="00BE7F4A" w:rsidRDefault="00BE7F4A" w:rsidP="00BE7F4A">
      <w:pPr>
        <w:tabs>
          <w:tab w:val="left" w:pos="-2790"/>
        </w:tabs>
        <w:suppressAutoHyphens/>
        <w:jc w:val="right"/>
        <w:rPr>
          <w:b/>
        </w:rPr>
      </w:pPr>
      <w:r w:rsidRPr="00BE7F4A">
        <w:rPr>
          <w:b/>
        </w:rPr>
        <w:tab/>
      </w:r>
      <w:r w:rsidRPr="00BE7F4A">
        <w:rPr>
          <w:b/>
        </w:rPr>
        <w:tab/>
      </w:r>
      <w:r w:rsidRPr="00BE7F4A">
        <w:rPr>
          <w:b/>
        </w:rPr>
        <w:tab/>
      </w:r>
      <w:r w:rsidRPr="00BE7F4A">
        <w:rPr>
          <w:b/>
        </w:rPr>
        <w:tab/>
      </w:r>
      <w:r w:rsidRPr="00BE7F4A">
        <w:rPr>
          <w:b/>
        </w:rPr>
        <w:tab/>
      </w:r>
      <w:r w:rsidRPr="00BE7F4A">
        <w:rPr>
          <w:b/>
        </w:rPr>
        <w:tab/>
      </w:r>
      <w:r w:rsidRPr="00BE7F4A">
        <w:rPr>
          <w:b/>
        </w:rPr>
        <w:tab/>
      </w:r>
      <w:r w:rsidRPr="00BE7F4A">
        <w:rPr>
          <w:b/>
        </w:rPr>
        <w:tab/>
      </w:r>
      <w:r w:rsidRPr="00BE7F4A">
        <w:rPr>
          <w:b/>
        </w:rPr>
        <w:tab/>
        <w:t>Released: August</w:t>
      </w:r>
      <w:r w:rsidR="00F501BD">
        <w:rPr>
          <w:b/>
        </w:rPr>
        <w:t xml:space="preserve"> 12</w:t>
      </w:r>
      <w:r w:rsidRPr="00BE7F4A">
        <w:rPr>
          <w:b/>
        </w:rPr>
        <w:t>, 2016</w:t>
      </w:r>
    </w:p>
    <w:p w:rsidR="00BE7F4A" w:rsidRPr="00BE7F4A" w:rsidRDefault="00BE7F4A" w:rsidP="00BE7F4A">
      <w:pPr>
        <w:jc w:val="center"/>
        <w:rPr>
          <w:b/>
          <w:sz w:val="18"/>
          <w:szCs w:val="18"/>
        </w:rPr>
      </w:pPr>
    </w:p>
    <w:p w:rsidR="00BE7F4A" w:rsidRPr="00BE7F4A" w:rsidRDefault="00BE7F4A" w:rsidP="00BE7F4A">
      <w:pPr>
        <w:jc w:val="center"/>
        <w:rPr>
          <w:b/>
          <w:szCs w:val="18"/>
        </w:rPr>
      </w:pPr>
    </w:p>
    <w:p w:rsidR="00BE7F4A" w:rsidRPr="00BE7F4A" w:rsidRDefault="00BE7F4A" w:rsidP="00BE7F4A">
      <w:pPr>
        <w:jc w:val="center"/>
        <w:rPr>
          <w:b/>
          <w:szCs w:val="18"/>
        </w:rPr>
      </w:pPr>
      <w:r w:rsidRPr="00BE7F4A">
        <w:rPr>
          <w:b/>
          <w:szCs w:val="18"/>
        </w:rPr>
        <w:t xml:space="preserve">MEDIA BUREAU ANNOUNCES FILING OF PETITION FOR DECLARATORY RULING BY CORVEX MASTER FUND LP AND PERMIT-BUT-DISCLOSE </w:t>
      </w:r>
      <w:r w:rsidRPr="00BE7F4A">
        <w:rPr>
          <w:b/>
          <w:i/>
          <w:szCs w:val="18"/>
        </w:rPr>
        <w:t xml:space="preserve">EX PARTE </w:t>
      </w:r>
      <w:r w:rsidRPr="00BE7F4A">
        <w:rPr>
          <w:b/>
          <w:szCs w:val="18"/>
        </w:rPr>
        <w:t>STATUS FOR THE PROCEEDING</w:t>
      </w:r>
    </w:p>
    <w:p w:rsidR="00BE7F4A" w:rsidRPr="00BE7F4A" w:rsidRDefault="00BE7F4A" w:rsidP="00BE7F4A">
      <w:pPr>
        <w:jc w:val="center"/>
        <w:rPr>
          <w:b/>
          <w:szCs w:val="18"/>
        </w:rPr>
      </w:pPr>
    </w:p>
    <w:p w:rsidR="00BE7F4A" w:rsidRPr="00BE7F4A" w:rsidRDefault="00BE7F4A" w:rsidP="00BE7F4A">
      <w:pPr>
        <w:jc w:val="center"/>
        <w:rPr>
          <w:b/>
          <w:szCs w:val="18"/>
        </w:rPr>
      </w:pPr>
      <w:r w:rsidRPr="00BE7F4A">
        <w:rPr>
          <w:b/>
          <w:szCs w:val="18"/>
        </w:rPr>
        <w:t xml:space="preserve">MB Docket No. </w:t>
      </w:r>
      <w:r w:rsidR="00F501BD" w:rsidRPr="00F501BD">
        <w:rPr>
          <w:b/>
          <w:szCs w:val="18"/>
        </w:rPr>
        <w:t>16-253</w:t>
      </w:r>
    </w:p>
    <w:p w:rsidR="00BE7F4A" w:rsidRPr="00BE7F4A" w:rsidRDefault="00BE7F4A" w:rsidP="00BE7F4A">
      <w:pPr>
        <w:jc w:val="center"/>
        <w:rPr>
          <w:b/>
          <w:szCs w:val="18"/>
        </w:rPr>
      </w:pPr>
    </w:p>
    <w:p w:rsidR="00BE7F4A" w:rsidRPr="00BE7F4A" w:rsidRDefault="00BE7F4A" w:rsidP="00BE7F4A">
      <w:pPr>
        <w:jc w:val="center"/>
        <w:rPr>
          <w:szCs w:val="18"/>
        </w:rPr>
      </w:pPr>
      <w:r w:rsidRPr="00BE7F4A">
        <w:rPr>
          <w:szCs w:val="18"/>
        </w:rPr>
        <w:t xml:space="preserve">Comments Due:  </w:t>
      </w:r>
      <w:r w:rsidR="006B692A">
        <w:rPr>
          <w:szCs w:val="18"/>
        </w:rPr>
        <w:t>September 12</w:t>
      </w:r>
      <w:r w:rsidRPr="00BE7F4A">
        <w:rPr>
          <w:szCs w:val="18"/>
        </w:rPr>
        <w:t>, 2016</w:t>
      </w:r>
    </w:p>
    <w:p w:rsidR="00BE7F4A" w:rsidRPr="00BE7F4A" w:rsidRDefault="00BE7F4A" w:rsidP="00BE7F4A">
      <w:pPr>
        <w:jc w:val="center"/>
        <w:rPr>
          <w:szCs w:val="18"/>
        </w:rPr>
      </w:pPr>
      <w:r w:rsidRPr="00BE7F4A">
        <w:rPr>
          <w:szCs w:val="18"/>
        </w:rPr>
        <w:t xml:space="preserve">Replies Due:  </w:t>
      </w:r>
      <w:r w:rsidR="006B692A">
        <w:rPr>
          <w:szCs w:val="18"/>
        </w:rPr>
        <w:t>September 27</w:t>
      </w:r>
      <w:r w:rsidRPr="00BE7F4A">
        <w:rPr>
          <w:szCs w:val="18"/>
        </w:rPr>
        <w:t>, 2016</w:t>
      </w:r>
    </w:p>
    <w:p w:rsidR="00BE7F4A" w:rsidRPr="00BE7F4A" w:rsidRDefault="00BE7F4A" w:rsidP="00BE7F4A">
      <w:pPr>
        <w:rPr>
          <w:szCs w:val="18"/>
        </w:rPr>
      </w:pPr>
    </w:p>
    <w:p w:rsidR="00BE7F4A" w:rsidRPr="00BE7F4A" w:rsidRDefault="00BE7F4A" w:rsidP="00BE7F4A">
      <w:pPr>
        <w:rPr>
          <w:szCs w:val="22"/>
        </w:rPr>
      </w:pPr>
    </w:p>
    <w:p w:rsidR="00BE7F4A" w:rsidRPr="00BE7F4A" w:rsidRDefault="00BE7F4A" w:rsidP="00650495">
      <w:pPr>
        <w:rPr>
          <w:szCs w:val="18"/>
        </w:rPr>
      </w:pPr>
      <w:r w:rsidRPr="00BE7F4A">
        <w:rPr>
          <w:szCs w:val="22"/>
        </w:rPr>
        <w:t>Corvex Master Fund LP</w:t>
      </w:r>
      <w:r w:rsidRPr="00BE7F4A">
        <w:rPr>
          <w:szCs w:val="18"/>
        </w:rPr>
        <w:t xml:space="preserve"> (Corvex) has filed a petition for declaratory ruling (Petition) pursuant to Section 310(b)(4) of the Communications A</w:t>
      </w:r>
      <w:r w:rsidR="00F62106">
        <w:rPr>
          <w:szCs w:val="18"/>
        </w:rPr>
        <w:t>ct of 1934, as amended,</w:t>
      </w:r>
      <w:r w:rsidRPr="00BE7F4A">
        <w:rPr>
          <w:szCs w:val="18"/>
        </w:rPr>
        <w:t xml:space="preserve"> and </w:t>
      </w:r>
      <w:r w:rsidR="0059068A">
        <w:rPr>
          <w:szCs w:val="18"/>
        </w:rPr>
        <w:t xml:space="preserve">the </w:t>
      </w:r>
      <w:r w:rsidRPr="00BE7F4A">
        <w:rPr>
          <w:i/>
          <w:iCs/>
          <w:szCs w:val="22"/>
        </w:rPr>
        <w:t>Pandora Declaratory Ruling</w:t>
      </w:r>
      <w:r w:rsidRPr="00BE7F4A">
        <w:rPr>
          <w:szCs w:val="18"/>
        </w:rPr>
        <w:t>.</w:t>
      </w:r>
      <w:r w:rsidRPr="00BE7F4A">
        <w:rPr>
          <w:szCs w:val="18"/>
          <w:vertAlign w:val="superscript"/>
        </w:rPr>
        <w:footnoteReference w:id="2"/>
      </w:r>
      <w:r w:rsidRPr="00BE7F4A">
        <w:rPr>
          <w:szCs w:val="18"/>
        </w:rPr>
        <w:t xml:space="preserve"> </w:t>
      </w:r>
      <w:r w:rsidR="00425592">
        <w:rPr>
          <w:szCs w:val="18"/>
        </w:rPr>
        <w:t xml:space="preserve"> </w:t>
      </w:r>
      <w:r w:rsidR="001F3698" w:rsidRPr="00BE7F4A">
        <w:rPr>
          <w:szCs w:val="18"/>
        </w:rPr>
        <w:t>Corvex seek</w:t>
      </w:r>
      <w:r w:rsidR="001F3698">
        <w:rPr>
          <w:szCs w:val="18"/>
        </w:rPr>
        <w:t>s</w:t>
      </w:r>
      <w:r w:rsidR="001F3698" w:rsidRPr="00BE7F4A">
        <w:rPr>
          <w:szCs w:val="18"/>
        </w:rPr>
        <w:t xml:space="preserve"> a ruling </w:t>
      </w:r>
      <w:r w:rsidR="001F3698" w:rsidRPr="00BE7F4A">
        <w:rPr>
          <w:szCs w:val="22"/>
        </w:rPr>
        <w:t xml:space="preserve">to increase its non-controlling voting and equity interest in Pandora Media, Inc. (Pandora Media), the parent corporation of </w:t>
      </w:r>
      <w:r w:rsidR="00F62106">
        <w:rPr>
          <w:szCs w:val="22"/>
        </w:rPr>
        <w:t xml:space="preserve">Commission licensee </w:t>
      </w:r>
      <w:r w:rsidR="001F3698" w:rsidRPr="00BE7F4A">
        <w:rPr>
          <w:szCs w:val="22"/>
        </w:rPr>
        <w:t xml:space="preserve">Pandora </w:t>
      </w:r>
      <w:r w:rsidR="00D55000">
        <w:rPr>
          <w:szCs w:val="22"/>
        </w:rPr>
        <w:t>FM LLC (Pandora FM</w:t>
      </w:r>
      <w:r w:rsidR="001F3698" w:rsidRPr="00BE7F4A">
        <w:rPr>
          <w:szCs w:val="22"/>
        </w:rPr>
        <w:t>),</w:t>
      </w:r>
      <w:r w:rsidR="001F3698" w:rsidRPr="00BE7F4A">
        <w:rPr>
          <w:szCs w:val="22"/>
          <w:vertAlign w:val="superscript"/>
        </w:rPr>
        <w:footnoteReference w:id="3"/>
      </w:r>
      <w:r w:rsidR="001F3698" w:rsidRPr="00BE7F4A">
        <w:rPr>
          <w:szCs w:val="22"/>
        </w:rPr>
        <w:t xml:space="preserve"> to 9.99 percent, and requests advance approval to acquire in the future an increase up to 14.99 percent of the voting and equity interests in Pandora Media without </w:t>
      </w:r>
      <w:r w:rsidR="001F3698">
        <w:rPr>
          <w:szCs w:val="22"/>
        </w:rPr>
        <w:t>further Commission</w:t>
      </w:r>
      <w:r w:rsidR="001F3698" w:rsidRPr="00BE7F4A">
        <w:rPr>
          <w:szCs w:val="22"/>
        </w:rPr>
        <w:t xml:space="preserve"> approval.</w:t>
      </w:r>
      <w:r w:rsidR="001F3698" w:rsidRPr="00BE7F4A">
        <w:rPr>
          <w:szCs w:val="18"/>
          <w:vertAlign w:val="superscript"/>
        </w:rPr>
        <w:footnoteReference w:id="4"/>
      </w:r>
      <w:r w:rsidR="001F3698">
        <w:rPr>
          <w:szCs w:val="22"/>
        </w:rPr>
        <w:t xml:space="preserve">  </w:t>
      </w:r>
      <w:r w:rsidR="00425592">
        <w:rPr>
          <w:szCs w:val="18"/>
        </w:rPr>
        <w:t xml:space="preserve">The </w:t>
      </w:r>
      <w:r w:rsidR="00425592">
        <w:rPr>
          <w:i/>
          <w:szCs w:val="18"/>
        </w:rPr>
        <w:t xml:space="preserve">Pandora Declaratory Ruling </w:t>
      </w:r>
      <w:r w:rsidR="001336EC">
        <w:rPr>
          <w:szCs w:val="18"/>
        </w:rPr>
        <w:t>permits</w:t>
      </w:r>
      <w:r w:rsidR="00425592">
        <w:rPr>
          <w:szCs w:val="18"/>
        </w:rPr>
        <w:t xml:space="preserve"> foreign ownership of Pandora Media in excess of the 25 percent benchmark of Section 310(b)(4), subject to certain conditions</w:t>
      </w:r>
      <w:r w:rsidR="00650495">
        <w:rPr>
          <w:szCs w:val="18"/>
        </w:rPr>
        <w:t xml:space="preserve">, including </w:t>
      </w:r>
      <w:r w:rsidR="00650495" w:rsidRPr="00BE7F4A">
        <w:rPr>
          <w:szCs w:val="22"/>
        </w:rPr>
        <w:t xml:space="preserve">prior Commission approval for, </w:t>
      </w:r>
      <w:r w:rsidR="00650495" w:rsidRPr="00BE7F4A">
        <w:rPr>
          <w:i/>
          <w:iCs/>
          <w:szCs w:val="22"/>
        </w:rPr>
        <w:t>inter alia,</w:t>
      </w:r>
      <w:r w:rsidR="00650495" w:rsidRPr="00BE7F4A">
        <w:rPr>
          <w:szCs w:val="22"/>
        </w:rPr>
        <w:t>"</w:t>
      </w:r>
      <w:r w:rsidR="00D408B5">
        <w:rPr>
          <w:szCs w:val="22"/>
        </w:rPr>
        <w:t xml:space="preserve"> </w:t>
      </w:r>
      <w:r w:rsidR="00650495" w:rsidRPr="00BE7F4A">
        <w:rPr>
          <w:szCs w:val="22"/>
        </w:rPr>
        <w:t>any individual foreign investor or 'group' acquiring a greater than five percent voting or equity interest (or ten percent for certain institutional investors) in Pandora Media."</w:t>
      </w:r>
      <w:r w:rsidR="00650495" w:rsidRPr="00BE7F4A">
        <w:rPr>
          <w:szCs w:val="22"/>
          <w:vertAlign w:val="superscript"/>
        </w:rPr>
        <w:footnoteReference w:id="5"/>
      </w:r>
      <w:r w:rsidR="00650495" w:rsidRPr="00BE7F4A">
        <w:rPr>
          <w:szCs w:val="22"/>
        </w:rPr>
        <w:t xml:space="preserve"> </w:t>
      </w:r>
      <w:r w:rsidRPr="00BE7F4A">
        <w:rPr>
          <w:szCs w:val="18"/>
        </w:rPr>
        <w:t xml:space="preserve">  </w:t>
      </w:r>
      <w:r w:rsidR="00650495">
        <w:rPr>
          <w:szCs w:val="18"/>
        </w:rPr>
        <w:t xml:space="preserve"> </w:t>
      </w:r>
    </w:p>
    <w:p w:rsidR="00BE7F4A" w:rsidRPr="00BE7F4A" w:rsidRDefault="00BE7F4A" w:rsidP="00BE7F4A">
      <w:pPr>
        <w:rPr>
          <w:szCs w:val="18"/>
        </w:rPr>
      </w:pPr>
    </w:p>
    <w:p w:rsidR="00BE7F4A" w:rsidRPr="00BE7F4A" w:rsidRDefault="00BE7F4A" w:rsidP="00BE7F4A">
      <w:pPr>
        <w:autoSpaceDE w:val="0"/>
        <w:autoSpaceDN w:val="0"/>
        <w:adjustRightInd w:val="0"/>
        <w:rPr>
          <w:szCs w:val="22"/>
        </w:rPr>
      </w:pPr>
      <w:r w:rsidRPr="00BE7F4A">
        <w:rPr>
          <w:szCs w:val="18"/>
        </w:rPr>
        <w:t xml:space="preserve">In its Petition, Corvex states that it </w:t>
      </w:r>
      <w:r w:rsidRPr="00BE7F4A">
        <w:rPr>
          <w:szCs w:val="22"/>
        </w:rPr>
        <w:t xml:space="preserve">is organized under the laws of the Cayman Islands and is ultimately controlled by Keith Meister, a U.S. citizen, through a series of intervening entities that are organized under Delaware law and owned and controlled by U.S. citizens.  </w:t>
      </w:r>
      <w:r w:rsidR="00CA075E">
        <w:rPr>
          <w:szCs w:val="22"/>
        </w:rPr>
        <w:t>According to Corvex,</w:t>
      </w:r>
      <w:r w:rsidR="007A4B8F">
        <w:rPr>
          <w:szCs w:val="22"/>
        </w:rPr>
        <w:t xml:space="preserve"> all of its limited partners are fully insulated in accordance with the Commission’s broadcast attribution rules.</w:t>
      </w:r>
      <w:r w:rsidR="007A4B8F">
        <w:rPr>
          <w:rStyle w:val="FootnoteReference"/>
          <w:szCs w:val="22"/>
        </w:rPr>
        <w:footnoteReference w:id="6"/>
      </w:r>
      <w:r w:rsidRPr="00BE7F4A">
        <w:rPr>
          <w:szCs w:val="22"/>
        </w:rPr>
        <w:t xml:space="preserve">  </w:t>
      </w:r>
      <w:r w:rsidR="00616D40">
        <w:rPr>
          <w:szCs w:val="22"/>
        </w:rPr>
        <w:t xml:space="preserve">As a minority shareholder, </w:t>
      </w:r>
      <w:r w:rsidR="00616D40" w:rsidRPr="00BE7F4A">
        <w:rPr>
          <w:szCs w:val="22"/>
        </w:rPr>
        <w:lastRenderedPageBreak/>
        <w:t xml:space="preserve">Corvex </w:t>
      </w:r>
      <w:r w:rsidR="00616D40">
        <w:rPr>
          <w:szCs w:val="22"/>
        </w:rPr>
        <w:t>asserts that it will</w:t>
      </w:r>
      <w:r w:rsidR="00616D40" w:rsidRPr="00BE7F4A">
        <w:rPr>
          <w:szCs w:val="22"/>
        </w:rPr>
        <w:t xml:space="preserve"> not have the ability to significantly influence the management or operations of Pandora </w:t>
      </w:r>
      <w:r w:rsidR="005C008E">
        <w:rPr>
          <w:szCs w:val="22"/>
        </w:rPr>
        <w:t>FM</w:t>
      </w:r>
      <w:r w:rsidR="00616D40" w:rsidRPr="00BE7F4A">
        <w:rPr>
          <w:szCs w:val="22"/>
        </w:rPr>
        <w:t xml:space="preserve">. </w:t>
      </w:r>
      <w:r w:rsidR="00616D40">
        <w:rPr>
          <w:szCs w:val="22"/>
        </w:rPr>
        <w:t xml:space="preserve"> </w:t>
      </w:r>
      <w:r w:rsidRPr="00BE7F4A">
        <w:rPr>
          <w:szCs w:val="22"/>
        </w:rPr>
        <w:t xml:space="preserve">Corvex contends that </w:t>
      </w:r>
      <w:r w:rsidR="00157164">
        <w:rPr>
          <w:szCs w:val="22"/>
        </w:rPr>
        <w:t xml:space="preserve">the proposed transaction does not present any significant </w:t>
      </w:r>
      <w:r w:rsidRPr="00BE7F4A">
        <w:rPr>
          <w:szCs w:val="22"/>
        </w:rPr>
        <w:t>foreign ownership or national security issues</w:t>
      </w:r>
      <w:r w:rsidR="00157164">
        <w:rPr>
          <w:szCs w:val="22"/>
        </w:rPr>
        <w:t>, but merely “permits a U.S.-controlled entity that already invests in Pandora Media to exercise options and acquire additional stock in the company, without changing its status as a non-controlling, minority, investor in Pandora Media</w:t>
      </w:r>
      <w:r w:rsidRPr="00BE7F4A">
        <w:rPr>
          <w:szCs w:val="22"/>
        </w:rPr>
        <w:t>.</w:t>
      </w:r>
      <w:r w:rsidR="0095254B">
        <w:rPr>
          <w:szCs w:val="22"/>
        </w:rPr>
        <w:t>”</w:t>
      </w:r>
      <w:r w:rsidR="00157164">
        <w:rPr>
          <w:rStyle w:val="FootnoteReference"/>
          <w:szCs w:val="22"/>
        </w:rPr>
        <w:footnoteReference w:id="7"/>
      </w:r>
      <w:r w:rsidRPr="00BE7F4A">
        <w:rPr>
          <w:szCs w:val="22"/>
        </w:rPr>
        <w:t xml:space="preserve"> </w:t>
      </w:r>
      <w:r w:rsidR="00616D40">
        <w:rPr>
          <w:szCs w:val="22"/>
        </w:rPr>
        <w:t xml:space="preserve"> </w:t>
      </w:r>
      <w:r w:rsidRPr="00BE7F4A">
        <w:rPr>
          <w:szCs w:val="22"/>
        </w:rPr>
        <w:t xml:space="preserve">Corvex </w:t>
      </w:r>
      <w:r w:rsidR="00157164">
        <w:rPr>
          <w:szCs w:val="22"/>
        </w:rPr>
        <w:t xml:space="preserve">argues that grant of the </w:t>
      </w:r>
      <w:r w:rsidRPr="00BE7F4A">
        <w:rPr>
          <w:szCs w:val="22"/>
        </w:rPr>
        <w:t xml:space="preserve">Petition will facilitate investment in the publicly traded parent corporation of a recent entrant to the broadcast radio market, as envisioned by the </w:t>
      </w:r>
      <w:r w:rsidRPr="00BE7F4A">
        <w:rPr>
          <w:i/>
          <w:iCs/>
          <w:szCs w:val="22"/>
        </w:rPr>
        <w:t>Broadcast Foreign Ownership Ruling</w:t>
      </w:r>
      <w:r w:rsidRPr="00BE7F4A">
        <w:rPr>
          <w:iCs/>
          <w:szCs w:val="22"/>
        </w:rPr>
        <w:t xml:space="preserve">, and </w:t>
      </w:r>
      <w:r w:rsidRPr="00BE7F4A">
        <w:rPr>
          <w:szCs w:val="22"/>
        </w:rPr>
        <w:t>will facilitate the efficient operation of the secondary markets for trading stocks of a publicly traded company, without increasing the likelihood of foreign influence or control.</w:t>
      </w:r>
      <w:r w:rsidR="0095254B">
        <w:rPr>
          <w:rStyle w:val="FootnoteReference"/>
          <w:szCs w:val="22"/>
        </w:rPr>
        <w:footnoteReference w:id="8"/>
      </w:r>
      <w:r w:rsidRPr="00BE7F4A">
        <w:rPr>
          <w:szCs w:val="22"/>
        </w:rPr>
        <w:t xml:space="preserve"> </w:t>
      </w:r>
    </w:p>
    <w:p w:rsidR="00BE7F4A" w:rsidRPr="00BE7F4A" w:rsidRDefault="00BE7F4A" w:rsidP="00BE7F4A">
      <w:pPr>
        <w:rPr>
          <w:szCs w:val="18"/>
        </w:rPr>
      </w:pPr>
    </w:p>
    <w:p w:rsidR="00BE7F4A" w:rsidRPr="00BE7F4A" w:rsidRDefault="00BE7F4A" w:rsidP="00BE7F4A">
      <w:pPr>
        <w:rPr>
          <w:szCs w:val="18"/>
        </w:rPr>
      </w:pPr>
      <w:r w:rsidRPr="00BE7F4A">
        <w:rPr>
          <w:szCs w:val="18"/>
        </w:rPr>
        <w:t>The Petition has been found, on initial review, to be acceptable for filing.  The Commission may require Corvex to submit any additional documents or statements of fact that in its judgment may be necessary.  The Commission also reserves the right to return the Petition if, on further examination, it is determined to be defective and not in conformance with its Rules and policies.</w:t>
      </w:r>
    </w:p>
    <w:p w:rsidR="00BE7F4A" w:rsidRPr="00BE7F4A" w:rsidRDefault="00BE7F4A" w:rsidP="00BE7F4A">
      <w:pPr>
        <w:ind w:firstLine="720"/>
        <w:rPr>
          <w:szCs w:val="18"/>
        </w:rPr>
      </w:pPr>
    </w:p>
    <w:p w:rsidR="00BE7F4A" w:rsidRPr="00BE7F4A" w:rsidRDefault="00BE7F4A" w:rsidP="00BE7F4A">
      <w:pPr>
        <w:spacing w:before="120" w:after="240"/>
        <w:rPr>
          <w:b/>
          <w:szCs w:val="22"/>
        </w:rPr>
      </w:pPr>
      <w:r w:rsidRPr="00BE7F4A">
        <w:rPr>
          <w:b/>
          <w:i/>
          <w:szCs w:val="22"/>
        </w:rPr>
        <w:t xml:space="preserve">EX PARTE </w:t>
      </w:r>
      <w:r w:rsidRPr="00BE7F4A">
        <w:rPr>
          <w:b/>
          <w:szCs w:val="22"/>
        </w:rPr>
        <w:t>STATUS OF THIS PROCEEDING</w:t>
      </w:r>
    </w:p>
    <w:p w:rsidR="00BE7F4A" w:rsidRPr="00BE7F4A" w:rsidRDefault="00BE7F4A" w:rsidP="00BE7F4A">
      <w:pPr>
        <w:spacing w:before="120" w:after="240"/>
        <w:rPr>
          <w:szCs w:val="22"/>
        </w:rPr>
      </w:pPr>
      <w:r w:rsidRPr="00BE7F4A">
        <w:rPr>
          <w:szCs w:val="22"/>
        </w:rPr>
        <w:t xml:space="preserve">Pursuant to 47 </w:t>
      </w:r>
      <w:r w:rsidR="00F62106">
        <w:rPr>
          <w:szCs w:val="22"/>
        </w:rPr>
        <w:t>CFR</w:t>
      </w:r>
      <w:r w:rsidRPr="00BE7F4A">
        <w:rPr>
          <w:szCs w:val="22"/>
        </w:rPr>
        <w:t xml:space="preserve"> § 1.1200(a), the Commission may adopt modified </w:t>
      </w:r>
      <w:r w:rsidRPr="00BE7F4A">
        <w:rPr>
          <w:i/>
          <w:szCs w:val="22"/>
        </w:rPr>
        <w:t xml:space="preserve">ex parte </w:t>
      </w:r>
      <w:r w:rsidRPr="00BE7F4A">
        <w:rPr>
          <w:szCs w:val="22"/>
        </w:rPr>
        <w:t xml:space="preserve">procedures in situations where doing so would serve the public interest.  We announce that this procedure will be governed by the permit-but-disclose </w:t>
      </w:r>
      <w:r w:rsidRPr="00BE7F4A">
        <w:rPr>
          <w:i/>
          <w:szCs w:val="22"/>
        </w:rPr>
        <w:t xml:space="preserve">ex parte </w:t>
      </w:r>
      <w:r w:rsidRPr="00BE7F4A">
        <w:rPr>
          <w:szCs w:val="22"/>
        </w:rPr>
        <w:t xml:space="preserve">procedures that are applicable to non-restricted proceedings under Section 1.1206 of </w:t>
      </w:r>
      <w:r w:rsidR="00BE4446">
        <w:rPr>
          <w:szCs w:val="22"/>
        </w:rPr>
        <w:t xml:space="preserve">the </w:t>
      </w:r>
      <w:r w:rsidRPr="00BE7F4A">
        <w:rPr>
          <w:szCs w:val="22"/>
        </w:rPr>
        <w:t>Commission’s Rules.</w:t>
      </w:r>
      <w:r w:rsidRPr="00BE7F4A">
        <w:rPr>
          <w:szCs w:val="22"/>
          <w:vertAlign w:val="superscript"/>
        </w:rPr>
        <w:footnoteReference w:id="9"/>
      </w:r>
      <w:r w:rsidRPr="00BE7F4A">
        <w:rPr>
          <w:szCs w:val="22"/>
        </w:rPr>
        <w:t xml:space="preserve">  </w:t>
      </w:r>
    </w:p>
    <w:p w:rsidR="00BE7F4A" w:rsidRPr="00BE7F4A" w:rsidRDefault="00BE7F4A" w:rsidP="00BE7F4A">
      <w:pPr>
        <w:spacing w:before="120" w:after="240"/>
        <w:rPr>
          <w:szCs w:val="22"/>
        </w:rPr>
      </w:pPr>
      <w:r w:rsidRPr="00BE7F4A">
        <w:rPr>
          <w:szCs w:val="22"/>
        </w:rPr>
        <w:t xml:space="preserve">Permit-but-disclose </w:t>
      </w:r>
      <w:r w:rsidRPr="00BE7F4A">
        <w:rPr>
          <w:i/>
          <w:szCs w:val="22"/>
        </w:rPr>
        <w:t>ex parte</w:t>
      </w:r>
      <w:r w:rsidRPr="00BE7F4A">
        <w:rPr>
          <w:szCs w:val="22"/>
        </w:rPr>
        <w:t xml:space="preserve"> procedures permit interested parties to make </w:t>
      </w:r>
      <w:r w:rsidRPr="00BE7F4A">
        <w:rPr>
          <w:i/>
          <w:szCs w:val="22"/>
        </w:rPr>
        <w:t>ex parte</w:t>
      </w:r>
      <w:r w:rsidRPr="00BE7F4A">
        <w:rPr>
          <w:szCs w:val="22"/>
        </w:rPr>
        <w:t xml:space="preserve"> presentations to the Commissioners and Commission employees and require that these presentations be disclosed in the record of the relevant proceeding.  Persons making a written </w:t>
      </w:r>
      <w:r w:rsidRPr="00BE7F4A">
        <w:rPr>
          <w:i/>
          <w:szCs w:val="22"/>
        </w:rPr>
        <w:t>ex parte</w:t>
      </w:r>
      <w:r w:rsidRPr="00BE7F4A">
        <w:rPr>
          <w:szCs w:val="22"/>
        </w:rPr>
        <w:t xml:space="preserve"> presentation to the Commissioners or Commission employees must file the written presentation with the Commission’s Secretary no later than two business day</w:t>
      </w:r>
      <w:r w:rsidR="002F0922">
        <w:rPr>
          <w:szCs w:val="22"/>
        </w:rPr>
        <w:t>s</w:t>
      </w:r>
      <w:r w:rsidRPr="00BE7F4A">
        <w:rPr>
          <w:szCs w:val="22"/>
        </w:rPr>
        <w:t xml:space="preserve"> after the presentation.</w:t>
      </w:r>
      <w:r w:rsidRPr="00BE7F4A">
        <w:rPr>
          <w:szCs w:val="22"/>
          <w:vertAlign w:val="superscript"/>
        </w:rPr>
        <w:footnoteReference w:id="10"/>
      </w:r>
      <w:r w:rsidRPr="00BE7F4A">
        <w:rPr>
          <w:szCs w:val="22"/>
        </w:rPr>
        <w:t xml:space="preserve">  Persons making oral </w:t>
      </w:r>
      <w:r w:rsidRPr="00BE7F4A">
        <w:rPr>
          <w:i/>
          <w:szCs w:val="22"/>
        </w:rPr>
        <w:t>ex parte</w:t>
      </w:r>
      <w:r w:rsidRPr="00BE7F4A">
        <w:rPr>
          <w:szCs w:val="22"/>
        </w:rPr>
        <w:t xml:space="preserve"> presentations must file a summary of the presentation no later than the next business day after the presentation.</w:t>
      </w:r>
      <w:r w:rsidRPr="00BE7F4A">
        <w:rPr>
          <w:szCs w:val="22"/>
          <w:vertAlign w:val="superscript"/>
        </w:rPr>
        <w:footnoteReference w:id="11"/>
      </w:r>
      <w:r w:rsidRPr="00BE7F4A">
        <w:rPr>
          <w:szCs w:val="22"/>
        </w:rPr>
        <w:t xml:space="preserve">  All </w:t>
      </w:r>
      <w:r w:rsidRPr="00BE7F4A">
        <w:rPr>
          <w:i/>
          <w:szCs w:val="22"/>
        </w:rPr>
        <w:t>ex parte</w:t>
      </w:r>
      <w:r w:rsidRPr="00BE7F4A">
        <w:rPr>
          <w:szCs w:val="22"/>
        </w:rPr>
        <w:t xml:space="preserve"> filings must be clearly labeled as such and must reference MB Docket No. </w:t>
      </w:r>
      <w:r w:rsidR="00F501BD" w:rsidRPr="00F501BD">
        <w:t>16-253</w:t>
      </w:r>
      <w:r w:rsidR="00F501BD">
        <w:t>.</w:t>
      </w:r>
      <w:r w:rsidRPr="00BE7F4A">
        <w:rPr>
          <w:szCs w:val="22"/>
        </w:rPr>
        <w:t xml:space="preserve">  Parties are reminded that memoranda summarizing the presentation must contain the presentation’s substance and not merely list the subjects discussed.</w:t>
      </w:r>
      <w:r w:rsidRPr="00BE7F4A">
        <w:rPr>
          <w:szCs w:val="22"/>
          <w:vertAlign w:val="superscript"/>
        </w:rPr>
        <w:footnoteReference w:id="12"/>
      </w:r>
      <w:r w:rsidRPr="00BE7F4A">
        <w:rPr>
          <w:szCs w:val="22"/>
        </w:rPr>
        <w:t xml:space="preserve">  More than a one or two sentence description of the views and arguments presented is generally required.</w:t>
      </w:r>
      <w:r w:rsidRPr="00BE7F4A">
        <w:rPr>
          <w:szCs w:val="22"/>
          <w:vertAlign w:val="superscript"/>
        </w:rPr>
        <w:footnoteReference w:id="13"/>
      </w:r>
    </w:p>
    <w:p w:rsidR="00BE7F4A" w:rsidRPr="00BE7F4A" w:rsidRDefault="00BE7F4A" w:rsidP="00BE7F4A">
      <w:pPr>
        <w:autoSpaceDE w:val="0"/>
        <w:autoSpaceDN w:val="0"/>
        <w:adjustRightInd w:val="0"/>
        <w:rPr>
          <w:b/>
          <w:bCs/>
          <w:color w:val="010101"/>
          <w:szCs w:val="22"/>
        </w:rPr>
      </w:pPr>
      <w:r w:rsidRPr="00BE7F4A">
        <w:rPr>
          <w:b/>
          <w:bCs/>
          <w:color w:val="010101"/>
          <w:szCs w:val="22"/>
        </w:rPr>
        <w:t>GENERAL INFORMATION</w:t>
      </w:r>
    </w:p>
    <w:p w:rsidR="00BE7F4A" w:rsidRPr="00BE7F4A" w:rsidRDefault="00BE7F4A" w:rsidP="00BE7F4A">
      <w:pPr>
        <w:autoSpaceDE w:val="0"/>
        <w:autoSpaceDN w:val="0"/>
        <w:adjustRightInd w:val="0"/>
        <w:rPr>
          <w:b/>
          <w:bCs/>
          <w:color w:val="010101"/>
          <w:szCs w:val="22"/>
        </w:rPr>
      </w:pPr>
    </w:p>
    <w:p w:rsidR="00BE7F4A" w:rsidRPr="00BE7F4A" w:rsidRDefault="00BE7F4A" w:rsidP="00BE7F4A">
      <w:pPr>
        <w:autoSpaceDE w:val="0"/>
        <w:autoSpaceDN w:val="0"/>
        <w:adjustRightInd w:val="0"/>
        <w:rPr>
          <w:color w:val="010101"/>
          <w:szCs w:val="22"/>
        </w:rPr>
      </w:pPr>
      <w:r w:rsidRPr="00BE7F4A">
        <w:rPr>
          <w:color w:val="010101"/>
          <w:szCs w:val="22"/>
        </w:rPr>
        <w:t xml:space="preserve">The Petition and all further filings will be available in the Commissions Electronic Comment Filing System (“ECFS”) under </w:t>
      </w:r>
      <w:r w:rsidR="001564F2">
        <w:rPr>
          <w:color w:val="010101"/>
          <w:szCs w:val="22"/>
        </w:rPr>
        <w:t xml:space="preserve">MB </w:t>
      </w:r>
      <w:r w:rsidRPr="00BE7F4A">
        <w:rPr>
          <w:color w:val="010101"/>
          <w:szCs w:val="22"/>
        </w:rPr>
        <w:t xml:space="preserve">Docket </w:t>
      </w:r>
      <w:r w:rsidR="00F501BD" w:rsidRPr="00F501BD">
        <w:t>16-253</w:t>
      </w:r>
      <w:r w:rsidRPr="00BE7F4A">
        <w:rPr>
          <w:color w:val="010101"/>
          <w:szCs w:val="22"/>
        </w:rPr>
        <w:t xml:space="preserve">.  As of this date, all pleadings, comments and other filings are to be made in ECFS in </w:t>
      </w:r>
      <w:r w:rsidR="001564F2">
        <w:rPr>
          <w:color w:val="010101"/>
          <w:szCs w:val="22"/>
        </w:rPr>
        <w:t xml:space="preserve">MB </w:t>
      </w:r>
      <w:r w:rsidRPr="00BE7F4A">
        <w:rPr>
          <w:color w:val="010101"/>
          <w:szCs w:val="22"/>
        </w:rPr>
        <w:t xml:space="preserve">Docket </w:t>
      </w:r>
      <w:r w:rsidR="00F501BD" w:rsidRPr="00F501BD">
        <w:t>16-253</w:t>
      </w:r>
      <w:r w:rsidRPr="00BE7F4A">
        <w:rPr>
          <w:color w:val="010101"/>
          <w:szCs w:val="22"/>
        </w:rPr>
        <w:t>.  Persons and entities that file comments become parties to the proceeding.</w:t>
      </w:r>
      <w:r w:rsidR="004F534D">
        <w:rPr>
          <w:color w:val="010101"/>
          <w:szCs w:val="22"/>
        </w:rPr>
        <w:t xml:space="preserve"> </w:t>
      </w:r>
      <w:r w:rsidRPr="00BE7F4A">
        <w:rPr>
          <w:color w:val="010101"/>
          <w:szCs w:val="22"/>
        </w:rPr>
        <w:t xml:space="preserve"> They may participate fully in the proceeding, including seeking access to any confidential and/or highly confidential information that may be filed under a protective order.</w:t>
      </w:r>
    </w:p>
    <w:p w:rsidR="00BE7F4A" w:rsidRPr="00BE7F4A" w:rsidRDefault="00BE7F4A" w:rsidP="00BE7F4A">
      <w:pPr>
        <w:autoSpaceDE w:val="0"/>
        <w:autoSpaceDN w:val="0"/>
        <w:adjustRightInd w:val="0"/>
        <w:rPr>
          <w:color w:val="010101"/>
          <w:szCs w:val="22"/>
        </w:rPr>
      </w:pPr>
    </w:p>
    <w:p w:rsidR="00BE7F4A" w:rsidRPr="00BE7F4A" w:rsidRDefault="00BE7F4A" w:rsidP="00BE7F4A">
      <w:pPr>
        <w:autoSpaceDE w:val="0"/>
        <w:autoSpaceDN w:val="0"/>
        <w:adjustRightInd w:val="0"/>
        <w:rPr>
          <w:bCs/>
          <w:color w:val="010101"/>
          <w:szCs w:val="22"/>
        </w:rPr>
      </w:pPr>
      <w:r w:rsidRPr="00BE7F4A">
        <w:rPr>
          <w:bCs/>
          <w:color w:val="010101"/>
          <w:szCs w:val="22"/>
        </w:rPr>
        <w:t xml:space="preserve">To allow the Commission to consider fully all substantive issues in as timely and efficient a manner as possible, commenters should raise all issues in their initial filings. </w:t>
      </w:r>
      <w:r w:rsidR="004F534D">
        <w:rPr>
          <w:bCs/>
          <w:color w:val="010101"/>
          <w:szCs w:val="22"/>
        </w:rPr>
        <w:t xml:space="preserve"> </w:t>
      </w:r>
      <w:r w:rsidRPr="00BE7F4A">
        <w:rPr>
          <w:bCs/>
          <w:color w:val="010101"/>
          <w:szCs w:val="22"/>
        </w:rPr>
        <w:t xml:space="preserve">New issues may not be raised in responses or replies.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w:t>
      </w:r>
      <w:r w:rsidR="00516627">
        <w:rPr>
          <w:bCs/>
          <w:color w:val="010101"/>
          <w:szCs w:val="22"/>
        </w:rPr>
        <w:t xml:space="preserve"> </w:t>
      </w:r>
      <w:r w:rsidRPr="00BE7F4A">
        <w:rPr>
          <w:bCs/>
          <w:color w:val="010101"/>
          <w:szCs w:val="22"/>
        </w:rPr>
        <w:t>Absent such a showing of good cause, any issues not timely raised may be disregarded by the Commission.</w:t>
      </w:r>
    </w:p>
    <w:p w:rsidR="00BE7F4A" w:rsidRPr="00BE7F4A" w:rsidRDefault="00BE7F4A" w:rsidP="00BE7F4A">
      <w:pPr>
        <w:autoSpaceDE w:val="0"/>
        <w:autoSpaceDN w:val="0"/>
        <w:adjustRightInd w:val="0"/>
        <w:rPr>
          <w:b/>
          <w:bCs/>
          <w:color w:val="010101"/>
          <w:szCs w:val="22"/>
        </w:rPr>
      </w:pPr>
    </w:p>
    <w:p w:rsidR="00BE7F4A" w:rsidRPr="00BE7F4A" w:rsidRDefault="00BE7F4A" w:rsidP="00BE7F4A">
      <w:pPr>
        <w:autoSpaceDE w:val="0"/>
        <w:autoSpaceDN w:val="0"/>
        <w:adjustRightInd w:val="0"/>
        <w:rPr>
          <w:color w:val="010101"/>
          <w:szCs w:val="22"/>
        </w:rPr>
      </w:pPr>
      <w:r w:rsidRPr="00BE7F4A">
        <w:rPr>
          <w:color w:val="010101"/>
          <w:szCs w:val="22"/>
        </w:rPr>
        <w:t>All filings concerning matters referenced in this Public Notice should refer to MB Docket No.</w:t>
      </w:r>
      <w:r w:rsidR="00F501BD">
        <w:rPr>
          <w:color w:val="010101"/>
          <w:szCs w:val="22"/>
        </w:rPr>
        <w:t xml:space="preserve"> </w:t>
      </w:r>
      <w:r w:rsidR="00F501BD" w:rsidRPr="00F501BD">
        <w:t>16-253</w:t>
      </w:r>
      <w:r w:rsidR="00F501BD">
        <w:t>.</w:t>
      </w:r>
    </w:p>
    <w:p w:rsidR="00BE7F4A" w:rsidRPr="00BE7F4A" w:rsidRDefault="00BE7F4A" w:rsidP="00BE7F4A">
      <w:pPr>
        <w:autoSpaceDE w:val="0"/>
        <w:autoSpaceDN w:val="0"/>
        <w:adjustRightInd w:val="0"/>
        <w:rPr>
          <w:color w:val="010101"/>
          <w:szCs w:val="22"/>
        </w:rPr>
      </w:pPr>
    </w:p>
    <w:p w:rsidR="00BE7F4A" w:rsidRPr="00BE7F4A" w:rsidRDefault="00BE7F4A" w:rsidP="00BE7F4A">
      <w:pPr>
        <w:spacing w:after="220"/>
        <w:ind w:firstLine="720"/>
        <w:rPr>
          <w:szCs w:val="22"/>
        </w:rPr>
      </w:pPr>
      <w:r w:rsidRPr="00BE7F4A">
        <w:rPr>
          <w:szCs w:val="22"/>
        </w:rPr>
        <w:t>Under the Commission’s current procedures for the submission of filings and other documents,</w:t>
      </w:r>
      <w:r w:rsidRPr="00BE7F4A">
        <w:rPr>
          <w:szCs w:val="22"/>
          <w:vertAlign w:val="superscript"/>
        </w:rPr>
        <w:footnoteReference w:id="14"/>
      </w:r>
      <w:r w:rsidRPr="00BE7F4A">
        <w:rPr>
          <w:szCs w:val="22"/>
        </w:rPr>
        <w:t xml:space="preserve"> submissions in this matter may be filed electronically though the Commission’s ECFS or by hand delivery to the Commission.  </w:t>
      </w:r>
    </w:p>
    <w:p w:rsidR="00BE7F4A" w:rsidRPr="00292B44" w:rsidRDefault="00BE7F4A" w:rsidP="00250847">
      <w:pPr>
        <w:numPr>
          <w:ilvl w:val="0"/>
          <w:numId w:val="13"/>
        </w:numPr>
        <w:autoSpaceDE w:val="0"/>
        <w:autoSpaceDN w:val="0"/>
        <w:adjustRightInd w:val="0"/>
        <w:rPr>
          <w:szCs w:val="22"/>
        </w:rPr>
      </w:pPr>
      <w:r w:rsidRPr="00292B44">
        <w:rPr>
          <w:b/>
          <w:szCs w:val="22"/>
        </w:rPr>
        <w:t>If filed by ECFS</w:t>
      </w:r>
      <w:r w:rsidRPr="00292B44">
        <w:rPr>
          <w:szCs w:val="22"/>
        </w:rPr>
        <w:t>,</w:t>
      </w:r>
      <w:r w:rsidRPr="00BE7F4A">
        <w:rPr>
          <w:szCs w:val="22"/>
          <w:vertAlign w:val="superscript"/>
        </w:rPr>
        <w:footnoteReference w:id="15"/>
      </w:r>
      <w:r w:rsidRPr="00292B44">
        <w:rPr>
          <w:szCs w:val="22"/>
        </w:rPr>
        <w:t xml:space="preserve"> comments shall be sent as an electronic file via the Internet to </w:t>
      </w:r>
      <w:hyperlink r:id="rId8" w:history="1">
        <w:r w:rsidR="00292B44" w:rsidRPr="00292B44">
          <w:rPr>
            <w:rStyle w:val="Hyperlink"/>
            <w:szCs w:val="22"/>
          </w:rPr>
          <w:t>http://fjallfoss.fcc.gov/ecfs2/</w:t>
        </w:r>
      </w:hyperlink>
      <w:r w:rsidR="00292B44" w:rsidRPr="00292B44">
        <w:rPr>
          <w:szCs w:val="22"/>
        </w:rPr>
        <w:t>.</w:t>
      </w:r>
      <w:r w:rsidR="00292B44">
        <w:rPr>
          <w:szCs w:val="22"/>
        </w:rPr>
        <w:t xml:space="preserve">  </w:t>
      </w:r>
      <w:r w:rsidR="00292B44" w:rsidRPr="00292B44">
        <w:rPr>
          <w:szCs w:val="22"/>
        </w:rPr>
        <w:t xml:space="preserve"> </w:t>
      </w:r>
      <w:r w:rsidRPr="00292B44">
        <w:rPr>
          <w:szCs w:val="22"/>
        </w:rPr>
        <w:t xml:space="preserve">In completing the transmittal screen, commenters should include their full name, U.S. Postal Service mailing address, and the applicable docket number.  </w:t>
      </w:r>
    </w:p>
    <w:p w:rsidR="00292B44" w:rsidRPr="00292B44" w:rsidRDefault="00292B44" w:rsidP="00292B44">
      <w:pPr>
        <w:autoSpaceDE w:val="0"/>
        <w:autoSpaceDN w:val="0"/>
        <w:adjustRightInd w:val="0"/>
        <w:ind w:left="720"/>
        <w:rPr>
          <w:szCs w:val="22"/>
        </w:rPr>
      </w:pPr>
    </w:p>
    <w:p w:rsidR="00BE7F4A" w:rsidRPr="00BE7F4A" w:rsidRDefault="00BE7F4A" w:rsidP="00BE7F4A">
      <w:pPr>
        <w:numPr>
          <w:ilvl w:val="0"/>
          <w:numId w:val="13"/>
        </w:numPr>
        <w:autoSpaceDE w:val="0"/>
        <w:autoSpaceDN w:val="0"/>
        <w:adjustRightInd w:val="0"/>
        <w:rPr>
          <w:szCs w:val="22"/>
        </w:rPr>
      </w:pPr>
      <w:r w:rsidRPr="00BE7F4A">
        <w:rPr>
          <w:b/>
          <w:bCs/>
          <w:color w:val="000000"/>
          <w:szCs w:val="22"/>
        </w:rPr>
        <w:t>If filed by paper</w:t>
      </w:r>
      <w:r w:rsidRPr="00BE7F4A">
        <w:rPr>
          <w:color w:val="000000"/>
          <w:szCs w:val="22"/>
        </w:rPr>
        <w:t xml:space="preserve">, the original and </w:t>
      </w:r>
      <w:r w:rsidR="000669AB">
        <w:rPr>
          <w:color w:val="000000"/>
          <w:szCs w:val="22"/>
        </w:rPr>
        <w:t>one</w:t>
      </w:r>
      <w:r w:rsidRPr="00BE7F4A">
        <w:rPr>
          <w:color w:val="000000"/>
          <w:szCs w:val="22"/>
        </w:rPr>
        <w:t xml:space="preserve"> cop</w:t>
      </w:r>
      <w:r w:rsidR="000669AB">
        <w:rPr>
          <w:color w:val="000000"/>
          <w:szCs w:val="22"/>
        </w:rPr>
        <w:t>y</w:t>
      </w:r>
      <w:r w:rsidRPr="00BE7F4A">
        <w:rPr>
          <w:color w:val="000000"/>
          <w:szCs w:val="22"/>
        </w:rPr>
        <w:t xml:space="preserve"> of each filing must be filed by hand or messenger delivery, by commercial overnight courier, or by first-class or overnight U.S. Postal Service mail.  </w:t>
      </w:r>
      <w:r w:rsidR="000669AB" w:rsidRPr="00BE7F4A">
        <w:rPr>
          <w:color w:val="000000"/>
          <w:szCs w:val="22"/>
        </w:rPr>
        <w:t>All filings must be addressed to the Commission’s Secretary, Office of the Secretary, Federal Communications Commission.</w:t>
      </w:r>
      <w:r w:rsidR="000669AB">
        <w:rPr>
          <w:color w:val="000000"/>
          <w:szCs w:val="22"/>
        </w:rPr>
        <w:t xml:space="preserve"> </w:t>
      </w:r>
      <w:r w:rsidR="003E7604">
        <w:rPr>
          <w:color w:val="000000"/>
          <w:szCs w:val="22"/>
        </w:rPr>
        <w:t xml:space="preserve"> </w:t>
      </w:r>
      <w:r w:rsidRPr="00BE7F4A">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before entering the building.  </w:t>
      </w:r>
      <w:r w:rsidRPr="00BE7F4A">
        <w:rPr>
          <w:color w:val="000000"/>
          <w:szCs w:val="22"/>
        </w:rPr>
        <w:t>Commercial overnight mail (other than U.S. Postal Service Express Mail and Priority Mail) must be sent to 9300 East Hampton Drive, Capitol Heights, MD 20743.  U.S. Postal Service first-class, Express</w:t>
      </w:r>
      <w:r w:rsidR="00516627">
        <w:rPr>
          <w:color w:val="000000"/>
          <w:szCs w:val="22"/>
        </w:rPr>
        <w:t xml:space="preserve"> Mail</w:t>
      </w:r>
      <w:r w:rsidRPr="00BE7F4A">
        <w:rPr>
          <w:color w:val="000000"/>
          <w:szCs w:val="22"/>
        </w:rPr>
        <w:t xml:space="preserve">, and Priority </w:t>
      </w:r>
      <w:r w:rsidR="00516627">
        <w:rPr>
          <w:color w:val="000000"/>
          <w:szCs w:val="22"/>
        </w:rPr>
        <w:t>M</w:t>
      </w:r>
      <w:r w:rsidRPr="00BE7F4A">
        <w:rPr>
          <w:color w:val="000000"/>
          <w:szCs w:val="22"/>
        </w:rPr>
        <w:t xml:space="preserve">ail </w:t>
      </w:r>
      <w:r w:rsidR="000669AB">
        <w:rPr>
          <w:color w:val="000000"/>
          <w:szCs w:val="22"/>
        </w:rPr>
        <w:t>must</w:t>
      </w:r>
      <w:r w:rsidRPr="00BE7F4A">
        <w:rPr>
          <w:color w:val="000000"/>
          <w:szCs w:val="22"/>
        </w:rPr>
        <w:t xml:space="preserve"> be addressed to 445 12th Street, S.W., Washington, D.C. 20554.  </w:t>
      </w:r>
    </w:p>
    <w:p w:rsidR="00BE7F4A" w:rsidRPr="00BE7F4A" w:rsidRDefault="00BE7F4A" w:rsidP="00BE7F4A">
      <w:pPr>
        <w:ind w:left="720"/>
        <w:contextualSpacing/>
        <w:rPr>
          <w:szCs w:val="22"/>
        </w:rPr>
      </w:pPr>
    </w:p>
    <w:p w:rsidR="00BE7F4A" w:rsidRPr="00BE7F4A" w:rsidRDefault="00BE7F4A" w:rsidP="00B175CA">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rPr>
          <w:szCs w:val="22"/>
        </w:rPr>
      </w:pPr>
      <w:r w:rsidRPr="00BE7F4A">
        <w:rPr>
          <w:color w:val="000000"/>
          <w:szCs w:val="22"/>
        </w:rPr>
        <w:t xml:space="preserve">One copy of each </w:t>
      </w:r>
      <w:r w:rsidR="003E7604">
        <w:rPr>
          <w:color w:val="000000"/>
          <w:szCs w:val="22"/>
        </w:rPr>
        <w:t>filing</w:t>
      </w:r>
      <w:r w:rsidRPr="00BE7F4A">
        <w:rPr>
          <w:color w:val="000000"/>
          <w:szCs w:val="22"/>
        </w:rPr>
        <w:t xml:space="preserve"> must be delivered electronically </w:t>
      </w:r>
      <w:r w:rsidR="001B051D">
        <w:rPr>
          <w:color w:val="000000"/>
          <w:szCs w:val="22"/>
        </w:rPr>
        <w:t>(</w:t>
      </w:r>
      <w:r w:rsidRPr="00BE7F4A">
        <w:rPr>
          <w:color w:val="000000"/>
          <w:szCs w:val="22"/>
        </w:rPr>
        <w:t>by e-mail or facsimile</w:t>
      </w:r>
      <w:r w:rsidR="001B051D">
        <w:rPr>
          <w:color w:val="000000"/>
          <w:szCs w:val="22"/>
        </w:rPr>
        <w:t>)</w:t>
      </w:r>
      <w:r w:rsidRPr="00BE7F4A">
        <w:rPr>
          <w:color w:val="000000"/>
          <w:szCs w:val="22"/>
        </w:rPr>
        <w:t xml:space="preserve">, or if </w:t>
      </w:r>
      <w:r w:rsidR="003E7604">
        <w:rPr>
          <w:color w:val="000000"/>
          <w:szCs w:val="22"/>
        </w:rPr>
        <w:t xml:space="preserve">paper </w:t>
      </w:r>
      <w:r w:rsidRPr="00BE7F4A">
        <w:rPr>
          <w:color w:val="000000"/>
          <w:szCs w:val="22"/>
        </w:rPr>
        <w:t>delivered</w:t>
      </w:r>
      <w:r w:rsidR="001B051D">
        <w:rPr>
          <w:color w:val="000000"/>
          <w:szCs w:val="22"/>
        </w:rPr>
        <w:t xml:space="preserve"> (</w:t>
      </w:r>
      <w:r w:rsidRPr="00BE7F4A">
        <w:rPr>
          <w:color w:val="000000"/>
          <w:szCs w:val="22"/>
        </w:rPr>
        <w:t>by hand or messenger delivery, by commercial overnight courier, or by first-class or ove</w:t>
      </w:r>
      <w:r w:rsidR="003E7604">
        <w:rPr>
          <w:color w:val="000000"/>
          <w:szCs w:val="22"/>
        </w:rPr>
        <w:t>rnight U.S. Postal Service mail</w:t>
      </w:r>
      <w:r w:rsidR="001B051D">
        <w:rPr>
          <w:color w:val="000000"/>
          <w:szCs w:val="22"/>
        </w:rPr>
        <w:t>)</w:t>
      </w:r>
      <w:r w:rsidRPr="00BE7F4A">
        <w:rPr>
          <w:color w:val="000000"/>
          <w:szCs w:val="22"/>
        </w:rPr>
        <w:t xml:space="preserve"> to:  (1) </w:t>
      </w:r>
      <w:r w:rsidRPr="00BE7F4A">
        <w:rPr>
          <w:szCs w:val="22"/>
        </w:rPr>
        <w:t xml:space="preserve">Peter Doyle, Audio Division, Media Bureau, at </w:t>
      </w:r>
      <w:hyperlink r:id="rId9" w:history="1">
        <w:r w:rsidRPr="00BE7F4A">
          <w:rPr>
            <w:color w:val="0000FF"/>
            <w:szCs w:val="22"/>
            <w:u w:val="single"/>
          </w:rPr>
          <w:t>peter.doyle@fcc.gov</w:t>
        </w:r>
      </w:hyperlink>
      <w:r w:rsidRPr="00BE7F4A">
        <w:rPr>
          <w:szCs w:val="22"/>
        </w:rPr>
        <w:t xml:space="preserve"> or (202) 418-1410 (facsimile); (2) Lisa Scanlan, Audio Division, Media Bureau, at </w:t>
      </w:r>
      <w:hyperlink r:id="rId10" w:history="1">
        <w:r w:rsidRPr="00BE7F4A">
          <w:rPr>
            <w:color w:val="0000FF"/>
            <w:szCs w:val="22"/>
            <w:u w:val="single"/>
          </w:rPr>
          <w:t>lisa.scanlan@fcc.gov</w:t>
        </w:r>
      </w:hyperlink>
      <w:r w:rsidRPr="00BE7F4A">
        <w:rPr>
          <w:szCs w:val="22"/>
        </w:rPr>
        <w:t xml:space="preserve"> (202) 418-1410 (facsimile); (3) Rolanda F. Smith, Audio Division, Media Bureau, at </w:t>
      </w:r>
      <w:hyperlink r:id="rId11" w:history="1">
        <w:r w:rsidRPr="00BE7F4A">
          <w:rPr>
            <w:color w:val="0000FF"/>
            <w:szCs w:val="22"/>
            <w:u w:val="single"/>
          </w:rPr>
          <w:t>rolanda-faye.smith@fcc.gov</w:t>
        </w:r>
      </w:hyperlink>
      <w:r w:rsidRPr="00BE7F4A">
        <w:rPr>
          <w:szCs w:val="22"/>
        </w:rPr>
        <w:t xml:space="preserve"> or 202 418-1410 (facsimile); and (4) Christine Goepp, Audio Division, Media Bureau, at </w:t>
      </w:r>
      <w:hyperlink r:id="rId12" w:history="1">
        <w:r w:rsidRPr="00BE7F4A">
          <w:rPr>
            <w:color w:val="0000FF"/>
            <w:szCs w:val="22"/>
            <w:u w:val="single"/>
          </w:rPr>
          <w:t>christine.goepp@fcc.gov</w:t>
        </w:r>
      </w:hyperlink>
      <w:r w:rsidRPr="00BE7F4A">
        <w:rPr>
          <w:szCs w:val="22"/>
        </w:rPr>
        <w:t xml:space="preserve"> or (202) 418-1410 (facsimile).  </w:t>
      </w:r>
      <w:r w:rsidRPr="00BE7F4A">
        <w:rPr>
          <w:spacing w:val="-2"/>
          <w:szCs w:val="22"/>
        </w:rPr>
        <w:t xml:space="preserve">Any submission that is e-mailed to Peter Doyle, Lisa Scanlan, Rolanda F. Smith, and Christine Goepp should include in the subject line of the e-mail:  (1) MB </w:t>
      </w:r>
      <w:r w:rsidRPr="00BE7F4A">
        <w:rPr>
          <w:szCs w:val="22"/>
        </w:rPr>
        <w:t xml:space="preserve">Docket No. </w:t>
      </w:r>
      <w:r w:rsidR="00F501BD" w:rsidRPr="00F501BD">
        <w:t>16-253</w:t>
      </w:r>
      <w:r w:rsidR="00F501BD">
        <w:rPr>
          <w:szCs w:val="22"/>
        </w:rPr>
        <w:t xml:space="preserve">; </w:t>
      </w:r>
      <w:r w:rsidRPr="00BE7F4A">
        <w:rPr>
          <w:szCs w:val="22"/>
        </w:rPr>
        <w:t>(2) the name of the submitting party; (3) the type of document being submitted.</w:t>
      </w:r>
    </w:p>
    <w:p w:rsidR="00BE7F4A" w:rsidRPr="00BE7F4A" w:rsidRDefault="00BE7F4A" w:rsidP="00B175CA">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rPr>
          <w:szCs w:val="22"/>
        </w:rPr>
      </w:pPr>
      <w:r w:rsidRPr="00BE7F4A">
        <w:rPr>
          <w:color w:val="000000"/>
          <w:szCs w:val="22"/>
        </w:rPr>
        <w:t xml:space="preserve">Copies of the Petition and any subsequently-filed documents in this matter are available for public inspection and copying during normal reference room hours at the following Commission office:  FCC Reference Information Center, 445 12th Street, S.W., Room CY-A257, Washington, D.C. 20554.  </w:t>
      </w:r>
    </w:p>
    <w:p w:rsidR="00BE7F4A" w:rsidRDefault="00BE7F4A" w:rsidP="00B175CA">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rPr>
          <w:szCs w:val="22"/>
        </w:rPr>
      </w:pPr>
      <w:r w:rsidRPr="00BE7F4A">
        <w:rPr>
          <w:szCs w:val="22"/>
        </w:rPr>
        <w:t>To request materials in accessible formats for people with disabilities (Braille, large print, electronic files, audio format), send an email to</w:t>
      </w:r>
      <w:r w:rsidR="001875C4">
        <w:rPr>
          <w:szCs w:val="22"/>
        </w:rPr>
        <w:t>:</w:t>
      </w:r>
      <w:r w:rsidRPr="00BE7F4A">
        <w:rPr>
          <w:szCs w:val="22"/>
        </w:rPr>
        <w:t xml:space="preserve"> </w:t>
      </w:r>
      <w:hyperlink r:id="rId13" w:history="1">
        <w:r w:rsidR="001875C4" w:rsidRPr="00CB4871">
          <w:rPr>
            <w:rStyle w:val="Hyperlink"/>
            <w:szCs w:val="22"/>
          </w:rPr>
          <w:t>fcc504@fcc.gov</w:t>
        </w:r>
      </w:hyperlink>
      <w:r w:rsidRPr="00BE7F4A">
        <w:rPr>
          <w:szCs w:val="22"/>
        </w:rPr>
        <w:t xml:space="preserve"> or call the Consumer and Governmental Affairs Bureau at (202) 418-0530 (voice) or (202) 418-0432 (TTY).  Contact the FCC to request reasonable accommodations for filing comments (accessible format documents, sign language interpreters, CART, etc.) by email:  </w:t>
      </w:r>
      <w:hyperlink r:id="rId14" w:history="1">
        <w:r w:rsidR="001875C4" w:rsidRPr="00CB4871">
          <w:rPr>
            <w:rStyle w:val="Hyperlink"/>
            <w:szCs w:val="22"/>
          </w:rPr>
          <w:t>fcc504@fcc.gov</w:t>
        </w:r>
      </w:hyperlink>
      <w:r w:rsidRPr="00BE7F4A">
        <w:rPr>
          <w:szCs w:val="22"/>
        </w:rPr>
        <w:t>; phone: (202) 418-0530 or TTY:  (202) 418-0432.</w:t>
      </w:r>
    </w:p>
    <w:p w:rsidR="00B175CA" w:rsidRPr="00BE7F4A" w:rsidRDefault="00B175CA" w:rsidP="00B175CA">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rPr>
          <w:rFonts w:ascii="Times New" w:hAnsi="Times New"/>
          <w:i/>
          <w:sz w:val="24"/>
          <w:szCs w:val="22"/>
        </w:rPr>
      </w:pPr>
    </w:p>
    <w:p w:rsidR="00BE7F4A" w:rsidRPr="00BE7F4A" w:rsidRDefault="00BE7F4A" w:rsidP="00960E28">
      <w:pPr>
        <w:rPr>
          <w:szCs w:val="22"/>
        </w:rPr>
      </w:pPr>
      <w:r w:rsidRPr="00BE7F4A">
        <w:rPr>
          <w:b/>
          <w:szCs w:val="22"/>
        </w:rPr>
        <w:t>SUPPLEMENTARY INFORMATION</w:t>
      </w:r>
      <w:r w:rsidRPr="00BE7F4A">
        <w:rPr>
          <w:szCs w:val="22"/>
        </w:rPr>
        <w:t xml:space="preserve"> </w:t>
      </w:r>
    </w:p>
    <w:p w:rsidR="00BE7F4A" w:rsidRPr="00BE7F4A" w:rsidRDefault="00BE7F4A" w:rsidP="00BE7F4A">
      <w:pPr>
        <w:ind w:left="360"/>
        <w:rPr>
          <w:szCs w:val="22"/>
        </w:rPr>
      </w:pPr>
    </w:p>
    <w:p w:rsidR="00BE7F4A" w:rsidRPr="00BE7F4A" w:rsidRDefault="00BE7F4A" w:rsidP="00BE7F4A">
      <w:pPr>
        <w:rPr>
          <w:szCs w:val="22"/>
        </w:rPr>
      </w:pPr>
      <w:r w:rsidRPr="00BE7F4A">
        <w:rPr>
          <w:szCs w:val="22"/>
        </w:rPr>
        <w:t xml:space="preserve">The proceeding this Notice initiates shall be treated as a “permit-but-disclose” proceeding in accordance with the Commission’s </w:t>
      </w:r>
      <w:r w:rsidRPr="00BE7F4A">
        <w:rPr>
          <w:i/>
          <w:iCs/>
          <w:szCs w:val="22"/>
        </w:rPr>
        <w:t xml:space="preserve">ex parte </w:t>
      </w:r>
      <w:r w:rsidRPr="00BE7F4A">
        <w:rPr>
          <w:szCs w:val="22"/>
        </w:rPr>
        <w:t>rules.</w:t>
      </w:r>
      <w:r w:rsidRPr="00BE7F4A">
        <w:rPr>
          <w:szCs w:val="22"/>
          <w:vertAlign w:val="superscript"/>
        </w:rPr>
        <w:footnoteReference w:id="16"/>
      </w:r>
      <w:r w:rsidRPr="00BE7F4A">
        <w:rPr>
          <w:szCs w:val="22"/>
        </w:rPr>
        <w:t xml:space="preserve">  Persons making </w:t>
      </w:r>
      <w:r w:rsidRPr="00BE7F4A">
        <w:rPr>
          <w:i/>
          <w:szCs w:val="22"/>
        </w:rPr>
        <w:t xml:space="preserve">ex parte </w:t>
      </w:r>
      <w:r w:rsidRPr="00BE7F4A">
        <w:rPr>
          <w:szCs w:val="22"/>
        </w:rPr>
        <w:t>presentations must file a copy of any written presentation or a memorandum summarizing any oral presentation within two busin</w:t>
      </w:r>
      <w:r w:rsidR="00175BC2">
        <w:rPr>
          <w:szCs w:val="22"/>
        </w:rPr>
        <w:t>ess days after the presentation</w:t>
      </w:r>
      <w:r w:rsidRPr="00BE7F4A">
        <w:rPr>
          <w:szCs w:val="22"/>
        </w:rPr>
        <w:t xml:space="preserve">.  Persons making oral </w:t>
      </w:r>
      <w:r w:rsidRPr="00BE7F4A">
        <w:rPr>
          <w:i/>
          <w:iCs/>
          <w:szCs w:val="22"/>
        </w:rPr>
        <w:t xml:space="preserve">ex parte </w:t>
      </w:r>
      <w:r w:rsidRPr="00BE7F4A">
        <w:rPr>
          <w:szCs w:val="22"/>
        </w:rPr>
        <w:t xml:space="preserve">presentations are reminded that memoranda summarizing the presentation must (1) list all persons attending or otherwise participating in the meeting at which the </w:t>
      </w:r>
      <w:r w:rsidRPr="00BE7F4A">
        <w:rPr>
          <w:i/>
          <w:iCs/>
          <w:szCs w:val="22"/>
        </w:rPr>
        <w:t xml:space="preserve">ex parte </w:t>
      </w:r>
      <w:r w:rsidRPr="00BE7F4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7F4A">
        <w:rPr>
          <w:i/>
          <w:iCs/>
          <w:szCs w:val="22"/>
        </w:rPr>
        <w:t xml:space="preserve">ex parte </w:t>
      </w:r>
      <w:r w:rsidRPr="00BE7F4A">
        <w:rPr>
          <w:szCs w:val="22"/>
        </w:rPr>
        <w:t xml:space="preserve">meetings are deemed to be written </w:t>
      </w:r>
      <w:r w:rsidRPr="00BE7F4A">
        <w:rPr>
          <w:i/>
          <w:iCs/>
          <w:szCs w:val="22"/>
        </w:rPr>
        <w:t>ex parte</w:t>
      </w:r>
      <w:r w:rsidRPr="00BE7F4A">
        <w:rPr>
          <w:szCs w:val="22"/>
        </w:rPr>
        <w:t xml:space="preserve"> presentations and must be filed consistent with </w:t>
      </w:r>
      <w:r w:rsidR="00175BC2">
        <w:rPr>
          <w:szCs w:val="22"/>
        </w:rPr>
        <w:t>Section</w:t>
      </w:r>
      <w:r w:rsidRPr="00BE7F4A">
        <w:rPr>
          <w:szCs w:val="22"/>
        </w:rPr>
        <w:t xml:space="preserve"> 1.1206(b)</w:t>
      </w:r>
      <w:r w:rsidR="00175BC2">
        <w:rPr>
          <w:szCs w:val="22"/>
        </w:rPr>
        <w:t xml:space="preserve"> of the Rules</w:t>
      </w:r>
      <w:r w:rsidRPr="00BE7F4A">
        <w:rPr>
          <w:szCs w:val="22"/>
        </w:rPr>
        <w:t xml:space="preserve">.  In proceedings governed by </w:t>
      </w:r>
      <w:r w:rsidR="00175BC2">
        <w:rPr>
          <w:szCs w:val="22"/>
        </w:rPr>
        <w:t>Section</w:t>
      </w:r>
      <w:r w:rsidRPr="00BE7F4A">
        <w:rPr>
          <w:szCs w:val="22"/>
        </w:rPr>
        <w:t xml:space="preserve"> 1.49(f) </w:t>
      </w:r>
      <w:r w:rsidR="00175BC2">
        <w:rPr>
          <w:szCs w:val="22"/>
        </w:rPr>
        <w:t xml:space="preserve">of the Rules </w:t>
      </w:r>
      <w:r w:rsidRPr="00BE7F4A">
        <w:rPr>
          <w:szCs w:val="22"/>
        </w:rPr>
        <w:t xml:space="preserve">or for which the Commission has made available a method of electronic filing, written </w:t>
      </w:r>
      <w:r w:rsidRPr="00BE7F4A">
        <w:rPr>
          <w:i/>
          <w:iCs/>
          <w:szCs w:val="22"/>
        </w:rPr>
        <w:t xml:space="preserve">ex parte </w:t>
      </w:r>
      <w:r w:rsidRPr="00BE7F4A">
        <w:rPr>
          <w:szCs w:val="22"/>
        </w:rPr>
        <w:t xml:space="preserve">presentations and memoranda summarizing oral </w:t>
      </w:r>
      <w:r w:rsidRPr="00BE7F4A">
        <w:rPr>
          <w:i/>
          <w:iCs/>
          <w:szCs w:val="22"/>
        </w:rPr>
        <w:t xml:space="preserve">ex parte </w:t>
      </w:r>
      <w:r w:rsidRPr="00BE7F4A">
        <w:rPr>
          <w:szCs w:val="22"/>
        </w:rPr>
        <w:t>presentations, and all attachments thereto, must be filed through the electronic comment filing system available for that proceeding, and must be filed in their native format (</w:t>
      </w:r>
      <w:r w:rsidRPr="00BE7F4A">
        <w:rPr>
          <w:i/>
          <w:iCs/>
          <w:szCs w:val="22"/>
        </w:rPr>
        <w:t>e.g.</w:t>
      </w:r>
      <w:r w:rsidRPr="00BE7F4A">
        <w:rPr>
          <w:szCs w:val="22"/>
        </w:rPr>
        <w:t xml:space="preserve">, .doc, .xml, .ppt, searchable .pdf).  Participants in this proceeding should familiarize themselves with the Commission’s </w:t>
      </w:r>
      <w:r w:rsidRPr="00BE7F4A">
        <w:rPr>
          <w:i/>
          <w:iCs/>
          <w:szCs w:val="22"/>
        </w:rPr>
        <w:t xml:space="preserve">ex parte </w:t>
      </w:r>
      <w:r w:rsidRPr="00BE7F4A">
        <w:rPr>
          <w:szCs w:val="22"/>
        </w:rPr>
        <w:t>rules.</w:t>
      </w:r>
    </w:p>
    <w:p w:rsidR="00BE7F4A" w:rsidRPr="00BE7F4A" w:rsidRDefault="00BE7F4A" w:rsidP="00BE7F4A">
      <w:pPr>
        <w:autoSpaceDE w:val="0"/>
        <w:autoSpaceDN w:val="0"/>
        <w:adjustRightInd w:val="0"/>
        <w:ind w:left="360"/>
        <w:rPr>
          <w:color w:val="010101"/>
          <w:szCs w:val="22"/>
        </w:rPr>
      </w:pPr>
    </w:p>
    <w:p w:rsidR="00BE7F4A" w:rsidRPr="00BE7F4A" w:rsidRDefault="00BE7F4A" w:rsidP="00BE7F4A">
      <w:pPr>
        <w:spacing w:after="220"/>
        <w:rPr>
          <w:szCs w:val="22"/>
        </w:rPr>
      </w:pPr>
      <w:r w:rsidRPr="00BE7F4A">
        <w:rPr>
          <w:szCs w:val="22"/>
        </w:rPr>
        <w:t>For further information, contact Rolanda F. Smith, Audio Division, Media Bureau, at (202) 418-2054</w:t>
      </w:r>
      <w:r w:rsidR="00175BC2">
        <w:rPr>
          <w:szCs w:val="22"/>
        </w:rPr>
        <w:t>;</w:t>
      </w:r>
      <w:r w:rsidRPr="00BE7F4A">
        <w:rPr>
          <w:szCs w:val="22"/>
        </w:rPr>
        <w:t xml:space="preserve"> Lisa Scanlan, Audio Division, Media Bureau, at (202) 418-2700</w:t>
      </w:r>
      <w:r w:rsidR="00175BC2">
        <w:rPr>
          <w:szCs w:val="22"/>
        </w:rPr>
        <w:t>;</w:t>
      </w:r>
      <w:r w:rsidRPr="00BE7F4A">
        <w:rPr>
          <w:szCs w:val="22"/>
        </w:rPr>
        <w:t xml:space="preserve"> or Christine Goepp, Audio Division, Media Bureau, at (202) 418-7834.  Press inquiries should be directed to Janice Wise, Media Bureau, (202) 418-2555 or (888) 835-5322.  </w:t>
      </w:r>
    </w:p>
    <w:p w:rsidR="00BE7F4A" w:rsidRPr="00BE7F4A" w:rsidRDefault="00BE7F4A" w:rsidP="00BE7F4A">
      <w:pPr>
        <w:spacing w:before="120" w:after="240"/>
        <w:rPr>
          <w:szCs w:val="22"/>
        </w:rPr>
      </w:pPr>
      <w:r w:rsidRPr="00BE7F4A">
        <w:rPr>
          <w:szCs w:val="22"/>
        </w:rPr>
        <w:t>By:  Chief, Media Bureau</w:t>
      </w:r>
    </w:p>
    <w:p w:rsidR="00BE7F4A" w:rsidRPr="00BE7F4A" w:rsidRDefault="00BE7F4A" w:rsidP="00BE7F4A">
      <w:pPr>
        <w:spacing w:before="120" w:after="240"/>
        <w:rPr>
          <w:szCs w:val="22"/>
        </w:rPr>
      </w:pPr>
    </w:p>
    <w:p w:rsidR="00BE7F4A" w:rsidRPr="00BE7F4A" w:rsidRDefault="00BE7F4A" w:rsidP="00BE7F4A">
      <w:pPr>
        <w:spacing w:before="120" w:after="240"/>
        <w:jc w:val="center"/>
        <w:rPr>
          <w:szCs w:val="22"/>
        </w:rPr>
      </w:pPr>
      <w:r w:rsidRPr="00BE7F4A">
        <w:rPr>
          <w:szCs w:val="22"/>
        </w:rPr>
        <w:t>-FCC-</w:t>
      </w:r>
    </w:p>
    <w:p w:rsidR="0004196D" w:rsidRPr="00BE7F4A" w:rsidRDefault="0004196D" w:rsidP="00BE7F4A"/>
    <w:sectPr w:rsidR="0004196D" w:rsidRPr="00BE7F4A" w:rsidSect="00B039C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1152"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69" w:rsidRDefault="006B0D69">
      <w:r>
        <w:separator/>
      </w:r>
    </w:p>
  </w:endnote>
  <w:endnote w:type="continuationSeparator" w:id="0">
    <w:p w:rsidR="006B0D69" w:rsidRDefault="006B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5" w:rsidRDefault="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425" w:rsidRDefault="005B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5" w:rsidRDefault="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3EC">
      <w:rPr>
        <w:rStyle w:val="PageNumber"/>
        <w:noProof/>
      </w:rPr>
      <w:t>2</w:t>
    </w:r>
    <w:r>
      <w:rPr>
        <w:rStyle w:val="PageNumber"/>
      </w:rPr>
      <w:fldChar w:fldCharType="end"/>
    </w:r>
  </w:p>
  <w:p w:rsidR="005B4425" w:rsidRDefault="005B4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3D" w:rsidRDefault="00674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69" w:rsidRDefault="006B0D69">
      <w:r>
        <w:separator/>
      </w:r>
    </w:p>
  </w:footnote>
  <w:footnote w:type="continuationSeparator" w:id="0">
    <w:p w:rsidR="006B0D69" w:rsidRPr="007924E8" w:rsidRDefault="006B0D69" w:rsidP="007924E8">
      <w:pPr>
        <w:rPr>
          <w:sz w:val="20"/>
        </w:rPr>
      </w:pPr>
      <w:r w:rsidRPr="007924E8">
        <w:rPr>
          <w:sz w:val="20"/>
        </w:rPr>
        <w:separator/>
      </w:r>
    </w:p>
    <w:p w:rsidR="006B0D69" w:rsidRPr="007924E8" w:rsidRDefault="006B0D69" w:rsidP="007924E8">
      <w:pPr>
        <w:pStyle w:val="Footer"/>
        <w:rPr>
          <w:sz w:val="20"/>
        </w:rPr>
      </w:pPr>
      <w:r w:rsidRPr="007924E8">
        <w:rPr>
          <w:sz w:val="20"/>
        </w:rPr>
        <w:t>(…continued from previous page)</w:t>
      </w:r>
    </w:p>
  </w:footnote>
  <w:footnote w:type="continuationNotice" w:id="1">
    <w:p w:rsidR="006B0D69" w:rsidRPr="007924E8" w:rsidRDefault="006B0D69" w:rsidP="007924E8">
      <w:pPr>
        <w:jc w:val="right"/>
        <w:rPr>
          <w:sz w:val="20"/>
        </w:rPr>
      </w:pPr>
      <w:r w:rsidRPr="007924E8">
        <w:rPr>
          <w:sz w:val="20"/>
        </w:rPr>
        <w:t>(continued….)</w:t>
      </w:r>
    </w:p>
  </w:footnote>
  <w:footnote w:id="2">
    <w:p w:rsidR="00BE7F4A" w:rsidRPr="0095254B" w:rsidRDefault="00BE7F4A" w:rsidP="00650495">
      <w:pPr>
        <w:autoSpaceDE w:val="0"/>
        <w:autoSpaceDN w:val="0"/>
        <w:adjustRightInd w:val="0"/>
        <w:spacing w:after="120"/>
        <w:rPr>
          <w:sz w:val="20"/>
        </w:rPr>
      </w:pPr>
      <w:r w:rsidRPr="0095254B">
        <w:rPr>
          <w:rStyle w:val="FootnoteReference"/>
          <w:sz w:val="20"/>
        </w:rPr>
        <w:footnoteRef/>
      </w:r>
      <w:r w:rsidRPr="0095254B">
        <w:rPr>
          <w:sz w:val="20"/>
        </w:rPr>
        <w:t xml:space="preserve"> </w:t>
      </w:r>
      <w:r w:rsidR="00650495" w:rsidRPr="0095254B">
        <w:rPr>
          <w:i/>
          <w:sz w:val="20"/>
        </w:rPr>
        <w:t xml:space="preserve">See </w:t>
      </w:r>
      <w:r w:rsidRPr="0095254B">
        <w:rPr>
          <w:sz w:val="20"/>
        </w:rPr>
        <w:t>47 U.S.C. § 310(b)(4)</w:t>
      </w:r>
      <w:r w:rsidR="00425592" w:rsidRPr="0095254B">
        <w:rPr>
          <w:sz w:val="20"/>
        </w:rPr>
        <w:t xml:space="preserve"> (Section 310(b)(4))</w:t>
      </w:r>
      <w:r w:rsidRPr="0095254B">
        <w:rPr>
          <w:sz w:val="20"/>
        </w:rPr>
        <w:t>;</w:t>
      </w:r>
      <w:r w:rsidRPr="0095254B">
        <w:rPr>
          <w:i/>
          <w:sz w:val="20"/>
        </w:rPr>
        <w:t xml:space="preserve"> Pandora Radio LL</w:t>
      </w:r>
      <w:r w:rsidR="00650495" w:rsidRPr="0095254B">
        <w:rPr>
          <w:i/>
          <w:sz w:val="20"/>
        </w:rPr>
        <w:t>C,</w:t>
      </w:r>
      <w:r w:rsidRPr="0095254B">
        <w:rPr>
          <w:i/>
          <w:sz w:val="20"/>
        </w:rPr>
        <w:t xml:space="preserve"> Petition for Declaratory Ruling Under Section 310(b)(4) of the Communications Act of 1934, as Amended</w:t>
      </w:r>
      <w:r w:rsidRPr="0095254B">
        <w:rPr>
          <w:sz w:val="20"/>
        </w:rPr>
        <w:t xml:space="preserve">, Declaratory Ruling, </w:t>
      </w:r>
      <w:r w:rsidRPr="0095254B">
        <w:rPr>
          <w:iCs/>
          <w:sz w:val="20"/>
        </w:rPr>
        <w:t>30 FCC Rcd 5094</w:t>
      </w:r>
      <w:r w:rsidR="00650495" w:rsidRPr="0095254B">
        <w:rPr>
          <w:i/>
          <w:iCs/>
          <w:sz w:val="20"/>
        </w:rPr>
        <w:t xml:space="preserve"> </w:t>
      </w:r>
      <w:r w:rsidRPr="0095254B">
        <w:rPr>
          <w:sz w:val="20"/>
        </w:rPr>
        <w:t xml:space="preserve">(May 4, </w:t>
      </w:r>
      <w:r w:rsidRPr="0095254B">
        <w:rPr>
          <w:iCs/>
          <w:sz w:val="20"/>
        </w:rPr>
        <w:t>201</w:t>
      </w:r>
      <w:r w:rsidR="00425592" w:rsidRPr="0095254B">
        <w:rPr>
          <w:iCs/>
          <w:sz w:val="20"/>
        </w:rPr>
        <w:t>5)</w:t>
      </w:r>
      <w:r w:rsidR="00425592" w:rsidRPr="0095254B">
        <w:rPr>
          <w:i/>
          <w:iCs/>
          <w:sz w:val="20"/>
        </w:rPr>
        <w:t xml:space="preserve"> </w:t>
      </w:r>
      <w:r w:rsidR="00425592" w:rsidRPr="0095254B">
        <w:rPr>
          <w:iCs/>
          <w:sz w:val="20"/>
        </w:rPr>
        <w:t>(</w:t>
      </w:r>
      <w:r w:rsidR="00425592" w:rsidRPr="0095254B">
        <w:rPr>
          <w:i/>
          <w:iCs/>
          <w:sz w:val="20"/>
        </w:rPr>
        <w:t>Pandora Declaratory Ruling</w:t>
      </w:r>
      <w:r w:rsidRPr="0095254B">
        <w:rPr>
          <w:iCs/>
          <w:sz w:val="20"/>
        </w:rPr>
        <w:t>)</w:t>
      </w:r>
      <w:r w:rsidR="0059068A" w:rsidRPr="0095254B">
        <w:rPr>
          <w:iCs/>
          <w:sz w:val="20"/>
        </w:rPr>
        <w:t xml:space="preserve">; </w:t>
      </w:r>
      <w:r w:rsidR="0059068A" w:rsidRPr="0095254B">
        <w:rPr>
          <w:i/>
          <w:iCs/>
          <w:sz w:val="20"/>
        </w:rPr>
        <w:t>see also</w:t>
      </w:r>
      <w:r w:rsidR="0059068A" w:rsidRPr="0095254B">
        <w:rPr>
          <w:i/>
          <w:sz w:val="20"/>
        </w:rPr>
        <w:t xml:space="preserve"> Commission Policies and Procedures Under Section 310(b)(4) of the Communications Act, Foreign Investment in Broadcast Licensees</w:t>
      </w:r>
      <w:r w:rsidR="0059068A" w:rsidRPr="0095254B">
        <w:rPr>
          <w:sz w:val="20"/>
        </w:rPr>
        <w:t>, Declaratory Ruling, 28 FCC Rcd 16244 (2013)</w:t>
      </w:r>
      <w:r w:rsidR="0095254B">
        <w:rPr>
          <w:sz w:val="20"/>
        </w:rPr>
        <w:t xml:space="preserve"> (</w:t>
      </w:r>
      <w:r w:rsidR="0095254B">
        <w:rPr>
          <w:i/>
          <w:sz w:val="20"/>
        </w:rPr>
        <w:t>Broadcast Foreign Ownership Ruling</w:t>
      </w:r>
      <w:r w:rsidR="0095254B">
        <w:rPr>
          <w:sz w:val="20"/>
        </w:rPr>
        <w:t>)</w:t>
      </w:r>
      <w:r w:rsidRPr="0095254B">
        <w:rPr>
          <w:i/>
          <w:iCs/>
          <w:sz w:val="20"/>
        </w:rPr>
        <w:t>.</w:t>
      </w:r>
      <w:r w:rsidRPr="0095254B">
        <w:rPr>
          <w:sz w:val="20"/>
        </w:rPr>
        <w:t xml:space="preserve"> </w:t>
      </w:r>
    </w:p>
  </w:footnote>
  <w:footnote w:id="3">
    <w:p w:rsidR="001F3698" w:rsidRPr="0095254B" w:rsidRDefault="001F3698" w:rsidP="0095254B">
      <w:pPr>
        <w:autoSpaceDE w:val="0"/>
        <w:autoSpaceDN w:val="0"/>
        <w:adjustRightInd w:val="0"/>
        <w:spacing w:after="120"/>
        <w:rPr>
          <w:sz w:val="20"/>
        </w:rPr>
      </w:pPr>
      <w:r w:rsidRPr="0095254B">
        <w:rPr>
          <w:rStyle w:val="FootnoteReference"/>
          <w:sz w:val="20"/>
        </w:rPr>
        <w:footnoteRef/>
      </w:r>
      <w:r w:rsidRPr="0095254B">
        <w:rPr>
          <w:sz w:val="20"/>
        </w:rPr>
        <w:t xml:space="preserve"> Pandora </w:t>
      </w:r>
      <w:r w:rsidR="00FF0170">
        <w:rPr>
          <w:sz w:val="20"/>
        </w:rPr>
        <w:t>FM</w:t>
      </w:r>
      <w:r w:rsidRPr="0095254B">
        <w:rPr>
          <w:sz w:val="20"/>
        </w:rPr>
        <w:t xml:space="preserve"> is the licensee of commercial radio station KXMZ(FM), Box Elder, South</w:t>
      </w:r>
      <w:r w:rsidR="0095254B" w:rsidRPr="0095254B">
        <w:rPr>
          <w:sz w:val="20"/>
        </w:rPr>
        <w:t xml:space="preserve"> </w:t>
      </w:r>
      <w:r w:rsidRPr="0095254B">
        <w:rPr>
          <w:sz w:val="20"/>
        </w:rPr>
        <w:t>Dakota, Facility ID Number 164109.</w:t>
      </w:r>
    </w:p>
  </w:footnote>
  <w:footnote w:id="4">
    <w:p w:rsidR="001F3698" w:rsidRPr="0095254B" w:rsidRDefault="001F3698" w:rsidP="001F3698">
      <w:pPr>
        <w:pStyle w:val="FootnoteText"/>
      </w:pPr>
      <w:r w:rsidRPr="0095254B">
        <w:rPr>
          <w:rStyle w:val="FootnoteReference"/>
        </w:rPr>
        <w:footnoteRef/>
      </w:r>
      <w:r w:rsidRPr="0095254B">
        <w:t xml:space="preserve"> There are no applications for assignment of license or transfer of control associated with the Petition.</w:t>
      </w:r>
    </w:p>
  </w:footnote>
  <w:footnote w:id="5">
    <w:p w:rsidR="00650495" w:rsidRPr="0095254B" w:rsidRDefault="00650495" w:rsidP="00650495">
      <w:pPr>
        <w:pStyle w:val="FootnoteText"/>
      </w:pPr>
      <w:r w:rsidRPr="0095254B">
        <w:rPr>
          <w:rStyle w:val="FootnoteReference"/>
        </w:rPr>
        <w:footnoteRef/>
      </w:r>
      <w:r w:rsidRPr="0095254B">
        <w:t xml:space="preserve"> </w:t>
      </w:r>
      <w:r w:rsidRPr="0095254B">
        <w:rPr>
          <w:i/>
          <w:iCs/>
        </w:rPr>
        <w:t>Pandora Declaratory Ruling</w:t>
      </w:r>
      <w:r w:rsidR="001F3698" w:rsidRPr="0095254B">
        <w:rPr>
          <w:iCs/>
        </w:rPr>
        <w:t>, 30 FCC Rcd</w:t>
      </w:r>
      <w:r w:rsidRPr="0095254B">
        <w:rPr>
          <w:i/>
          <w:iCs/>
        </w:rPr>
        <w:t xml:space="preserve"> </w:t>
      </w:r>
      <w:r w:rsidRPr="0095254B">
        <w:t xml:space="preserve">at </w:t>
      </w:r>
      <w:r w:rsidR="001F3698" w:rsidRPr="0095254B">
        <w:t xml:space="preserve">5101, para. </w:t>
      </w:r>
      <w:r w:rsidRPr="0095254B">
        <w:t>19.</w:t>
      </w:r>
    </w:p>
  </w:footnote>
  <w:footnote w:id="6">
    <w:p w:rsidR="007A4B8F" w:rsidRPr="0095254B" w:rsidRDefault="007A4B8F" w:rsidP="00650495">
      <w:pPr>
        <w:pStyle w:val="FootnoteText"/>
      </w:pPr>
      <w:r w:rsidRPr="0095254B">
        <w:rPr>
          <w:rStyle w:val="FootnoteReference"/>
        </w:rPr>
        <w:footnoteRef/>
      </w:r>
      <w:r w:rsidRPr="0095254B">
        <w:t xml:space="preserve"> Petition at 3.</w:t>
      </w:r>
    </w:p>
  </w:footnote>
  <w:footnote w:id="7">
    <w:p w:rsidR="00157164" w:rsidRPr="0095254B" w:rsidRDefault="00157164">
      <w:pPr>
        <w:pStyle w:val="FootnoteText"/>
      </w:pPr>
      <w:r w:rsidRPr="0095254B">
        <w:rPr>
          <w:rStyle w:val="FootnoteReference"/>
        </w:rPr>
        <w:footnoteRef/>
      </w:r>
      <w:r w:rsidRPr="0095254B">
        <w:t xml:space="preserve"> Petition at 6.</w:t>
      </w:r>
    </w:p>
  </w:footnote>
  <w:footnote w:id="8">
    <w:p w:rsidR="0095254B" w:rsidRDefault="0095254B">
      <w:pPr>
        <w:pStyle w:val="FootnoteText"/>
      </w:pPr>
      <w:r>
        <w:rPr>
          <w:rStyle w:val="FootnoteReference"/>
        </w:rPr>
        <w:footnoteRef/>
      </w:r>
      <w:r>
        <w:t xml:space="preserve"> Petition at 2, 5 (citing </w:t>
      </w:r>
      <w:r>
        <w:rPr>
          <w:i/>
          <w:iCs/>
        </w:rPr>
        <w:t>Broadcast Foreign Ownershi</w:t>
      </w:r>
      <w:r w:rsidRPr="0095254B">
        <w:rPr>
          <w:i/>
          <w:iCs/>
        </w:rPr>
        <w:t>p Rulin</w:t>
      </w:r>
      <w:r>
        <w:rPr>
          <w:i/>
          <w:iCs/>
        </w:rPr>
        <w:t>g</w:t>
      </w:r>
      <w:r>
        <w:rPr>
          <w:iCs/>
        </w:rPr>
        <w:t>).</w:t>
      </w:r>
    </w:p>
  </w:footnote>
  <w:footnote w:id="9">
    <w:p w:rsidR="00BE7F4A" w:rsidRPr="0095254B" w:rsidRDefault="00BE7F4A" w:rsidP="00650495">
      <w:pPr>
        <w:pStyle w:val="FootnoteText"/>
      </w:pPr>
      <w:r w:rsidRPr="0095254B">
        <w:rPr>
          <w:rStyle w:val="FootnoteReference"/>
        </w:rPr>
        <w:footnoteRef/>
      </w:r>
      <w:r w:rsidRPr="0095254B">
        <w:t xml:space="preserve"> </w:t>
      </w:r>
      <w:r w:rsidRPr="0095254B">
        <w:rPr>
          <w:i/>
        </w:rPr>
        <w:t>See</w:t>
      </w:r>
      <w:r w:rsidR="00F62106">
        <w:t xml:space="preserve"> 47 CFR</w:t>
      </w:r>
      <w:r w:rsidRPr="0095254B">
        <w:t xml:space="preserve"> §1.1206.</w:t>
      </w:r>
    </w:p>
  </w:footnote>
  <w:footnote w:id="10">
    <w:p w:rsidR="00BE7F4A" w:rsidRPr="0095254B" w:rsidRDefault="00BE7F4A" w:rsidP="00650495">
      <w:pPr>
        <w:pStyle w:val="FootnoteText"/>
      </w:pPr>
      <w:r w:rsidRPr="0095254B">
        <w:rPr>
          <w:rStyle w:val="FootnoteReference"/>
        </w:rPr>
        <w:footnoteRef/>
      </w:r>
      <w:r w:rsidRPr="0095254B">
        <w:t xml:space="preserve"> 47 </w:t>
      </w:r>
      <w:r w:rsidR="00F62106">
        <w:t>CFR</w:t>
      </w:r>
      <w:r w:rsidRPr="0095254B">
        <w:t xml:space="preserve"> §1.1206(b)(1).  </w:t>
      </w:r>
    </w:p>
  </w:footnote>
  <w:footnote w:id="11">
    <w:p w:rsidR="00BE7F4A" w:rsidRPr="0095254B" w:rsidRDefault="00BE7F4A" w:rsidP="00650495">
      <w:pPr>
        <w:pStyle w:val="FootnoteText"/>
      </w:pPr>
      <w:r w:rsidRPr="0095254B">
        <w:rPr>
          <w:rStyle w:val="FootnoteReference"/>
        </w:rPr>
        <w:footnoteRef/>
      </w:r>
      <w:r w:rsidRPr="0095254B">
        <w:t xml:space="preserve"> 47 </w:t>
      </w:r>
      <w:r w:rsidR="00F62106">
        <w:t>CFR</w:t>
      </w:r>
      <w:r w:rsidRPr="0095254B">
        <w:t xml:space="preserve"> §1.1206(b)(2).  </w:t>
      </w:r>
    </w:p>
  </w:footnote>
  <w:footnote w:id="12">
    <w:p w:rsidR="00BE7F4A" w:rsidRPr="0095254B" w:rsidRDefault="00BE7F4A" w:rsidP="00650495">
      <w:pPr>
        <w:pStyle w:val="FootnoteText"/>
      </w:pPr>
      <w:r w:rsidRPr="0095254B">
        <w:rPr>
          <w:rStyle w:val="FootnoteReference"/>
        </w:rPr>
        <w:footnoteRef/>
      </w:r>
      <w:r w:rsidRPr="0095254B">
        <w:t xml:space="preserve"> 47 </w:t>
      </w:r>
      <w:r w:rsidR="00F62106">
        <w:t>CFR</w:t>
      </w:r>
      <w:r w:rsidRPr="0095254B">
        <w:t xml:space="preserve"> §1.1206(b)(1).</w:t>
      </w:r>
    </w:p>
  </w:footnote>
  <w:footnote w:id="13">
    <w:p w:rsidR="00BE7F4A" w:rsidRPr="0095254B" w:rsidRDefault="00BE7F4A" w:rsidP="00650495">
      <w:pPr>
        <w:pStyle w:val="FootnoteText"/>
      </w:pPr>
      <w:r w:rsidRPr="0095254B">
        <w:rPr>
          <w:rStyle w:val="FootnoteReference"/>
        </w:rPr>
        <w:footnoteRef/>
      </w:r>
      <w:r w:rsidRPr="0095254B">
        <w:t xml:space="preserve"> </w:t>
      </w:r>
      <w:r w:rsidRPr="0095254B">
        <w:rPr>
          <w:i/>
        </w:rPr>
        <w:t>Id.</w:t>
      </w:r>
      <w:r w:rsidRPr="0095254B">
        <w:t xml:space="preserve"> </w:t>
      </w:r>
    </w:p>
  </w:footnote>
  <w:footnote w:id="14">
    <w:p w:rsidR="00BE7F4A" w:rsidRPr="0095254B" w:rsidRDefault="00BE7F4A" w:rsidP="00650495">
      <w:pPr>
        <w:pStyle w:val="FootnoteText"/>
      </w:pPr>
      <w:r w:rsidRPr="0095254B">
        <w:rPr>
          <w:rStyle w:val="FootnoteReference"/>
        </w:rPr>
        <w:footnoteRef/>
      </w:r>
      <w:r w:rsidRPr="0095254B">
        <w:t xml:space="preserve"> </w:t>
      </w:r>
      <w:r w:rsidRPr="0095254B">
        <w:rPr>
          <w:i/>
        </w:rPr>
        <w:t xml:space="preserve">See </w:t>
      </w:r>
      <w:bookmarkStart w:id="1" w:name="SR;2766"/>
      <w:bookmarkStart w:id="2" w:name="SearchTerm"/>
      <w:bookmarkEnd w:id="1"/>
      <w:r w:rsidRPr="0095254B">
        <w:rPr>
          <w:bCs/>
          <w:i/>
        </w:rPr>
        <w:t>FCC</w:t>
      </w:r>
      <w:r w:rsidRPr="0095254B">
        <w:rPr>
          <w:i/>
        </w:rPr>
        <w:t xml:space="preserve"> </w:t>
      </w:r>
      <w:bookmarkStart w:id="3" w:name="SR;2767"/>
      <w:bookmarkEnd w:id="3"/>
      <w:r w:rsidRPr="0095254B">
        <w:rPr>
          <w:bCs/>
          <w:i/>
        </w:rPr>
        <w:t>Announces</w:t>
      </w:r>
      <w:r w:rsidRPr="0095254B">
        <w:rPr>
          <w:i/>
        </w:rPr>
        <w:t xml:space="preserve"> </w:t>
      </w:r>
      <w:bookmarkStart w:id="4" w:name="SR;2768"/>
      <w:bookmarkEnd w:id="4"/>
      <w:r w:rsidRPr="0095254B">
        <w:rPr>
          <w:bCs/>
          <w:i/>
        </w:rPr>
        <w:t>Change</w:t>
      </w:r>
      <w:r w:rsidRPr="0095254B">
        <w:rPr>
          <w:i/>
        </w:rPr>
        <w:t xml:space="preserve"> in </w:t>
      </w:r>
      <w:bookmarkStart w:id="5" w:name="SR;2770"/>
      <w:bookmarkEnd w:id="5"/>
      <w:r w:rsidRPr="0095254B">
        <w:rPr>
          <w:bCs/>
          <w:i/>
        </w:rPr>
        <w:t>Filing</w:t>
      </w:r>
      <w:r w:rsidRPr="0095254B">
        <w:rPr>
          <w:i/>
        </w:rPr>
        <w:t xml:space="preserve"> </w:t>
      </w:r>
      <w:bookmarkStart w:id="6" w:name="SR;2771"/>
      <w:bookmarkEnd w:id="6"/>
      <w:r w:rsidRPr="0095254B">
        <w:rPr>
          <w:bCs/>
          <w:i/>
        </w:rPr>
        <w:t>Location</w:t>
      </w:r>
      <w:r w:rsidRPr="0095254B">
        <w:rPr>
          <w:i/>
        </w:rPr>
        <w:t xml:space="preserve"> for </w:t>
      </w:r>
      <w:bookmarkStart w:id="7" w:name="SR;2773"/>
      <w:bookmarkEnd w:id="7"/>
      <w:r w:rsidRPr="0095254B">
        <w:rPr>
          <w:bCs/>
          <w:i/>
        </w:rPr>
        <w:t>Paper</w:t>
      </w:r>
      <w:r w:rsidRPr="0095254B">
        <w:rPr>
          <w:i/>
        </w:rPr>
        <w:t xml:space="preserve"> </w:t>
      </w:r>
      <w:bookmarkStart w:id="8" w:name="SR;2774"/>
      <w:bookmarkEnd w:id="2"/>
      <w:bookmarkEnd w:id="8"/>
      <w:r w:rsidRPr="0095254B">
        <w:rPr>
          <w:bCs/>
          <w:i/>
        </w:rPr>
        <w:t>Documents</w:t>
      </w:r>
      <w:r w:rsidRPr="0095254B">
        <w:t xml:space="preserve">, </w:t>
      </w:r>
      <w:r w:rsidRPr="0095254B">
        <w:rPr>
          <w:iCs/>
        </w:rPr>
        <w:t>Public Notice</w:t>
      </w:r>
      <w:r w:rsidRPr="0095254B">
        <w:t>,</w:t>
      </w:r>
      <w:r w:rsidR="001875C4">
        <w:t xml:space="preserve"> </w:t>
      </w:r>
      <w:r w:rsidRPr="0095254B">
        <w:t xml:space="preserve">24 FCC Rcd 14312 (2009). </w:t>
      </w:r>
    </w:p>
  </w:footnote>
  <w:footnote w:id="15">
    <w:p w:rsidR="00BE7F4A" w:rsidRPr="0095254B" w:rsidRDefault="00BE7F4A" w:rsidP="00650495">
      <w:pPr>
        <w:pStyle w:val="FootnoteText"/>
      </w:pPr>
      <w:r w:rsidRPr="0095254B">
        <w:rPr>
          <w:rStyle w:val="FootnoteReference"/>
        </w:rPr>
        <w:footnoteRef/>
      </w:r>
      <w:r w:rsidRPr="0095254B">
        <w:t xml:space="preserve"> </w:t>
      </w:r>
      <w:r w:rsidRPr="0095254B">
        <w:rPr>
          <w:i/>
        </w:rPr>
        <w:t>See</w:t>
      </w:r>
      <w:r w:rsidRPr="0095254B">
        <w:t xml:space="preserve"> </w:t>
      </w:r>
      <w:r w:rsidRPr="0095254B">
        <w:rPr>
          <w:i/>
        </w:rPr>
        <w:t>Electronic Filing of Documents in Rulemaking Proceedings</w:t>
      </w:r>
      <w:r w:rsidRPr="0095254B">
        <w:t>, GC Docket No. 97-113, Report and Order, 13 FCC Rcd 11322 (1998).</w:t>
      </w:r>
    </w:p>
  </w:footnote>
  <w:footnote w:id="16">
    <w:p w:rsidR="00BE7F4A" w:rsidRPr="0095254B" w:rsidRDefault="00BE7F4A" w:rsidP="00650495">
      <w:pPr>
        <w:pStyle w:val="FootnoteText"/>
        <w:rPr>
          <w:i/>
          <w:iCs/>
        </w:rPr>
      </w:pPr>
      <w:r w:rsidRPr="0095254B">
        <w:rPr>
          <w:rStyle w:val="FootnoteReference"/>
        </w:rPr>
        <w:footnoteRef/>
      </w:r>
      <w:r w:rsidRPr="0095254B">
        <w:t xml:space="preserve"> 47 </w:t>
      </w:r>
      <w:r w:rsidR="00F62106">
        <w:t>CFR</w:t>
      </w:r>
      <w:r w:rsidRPr="0095254B">
        <w:t xml:space="preserve"> §§ 1.1200 </w:t>
      </w:r>
      <w:r w:rsidRPr="0095254B">
        <w:rPr>
          <w:i/>
          <w:iCs/>
        </w:rPr>
        <w:t>et seq.</w:t>
      </w:r>
    </w:p>
    <w:p w:rsidR="00BE7F4A" w:rsidRPr="0095254B" w:rsidRDefault="00BE7F4A" w:rsidP="00650495">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3D" w:rsidRDefault="00674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3D" w:rsidRDefault="00674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E4" w:rsidRDefault="00280943" w:rsidP="00C4140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inline distT="0" distB="0" distL="0" distR="0">
          <wp:extent cx="457200" cy="457200"/>
          <wp:effectExtent l="0" t="0" r="0" b="0"/>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B039CF">
      <w:rPr>
        <w:rFonts w:ascii="News Gothic MT" w:hAnsi="News Gothic MT"/>
        <w:b/>
        <w:kern w:val="28"/>
        <w:sz w:val="96"/>
      </w:rPr>
      <w:t xml:space="preserve"> </w:t>
    </w:r>
    <w:r w:rsidR="00362BE4">
      <w:rPr>
        <w:rFonts w:ascii="News Gothic MT" w:hAnsi="News Gothic MT"/>
        <w:b/>
        <w:kern w:val="28"/>
        <w:sz w:val="96"/>
      </w:rPr>
      <w:t>PUBLIC NOTICE</w:t>
    </w:r>
  </w:p>
  <w:p w:rsidR="00362BE4" w:rsidRDefault="0028094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3411855</wp:posOffset>
              </wp:positionH>
              <wp:positionV relativeFrom="paragraph">
                <wp:posOffset>76200</wp:posOffset>
              </wp:positionV>
              <wp:extent cx="2640965" cy="548640"/>
              <wp:effectExtent l="190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BE4" w:rsidRDefault="00362BE4">
                          <w:pPr>
                            <w:spacing w:before="40"/>
                            <w:jc w:val="right"/>
                            <w:rPr>
                              <w:rFonts w:ascii="Arial" w:hAnsi="Arial"/>
                              <w:b/>
                              <w:sz w:val="16"/>
                            </w:rPr>
                          </w:pPr>
                          <w:r>
                            <w:rPr>
                              <w:rFonts w:ascii="Arial" w:hAnsi="Arial"/>
                              <w:b/>
                              <w:sz w:val="16"/>
                            </w:rPr>
                            <w:t>News Media Information 202 / 418-0500</w:t>
                          </w:r>
                        </w:p>
                        <w:p w:rsidR="00362BE4" w:rsidRDefault="00362BE4">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362BE4" w:rsidRDefault="00362BE4">
                          <w:pPr>
                            <w:jc w:val="right"/>
                            <w:rPr>
                              <w:rFonts w:ascii="Arial" w:hAnsi="Arial"/>
                              <w:b/>
                              <w:sz w:val="16"/>
                            </w:rPr>
                          </w:pPr>
                          <w:r>
                            <w:rPr>
                              <w:rFonts w:ascii="Arial" w:hAnsi="Arial"/>
                              <w:b/>
                              <w:sz w:val="16"/>
                            </w:rPr>
                            <w:t>TTY: 1-888-835-5322</w:t>
                          </w:r>
                        </w:p>
                        <w:p w:rsidR="00362BE4" w:rsidRDefault="00362BE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268.6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" stroked="f">
              <v:textbox inset=",0,,0">
                <w:txbxContent>
                  <w:p w:rsidR="00362BE4" w:rsidRDefault="00362BE4">
                    <w:pPr>
                      <w:spacing w:before="40"/>
                      <w:jc w:val="right"/>
                      <w:rPr>
                        <w:rFonts w:ascii="Arial" w:hAnsi="Arial"/>
                        <w:b/>
                        <w:sz w:val="16"/>
                      </w:rPr>
                    </w:pPr>
                    <w:r>
                      <w:rPr>
                        <w:rFonts w:ascii="Arial" w:hAnsi="Arial"/>
                        <w:b/>
                        <w:sz w:val="16"/>
                      </w:rPr>
                      <w:t>News Media Information 202 / 418-0500</w:t>
                    </w:r>
                  </w:p>
                  <w:p w:rsidR="00362BE4" w:rsidRDefault="00362BE4">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362BE4" w:rsidRDefault="00362BE4">
                    <w:pPr>
                      <w:jc w:val="right"/>
                      <w:rPr>
                        <w:rFonts w:ascii="Arial" w:hAnsi="Arial"/>
                        <w:b/>
                        <w:sz w:val="16"/>
                      </w:rPr>
                    </w:pPr>
                    <w:r>
                      <w:rPr>
                        <w:rFonts w:ascii="Arial" w:hAnsi="Arial"/>
                        <w:b/>
                        <w:sz w:val="16"/>
                      </w:rPr>
                      <w:t>TTY: 1-888-835-5322</w:t>
                    </w:r>
                  </w:p>
                  <w:p w:rsidR="00362BE4" w:rsidRDefault="00362BE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BE4" w:rsidRDefault="00362BE4">
                          <w:pPr>
                            <w:rPr>
                              <w:rFonts w:ascii="Arial" w:hAnsi="Arial"/>
                              <w:b/>
                            </w:rPr>
                          </w:pPr>
                          <w:r>
                            <w:rPr>
                              <w:rFonts w:ascii="Arial" w:hAnsi="Arial"/>
                              <w:b/>
                            </w:rPr>
                            <w:t>Federal Communications Commission</w:t>
                          </w:r>
                        </w:p>
                        <w:p w:rsidR="00362BE4" w:rsidRDefault="00362BE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362BE4" w:rsidRDefault="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4.95pt;margin-top: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" stroked="f">
              <v:textbox>
                <w:txbxContent>
                  <w:p w:rsidR="00362BE4" w:rsidRDefault="00362BE4">
                    <w:pPr>
                      <w:rPr>
                        <w:rFonts w:ascii="Arial" w:hAnsi="Arial"/>
                        <w:b/>
                      </w:rPr>
                    </w:pPr>
                    <w:r>
                      <w:rPr>
                        <w:rFonts w:ascii="Arial" w:hAnsi="Arial"/>
                        <w:b/>
                      </w:rPr>
                      <w:t>Federal Communications Commission</w:t>
                    </w:r>
                  </w:p>
                  <w:p w:rsidR="00362BE4" w:rsidRDefault="00362BE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362BE4" w:rsidRDefault="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9525" t="1206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9A6A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" o:allowincell="f"/>
          </w:pict>
        </mc:Fallback>
      </mc:AlternateContent>
    </w:r>
  </w:p>
  <w:p w:rsidR="00362BE4" w:rsidRDefault="00362BE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42"/>
    <w:rsid w:val="0004196D"/>
    <w:rsid w:val="00050A04"/>
    <w:rsid w:val="000545EE"/>
    <w:rsid w:val="000669AB"/>
    <w:rsid w:val="00097197"/>
    <w:rsid w:val="000A2608"/>
    <w:rsid w:val="000D32F6"/>
    <w:rsid w:val="0011123D"/>
    <w:rsid w:val="001336EC"/>
    <w:rsid w:val="001564F2"/>
    <w:rsid w:val="00157164"/>
    <w:rsid w:val="001655E4"/>
    <w:rsid w:val="00175BC2"/>
    <w:rsid w:val="001859B7"/>
    <w:rsid w:val="001871C4"/>
    <w:rsid w:val="001875C4"/>
    <w:rsid w:val="00187C05"/>
    <w:rsid w:val="001A3499"/>
    <w:rsid w:val="001B051D"/>
    <w:rsid w:val="001D552C"/>
    <w:rsid w:val="001E1661"/>
    <w:rsid w:val="001F3698"/>
    <w:rsid w:val="00222ADF"/>
    <w:rsid w:val="002455AB"/>
    <w:rsid w:val="00250EC0"/>
    <w:rsid w:val="0026592D"/>
    <w:rsid w:val="00280943"/>
    <w:rsid w:val="00292342"/>
    <w:rsid w:val="00292B44"/>
    <w:rsid w:val="00297B9A"/>
    <w:rsid w:val="002A4DDA"/>
    <w:rsid w:val="002E7FFB"/>
    <w:rsid w:val="002F03EC"/>
    <w:rsid w:val="002F0922"/>
    <w:rsid w:val="003508CB"/>
    <w:rsid w:val="00362BE4"/>
    <w:rsid w:val="0036693F"/>
    <w:rsid w:val="003E7604"/>
    <w:rsid w:val="003F549F"/>
    <w:rsid w:val="00425592"/>
    <w:rsid w:val="004932EC"/>
    <w:rsid w:val="004A57F8"/>
    <w:rsid w:val="004C4216"/>
    <w:rsid w:val="004F534D"/>
    <w:rsid w:val="00516627"/>
    <w:rsid w:val="00527271"/>
    <w:rsid w:val="005716E3"/>
    <w:rsid w:val="00575F17"/>
    <w:rsid w:val="0059068A"/>
    <w:rsid w:val="005B4425"/>
    <w:rsid w:val="005C008E"/>
    <w:rsid w:val="005C4DA7"/>
    <w:rsid w:val="00616D40"/>
    <w:rsid w:val="00650495"/>
    <w:rsid w:val="006714F2"/>
    <w:rsid w:val="00674E3D"/>
    <w:rsid w:val="006B0D69"/>
    <w:rsid w:val="006B692A"/>
    <w:rsid w:val="006D7092"/>
    <w:rsid w:val="006F42EC"/>
    <w:rsid w:val="006F4721"/>
    <w:rsid w:val="00723946"/>
    <w:rsid w:val="00741DCE"/>
    <w:rsid w:val="00751100"/>
    <w:rsid w:val="007924E8"/>
    <w:rsid w:val="007926E8"/>
    <w:rsid w:val="007A4B8F"/>
    <w:rsid w:val="007D4701"/>
    <w:rsid w:val="007E3A25"/>
    <w:rsid w:val="00801F3E"/>
    <w:rsid w:val="00812291"/>
    <w:rsid w:val="0087727E"/>
    <w:rsid w:val="00877A57"/>
    <w:rsid w:val="008C4856"/>
    <w:rsid w:val="009273B4"/>
    <w:rsid w:val="0095254B"/>
    <w:rsid w:val="00957314"/>
    <w:rsid w:val="00960E28"/>
    <w:rsid w:val="009815FD"/>
    <w:rsid w:val="00982AF8"/>
    <w:rsid w:val="00A30EEA"/>
    <w:rsid w:val="00A70D8C"/>
    <w:rsid w:val="00AE3BA7"/>
    <w:rsid w:val="00B039CF"/>
    <w:rsid w:val="00B175CA"/>
    <w:rsid w:val="00B41B8B"/>
    <w:rsid w:val="00B81B05"/>
    <w:rsid w:val="00BA67EC"/>
    <w:rsid w:val="00BC4B44"/>
    <w:rsid w:val="00BE1B34"/>
    <w:rsid w:val="00BE41E5"/>
    <w:rsid w:val="00BE4446"/>
    <w:rsid w:val="00BE7F4A"/>
    <w:rsid w:val="00C0765E"/>
    <w:rsid w:val="00C13928"/>
    <w:rsid w:val="00C332D2"/>
    <w:rsid w:val="00C41407"/>
    <w:rsid w:val="00CA075E"/>
    <w:rsid w:val="00CE6AA8"/>
    <w:rsid w:val="00CF6AE1"/>
    <w:rsid w:val="00D20DF5"/>
    <w:rsid w:val="00D24D28"/>
    <w:rsid w:val="00D24E47"/>
    <w:rsid w:val="00D36E0F"/>
    <w:rsid w:val="00D408B5"/>
    <w:rsid w:val="00D55000"/>
    <w:rsid w:val="00D675B2"/>
    <w:rsid w:val="00D77993"/>
    <w:rsid w:val="00D81B5B"/>
    <w:rsid w:val="00DB78BA"/>
    <w:rsid w:val="00E20147"/>
    <w:rsid w:val="00E25E94"/>
    <w:rsid w:val="00E34DCA"/>
    <w:rsid w:val="00E4550D"/>
    <w:rsid w:val="00E64F23"/>
    <w:rsid w:val="00E77F6F"/>
    <w:rsid w:val="00E80762"/>
    <w:rsid w:val="00E903B5"/>
    <w:rsid w:val="00EA5B13"/>
    <w:rsid w:val="00ED681F"/>
    <w:rsid w:val="00F15A29"/>
    <w:rsid w:val="00F26CE5"/>
    <w:rsid w:val="00F30C46"/>
    <w:rsid w:val="00F501BD"/>
    <w:rsid w:val="00F62106"/>
    <w:rsid w:val="00FC689A"/>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basedOn w:val="DefaultParagraphFont"/>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basedOn w:val="DefaultParagraphFont"/>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mailto:fcc504@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ristine.goepp@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landa-faye.smith@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sa.scanlan@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eter.doyle@fcc.gov" TargetMode="External"/><Relationship Id="rId14" Type="http://schemas.openxmlformats.org/officeDocument/2006/relationships/hyperlink" Target="mailto:fcc504@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9292</Characters>
  <Application>Microsoft Office Word</Application>
  <DocSecurity>0</DocSecurity>
  <Lines>142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11022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2004-12-02T13:00:00Z</cp:lastPrinted>
  <dcterms:created xsi:type="dcterms:W3CDTF">2016-08-12T12:41:00Z</dcterms:created>
  <dcterms:modified xsi:type="dcterms:W3CDTF">2016-08-12T12:41:00Z</dcterms:modified>
  <cp:category> </cp:category>
  <cp:contentStatus> </cp:contentStatus>
</cp:coreProperties>
</file>