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FE20C" w14:textId="52888282" w:rsidR="00DD161C" w:rsidRPr="005675BC" w:rsidRDefault="00633232" w:rsidP="00A02DF2">
      <w:pPr>
        <w:tabs>
          <w:tab w:val="left" w:pos="-1440"/>
          <w:tab w:val="left" w:pos="-720"/>
          <w:tab w:val="left" w:pos="4788"/>
          <w:tab w:val="left" w:pos="5040"/>
          <w:tab w:val="left" w:pos="6480"/>
        </w:tabs>
        <w:suppressAutoHyphens/>
        <w:outlineLvl w:val="0"/>
        <w:rPr>
          <w:b/>
          <w:color w:val="000000"/>
          <w:sz w:val="22"/>
          <w:szCs w:val="22"/>
        </w:rPr>
      </w:pPr>
      <w:bookmarkStart w:id="0" w:name="_GoBack"/>
      <w:bookmarkEnd w:id="0"/>
      <w:r w:rsidRPr="005675BC">
        <w:rPr>
          <w:color w:val="000000"/>
          <w:sz w:val="22"/>
          <w:szCs w:val="22"/>
        </w:rPr>
        <w:t xml:space="preserve">                                                  </w:t>
      </w:r>
      <w:r w:rsidRPr="005675BC">
        <w:rPr>
          <w:color w:val="000000"/>
          <w:sz w:val="22"/>
          <w:szCs w:val="22"/>
        </w:rPr>
        <w:tab/>
      </w:r>
      <w:r w:rsidRPr="005675BC">
        <w:rPr>
          <w:color w:val="000000"/>
          <w:sz w:val="22"/>
          <w:szCs w:val="22"/>
        </w:rPr>
        <w:tab/>
      </w:r>
      <w:r w:rsidR="00B529DD" w:rsidRPr="005675BC">
        <w:rPr>
          <w:color w:val="000000"/>
          <w:sz w:val="22"/>
          <w:szCs w:val="22"/>
        </w:rPr>
        <w:tab/>
      </w:r>
      <w:r w:rsidR="00256709">
        <w:rPr>
          <w:color w:val="000000"/>
          <w:sz w:val="22"/>
          <w:szCs w:val="22"/>
        </w:rPr>
        <w:t xml:space="preserve">DA </w:t>
      </w:r>
      <w:r w:rsidR="00256709" w:rsidRPr="00256709">
        <w:rPr>
          <w:color w:val="000000"/>
          <w:sz w:val="22"/>
          <w:szCs w:val="22"/>
        </w:rPr>
        <w:t>16-920</w:t>
      </w:r>
    </w:p>
    <w:p w14:paraId="101F9EDC" w14:textId="77777777" w:rsidR="00633232" w:rsidRPr="007E7140" w:rsidRDefault="00DD161C" w:rsidP="00A02DF2">
      <w:pPr>
        <w:tabs>
          <w:tab w:val="left" w:pos="-1440"/>
          <w:tab w:val="left" w:pos="-720"/>
          <w:tab w:val="left" w:pos="4788"/>
          <w:tab w:val="left" w:pos="5040"/>
          <w:tab w:val="left" w:pos="6480"/>
        </w:tabs>
        <w:suppressAutoHyphens/>
        <w:outlineLvl w:val="0"/>
        <w:rPr>
          <w:b/>
          <w:i/>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00633232" w:rsidRPr="007E7140">
        <w:rPr>
          <w:b/>
          <w:i/>
          <w:color w:val="000000"/>
          <w:sz w:val="22"/>
          <w:szCs w:val="22"/>
        </w:rPr>
        <w:t>In Reply Refer to:</w:t>
      </w:r>
    </w:p>
    <w:p w14:paraId="281E0FC0" w14:textId="77777777" w:rsidR="00DD161C" w:rsidRPr="005675BC" w:rsidRDefault="00633232" w:rsidP="00991028">
      <w:pPr>
        <w:tabs>
          <w:tab w:val="left" w:pos="0"/>
          <w:tab w:val="left" w:pos="6480"/>
        </w:tabs>
        <w:suppressAutoHyphens/>
        <w:outlineLvl w:val="0"/>
        <w:rPr>
          <w:color w:val="000000"/>
          <w:sz w:val="22"/>
          <w:szCs w:val="22"/>
        </w:rPr>
      </w:pPr>
      <w:r w:rsidRPr="005675BC">
        <w:rPr>
          <w:color w:val="000000"/>
          <w:sz w:val="22"/>
          <w:szCs w:val="22"/>
        </w:rPr>
        <w:tab/>
      </w:r>
      <w:r w:rsidR="005A1DF8" w:rsidRPr="005675BC">
        <w:rPr>
          <w:b/>
          <w:sz w:val="22"/>
          <w:szCs w:val="22"/>
        </w:rPr>
        <w:t>1800B3-CEG</w:t>
      </w:r>
    </w:p>
    <w:p w14:paraId="244F0A93" w14:textId="5165F613" w:rsidR="00C450BE" w:rsidRPr="007E7140" w:rsidRDefault="00DD161C" w:rsidP="00991028">
      <w:pPr>
        <w:tabs>
          <w:tab w:val="left" w:pos="0"/>
          <w:tab w:val="left" w:pos="6480"/>
        </w:tabs>
        <w:suppressAutoHyphens/>
        <w:outlineLvl w:val="0"/>
        <w:rPr>
          <w:color w:val="000000"/>
          <w:sz w:val="22"/>
          <w:szCs w:val="22"/>
        </w:rPr>
      </w:pPr>
      <w:r w:rsidRPr="005675BC">
        <w:rPr>
          <w:color w:val="000000"/>
          <w:sz w:val="22"/>
          <w:szCs w:val="22"/>
        </w:rPr>
        <w:tab/>
      </w:r>
      <w:r w:rsidRPr="007E7140">
        <w:rPr>
          <w:color w:val="000000"/>
          <w:sz w:val="22"/>
          <w:szCs w:val="22"/>
        </w:rPr>
        <w:t>Released</w:t>
      </w:r>
      <w:r w:rsidR="00DC31A3">
        <w:rPr>
          <w:color w:val="000000"/>
          <w:sz w:val="22"/>
          <w:szCs w:val="22"/>
        </w:rPr>
        <w:t>: August 12, 2016</w:t>
      </w:r>
    </w:p>
    <w:p w14:paraId="07556A5E" w14:textId="518D582E" w:rsidR="00667F91" w:rsidRDefault="00DC31A3" w:rsidP="00667F91">
      <w:pPr>
        <w:suppressAutoHyphens/>
        <w:rPr>
          <w:color w:val="000000"/>
          <w:sz w:val="22"/>
          <w:szCs w:val="22"/>
          <w:lang w:val="es-ES"/>
        </w:rPr>
      </w:pPr>
      <w:r>
        <w:rPr>
          <w:color w:val="000000"/>
          <w:sz w:val="22"/>
          <w:szCs w:val="22"/>
          <w:lang w:val="es-ES"/>
        </w:rPr>
        <w:t>Mark N. Lipp, Esq.</w:t>
      </w:r>
    </w:p>
    <w:p w14:paraId="72DE5E21" w14:textId="77777777" w:rsidR="00667F91" w:rsidRDefault="00667F91" w:rsidP="00667F91">
      <w:pPr>
        <w:suppressAutoHyphens/>
        <w:rPr>
          <w:color w:val="000000"/>
          <w:sz w:val="22"/>
          <w:szCs w:val="22"/>
          <w:lang w:val="es-ES"/>
        </w:rPr>
      </w:pPr>
      <w:r>
        <w:rPr>
          <w:color w:val="000000"/>
          <w:sz w:val="22"/>
          <w:szCs w:val="22"/>
          <w:lang w:val="es-ES"/>
        </w:rPr>
        <w:t>Wiley Rein LLP</w:t>
      </w:r>
    </w:p>
    <w:p w14:paraId="57CE0ADA" w14:textId="77777777" w:rsidR="00667F91" w:rsidRDefault="00667F91" w:rsidP="00667F91">
      <w:pPr>
        <w:suppressAutoHyphens/>
        <w:rPr>
          <w:color w:val="000000"/>
          <w:sz w:val="22"/>
          <w:szCs w:val="22"/>
          <w:lang w:val="es-ES"/>
        </w:rPr>
      </w:pPr>
      <w:r>
        <w:rPr>
          <w:color w:val="000000"/>
          <w:sz w:val="22"/>
          <w:szCs w:val="22"/>
          <w:lang w:val="es-ES"/>
        </w:rPr>
        <w:t>1776 K Street NW</w:t>
      </w:r>
    </w:p>
    <w:p w14:paraId="16833892" w14:textId="77777777" w:rsidR="00667F91" w:rsidRDefault="00667F91" w:rsidP="00667F91">
      <w:pPr>
        <w:suppressAutoHyphens/>
        <w:rPr>
          <w:color w:val="000000"/>
          <w:sz w:val="22"/>
          <w:szCs w:val="22"/>
          <w:lang w:val="es-ES"/>
        </w:rPr>
      </w:pPr>
      <w:r>
        <w:rPr>
          <w:color w:val="000000"/>
          <w:sz w:val="22"/>
          <w:szCs w:val="22"/>
          <w:lang w:val="es-ES"/>
        </w:rPr>
        <w:t>Washington DC 20006</w:t>
      </w:r>
    </w:p>
    <w:p w14:paraId="431DF7AE" w14:textId="77777777" w:rsidR="00667F91" w:rsidRPr="00C1657B" w:rsidRDefault="00667F91" w:rsidP="00667F91">
      <w:pPr>
        <w:suppressAutoHyphens/>
        <w:rPr>
          <w:sz w:val="22"/>
          <w:szCs w:val="22"/>
        </w:rPr>
      </w:pPr>
    </w:p>
    <w:p w14:paraId="6FB3A25A" w14:textId="6A430795" w:rsidR="00580F2D" w:rsidRDefault="009B4301" w:rsidP="00580F2D">
      <w:pPr>
        <w:widowControl w:val="0"/>
        <w:autoSpaceDE w:val="0"/>
        <w:autoSpaceDN w:val="0"/>
        <w:adjustRightInd w:val="0"/>
        <w:rPr>
          <w:color w:val="000000"/>
          <w:sz w:val="22"/>
          <w:szCs w:val="22"/>
          <w:lang w:val="es-ES"/>
        </w:rPr>
      </w:pPr>
      <w:r>
        <w:rPr>
          <w:color w:val="000000"/>
          <w:sz w:val="22"/>
          <w:szCs w:val="22"/>
          <w:lang w:val="es-ES"/>
        </w:rPr>
        <w:t>John F. Garziglia, Esq.</w:t>
      </w:r>
    </w:p>
    <w:p w14:paraId="59685639" w14:textId="77777777" w:rsidR="009B4301" w:rsidRDefault="009B4301" w:rsidP="00580F2D">
      <w:pPr>
        <w:widowControl w:val="0"/>
        <w:autoSpaceDE w:val="0"/>
        <w:autoSpaceDN w:val="0"/>
        <w:adjustRightInd w:val="0"/>
        <w:rPr>
          <w:color w:val="000000"/>
          <w:sz w:val="22"/>
          <w:szCs w:val="22"/>
          <w:lang w:val="es-ES"/>
        </w:rPr>
      </w:pPr>
      <w:r>
        <w:rPr>
          <w:color w:val="000000"/>
          <w:sz w:val="22"/>
          <w:szCs w:val="22"/>
          <w:lang w:val="es-ES"/>
        </w:rPr>
        <w:t>Womble Carlyle Sandridge &amp; Rice</w:t>
      </w:r>
      <w:r w:rsidR="00DB4F4C">
        <w:rPr>
          <w:color w:val="000000"/>
          <w:sz w:val="22"/>
          <w:szCs w:val="22"/>
          <w:lang w:val="es-ES"/>
        </w:rPr>
        <w:t>, LLP</w:t>
      </w:r>
    </w:p>
    <w:p w14:paraId="12C0A88B" w14:textId="77777777" w:rsidR="009B4301" w:rsidRDefault="009B4301" w:rsidP="00580F2D">
      <w:pPr>
        <w:widowControl w:val="0"/>
        <w:autoSpaceDE w:val="0"/>
        <w:autoSpaceDN w:val="0"/>
        <w:adjustRightInd w:val="0"/>
        <w:rPr>
          <w:color w:val="000000"/>
          <w:sz w:val="22"/>
          <w:szCs w:val="22"/>
          <w:lang w:val="es-ES"/>
        </w:rPr>
      </w:pPr>
      <w:r>
        <w:rPr>
          <w:color w:val="000000"/>
          <w:sz w:val="22"/>
          <w:szCs w:val="22"/>
          <w:lang w:val="es-ES"/>
        </w:rPr>
        <w:t>1200 Nineteenth St NW, Suite 500</w:t>
      </w:r>
    </w:p>
    <w:p w14:paraId="3F8AA00D" w14:textId="07F1D113" w:rsidR="00C20863" w:rsidRDefault="009B4301" w:rsidP="009F04CE">
      <w:pPr>
        <w:widowControl w:val="0"/>
        <w:autoSpaceDE w:val="0"/>
        <w:autoSpaceDN w:val="0"/>
        <w:adjustRightInd w:val="0"/>
        <w:rPr>
          <w:color w:val="000000"/>
          <w:sz w:val="22"/>
          <w:szCs w:val="22"/>
          <w:lang w:val="es-ES"/>
        </w:rPr>
      </w:pPr>
      <w:r>
        <w:rPr>
          <w:color w:val="000000"/>
          <w:sz w:val="22"/>
          <w:szCs w:val="22"/>
          <w:lang w:val="es-ES"/>
        </w:rPr>
        <w:t>Washington DC 20036</w:t>
      </w:r>
    </w:p>
    <w:p w14:paraId="442AD88E" w14:textId="76F4A560" w:rsidR="00667F91" w:rsidRDefault="009F04CE" w:rsidP="00144446">
      <w:pPr>
        <w:tabs>
          <w:tab w:val="left" w:pos="-1080"/>
          <w:tab w:val="left" w:pos="5310"/>
          <w:tab w:val="left" w:pos="6480"/>
        </w:tabs>
        <w:suppressAutoHyphens/>
        <w:ind w:left="5310" w:hanging="5310"/>
        <w:rPr>
          <w:sz w:val="22"/>
          <w:szCs w:val="22"/>
        </w:rPr>
      </w:pPr>
      <w:r w:rsidRPr="00A348C6">
        <w:rPr>
          <w:sz w:val="22"/>
          <w:szCs w:val="22"/>
        </w:rPr>
        <w:t xml:space="preserve">                                                                                    In re:</w:t>
      </w:r>
      <w:r>
        <w:rPr>
          <w:sz w:val="22"/>
          <w:szCs w:val="22"/>
        </w:rPr>
        <w:tab/>
      </w:r>
      <w:r w:rsidR="00667F91">
        <w:rPr>
          <w:b/>
          <w:sz w:val="22"/>
          <w:szCs w:val="22"/>
        </w:rPr>
        <w:t>KPVO(FM), Fountain Green, Utah</w:t>
      </w:r>
    </w:p>
    <w:p w14:paraId="3AC2A484" w14:textId="77777777" w:rsidR="00667F91" w:rsidRDefault="00667F91" w:rsidP="00667F91">
      <w:pPr>
        <w:tabs>
          <w:tab w:val="left" w:pos="-1080"/>
          <w:tab w:val="left" w:pos="5310"/>
          <w:tab w:val="left" w:pos="5400"/>
          <w:tab w:val="left" w:pos="6480"/>
        </w:tabs>
        <w:suppressAutoHyphens/>
        <w:rPr>
          <w:sz w:val="22"/>
          <w:szCs w:val="22"/>
        </w:rPr>
      </w:pPr>
      <w:r>
        <w:rPr>
          <w:sz w:val="22"/>
          <w:szCs w:val="22"/>
        </w:rPr>
        <w:tab/>
        <w:t>Facility ID No. 190393</w:t>
      </w:r>
    </w:p>
    <w:p w14:paraId="582E2921" w14:textId="77777777" w:rsidR="00667F91" w:rsidRDefault="00667F91" w:rsidP="00667F91">
      <w:pPr>
        <w:tabs>
          <w:tab w:val="left" w:pos="-1080"/>
          <w:tab w:val="left" w:pos="5310"/>
          <w:tab w:val="left" w:pos="5400"/>
          <w:tab w:val="left" w:pos="6480"/>
        </w:tabs>
        <w:suppressAutoHyphens/>
        <w:rPr>
          <w:sz w:val="22"/>
          <w:szCs w:val="22"/>
        </w:rPr>
      </w:pPr>
      <w:r>
        <w:rPr>
          <w:sz w:val="22"/>
          <w:szCs w:val="22"/>
        </w:rPr>
        <w:tab/>
        <w:t>File No. BPH-20150821ABK</w:t>
      </w:r>
    </w:p>
    <w:p w14:paraId="7DECB445" w14:textId="77777777" w:rsidR="00667F91" w:rsidRDefault="00667F91" w:rsidP="00343CF0">
      <w:pPr>
        <w:tabs>
          <w:tab w:val="left" w:pos="-1080"/>
          <w:tab w:val="left" w:pos="5310"/>
          <w:tab w:val="left" w:pos="6480"/>
        </w:tabs>
        <w:suppressAutoHyphens/>
        <w:rPr>
          <w:b/>
          <w:sz w:val="22"/>
          <w:szCs w:val="22"/>
        </w:rPr>
      </w:pPr>
      <w:r>
        <w:rPr>
          <w:b/>
          <w:sz w:val="22"/>
          <w:szCs w:val="22"/>
        </w:rPr>
        <w:tab/>
      </w:r>
    </w:p>
    <w:p w14:paraId="7CCCC0BC" w14:textId="236A774A" w:rsidR="00144446" w:rsidRPr="00B102E7" w:rsidRDefault="00667F91" w:rsidP="00343CF0">
      <w:pPr>
        <w:tabs>
          <w:tab w:val="left" w:pos="-1080"/>
          <w:tab w:val="left" w:pos="5310"/>
          <w:tab w:val="left" w:pos="6480"/>
        </w:tabs>
        <w:suppressAutoHyphens/>
        <w:rPr>
          <w:b/>
          <w:sz w:val="22"/>
          <w:szCs w:val="22"/>
        </w:rPr>
      </w:pPr>
      <w:r>
        <w:rPr>
          <w:b/>
          <w:sz w:val="22"/>
          <w:szCs w:val="22"/>
        </w:rPr>
        <w:tab/>
      </w:r>
      <w:r w:rsidR="00343CF0" w:rsidRPr="00B102E7">
        <w:rPr>
          <w:b/>
          <w:sz w:val="22"/>
          <w:szCs w:val="22"/>
        </w:rPr>
        <w:t>KWSA(FM), Price, Utah</w:t>
      </w:r>
    </w:p>
    <w:p w14:paraId="560AEE4C" w14:textId="77777777" w:rsidR="00343CF0" w:rsidRDefault="00343CF0" w:rsidP="00343CF0">
      <w:pPr>
        <w:tabs>
          <w:tab w:val="left" w:pos="-1080"/>
          <w:tab w:val="left" w:pos="5310"/>
          <w:tab w:val="left" w:pos="5400"/>
          <w:tab w:val="left" w:pos="6480"/>
        </w:tabs>
        <w:suppressAutoHyphens/>
        <w:rPr>
          <w:sz w:val="22"/>
          <w:szCs w:val="22"/>
        </w:rPr>
      </w:pPr>
      <w:r>
        <w:rPr>
          <w:b/>
          <w:sz w:val="22"/>
          <w:szCs w:val="22"/>
        </w:rPr>
        <w:tab/>
      </w:r>
      <w:r>
        <w:rPr>
          <w:sz w:val="22"/>
          <w:szCs w:val="22"/>
        </w:rPr>
        <w:t>Facility ID No. 15528</w:t>
      </w:r>
    </w:p>
    <w:p w14:paraId="7C64B924" w14:textId="77777777" w:rsidR="00343CF0" w:rsidRDefault="00343CF0" w:rsidP="00343CF0">
      <w:pPr>
        <w:tabs>
          <w:tab w:val="left" w:pos="-1080"/>
          <w:tab w:val="left" w:pos="5310"/>
          <w:tab w:val="left" w:pos="5400"/>
          <w:tab w:val="left" w:pos="6480"/>
        </w:tabs>
        <w:suppressAutoHyphens/>
        <w:rPr>
          <w:sz w:val="22"/>
          <w:szCs w:val="22"/>
        </w:rPr>
      </w:pPr>
      <w:r>
        <w:rPr>
          <w:sz w:val="22"/>
          <w:szCs w:val="22"/>
        </w:rPr>
        <w:tab/>
        <w:t>File No. BPH-20150902ADY</w:t>
      </w:r>
    </w:p>
    <w:p w14:paraId="3F1F8A9F" w14:textId="77777777" w:rsidR="00B102E7" w:rsidRPr="00667F91" w:rsidRDefault="00343CF0" w:rsidP="00667F91">
      <w:pPr>
        <w:tabs>
          <w:tab w:val="left" w:pos="-1080"/>
          <w:tab w:val="left" w:pos="5310"/>
          <w:tab w:val="left" w:pos="6480"/>
        </w:tabs>
        <w:suppressAutoHyphens/>
        <w:rPr>
          <w:b/>
          <w:sz w:val="22"/>
          <w:szCs w:val="22"/>
        </w:rPr>
      </w:pPr>
      <w:r>
        <w:rPr>
          <w:b/>
          <w:sz w:val="22"/>
          <w:szCs w:val="22"/>
        </w:rPr>
        <w:tab/>
      </w:r>
      <w:r w:rsidR="00D0738C">
        <w:rPr>
          <w:b/>
          <w:sz w:val="22"/>
          <w:szCs w:val="22"/>
        </w:rPr>
        <w:t xml:space="preserve"> </w:t>
      </w:r>
    </w:p>
    <w:p w14:paraId="3815C902" w14:textId="77777777" w:rsidR="009F04CE" w:rsidRDefault="007863EE" w:rsidP="00443234">
      <w:pPr>
        <w:tabs>
          <w:tab w:val="left" w:pos="-1080"/>
          <w:tab w:val="left" w:pos="5310"/>
          <w:tab w:val="left" w:pos="5400"/>
          <w:tab w:val="left" w:pos="6480"/>
        </w:tabs>
        <w:suppressAutoHyphens/>
        <w:rPr>
          <w:b/>
          <w:sz w:val="22"/>
          <w:szCs w:val="22"/>
        </w:rPr>
      </w:pPr>
      <w:r>
        <w:rPr>
          <w:b/>
          <w:sz w:val="22"/>
          <w:szCs w:val="22"/>
        </w:rPr>
        <w:tab/>
      </w:r>
      <w:r w:rsidR="008B501D">
        <w:rPr>
          <w:b/>
          <w:sz w:val="22"/>
          <w:szCs w:val="22"/>
        </w:rPr>
        <w:t>M</w:t>
      </w:r>
      <w:r w:rsidR="008170BD">
        <w:rPr>
          <w:b/>
          <w:sz w:val="22"/>
          <w:szCs w:val="22"/>
        </w:rPr>
        <w:t>inor Change in Licensed Facility</w:t>
      </w:r>
    </w:p>
    <w:p w14:paraId="36CD2400" w14:textId="77777777" w:rsidR="00633232" w:rsidRPr="0024515F" w:rsidRDefault="009F04CE" w:rsidP="0024515F">
      <w:pPr>
        <w:tabs>
          <w:tab w:val="left" w:pos="0"/>
        </w:tabs>
        <w:suppressAutoHyphens/>
        <w:spacing w:before="120"/>
        <w:jc w:val="both"/>
        <w:rPr>
          <w:color w:val="000000"/>
          <w:sz w:val="22"/>
          <w:szCs w:val="22"/>
        </w:rPr>
      </w:pPr>
      <w:r>
        <w:rPr>
          <w:color w:val="000000"/>
          <w:sz w:val="22"/>
          <w:szCs w:val="22"/>
        </w:rPr>
        <w:t xml:space="preserve">Dear </w:t>
      </w:r>
      <w:r w:rsidRPr="0024515F">
        <w:rPr>
          <w:color w:val="000000"/>
          <w:sz w:val="22"/>
          <w:szCs w:val="22"/>
        </w:rPr>
        <w:t>Counsel:</w:t>
      </w:r>
    </w:p>
    <w:p w14:paraId="76EAD868" w14:textId="77777777" w:rsidR="007377B6" w:rsidRPr="0024515F" w:rsidRDefault="00833EA0" w:rsidP="0024515F">
      <w:pPr>
        <w:spacing w:before="120"/>
        <w:ind w:right="-360" w:firstLine="720"/>
        <w:rPr>
          <w:color w:val="000000"/>
          <w:sz w:val="22"/>
          <w:szCs w:val="22"/>
        </w:rPr>
      </w:pPr>
      <w:r w:rsidRPr="0024515F">
        <w:rPr>
          <w:color w:val="000000"/>
          <w:sz w:val="22"/>
          <w:szCs w:val="22"/>
        </w:rPr>
        <w:t xml:space="preserve"> </w:t>
      </w:r>
      <w:r w:rsidR="00443234" w:rsidRPr="0024515F">
        <w:rPr>
          <w:color w:val="000000"/>
          <w:sz w:val="22"/>
          <w:szCs w:val="22"/>
        </w:rPr>
        <w:t>We have before us</w:t>
      </w:r>
      <w:r w:rsidR="002A3DFA" w:rsidRPr="0024515F">
        <w:rPr>
          <w:color w:val="000000"/>
          <w:sz w:val="22"/>
          <w:szCs w:val="22"/>
        </w:rPr>
        <w:t xml:space="preserve"> </w:t>
      </w:r>
      <w:r w:rsidR="00443234" w:rsidRPr="0024515F">
        <w:rPr>
          <w:color w:val="000000"/>
          <w:sz w:val="22"/>
          <w:szCs w:val="22"/>
        </w:rPr>
        <w:t xml:space="preserve">the above-referenced </w:t>
      </w:r>
      <w:r w:rsidR="00E07701">
        <w:rPr>
          <w:color w:val="000000"/>
          <w:sz w:val="22"/>
          <w:szCs w:val="22"/>
        </w:rPr>
        <w:t xml:space="preserve">modification </w:t>
      </w:r>
      <w:r w:rsidR="00443234" w:rsidRPr="0024515F">
        <w:rPr>
          <w:color w:val="000000"/>
          <w:sz w:val="22"/>
          <w:szCs w:val="22"/>
        </w:rPr>
        <w:t xml:space="preserve">application filed on </w:t>
      </w:r>
      <w:r w:rsidR="00D44083">
        <w:rPr>
          <w:color w:val="000000"/>
          <w:sz w:val="22"/>
          <w:szCs w:val="22"/>
        </w:rPr>
        <w:t>August 2</w:t>
      </w:r>
      <w:r w:rsidR="00667F91">
        <w:rPr>
          <w:color w:val="000000"/>
          <w:sz w:val="22"/>
          <w:szCs w:val="22"/>
        </w:rPr>
        <w:t>1</w:t>
      </w:r>
      <w:r w:rsidR="00D44083">
        <w:rPr>
          <w:color w:val="000000"/>
          <w:sz w:val="22"/>
          <w:szCs w:val="22"/>
        </w:rPr>
        <w:t>, 2015</w:t>
      </w:r>
      <w:r w:rsidR="00443234" w:rsidRPr="0024515F">
        <w:rPr>
          <w:color w:val="000000"/>
          <w:sz w:val="22"/>
          <w:szCs w:val="22"/>
        </w:rPr>
        <w:t xml:space="preserve">, by </w:t>
      </w:r>
      <w:r w:rsidR="00D44083">
        <w:rPr>
          <w:color w:val="000000"/>
          <w:sz w:val="22"/>
          <w:szCs w:val="22"/>
        </w:rPr>
        <w:t>Valleydale Broadcasting, LLC</w:t>
      </w:r>
      <w:r w:rsidR="00667F91">
        <w:rPr>
          <w:color w:val="000000"/>
          <w:sz w:val="22"/>
          <w:szCs w:val="22"/>
        </w:rPr>
        <w:t xml:space="preserve"> (</w:t>
      </w:r>
      <w:r w:rsidR="00D44083">
        <w:rPr>
          <w:color w:val="000000"/>
          <w:sz w:val="22"/>
          <w:szCs w:val="22"/>
        </w:rPr>
        <w:t>Valleydale</w:t>
      </w:r>
      <w:r w:rsidR="00E07701">
        <w:rPr>
          <w:color w:val="000000"/>
          <w:sz w:val="22"/>
          <w:szCs w:val="22"/>
        </w:rPr>
        <w:t>)</w:t>
      </w:r>
      <w:r w:rsidR="00641A5A" w:rsidRPr="00641A5A">
        <w:rPr>
          <w:color w:val="000000"/>
          <w:sz w:val="22"/>
          <w:szCs w:val="22"/>
        </w:rPr>
        <w:t xml:space="preserve"> </w:t>
      </w:r>
      <w:r w:rsidR="00641A5A" w:rsidRPr="0024515F">
        <w:rPr>
          <w:color w:val="000000"/>
          <w:sz w:val="22"/>
          <w:szCs w:val="22"/>
        </w:rPr>
        <w:t>(</w:t>
      </w:r>
      <w:r w:rsidR="00BD3CA8">
        <w:rPr>
          <w:color w:val="000000"/>
          <w:sz w:val="22"/>
          <w:szCs w:val="22"/>
        </w:rPr>
        <w:t>KPVO</w:t>
      </w:r>
      <w:r w:rsidR="00641A5A">
        <w:rPr>
          <w:color w:val="000000"/>
          <w:sz w:val="22"/>
          <w:szCs w:val="22"/>
        </w:rPr>
        <w:t xml:space="preserve"> Modification </w:t>
      </w:r>
      <w:r w:rsidR="00641A5A" w:rsidRPr="0024515F">
        <w:rPr>
          <w:color w:val="000000"/>
          <w:sz w:val="22"/>
          <w:szCs w:val="22"/>
        </w:rPr>
        <w:t>Application)</w:t>
      </w:r>
      <w:r w:rsidR="00E07701">
        <w:rPr>
          <w:color w:val="000000"/>
          <w:sz w:val="22"/>
          <w:szCs w:val="22"/>
        </w:rPr>
        <w:t xml:space="preserve">, seeking to upgrade </w:t>
      </w:r>
      <w:r w:rsidR="002A3DFA" w:rsidRPr="0024515F">
        <w:rPr>
          <w:color w:val="000000"/>
          <w:sz w:val="22"/>
          <w:szCs w:val="22"/>
        </w:rPr>
        <w:t xml:space="preserve">Station </w:t>
      </w:r>
      <w:r w:rsidR="00D44083">
        <w:rPr>
          <w:color w:val="000000"/>
          <w:sz w:val="22"/>
          <w:szCs w:val="22"/>
        </w:rPr>
        <w:t>KPVO(FM)</w:t>
      </w:r>
      <w:r w:rsidR="002A3DFA" w:rsidRPr="0024515F">
        <w:rPr>
          <w:color w:val="000000"/>
          <w:sz w:val="22"/>
          <w:szCs w:val="22"/>
        </w:rPr>
        <w:t xml:space="preserve">, </w:t>
      </w:r>
      <w:r w:rsidR="00D44083">
        <w:rPr>
          <w:color w:val="000000"/>
          <w:sz w:val="22"/>
          <w:szCs w:val="22"/>
        </w:rPr>
        <w:t>Fountain Green, Utah (</w:t>
      </w:r>
      <w:r w:rsidR="00667F91">
        <w:rPr>
          <w:color w:val="000000"/>
          <w:sz w:val="22"/>
          <w:szCs w:val="22"/>
        </w:rPr>
        <w:t>KPVO)</w:t>
      </w:r>
      <w:r w:rsidR="00E0347D">
        <w:rPr>
          <w:color w:val="000000"/>
          <w:sz w:val="22"/>
          <w:szCs w:val="22"/>
        </w:rPr>
        <w:t>, t</w:t>
      </w:r>
      <w:r w:rsidR="00036341">
        <w:rPr>
          <w:color w:val="000000"/>
          <w:sz w:val="22"/>
          <w:szCs w:val="22"/>
        </w:rPr>
        <w:t>o Class C1, with increased ERP</w:t>
      </w:r>
      <w:r w:rsidR="00E0347D">
        <w:rPr>
          <w:color w:val="000000"/>
          <w:sz w:val="22"/>
          <w:szCs w:val="22"/>
        </w:rPr>
        <w:t xml:space="preserve"> and a new antenna site</w:t>
      </w:r>
      <w:r w:rsidR="00340A6A">
        <w:rPr>
          <w:color w:val="000000"/>
          <w:sz w:val="22"/>
          <w:szCs w:val="22"/>
        </w:rPr>
        <w:t>, and related pleadings</w:t>
      </w:r>
      <w:r w:rsidR="007377B6" w:rsidRPr="0024515F">
        <w:rPr>
          <w:color w:val="000000"/>
          <w:sz w:val="22"/>
          <w:szCs w:val="22"/>
        </w:rPr>
        <w:t>.</w:t>
      </w:r>
      <w:r w:rsidR="000E6509">
        <w:rPr>
          <w:rStyle w:val="FootnoteReference"/>
          <w:color w:val="000000"/>
          <w:sz w:val="22"/>
          <w:szCs w:val="22"/>
        </w:rPr>
        <w:footnoteReference w:id="1"/>
      </w:r>
      <w:r w:rsidR="007377B6" w:rsidRPr="0024515F">
        <w:rPr>
          <w:color w:val="000000"/>
          <w:sz w:val="22"/>
          <w:szCs w:val="22"/>
        </w:rPr>
        <w:t xml:space="preserve">  </w:t>
      </w:r>
      <w:r w:rsidR="000A4E9B">
        <w:rPr>
          <w:color w:val="000000"/>
          <w:sz w:val="22"/>
          <w:szCs w:val="22"/>
        </w:rPr>
        <w:t xml:space="preserve">The </w:t>
      </w:r>
      <w:r w:rsidR="00BD3CA8">
        <w:rPr>
          <w:color w:val="000000"/>
          <w:sz w:val="22"/>
          <w:szCs w:val="22"/>
        </w:rPr>
        <w:t>KPVO</w:t>
      </w:r>
      <w:r w:rsidR="000A4E9B">
        <w:rPr>
          <w:color w:val="000000"/>
          <w:sz w:val="22"/>
          <w:szCs w:val="22"/>
        </w:rPr>
        <w:t xml:space="preserve"> Modification Application</w:t>
      </w:r>
      <w:r w:rsidR="0097196C">
        <w:rPr>
          <w:color w:val="000000"/>
          <w:sz w:val="22"/>
          <w:szCs w:val="22"/>
        </w:rPr>
        <w:t>, as amended, also</w:t>
      </w:r>
      <w:r w:rsidR="000A4E9B">
        <w:rPr>
          <w:color w:val="000000"/>
          <w:sz w:val="22"/>
          <w:szCs w:val="22"/>
        </w:rPr>
        <w:t xml:space="preserve"> requests an involuntary channel change for Station KWSA(FM), Price, Utah (KWSA), from Channel 261A to Channel 280A.  </w:t>
      </w:r>
      <w:r w:rsidR="00F75F0A" w:rsidRPr="0024515F">
        <w:rPr>
          <w:color w:val="000000"/>
          <w:sz w:val="22"/>
          <w:szCs w:val="22"/>
        </w:rPr>
        <w:t xml:space="preserve">We also have </w:t>
      </w:r>
      <w:r w:rsidR="00036341">
        <w:rPr>
          <w:color w:val="000000"/>
          <w:sz w:val="22"/>
          <w:szCs w:val="22"/>
        </w:rPr>
        <w:t xml:space="preserve">the above-referenced </w:t>
      </w:r>
      <w:r w:rsidR="00E07701">
        <w:rPr>
          <w:color w:val="000000"/>
          <w:sz w:val="22"/>
          <w:szCs w:val="22"/>
        </w:rPr>
        <w:t xml:space="preserve">modification application </w:t>
      </w:r>
      <w:r w:rsidR="00340A6A">
        <w:rPr>
          <w:color w:val="000000"/>
          <w:sz w:val="22"/>
          <w:szCs w:val="22"/>
        </w:rPr>
        <w:t>filed on September 2</w:t>
      </w:r>
      <w:r w:rsidR="00E07701">
        <w:rPr>
          <w:color w:val="000000"/>
          <w:sz w:val="22"/>
          <w:szCs w:val="22"/>
        </w:rPr>
        <w:t xml:space="preserve">, 2015, </w:t>
      </w:r>
      <w:r w:rsidR="00E0347D">
        <w:rPr>
          <w:color w:val="000000"/>
          <w:sz w:val="22"/>
          <w:szCs w:val="22"/>
        </w:rPr>
        <w:t xml:space="preserve">by </w:t>
      </w:r>
      <w:r w:rsidR="0097196C">
        <w:rPr>
          <w:color w:val="000000"/>
          <w:sz w:val="22"/>
          <w:szCs w:val="22"/>
        </w:rPr>
        <w:t xml:space="preserve">KWSA licensee </w:t>
      </w:r>
      <w:r w:rsidR="00E0347D">
        <w:rPr>
          <w:color w:val="000000"/>
          <w:sz w:val="22"/>
          <w:szCs w:val="22"/>
        </w:rPr>
        <w:t>AJB Holdings, LLC (AJB)</w:t>
      </w:r>
      <w:r w:rsidR="00641A5A" w:rsidRPr="00641A5A">
        <w:rPr>
          <w:color w:val="000000"/>
          <w:sz w:val="22"/>
          <w:szCs w:val="22"/>
        </w:rPr>
        <w:t xml:space="preserve"> </w:t>
      </w:r>
      <w:r w:rsidR="00641A5A">
        <w:rPr>
          <w:color w:val="000000"/>
          <w:sz w:val="22"/>
          <w:szCs w:val="22"/>
        </w:rPr>
        <w:t>(KWSA Modification Application)</w:t>
      </w:r>
      <w:r w:rsidR="00E0347D">
        <w:rPr>
          <w:color w:val="000000"/>
          <w:sz w:val="22"/>
          <w:szCs w:val="22"/>
        </w:rPr>
        <w:t xml:space="preserve">, seeking to upgrade </w:t>
      </w:r>
      <w:r w:rsidR="000A4E9B">
        <w:rPr>
          <w:color w:val="000000"/>
          <w:sz w:val="22"/>
          <w:szCs w:val="22"/>
        </w:rPr>
        <w:t xml:space="preserve">KWSA </w:t>
      </w:r>
      <w:r w:rsidR="00E0347D">
        <w:rPr>
          <w:color w:val="000000"/>
          <w:sz w:val="22"/>
          <w:szCs w:val="22"/>
        </w:rPr>
        <w:t>to Class C3, with a directional antenna, increased ERP, and new antenna site.</w:t>
      </w:r>
      <w:r w:rsidR="00036341">
        <w:rPr>
          <w:color w:val="000000"/>
          <w:sz w:val="22"/>
          <w:szCs w:val="22"/>
        </w:rPr>
        <w:t xml:space="preserve">  The KPVO and KWSA Modification Applications are mutually exclusive.</w:t>
      </w:r>
    </w:p>
    <w:p w14:paraId="2A7D07C4" w14:textId="09D6E7C6" w:rsidR="005F50B4" w:rsidRDefault="00144446" w:rsidP="006C1CC6">
      <w:pPr>
        <w:spacing w:before="120"/>
        <w:ind w:right="-360"/>
        <w:rPr>
          <w:color w:val="000000"/>
          <w:sz w:val="22"/>
          <w:szCs w:val="22"/>
        </w:rPr>
      </w:pPr>
      <w:r>
        <w:rPr>
          <w:color w:val="000000"/>
          <w:sz w:val="22"/>
          <w:szCs w:val="22"/>
        </w:rPr>
        <w:tab/>
      </w:r>
      <w:r w:rsidR="0037539D">
        <w:rPr>
          <w:i/>
          <w:color w:val="000000"/>
          <w:sz w:val="22"/>
          <w:szCs w:val="22"/>
        </w:rPr>
        <w:t xml:space="preserve">Background.  </w:t>
      </w:r>
      <w:r>
        <w:rPr>
          <w:color w:val="000000"/>
          <w:sz w:val="22"/>
          <w:szCs w:val="22"/>
        </w:rPr>
        <w:t xml:space="preserve">On April 19, 2012, Valleydale submitted a </w:t>
      </w:r>
      <w:r w:rsidR="0097196C">
        <w:rPr>
          <w:color w:val="000000"/>
          <w:sz w:val="22"/>
          <w:szCs w:val="22"/>
        </w:rPr>
        <w:t xml:space="preserve">construction permit </w:t>
      </w:r>
      <w:r>
        <w:rPr>
          <w:color w:val="000000"/>
          <w:sz w:val="22"/>
          <w:szCs w:val="22"/>
        </w:rPr>
        <w:t>application requesting</w:t>
      </w:r>
      <w:r w:rsidR="0097196C">
        <w:rPr>
          <w:color w:val="000000"/>
          <w:sz w:val="22"/>
          <w:szCs w:val="22"/>
        </w:rPr>
        <w:t xml:space="preserve">, </w:t>
      </w:r>
      <w:r w:rsidR="0097196C">
        <w:rPr>
          <w:i/>
          <w:color w:val="000000"/>
          <w:sz w:val="22"/>
          <w:szCs w:val="22"/>
        </w:rPr>
        <w:t>inter alia</w:t>
      </w:r>
      <w:r w:rsidR="0097196C">
        <w:rPr>
          <w:color w:val="000000"/>
          <w:sz w:val="22"/>
          <w:szCs w:val="22"/>
        </w:rPr>
        <w:t>,</w:t>
      </w:r>
      <w:r>
        <w:rPr>
          <w:color w:val="000000"/>
          <w:sz w:val="22"/>
          <w:szCs w:val="22"/>
        </w:rPr>
        <w:t xml:space="preserve"> the substitution of Channel 224A for Channel 261A at Price, Utah.</w:t>
      </w:r>
      <w:r>
        <w:rPr>
          <w:rStyle w:val="FootnoteReference"/>
          <w:color w:val="000000"/>
          <w:sz w:val="22"/>
          <w:szCs w:val="22"/>
        </w:rPr>
        <w:footnoteReference w:id="2"/>
      </w:r>
      <w:r>
        <w:rPr>
          <w:color w:val="000000"/>
          <w:sz w:val="22"/>
          <w:szCs w:val="22"/>
        </w:rPr>
        <w:t xml:space="preserve"> </w:t>
      </w:r>
      <w:r w:rsidR="00B67C0D">
        <w:rPr>
          <w:color w:val="000000"/>
          <w:sz w:val="22"/>
          <w:szCs w:val="22"/>
        </w:rPr>
        <w:t xml:space="preserve"> On August 24, 2012, the Bureau</w:t>
      </w:r>
      <w:r w:rsidR="00275837">
        <w:rPr>
          <w:color w:val="000000"/>
          <w:sz w:val="22"/>
          <w:szCs w:val="22"/>
        </w:rPr>
        <w:t xml:space="preserve"> granted the 2012 </w:t>
      </w:r>
      <w:r w:rsidR="00BD3CA8">
        <w:rPr>
          <w:color w:val="000000"/>
          <w:sz w:val="22"/>
          <w:szCs w:val="22"/>
        </w:rPr>
        <w:t>KPVO</w:t>
      </w:r>
      <w:r w:rsidR="00275837">
        <w:rPr>
          <w:color w:val="000000"/>
          <w:sz w:val="22"/>
          <w:szCs w:val="22"/>
        </w:rPr>
        <w:t xml:space="preserve"> </w:t>
      </w:r>
      <w:r w:rsidR="0097196C">
        <w:rPr>
          <w:color w:val="000000"/>
          <w:sz w:val="22"/>
          <w:szCs w:val="22"/>
        </w:rPr>
        <w:t xml:space="preserve">CP </w:t>
      </w:r>
      <w:r w:rsidR="00275837">
        <w:rPr>
          <w:color w:val="000000"/>
          <w:sz w:val="22"/>
          <w:szCs w:val="22"/>
        </w:rPr>
        <w:t>Application and</w:t>
      </w:r>
      <w:r w:rsidR="00641A5A">
        <w:rPr>
          <w:color w:val="000000"/>
          <w:sz w:val="22"/>
          <w:szCs w:val="22"/>
        </w:rPr>
        <w:t xml:space="preserve"> modified the </w:t>
      </w:r>
      <w:r w:rsidR="00B67C0D">
        <w:rPr>
          <w:color w:val="000000"/>
          <w:sz w:val="22"/>
          <w:szCs w:val="22"/>
        </w:rPr>
        <w:t xml:space="preserve">KWSA license </w:t>
      </w:r>
      <w:r w:rsidR="00641A5A">
        <w:rPr>
          <w:color w:val="000000"/>
          <w:sz w:val="22"/>
          <w:szCs w:val="22"/>
        </w:rPr>
        <w:t>accordingly</w:t>
      </w:r>
      <w:r w:rsidR="0002251E">
        <w:rPr>
          <w:color w:val="000000"/>
          <w:sz w:val="22"/>
          <w:szCs w:val="22"/>
        </w:rPr>
        <w:t xml:space="preserve">, ordering AJB to submit a minor </w:t>
      </w:r>
      <w:r w:rsidR="00F90920">
        <w:rPr>
          <w:color w:val="000000"/>
          <w:sz w:val="22"/>
          <w:szCs w:val="22"/>
        </w:rPr>
        <w:t>modification</w:t>
      </w:r>
      <w:r w:rsidR="0002251E">
        <w:rPr>
          <w:color w:val="000000"/>
          <w:sz w:val="22"/>
          <w:szCs w:val="22"/>
        </w:rPr>
        <w:t xml:space="preserve"> application</w:t>
      </w:r>
      <w:r w:rsidR="00397B83">
        <w:rPr>
          <w:color w:val="000000"/>
          <w:sz w:val="22"/>
          <w:szCs w:val="22"/>
        </w:rPr>
        <w:t xml:space="preserve"> implementing this change</w:t>
      </w:r>
      <w:r w:rsidR="0002251E">
        <w:rPr>
          <w:color w:val="000000"/>
          <w:sz w:val="22"/>
          <w:szCs w:val="22"/>
        </w:rPr>
        <w:t xml:space="preserve"> within 30 days</w:t>
      </w:r>
      <w:r w:rsidR="00B67C0D">
        <w:rPr>
          <w:color w:val="000000"/>
          <w:sz w:val="22"/>
          <w:szCs w:val="22"/>
        </w:rPr>
        <w:t>.</w:t>
      </w:r>
      <w:r w:rsidR="00B67C0D">
        <w:rPr>
          <w:rStyle w:val="FootnoteReference"/>
          <w:color w:val="000000"/>
          <w:sz w:val="22"/>
          <w:szCs w:val="22"/>
        </w:rPr>
        <w:footnoteReference w:id="3"/>
      </w:r>
      <w:r w:rsidR="00B67C0D">
        <w:rPr>
          <w:color w:val="000000"/>
          <w:sz w:val="22"/>
          <w:szCs w:val="22"/>
        </w:rPr>
        <w:t xml:space="preserve"> </w:t>
      </w:r>
      <w:r w:rsidR="00E07701">
        <w:rPr>
          <w:color w:val="000000"/>
          <w:sz w:val="22"/>
          <w:szCs w:val="22"/>
        </w:rPr>
        <w:t xml:space="preserve"> </w:t>
      </w:r>
      <w:r w:rsidR="00397B83">
        <w:rPr>
          <w:color w:val="000000"/>
          <w:sz w:val="22"/>
          <w:szCs w:val="22"/>
        </w:rPr>
        <w:t xml:space="preserve">On September 24, 2012, </w:t>
      </w:r>
      <w:r w:rsidR="00C71ED8">
        <w:rPr>
          <w:color w:val="000000"/>
          <w:sz w:val="22"/>
          <w:szCs w:val="22"/>
        </w:rPr>
        <w:t>A</w:t>
      </w:r>
      <w:r w:rsidR="00C71ED8" w:rsidRPr="004B3772">
        <w:rPr>
          <w:color w:val="000000"/>
          <w:sz w:val="22"/>
          <w:szCs w:val="22"/>
        </w:rPr>
        <w:t xml:space="preserve">JB </w:t>
      </w:r>
      <w:r w:rsidR="007D3954" w:rsidRPr="004B3772">
        <w:rPr>
          <w:color w:val="000000"/>
          <w:sz w:val="22"/>
          <w:szCs w:val="22"/>
        </w:rPr>
        <w:t>filled out</w:t>
      </w:r>
      <w:r w:rsidR="00C71ED8" w:rsidRPr="004B3772">
        <w:rPr>
          <w:color w:val="000000"/>
          <w:sz w:val="22"/>
          <w:szCs w:val="22"/>
        </w:rPr>
        <w:t xml:space="preserve"> a</w:t>
      </w:r>
      <w:r w:rsidR="00EB4CA3">
        <w:rPr>
          <w:color w:val="000000"/>
          <w:sz w:val="22"/>
          <w:szCs w:val="22"/>
        </w:rPr>
        <w:t xml:space="preserve"> minor change</w:t>
      </w:r>
      <w:r w:rsidR="00C71ED8" w:rsidRPr="004B3772">
        <w:rPr>
          <w:color w:val="000000"/>
          <w:sz w:val="22"/>
          <w:szCs w:val="22"/>
        </w:rPr>
        <w:t xml:space="preserve"> application</w:t>
      </w:r>
      <w:r w:rsidR="0002251E" w:rsidRPr="004B3772">
        <w:rPr>
          <w:color w:val="000000"/>
          <w:sz w:val="22"/>
          <w:szCs w:val="22"/>
        </w:rPr>
        <w:t xml:space="preserve"> in the Media Bureau's Consolidated </w:t>
      </w:r>
      <w:r w:rsidR="0002251E" w:rsidRPr="004B3772">
        <w:rPr>
          <w:noProof/>
          <w:color w:val="000000"/>
          <w:sz w:val="22"/>
          <w:szCs w:val="22"/>
        </w:rPr>
        <w:drawing>
          <wp:inline distT="0" distB="0" distL="0" distR="0" wp14:anchorId="52768067" wp14:editId="2728E103">
            <wp:extent cx="9525" cy="9525"/>
            <wp:effectExtent l="0" t="0" r="0" b="0"/>
            <wp:docPr id="42" name="Picture 42" descr="previous hit">
              <a:hlinkClick xmlns:a="http://schemas.openxmlformats.org/drawingml/2006/main" r:id="rId8"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previous hit">
                      <a:hlinkClick r:id="rId8"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51E" w:rsidRPr="004B3772">
        <w:rPr>
          <w:color w:val="000000"/>
          <w:sz w:val="22"/>
          <w:szCs w:val="22"/>
        </w:rPr>
        <w:t>Database</w:t>
      </w:r>
      <w:r w:rsidR="0002251E" w:rsidRPr="004B3772">
        <w:rPr>
          <w:noProof/>
          <w:color w:val="000000"/>
          <w:sz w:val="22"/>
          <w:szCs w:val="22"/>
        </w:rPr>
        <w:drawing>
          <wp:inline distT="0" distB="0" distL="0" distR="0" wp14:anchorId="664CF1A6" wp14:editId="30DF6B09">
            <wp:extent cx="9525" cy="9525"/>
            <wp:effectExtent l="0" t="0" r="0" b="0"/>
            <wp:docPr id="41" name="Picture 41"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75837" w:rsidRPr="004B3772">
        <w:rPr>
          <w:color w:val="000000"/>
          <w:sz w:val="22"/>
          <w:szCs w:val="22"/>
        </w:rPr>
        <w:t xml:space="preserve"> System </w:t>
      </w:r>
      <w:r w:rsidR="004B3772" w:rsidRPr="004B3772">
        <w:rPr>
          <w:color w:val="000000"/>
          <w:sz w:val="22"/>
          <w:szCs w:val="22"/>
        </w:rPr>
        <w:t>(</w:t>
      </w:r>
      <w:r w:rsidR="00275837" w:rsidRPr="004B3772">
        <w:rPr>
          <w:sz w:val="22"/>
          <w:szCs w:val="22"/>
        </w:rPr>
        <w:t>CDBS</w:t>
      </w:r>
      <w:r w:rsidR="00275837" w:rsidRPr="004B3772">
        <w:rPr>
          <w:color w:val="000000"/>
          <w:sz w:val="22"/>
          <w:szCs w:val="22"/>
        </w:rPr>
        <w:t>)</w:t>
      </w:r>
      <w:r w:rsidR="00275837">
        <w:rPr>
          <w:color w:val="000000"/>
          <w:sz w:val="22"/>
          <w:szCs w:val="22"/>
        </w:rPr>
        <w:t xml:space="preserve">; </w:t>
      </w:r>
      <w:r w:rsidR="00397B83">
        <w:rPr>
          <w:color w:val="000000"/>
          <w:sz w:val="22"/>
          <w:szCs w:val="22"/>
        </w:rPr>
        <w:t>however, this application</w:t>
      </w:r>
      <w:r w:rsidR="00C71ED8">
        <w:rPr>
          <w:color w:val="000000"/>
          <w:sz w:val="22"/>
          <w:szCs w:val="22"/>
        </w:rPr>
        <w:t xml:space="preserve"> was n</w:t>
      </w:r>
      <w:r w:rsidR="007D3954">
        <w:rPr>
          <w:color w:val="000000"/>
          <w:sz w:val="22"/>
          <w:szCs w:val="22"/>
        </w:rPr>
        <w:t>ot</w:t>
      </w:r>
      <w:r w:rsidR="00C71ED8">
        <w:rPr>
          <w:color w:val="000000"/>
          <w:sz w:val="22"/>
          <w:szCs w:val="22"/>
        </w:rPr>
        <w:t xml:space="preserve"> accepted </w:t>
      </w:r>
      <w:r w:rsidR="009C7ABD">
        <w:rPr>
          <w:color w:val="000000"/>
          <w:sz w:val="22"/>
          <w:szCs w:val="22"/>
        </w:rPr>
        <w:t>for filing due to</w:t>
      </w:r>
      <w:r w:rsidR="00C71ED8">
        <w:rPr>
          <w:color w:val="000000"/>
          <w:sz w:val="22"/>
          <w:szCs w:val="22"/>
        </w:rPr>
        <w:t xml:space="preserve"> </w:t>
      </w:r>
      <w:r w:rsidR="00F53BB5">
        <w:rPr>
          <w:color w:val="000000"/>
          <w:sz w:val="22"/>
          <w:szCs w:val="22"/>
        </w:rPr>
        <w:t xml:space="preserve">AJB’s </w:t>
      </w:r>
      <w:r w:rsidR="00C71ED8">
        <w:rPr>
          <w:color w:val="000000"/>
          <w:sz w:val="22"/>
          <w:szCs w:val="22"/>
        </w:rPr>
        <w:t xml:space="preserve">failure to pay </w:t>
      </w:r>
      <w:r w:rsidR="00F90920">
        <w:rPr>
          <w:color w:val="000000"/>
          <w:sz w:val="22"/>
          <w:szCs w:val="22"/>
        </w:rPr>
        <w:t xml:space="preserve">the requisite </w:t>
      </w:r>
      <w:r w:rsidR="00F90920">
        <w:rPr>
          <w:color w:val="000000"/>
          <w:sz w:val="22"/>
          <w:szCs w:val="22"/>
        </w:rPr>
        <w:lastRenderedPageBreak/>
        <w:t>application</w:t>
      </w:r>
      <w:r w:rsidR="00C71ED8">
        <w:rPr>
          <w:color w:val="000000"/>
          <w:sz w:val="22"/>
          <w:szCs w:val="22"/>
        </w:rPr>
        <w:t xml:space="preserve"> filing fee.</w:t>
      </w:r>
      <w:r w:rsidR="00C71ED8">
        <w:rPr>
          <w:rStyle w:val="FootnoteReference"/>
          <w:color w:val="000000"/>
          <w:sz w:val="22"/>
          <w:szCs w:val="22"/>
        </w:rPr>
        <w:footnoteReference w:id="4"/>
      </w:r>
      <w:r w:rsidR="00C71ED8">
        <w:rPr>
          <w:color w:val="000000"/>
          <w:sz w:val="22"/>
          <w:szCs w:val="22"/>
        </w:rPr>
        <w:t xml:space="preserve">  </w:t>
      </w:r>
      <w:r w:rsidR="00311BCD">
        <w:rPr>
          <w:color w:val="000000"/>
          <w:sz w:val="22"/>
          <w:szCs w:val="22"/>
        </w:rPr>
        <w:t>O</w:t>
      </w:r>
      <w:r w:rsidR="00B67C0D">
        <w:rPr>
          <w:color w:val="000000"/>
          <w:sz w:val="22"/>
          <w:szCs w:val="22"/>
        </w:rPr>
        <w:t xml:space="preserve">n August 12, 2015, </w:t>
      </w:r>
      <w:r w:rsidR="004B3772">
        <w:rPr>
          <w:color w:val="000000"/>
          <w:sz w:val="22"/>
          <w:szCs w:val="22"/>
        </w:rPr>
        <w:t xml:space="preserve">with </w:t>
      </w:r>
      <w:r w:rsidR="00D21577">
        <w:rPr>
          <w:color w:val="000000"/>
          <w:sz w:val="22"/>
          <w:szCs w:val="22"/>
        </w:rPr>
        <w:t>twelve</w:t>
      </w:r>
      <w:r w:rsidR="004B3772">
        <w:rPr>
          <w:color w:val="000000"/>
          <w:sz w:val="22"/>
          <w:szCs w:val="22"/>
        </w:rPr>
        <w:t xml:space="preserve"> days </w:t>
      </w:r>
      <w:r w:rsidR="00D21577">
        <w:rPr>
          <w:color w:val="000000"/>
          <w:sz w:val="22"/>
          <w:szCs w:val="22"/>
        </w:rPr>
        <w:t xml:space="preserve">remaining until the </w:t>
      </w:r>
      <w:r w:rsidR="004B3772">
        <w:rPr>
          <w:color w:val="000000"/>
          <w:sz w:val="22"/>
          <w:szCs w:val="22"/>
        </w:rPr>
        <w:t>2012</w:t>
      </w:r>
      <w:r w:rsidR="004B3772" w:rsidRPr="004B3772">
        <w:rPr>
          <w:color w:val="000000"/>
          <w:sz w:val="22"/>
          <w:szCs w:val="22"/>
        </w:rPr>
        <w:t xml:space="preserve"> </w:t>
      </w:r>
      <w:r w:rsidR="00BD3CA8">
        <w:rPr>
          <w:color w:val="000000"/>
          <w:sz w:val="22"/>
          <w:szCs w:val="22"/>
        </w:rPr>
        <w:t>KPVO</w:t>
      </w:r>
      <w:r w:rsidR="004B3772">
        <w:rPr>
          <w:color w:val="000000"/>
          <w:sz w:val="22"/>
          <w:szCs w:val="22"/>
        </w:rPr>
        <w:t xml:space="preserve"> Construction P</w:t>
      </w:r>
      <w:r w:rsidR="00311BCD">
        <w:rPr>
          <w:color w:val="000000"/>
          <w:sz w:val="22"/>
          <w:szCs w:val="22"/>
        </w:rPr>
        <w:t>ermit</w:t>
      </w:r>
      <w:r w:rsidR="00D21577">
        <w:rPr>
          <w:color w:val="000000"/>
          <w:sz w:val="22"/>
          <w:szCs w:val="22"/>
        </w:rPr>
        <w:t xml:space="preserve"> expired</w:t>
      </w:r>
      <w:r w:rsidR="00311BCD">
        <w:rPr>
          <w:color w:val="000000"/>
          <w:sz w:val="22"/>
          <w:szCs w:val="22"/>
        </w:rPr>
        <w:t>,</w:t>
      </w:r>
      <w:r w:rsidR="00E160EF">
        <w:rPr>
          <w:color w:val="000000"/>
          <w:sz w:val="22"/>
          <w:szCs w:val="22"/>
        </w:rPr>
        <w:t xml:space="preserve"> </w:t>
      </w:r>
      <w:r w:rsidR="00B67C0D">
        <w:rPr>
          <w:color w:val="000000"/>
          <w:sz w:val="22"/>
          <w:szCs w:val="22"/>
        </w:rPr>
        <w:t xml:space="preserve">Valleydale </w:t>
      </w:r>
      <w:r w:rsidR="00B50760">
        <w:rPr>
          <w:color w:val="000000"/>
          <w:sz w:val="22"/>
          <w:szCs w:val="22"/>
        </w:rPr>
        <w:t xml:space="preserve">applied to modify the 2012 </w:t>
      </w:r>
      <w:r w:rsidR="00BD3CA8">
        <w:rPr>
          <w:color w:val="000000"/>
          <w:sz w:val="22"/>
          <w:szCs w:val="22"/>
        </w:rPr>
        <w:t>KPVO</w:t>
      </w:r>
      <w:r w:rsidR="00B50760">
        <w:rPr>
          <w:color w:val="000000"/>
          <w:sz w:val="22"/>
          <w:szCs w:val="22"/>
        </w:rPr>
        <w:t xml:space="preserve"> Construction Permit, downgrading</w:t>
      </w:r>
      <w:r w:rsidR="00B67C0D">
        <w:rPr>
          <w:color w:val="000000"/>
          <w:sz w:val="22"/>
          <w:szCs w:val="22"/>
        </w:rPr>
        <w:t xml:space="preserve"> </w:t>
      </w:r>
      <w:r w:rsidR="006328DD">
        <w:rPr>
          <w:color w:val="000000"/>
          <w:sz w:val="22"/>
          <w:szCs w:val="22"/>
        </w:rPr>
        <w:t>it</w:t>
      </w:r>
      <w:r w:rsidR="00B67C0D">
        <w:rPr>
          <w:color w:val="000000"/>
          <w:sz w:val="22"/>
          <w:szCs w:val="22"/>
        </w:rPr>
        <w:t xml:space="preserve"> to a Class A facility </w:t>
      </w:r>
      <w:r w:rsidR="001D0D4D">
        <w:rPr>
          <w:color w:val="000000"/>
          <w:sz w:val="22"/>
          <w:szCs w:val="22"/>
        </w:rPr>
        <w:t xml:space="preserve">at </w:t>
      </w:r>
      <w:r w:rsidR="005D3554">
        <w:rPr>
          <w:color w:val="000000"/>
          <w:sz w:val="22"/>
          <w:szCs w:val="22"/>
        </w:rPr>
        <w:t xml:space="preserve">its existing </w:t>
      </w:r>
      <w:r w:rsidR="001D0D4D">
        <w:rPr>
          <w:color w:val="000000"/>
          <w:sz w:val="22"/>
          <w:szCs w:val="22"/>
        </w:rPr>
        <w:t>tower location</w:t>
      </w:r>
      <w:r w:rsidR="00311BCD">
        <w:rPr>
          <w:color w:val="000000"/>
          <w:sz w:val="22"/>
          <w:szCs w:val="22"/>
        </w:rPr>
        <w:t>.</w:t>
      </w:r>
      <w:r w:rsidR="001D0D4D">
        <w:rPr>
          <w:rStyle w:val="FootnoteReference"/>
          <w:color w:val="000000"/>
          <w:sz w:val="22"/>
          <w:szCs w:val="22"/>
        </w:rPr>
        <w:footnoteReference w:id="5"/>
      </w:r>
      <w:r w:rsidR="007D3954">
        <w:rPr>
          <w:color w:val="000000"/>
          <w:sz w:val="22"/>
          <w:szCs w:val="22"/>
        </w:rPr>
        <w:t xml:space="preserve"> </w:t>
      </w:r>
      <w:r w:rsidR="00311BCD">
        <w:rPr>
          <w:color w:val="000000"/>
          <w:sz w:val="22"/>
          <w:szCs w:val="22"/>
        </w:rPr>
        <w:t xml:space="preserve"> </w:t>
      </w:r>
      <w:r w:rsidR="004B3772">
        <w:rPr>
          <w:color w:val="000000"/>
          <w:sz w:val="22"/>
          <w:szCs w:val="22"/>
        </w:rPr>
        <w:t>This</w:t>
      </w:r>
      <w:r w:rsidR="00311BCD">
        <w:rPr>
          <w:color w:val="000000"/>
          <w:sz w:val="22"/>
          <w:szCs w:val="22"/>
        </w:rPr>
        <w:t xml:space="preserve"> </w:t>
      </w:r>
      <w:r w:rsidR="00744FCD">
        <w:rPr>
          <w:color w:val="000000"/>
          <w:sz w:val="22"/>
          <w:szCs w:val="22"/>
        </w:rPr>
        <w:t>modification application</w:t>
      </w:r>
      <w:r w:rsidR="00311BCD">
        <w:rPr>
          <w:color w:val="000000"/>
          <w:sz w:val="22"/>
          <w:szCs w:val="22"/>
        </w:rPr>
        <w:t xml:space="preserve"> was granted on August 20, 2015,</w:t>
      </w:r>
      <w:r w:rsidR="00FE4DEF">
        <w:rPr>
          <w:rStyle w:val="FootnoteReference"/>
          <w:color w:val="000000"/>
          <w:sz w:val="22"/>
          <w:szCs w:val="22"/>
        </w:rPr>
        <w:footnoteReference w:id="6"/>
      </w:r>
      <w:r w:rsidR="00311BCD">
        <w:rPr>
          <w:color w:val="000000"/>
          <w:sz w:val="22"/>
          <w:szCs w:val="22"/>
        </w:rPr>
        <w:t xml:space="preserve"> and Valleydale</w:t>
      </w:r>
      <w:r w:rsidR="00C951F4">
        <w:rPr>
          <w:color w:val="000000"/>
          <w:sz w:val="22"/>
          <w:szCs w:val="22"/>
        </w:rPr>
        <w:t xml:space="preserve"> </w:t>
      </w:r>
      <w:r w:rsidR="00397B83">
        <w:rPr>
          <w:color w:val="000000"/>
          <w:sz w:val="22"/>
          <w:szCs w:val="22"/>
        </w:rPr>
        <w:t>fil</w:t>
      </w:r>
      <w:r w:rsidR="007D3954">
        <w:rPr>
          <w:color w:val="000000"/>
          <w:sz w:val="22"/>
          <w:szCs w:val="22"/>
        </w:rPr>
        <w:t>ed</w:t>
      </w:r>
      <w:r w:rsidR="001D0D4D">
        <w:rPr>
          <w:color w:val="000000"/>
          <w:sz w:val="22"/>
          <w:szCs w:val="22"/>
        </w:rPr>
        <w:t xml:space="preserve"> a license to cover </w:t>
      </w:r>
      <w:r w:rsidR="00311BCD">
        <w:rPr>
          <w:color w:val="000000"/>
          <w:sz w:val="22"/>
          <w:szCs w:val="22"/>
        </w:rPr>
        <w:t xml:space="preserve">the 2012 </w:t>
      </w:r>
      <w:r w:rsidR="00BD3CA8">
        <w:rPr>
          <w:color w:val="000000"/>
          <w:sz w:val="22"/>
          <w:szCs w:val="22"/>
        </w:rPr>
        <w:t>KPVO</w:t>
      </w:r>
      <w:r w:rsidR="00311BCD">
        <w:rPr>
          <w:color w:val="000000"/>
          <w:sz w:val="22"/>
          <w:szCs w:val="22"/>
        </w:rPr>
        <w:t xml:space="preserve"> </w:t>
      </w:r>
      <w:r w:rsidR="005D3554">
        <w:rPr>
          <w:color w:val="000000"/>
          <w:sz w:val="22"/>
          <w:szCs w:val="22"/>
        </w:rPr>
        <w:t>Construction Permit</w:t>
      </w:r>
      <w:r w:rsidR="004B3772">
        <w:rPr>
          <w:color w:val="000000"/>
          <w:sz w:val="22"/>
          <w:szCs w:val="22"/>
        </w:rPr>
        <w:t xml:space="preserve"> the same day</w:t>
      </w:r>
      <w:r w:rsidR="001D0D4D">
        <w:rPr>
          <w:color w:val="000000"/>
          <w:sz w:val="22"/>
          <w:szCs w:val="22"/>
        </w:rPr>
        <w:t>.</w:t>
      </w:r>
      <w:r w:rsidR="001D0D4D">
        <w:rPr>
          <w:rStyle w:val="FootnoteReference"/>
          <w:color w:val="000000"/>
          <w:sz w:val="22"/>
          <w:szCs w:val="22"/>
        </w:rPr>
        <w:footnoteReference w:id="7"/>
      </w:r>
      <w:r w:rsidR="001D0D4D">
        <w:rPr>
          <w:color w:val="000000"/>
          <w:sz w:val="22"/>
          <w:szCs w:val="22"/>
        </w:rPr>
        <w:t xml:space="preserve">  </w:t>
      </w:r>
    </w:p>
    <w:p w14:paraId="199FB8F5" w14:textId="77777777" w:rsidR="0037539D" w:rsidRDefault="00744FCD" w:rsidP="005F50B4">
      <w:pPr>
        <w:spacing w:before="120"/>
        <w:ind w:right="-360" w:firstLine="720"/>
        <w:rPr>
          <w:color w:val="000000"/>
          <w:sz w:val="22"/>
          <w:szCs w:val="22"/>
        </w:rPr>
      </w:pPr>
      <w:r>
        <w:rPr>
          <w:color w:val="000000"/>
          <w:sz w:val="22"/>
          <w:szCs w:val="22"/>
        </w:rPr>
        <w:t xml:space="preserve">Also </w:t>
      </w:r>
      <w:r w:rsidR="001D0D4D">
        <w:rPr>
          <w:color w:val="000000"/>
          <w:sz w:val="22"/>
          <w:szCs w:val="22"/>
        </w:rPr>
        <w:t xml:space="preserve">on August 20, 2015, AJB filed a modification application </w:t>
      </w:r>
      <w:r w:rsidR="00E07701">
        <w:rPr>
          <w:color w:val="000000"/>
          <w:sz w:val="22"/>
          <w:szCs w:val="22"/>
        </w:rPr>
        <w:t xml:space="preserve">to </w:t>
      </w:r>
      <w:r w:rsidR="006328DD">
        <w:rPr>
          <w:color w:val="000000"/>
          <w:sz w:val="22"/>
          <w:szCs w:val="22"/>
        </w:rPr>
        <w:t>stay on</w:t>
      </w:r>
      <w:r w:rsidR="00E07701">
        <w:rPr>
          <w:color w:val="000000"/>
          <w:sz w:val="22"/>
          <w:szCs w:val="22"/>
        </w:rPr>
        <w:t xml:space="preserve"> Channel 261A, explaining</w:t>
      </w:r>
      <w:r w:rsidR="001D0D4D">
        <w:rPr>
          <w:color w:val="000000"/>
          <w:sz w:val="22"/>
          <w:szCs w:val="22"/>
        </w:rPr>
        <w:t xml:space="preserve"> that</w:t>
      </w:r>
      <w:r w:rsidR="006328DD">
        <w:rPr>
          <w:color w:val="000000"/>
          <w:sz w:val="22"/>
          <w:szCs w:val="22"/>
        </w:rPr>
        <w:t>,</w:t>
      </w:r>
      <w:r w:rsidR="001D0D4D">
        <w:rPr>
          <w:color w:val="000000"/>
          <w:sz w:val="22"/>
          <w:szCs w:val="22"/>
        </w:rPr>
        <w:t xml:space="preserve"> because </w:t>
      </w:r>
      <w:r>
        <w:rPr>
          <w:color w:val="000000"/>
          <w:sz w:val="22"/>
          <w:szCs w:val="22"/>
        </w:rPr>
        <w:t>of the</w:t>
      </w:r>
      <w:r w:rsidR="00D21577">
        <w:rPr>
          <w:color w:val="000000"/>
          <w:sz w:val="22"/>
          <w:szCs w:val="22"/>
        </w:rPr>
        <w:t xml:space="preserve"> grant of the</w:t>
      </w:r>
      <w:r>
        <w:rPr>
          <w:color w:val="000000"/>
          <w:sz w:val="22"/>
          <w:szCs w:val="22"/>
        </w:rPr>
        <w:t xml:space="preserve"> KPVO D</w:t>
      </w:r>
      <w:r w:rsidR="006C1CC6">
        <w:rPr>
          <w:color w:val="000000"/>
          <w:sz w:val="22"/>
          <w:szCs w:val="22"/>
        </w:rPr>
        <w:t>owngrade</w:t>
      </w:r>
      <w:r>
        <w:rPr>
          <w:color w:val="000000"/>
          <w:sz w:val="22"/>
          <w:szCs w:val="22"/>
        </w:rPr>
        <w:t xml:space="preserve"> Application</w:t>
      </w:r>
      <w:r w:rsidR="006C1CC6">
        <w:rPr>
          <w:color w:val="000000"/>
          <w:sz w:val="22"/>
          <w:szCs w:val="22"/>
        </w:rPr>
        <w:t xml:space="preserve">, </w:t>
      </w:r>
      <w:r w:rsidR="001D0D4D">
        <w:rPr>
          <w:color w:val="000000"/>
          <w:sz w:val="22"/>
          <w:szCs w:val="22"/>
        </w:rPr>
        <w:t xml:space="preserve">KPVO </w:t>
      </w:r>
      <w:r w:rsidR="002F58D0">
        <w:rPr>
          <w:color w:val="000000"/>
          <w:sz w:val="22"/>
          <w:szCs w:val="22"/>
        </w:rPr>
        <w:t>and KWSA were</w:t>
      </w:r>
      <w:r w:rsidR="001D0D4D">
        <w:rPr>
          <w:color w:val="000000"/>
          <w:sz w:val="22"/>
          <w:szCs w:val="22"/>
        </w:rPr>
        <w:t xml:space="preserve"> now fully spaced </w:t>
      </w:r>
      <w:r w:rsidR="006328DD">
        <w:rPr>
          <w:color w:val="000000"/>
          <w:sz w:val="22"/>
          <w:szCs w:val="22"/>
        </w:rPr>
        <w:t>and</w:t>
      </w:r>
      <w:r w:rsidR="006C1CC6">
        <w:rPr>
          <w:color w:val="000000"/>
          <w:sz w:val="22"/>
          <w:szCs w:val="22"/>
        </w:rPr>
        <w:t xml:space="preserve"> there was</w:t>
      </w:r>
      <w:r w:rsidR="002F58D0">
        <w:rPr>
          <w:color w:val="000000"/>
          <w:sz w:val="22"/>
          <w:szCs w:val="22"/>
        </w:rPr>
        <w:t xml:space="preserve"> no need to move KWSA to Channel 224A.</w:t>
      </w:r>
      <w:r w:rsidR="002F58D0">
        <w:rPr>
          <w:rStyle w:val="FootnoteReference"/>
          <w:color w:val="000000"/>
          <w:sz w:val="22"/>
          <w:szCs w:val="22"/>
        </w:rPr>
        <w:footnoteReference w:id="8"/>
      </w:r>
      <w:r w:rsidR="002F58D0">
        <w:rPr>
          <w:color w:val="000000"/>
          <w:sz w:val="22"/>
          <w:szCs w:val="22"/>
        </w:rPr>
        <w:t xml:space="preserve">  On August 21, 2015, Valleydale filed </w:t>
      </w:r>
      <w:r w:rsidR="00046FF3">
        <w:rPr>
          <w:color w:val="000000"/>
          <w:sz w:val="22"/>
          <w:szCs w:val="22"/>
        </w:rPr>
        <w:t xml:space="preserve">the </w:t>
      </w:r>
      <w:r w:rsidR="00BD3CA8">
        <w:rPr>
          <w:color w:val="000000"/>
          <w:sz w:val="22"/>
          <w:szCs w:val="22"/>
        </w:rPr>
        <w:t>KPVO</w:t>
      </w:r>
      <w:r w:rsidR="00C55731">
        <w:rPr>
          <w:color w:val="000000"/>
          <w:sz w:val="22"/>
          <w:szCs w:val="22"/>
        </w:rPr>
        <w:t xml:space="preserve"> Modification Application</w:t>
      </w:r>
      <w:r w:rsidR="00046FF3">
        <w:rPr>
          <w:color w:val="000000"/>
          <w:sz w:val="22"/>
          <w:szCs w:val="22"/>
        </w:rPr>
        <w:t>,</w:t>
      </w:r>
      <w:r w:rsidR="009B1858">
        <w:rPr>
          <w:color w:val="000000"/>
          <w:sz w:val="22"/>
          <w:szCs w:val="22"/>
        </w:rPr>
        <w:t xml:space="preserve"> again seeking an upgrade</w:t>
      </w:r>
      <w:r w:rsidR="00B149ED">
        <w:rPr>
          <w:color w:val="000000"/>
          <w:sz w:val="22"/>
          <w:szCs w:val="22"/>
        </w:rPr>
        <w:t xml:space="preserve"> for KPVO</w:t>
      </w:r>
      <w:r w:rsidR="009B1858">
        <w:rPr>
          <w:color w:val="000000"/>
          <w:sz w:val="22"/>
          <w:szCs w:val="22"/>
        </w:rPr>
        <w:t xml:space="preserve"> and </w:t>
      </w:r>
      <w:r w:rsidR="00B149ED">
        <w:rPr>
          <w:color w:val="000000"/>
          <w:sz w:val="22"/>
          <w:szCs w:val="22"/>
        </w:rPr>
        <w:t>involuntary channel change for KWSA (first requesting</w:t>
      </w:r>
      <w:r w:rsidR="00023CE0">
        <w:rPr>
          <w:color w:val="000000"/>
          <w:sz w:val="22"/>
          <w:szCs w:val="22"/>
        </w:rPr>
        <w:t xml:space="preserve"> </w:t>
      </w:r>
      <w:r w:rsidR="00B149ED">
        <w:rPr>
          <w:color w:val="000000"/>
          <w:sz w:val="22"/>
          <w:szCs w:val="22"/>
        </w:rPr>
        <w:t xml:space="preserve">Channel </w:t>
      </w:r>
      <w:r w:rsidR="00023CE0">
        <w:rPr>
          <w:color w:val="000000"/>
          <w:sz w:val="22"/>
          <w:szCs w:val="22"/>
        </w:rPr>
        <w:t>224A and then amending to request</w:t>
      </w:r>
      <w:r w:rsidR="002F58D0">
        <w:rPr>
          <w:color w:val="000000"/>
          <w:sz w:val="22"/>
          <w:szCs w:val="22"/>
        </w:rPr>
        <w:t xml:space="preserve"> Channel 280A</w:t>
      </w:r>
      <w:r w:rsidR="00B149ED">
        <w:rPr>
          <w:color w:val="000000"/>
          <w:sz w:val="22"/>
          <w:szCs w:val="22"/>
        </w:rPr>
        <w:t>)</w:t>
      </w:r>
      <w:r w:rsidR="002F58D0">
        <w:rPr>
          <w:color w:val="000000"/>
          <w:sz w:val="22"/>
          <w:szCs w:val="22"/>
        </w:rPr>
        <w:t xml:space="preserve">.  </w:t>
      </w:r>
      <w:r w:rsidR="006C1CC6">
        <w:rPr>
          <w:color w:val="000000"/>
          <w:sz w:val="22"/>
          <w:szCs w:val="22"/>
        </w:rPr>
        <w:t xml:space="preserve">The Bureau granted </w:t>
      </w:r>
      <w:r w:rsidR="002B5F33">
        <w:rPr>
          <w:color w:val="000000"/>
          <w:sz w:val="22"/>
          <w:szCs w:val="22"/>
        </w:rPr>
        <w:t xml:space="preserve">the </w:t>
      </w:r>
      <w:r w:rsidR="00BC3FF5">
        <w:rPr>
          <w:color w:val="000000"/>
          <w:sz w:val="22"/>
          <w:szCs w:val="22"/>
        </w:rPr>
        <w:t>KWSA</w:t>
      </w:r>
      <w:r w:rsidR="002B5F33">
        <w:rPr>
          <w:color w:val="000000"/>
          <w:sz w:val="22"/>
          <w:szCs w:val="22"/>
        </w:rPr>
        <w:t xml:space="preserve"> </w:t>
      </w:r>
      <w:r w:rsidR="00D21577">
        <w:rPr>
          <w:color w:val="000000"/>
          <w:sz w:val="22"/>
          <w:szCs w:val="22"/>
        </w:rPr>
        <w:t xml:space="preserve">Channel </w:t>
      </w:r>
      <w:r w:rsidR="002B5F33">
        <w:rPr>
          <w:color w:val="000000"/>
          <w:sz w:val="22"/>
          <w:szCs w:val="22"/>
        </w:rPr>
        <w:t>Reinstatement Application</w:t>
      </w:r>
      <w:r w:rsidR="006C1CC6">
        <w:rPr>
          <w:color w:val="000000"/>
          <w:sz w:val="22"/>
          <w:szCs w:val="22"/>
        </w:rPr>
        <w:t xml:space="preserve"> on August 24, 2015</w:t>
      </w:r>
      <w:r w:rsidR="002B5F33">
        <w:rPr>
          <w:color w:val="000000"/>
          <w:sz w:val="22"/>
          <w:szCs w:val="22"/>
        </w:rPr>
        <w:t>,</w:t>
      </w:r>
      <w:r w:rsidR="009B1858">
        <w:rPr>
          <w:rStyle w:val="FootnoteReference"/>
          <w:color w:val="000000"/>
          <w:sz w:val="22"/>
          <w:szCs w:val="22"/>
        </w:rPr>
        <w:footnoteReference w:id="9"/>
      </w:r>
      <w:r w:rsidR="002B5F33">
        <w:rPr>
          <w:color w:val="000000"/>
          <w:sz w:val="22"/>
          <w:szCs w:val="22"/>
        </w:rPr>
        <w:t xml:space="preserve"> and AJB filed a license to cover the </w:t>
      </w:r>
      <w:r w:rsidR="00BC3FF5">
        <w:rPr>
          <w:color w:val="000000"/>
          <w:sz w:val="22"/>
          <w:szCs w:val="22"/>
        </w:rPr>
        <w:t>KWSA</w:t>
      </w:r>
      <w:r w:rsidR="002B5F33">
        <w:rPr>
          <w:color w:val="000000"/>
          <w:sz w:val="22"/>
          <w:szCs w:val="22"/>
        </w:rPr>
        <w:t xml:space="preserve"> </w:t>
      </w:r>
      <w:r w:rsidR="00D21577">
        <w:rPr>
          <w:color w:val="000000"/>
          <w:sz w:val="22"/>
          <w:szCs w:val="22"/>
        </w:rPr>
        <w:t xml:space="preserve">Channel </w:t>
      </w:r>
      <w:r w:rsidR="002B5F33">
        <w:rPr>
          <w:color w:val="000000"/>
          <w:sz w:val="22"/>
          <w:szCs w:val="22"/>
        </w:rPr>
        <w:t>Reinstatement Application on September 2, 2015</w:t>
      </w:r>
      <w:r w:rsidR="006C1CC6">
        <w:rPr>
          <w:color w:val="000000"/>
          <w:sz w:val="22"/>
          <w:szCs w:val="22"/>
        </w:rPr>
        <w:t>.</w:t>
      </w:r>
      <w:r w:rsidR="006C1CC6">
        <w:rPr>
          <w:rStyle w:val="FootnoteReference"/>
          <w:color w:val="000000"/>
          <w:sz w:val="22"/>
          <w:szCs w:val="22"/>
        </w:rPr>
        <w:footnoteReference w:id="10"/>
      </w:r>
      <w:r w:rsidR="006C1CC6">
        <w:rPr>
          <w:color w:val="000000"/>
          <w:sz w:val="22"/>
          <w:szCs w:val="22"/>
        </w:rPr>
        <w:t xml:space="preserve">  </w:t>
      </w:r>
      <w:r w:rsidR="002B5F33">
        <w:rPr>
          <w:color w:val="000000"/>
          <w:sz w:val="22"/>
          <w:szCs w:val="22"/>
        </w:rPr>
        <w:t>Also o</w:t>
      </w:r>
      <w:r w:rsidR="002F58D0">
        <w:rPr>
          <w:color w:val="000000"/>
          <w:sz w:val="22"/>
          <w:szCs w:val="22"/>
        </w:rPr>
        <w:t xml:space="preserve">n September 2, 2015, AJB filed </w:t>
      </w:r>
      <w:r w:rsidR="00E0347D">
        <w:rPr>
          <w:color w:val="000000"/>
          <w:sz w:val="22"/>
          <w:szCs w:val="22"/>
        </w:rPr>
        <w:t xml:space="preserve">the </w:t>
      </w:r>
      <w:r w:rsidR="00C714D4">
        <w:rPr>
          <w:color w:val="000000"/>
          <w:sz w:val="22"/>
          <w:szCs w:val="22"/>
        </w:rPr>
        <w:t>KWSA Modification Application</w:t>
      </w:r>
      <w:r w:rsidR="00E0347D">
        <w:rPr>
          <w:color w:val="000000"/>
          <w:sz w:val="22"/>
          <w:szCs w:val="22"/>
        </w:rPr>
        <w:t xml:space="preserve">. </w:t>
      </w:r>
      <w:r w:rsidR="00044A6C">
        <w:rPr>
          <w:color w:val="000000"/>
          <w:sz w:val="22"/>
          <w:szCs w:val="22"/>
        </w:rPr>
        <w:t xml:space="preserve"> </w:t>
      </w:r>
      <w:r w:rsidR="002B5F33">
        <w:rPr>
          <w:color w:val="000000"/>
          <w:sz w:val="22"/>
          <w:szCs w:val="22"/>
        </w:rPr>
        <w:t xml:space="preserve">On September 18, 2015, the Bureau granted the KWSA </w:t>
      </w:r>
      <w:r w:rsidR="009B1858">
        <w:rPr>
          <w:color w:val="000000"/>
          <w:sz w:val="22"/>
          <w:szCs w:val="22"/>
        </w:rPr>
        <w:t xml:space="preserve">Reinstatement </w:t>
      </w:r>
      <w:r w:rsidR="002B5F33">
        <w:rPr>
          <w:color w:val="000000"/>
          <w:sz w:val="22"/>
          <w:szCs w:val="22"/>
        </w:rPr>
        <w:t>License Application.</w:t>
      </w:r>
      <w:r w:rsidR="009B1858">
        <w:rPr>
          <w:rStyle w:val="FootnoteReference"/>
          <w:color w:val="000000"/>
          <w:sz w:val="22"/>
          <w:szCs w:val="22"/>
        </w:rPr>
        <w:footnoteReference w:id="11"/>
      </w:r>
      <w:r w:rsidR="002B5F33">
        <w:rPr>
          <w:color w:val="000000"/>
          <w:sz w:val="22"/>
          <w:szCs w:val="22"/>
        </w:rPr>
        <w:t xml:space="preserve">  </w:t>
      </w:r>
      <w:r w:rsidR="00044A6C">
        <w:rPr>
          <w:color w:val="000000"/>
          <w:sz w:val="22"/>
          <w:szCs w:val="22"/>
        </w:rPr>
        <w:t>On September 30, 2015, the Bureau issued an order to show cause why the license for KWSA should not be modified to specify operation on Channel 280A in lieu of Channel 261A.</w:t>
      </w:r>
      <w:r w:rsidR="00AD6A71">
        <w:rPr>
          <w:rStyle w:val="FootnoteReference"/>
          <w:color w:val="000000"/>
          <w:sz w:val="22"/>
          <w:szCs w:val="22"/>
        </w:rPr>
        <w:footnoteReference w:id="12"/>
      </w:r>
      <w:r w:rsidR="00044A6C">
        <w:rPr>
          <w:color w:val="000000"/>
          <w:sz w:val="22"/>
          <w:szCs w:val="22"/>
        </w:rPr>
        <w:t xml:space="preserve"> </w:t>
      </w:r>
      <w:r w:rsidR="00AD6A71">
        <w:rPr>
          <w:color w:val="000000"/>
          <w:sz w:val="22"/>
          <w:szCs w:val="22"/>
        </w:rPr>
        <w:t xml:space="preserve"> </w:t>
      </w:r>
      <w:r w:rsidR="00097F30">
        <w:rPr>
          <w:color w:val="000000"/>
          <w:sz w:val="22"/>
          <w:szCs w:val="22"/>
        </w:rPr>
        <w:t>On October 30, 2015, AJB filed</w:t>
      </w:r>
      <w:r w:rsidR="00DC5B53">
        <w:rPr>
          <w:color w:val="000000"/>
          <w:sz w:val="22"/>
          <w:szCs w:val="22"/>
        </w:rPr>
        <w:t xml:space="preserve"> the Informal Objection and</w:t>
      </w:r>
      <w:r w:rsidR="00097F30">
        <w:rPr>
          <w:color w:val="000000"/>
          <w:sz w:val="22"/>
          <w:szCs w:val="22"/>
        </w:rPr>
        <w:t xml:space="preserve"> a response to the</w:t>
      </w:r>
      <w:r w:rsidR="00D21577">
        <w:rPr>
          <w:color w:val="000000"/>
          <w:sz w:val="22"/>
          <w:szCs w:val="22"/>
        </w:rPr>
        <w:t xml:space="preserve"> </w:t>
      </w:r>
      <w:r w:rsidR="00D21577" w:rsidRPr="00FE4DEF">
        <w:rPr>
          <w:i/>
          <w:color w:val="000000"/>
          <w:sz w:val="22"/>
          <w:szCs w:val="22"/>
        </w:rPr>
        <w:t>2015</w:t>
      </w:r>
      <w:r w:rsidR="00097F30" w:rsidRPr="00FE4DEF">
        <w:rPr>
          <w:i/>
          <w:color w:val="000000"/>
          <w:sz w:val="22"/>
          <w:szCs w:val="22"/>
        </w:rPr>
        <w:t xml:space="preserve"> </w:t>
      </w:r>
      <w:r w:rsidR="008456C4" w:rsidRPr="008456C4">
        <w:rPr>
          <w:i/>
          <w:color w:val="000000"/>
          <w:sz w:val="22"/>
          <w:szCs w:val="22"/>
        </w:rPr>
        <w:t>Order to Show Cause</w:t>
      </w:r>
      <w:r w:rsidR="00097F30">
        <w:rPr>
          <w:color w:val="000000"/>
          <w:sz w:val="22"/>
          <w:szCs w:val="22"/>
        </w:rPr>
        <w:t xml:space="preserve"> (Response).</w:t>
      </w:r>
    </w:p>
    <w:p w14:paraId="1F873ECF" w14:textId="77777777" w:rsidR="00F40E28" w:rsidRDefault="0037539D" w:rsidP="0024515F">
      <w:pPr>
        <w:spacing w:before="120"/>
        <w:ind w:right="-360"/>
        <w:rPr>
          <w:color w:val="000000"/>
          <w:sz w:val="22"/>
          <w:szCs w:val="22"/>
        </w:rPr>
      </w:pPr>
      <w:r>
        <w:rPr>
          <w:color w:val="000000"/>
          <w:sz w:val="22"/>
          <w:szCs w:val="22"/>
        </w:rPr>
        <w:tab/>
      </w:r>
      <w:r>
        <w:rPr>
          <w:i/>
          <w:color w:val="000000"/>
          <w:sz w:val="22"/>
          <w:szCs w:val="22"/>
        </w:rPr>
        <w:t>Pleadings</w:t>
      </w:r>
      <w:r>
        <w:rPr>
          <w:color w:val="000000"/>
          <w:sz w:val="22"/>
          <w:szCs w:val="22"/>
        </w:rPr>
        <w:t xml:space="preserve">.  </w:t>
      </w:r>
      <w:r w:rsidR="009B2FC6">
        <w:rPr>
          <w:color w:val="000000"/>
          <w:sz w:val="22"/>
          <w:szCs w:val="22"/>
        </w:rPr>
        <w:t>In it</w:t>
      </w:r>
      <w:r w:rsidR="001D4B5E">
        <w:rPr>
          <w:color w:val="000000"/>
          <w:sz w:val="22"/>
          <w:szCs w:val="22"/>
        </w:rPr>
        <w:t>s</w:t>
      </w:r>
      <w:r w:rsidR="009B2FC6">
        <w:rPr>
          <w:color w:val="000000"/>
          <w:sz w:val="22"/>
          <w:szCs w:val="22"/>
        </w:rPr>
        <w:t xml:space="preserve"> Informal Objection and Response, </w:t>
      </w:r>
      <w:r w:rsidR="00C90A1E">
        <w:rPr>
          <w:color w:val="000000"/>
          <w:sz w:val="22"/>
          <w:szCs w:val="22"/>
        </w:rPr>
        <w:t xml:space="preserve">AJB argues that </w:t>
      </w:r>
      <w:r w:rsidR="00BD7452">
        <w:rPr>
          <w:color w:val="000000"/>
          <w:sz w:val="22"/>
          <w:szCs w:val="22"/>
        </w:rPr>
        <w:t xml:space="preserve">the </w:t>
      </w:r>
      <w:r w:rsidR="00BD3CA8">
        <w:rPr>
          <w:color w:val="000000"/>
          <w:sz w:val="22"/>
          <w:szCs w:val="22"/>
        </w:rPr>
        <w:t>KPVO</w:t>
      </w:r>
      <w:r w:rsidR="00C55731">
        <w:rPr>
          <w:color w:val="000000"/>
          <w:sz w:val="22"/>
          <w:szCs w:val="22"/>
        </w:rPr>
        <w:t xml:space="preserve"> Modification Application</w:t>
      </w:r>
      <w:r w:rsidR="001D4B5E">
        <w:rPr>
          <w:color w:val="000000"/>
          <w:sz w:val="22"/>
          <w:szCs w:val="22"/>
        </w:rPr>
        <w:t xml:space="preserve"> is procedurally defective.  First, AJB contends that the </w:t>
      </w:r>
      <w:r w:rsidR="00BD3CA8">
        <w:rPr>
          <w:color w:val="000000"/>
          <w:sz w:val="22"/>
          <w:szCs w:val="22"/>
        </w:rPr>
        <w:t>KPVO</w:t>
      </w:r>
      <w:r w:rsidR="001D4B5E">
        <w:rPr>
          <w:color w:val="000000"/>
          <w:sz w:val="22"/>
          <w:szCs w:val="22"/>
        </w:rPr>
        <w:t xml:space="preserve"> Modification Application</w:t>
      </w:r>
      <w:r w:rsidR="003A32B3">
        <w:rPr>
          <w:color w:val="000000"/>
          <w:sz w:val="22"/>
          <w:szCs w:val="22"/>
        </w:rPr>
        <w:t xml:space="preserve"> </w:t>
      </w:r>
      <w:r w:rsidR="00BD7452">
        <w:rPr>
          <w:color w:val="000000"/>
          <w:sz w:val="22"/>
          <w:szCs w:val="22"/>
        </w:rPr>
        <w:t xml:space="preserve">violates </w:t>
      </w:r>
      <w:r w:rsidR="00264929">
        <w:rPr>
          <w:color w:val="000000"/>
          <w:sz w:val="22"/>
          <w:szCs w:val="22"/>
        </w:rPr>
        <w:t xml:space="preserve">Condition #2 of the </w:t>
      </w:r>
      <w:r w:rsidR="00BD3CA8">
        <w:rPr>
          <w:color w:val="000000"/>
          <w:sz w:val="22"/>
          <w:szCs w:val="22"/>
        </w:rPr>
        <w:t>KPVO</w:t>
      </w:r>
      <w:r w:rsidR="00264929">
        <w:rPr>
          <w:color w:val="000000"/>
          <w:sz w:val="22"/>
          <w:szCs w:val="22"/>
        </w:rPr>
        <w:t xml:space="preserve"> License</w:t>
      </w:r>
      <w:r w:rsidR="009B2FC6">
        <w:rPr>
          <w:color w:val="000000"/>
          <w:sz w:val="22"/>
          <w:szCs w:val="22"/>
        </w:rPr>
        <w:t xml:space="preserve"> (Condition #2)</w:t>
      </w:r>
      <w:r w:rsidR="00AB00B4">
        <w:rPr>
          <w:color w:val="000000"/>
          <w:sz w:val="22"/>
          <w:szCs w:val="22"/>
        </w:rPr>
        <w:t xml:space="preserve">, which </w:t>
      </w:r>
      <w:r w:rsidR="00BC3FF5">
        <w:rPr>
          <w:color w:val="000000"/>
          <w:sz w:val="22"/>
          <w:szCs w:val="22"/>
        </w:rPr>
        <w:t>requires</w:t>
      </w:r>
      <w:r w:rsidR="00AB00B4">
        <w:rPr>
          <w:color w:val="000000"/>
          <w:sz w:val="22"/>
          <w:szCs w:val="22"/>
        </w:rPr>
        <w:t xml:space="preserve"> 12 months of continuous operation following grant</w:t>
      </w:r>
      <w:r w:rsidR="009B2FC6">
        <w:rPr>
          <w:color w:val="000000"/>
          <w:sz w:val="22"/>
          <w:szCs w:val="22"/>
        </w:rPr>
        <w:t>.  According to AJB, any application seeking</w:t>
      </w:r>
      <w:r w:rsidR="00BD7452">
        <w:rPr>
          <w:color w:val="000000"/>
          <w:sz w:val="22"/>
          <w:szCs w:val="22"/>
        </w:rPr>
        <w:t xml:space="preserve"> </w:t>
      </w:r>
      <w:r w:rsidR="00A85455">
        <w:rPr>
          <w:color w:val="000000"/>
          <w:sz w:val="22"/>
          <w:szCs w:val="22"/>
        </w:rPr>
        <w:t>“</w:t>
      </w:r>
      <w:r w:rsidR="00BD7452">
        <w:rPr>
          <w:color w:val="000000"/>
          <w:sz w:val="22"/>
          <w:szCs w:val="22"/>
        </w:rPr>
        <w:t>operations different from the licensed f</w:t>
      </w:r>
      <w:r w:rsidR="009B2FC6">
        <w:rPr>
          <w:color w:val="000000"/>
          <w:sz w:val="22"/>
          <w:szCs w:val="22"/>
        </w:rPr>
        <w:t>acility</w:t>
      </w:r>
      <w:r w:rsidR="00A85455">
        <w:rPr>
          <w:color w:val="000000"/>
          <w:sz w:val="22"/>
          <w:szCs w:val="22"/>
        </w:rPr>
        <w:t>”</w:t>
      </w:r>
      <w:r w:rsidR="009B2FC6">
        <w:rPr>
          <w:color w:val="000000"/>
          <w:sz w:val="22"/>
          <w:szCs w:val="22"/>
        </w:rPr>
        <w:t xml:space="preserve"> violates this condition.</w:t>
      </w:r>
      <w:r w:rsidR="00BD7452">
        <w:rPr>
          <w:rStyle w:val="FootnoteReference"/>
          <w:color w:val="000000"/>
          <w:sz w:val="22"/>
          <w:szCs w:val="22"/>
        </w:rPr>
        <w:footnoteReference w:id="13"/>
      </w:r>
      <w:r w:rsidR="000E6509">
        <w:rPr>
          <w:color w:val="000000"/>
          <w:sz w:val="22"/>
          <w:szCs w:val="22"/>
        </w:rPr>
        <w:t xml:space="preserve"> </w:t>
      </w:r>
      <w:r w:rsidR="009B2FC6">
        <w:rPr>
          <w:color w:val="000000"/>
          <w:sz w:val="22"/>
          <w:szCs w:val="22"/>
        </w:rPr>
        <w:t xml:space="preserve"> AJB further argues that the </w:t>
      </w:r>
      <w:r w:rsidR="00BD3CA8">
        <w:rPr>
          <w:color w:val="000000"/>
          <w:sz w:val="22"/>
          <w:szCs w:val="22"/>
        </w:rPr>
        <w:t>KPVO</w:t>
      </w:r>
      <w:r w:rsidR="009B2FC6">
        <w:rPr>
          <w:color w:val="000000"/>
          <w:sz w:val="22"/>
          <w:szCs w:val="22"/>
        </w:rPr>
        <w:t xml:space="preserve"> Modification Application is unacceptable because </w:t>
      </w:r>
      <w:r w:rsidR="009C0902">
        <w:rPr>
          <w:color w:val="000000"/>
          <w:sz w:val="22"/>
          <w:szCs w:val="22"/>
        </w:rPr>
        <w:t xml:space="preserve">it was filed before </w:t>
      </w:r>
      <w:r w:rsidR="003A32B3">
        <w:rPr>
          <w:color w:val="000000"/>
          <w:sz w:val="22"/>
          <w:szCs w:val="22"/>
        </w:rPr>
        <w:t xml:space="preserve">the </w:t>
      </w:r>
      <w:r w:rsidR="00BD3CA8">
        <w:rPr>
          <w:color w:val="000000"/>
          <w:sz w:val="22"/>
          <w:szCs w:val="22"/>
        </w:rPr>
        <w:t>KPVO</w:t>
      </w:r>
      <w:r w:rsidR="003A32B3">
        <w:rPr>
          <w:color w:val="000000"/>
          <w:sz w:val="22"/>
          <w:szCs w:val="22"/>
        </w:rPr>
        <w:t xml:space="preserve"> License </w:t>
      </w:r>
      <w:r w:rsidR="00C55731">
        <w:rPr>
          <w:color w:val="000000"/>
          <w:sz w:val="22"/>
          <w:szCs w:val="22"/>
        </w:rPr>
        <w:t>Application</w:t>
      </w:r>
      <w:r w:rsidR="00264929">
        <w:rPr>
          <w:color w:val="000000"/>
          <w:sz w:val="22"/>
          <w:szCs w:val="22"/>
        </w:rPr>
        <w:t xml:space="preserve"> was granted</w:t>
      </w:r>
      <w:r w:rsidR="00C55731">
        <w:rPr>
          <w:color w:val="000000"/>
          <w:sz w:val="22"/>
          <w:szCs w:val="22"/>
        </w:rPr>
        <w:t xml:space="preserve"> </w:t>
      </w:r>
      <w:r w:rsidR="003A32B3">
        <w:rPr>
          <w:color w:val="000000"/>
          <w:sz w:val="22"/>
          <w:szCs w:val="22"/>
        </w:rPr>
        <w:t>and i</w:t>
      </w:r>
      <w:r w:rsidR="009C0902">
        <w:rPr>
          <w:color w:val="000000"/>
          <w:sz w:val="22"/>
          <w:szCs w:val="22"/>
        </w:rPr>
        <w:t xml:space="preserve">s therefore “inconsistent and conflicting” with the </w:t>
      </w:r>
      <w:r w:rsidR="00BD3CA8">
        <w:rPr>
          <w:color w:val="000000"/>
          <w:sz w:val="22"/>
          <w:szCs w:val="22"/>
        </w:rPr>
        <w:t>KPVO</w:t>
      </w:r>
      <w:r w:rsidR="009C0902">
        <w:rPr>
          <w:color w:val="000000"/>
          <w:sz w:val="22"/>
          <w:szCs w:val="22"/>
        </w:rPr>
        <w:t xml:space="preserve"> L</w:t>
      </w:r>
      <w:r w:rsidR="00C55731">
        <w:rPr>
          <w:color w:val="000000"/>
          <w:sz w:val="22"/>
          <w:szCs w:val="22"/>
        </w:rPr>
        <w:t>icense A</w:t>
      </w:r>
      <w:r w:rsidR="009C0902">
        <w:rPr>
          <w:color w:val="000000"/>
          <w:sz w:val="22"/>
          <w:szCs w:val="22"/>
        </w:rPr>
        <w:t>pplication</w:t>
      </w:r>
      <w:r w:rsidR="009B2FC6">
        <w:rPr>
          <w:color w:val="000000"/>
          <w:sz w:val="22"/>
          <w:szCs w:val="22"/>
        </w:rPr>
        <w:t>.</w:t>
      </w:r>
      <w:r w:rsidR="009C0902">
        <w:rPr>
          <w:rStyle w:val="FootnoteReference"/>
          <w:color w:val="000000"/>
          <w:sz w:val="22"/>
          <w:szCs w:val="22"/>
        </w:rPr>
        <w:footnoteReference w:id="14"/>
      </w:r>
      <w:r w:rsidR="00A85455">
        <w:rPr>
          <w:color w:val="000000"/>
          <w:sz w:val="22"/>
          <w:szCs w:val="22"/>
        </w:rPr>
        <w:t xml:space="preserve"> </w:t>
      </w:r>
      <w:r w:rsidR="009B2FC6">
        <w:rPr>
          <w:color w:val="000000"/>
          <w:sz w:val="22"/>
          <w:szCs w:val="22"/>
        </w:rPr>
        <w:t xml:space="preserve"> AJB also contends that the </w:t>
      </w:r>
      <w:r w:rsidR="00E371CA">
        <w:rPr>
          <w:color w:val="000000"/>
          <w:sz w:val="22"/>
          <w:szCs w:val="22"/>
        </w:rPr>
        <w:t xml:space="preserve">proposed channel substitution for KWSA </w:t>
      </w:r>
      <w:r w:rsidR="00097F30">
        <w:rPr>
          <w:color w:val="000000"/>
          <w:sz w:val="22"/>
          <w:szCs w:val="22"/>
        </w:rPr>
        <w:t xml:space="preserve">is not </w:t>
      </w:r>
      <w:r w:rsidR="003A32B3">
        <w:rPr>
          <w:color w:val="000000"/>
          <w:sz w:val="22"/>
          <w:szCs w:val="22"/>
        </w:rPr>
        <w:t>allowable</w:t>
      </w:r>
      <w:r w:rsidR="00097F30">
        <w:rPr>
          <w:color w:val="000000"/>
          <w:sz w:val="22"/>
          <w:szCs w:val="22"/>
        </w:rPr>
        <w:t xml:space="preserve"> as a minor change under Section 73.3573(a)</w:t>
      </w:r>
      <w:r w:rsidR="00D21577">
        <w:rPr>
          <w:color w:val="000000"/>
          <w:sz w:val="22"/>
          <w:szCs w:val="22"/>
        </w:rPr>
        <w:t>(1)</w:t>
      </w:r>
      <w:r w:rsidR="00097F30">
        <w:rPr>
          <w:color w:val="000000"/>
          <w:sz w:val="22"/>
          <w:szCs w:val="22"/>
        </w:rPr>
        <w:t>(iii) of the Rules</w:t>
      </w:r>
      <w:r w:rsidR="00DC5B53">
        <w:rPr>
          <w:color w:val="000000"/>
          <w:sz w:val="22"/>
          <w:szCs w:val="22"/>
        </w:rPr>
        <w:t>.</w:t>
      </w:r>
      <w:r w:rsidR="00097F30">
        <w:rPr>
          <w:rStyle w:val="FootnoteReference"/>
          <w:color w:val="000000"/>
          <w:sz w:val="22"/>
          <w:szCs w:val="22"/>
        </w:rPr>
        <w:footnoteReference w:id="15"/>
      </w:r>
      <w:r w:rsidR="00A85455">
        <w:rPr>
          <w:color w:val="000000"/>
          <w:sz w:val="22"/>
          <w:szCs w:val="22"/>
        </w:rPr>
        <w:t xml:space="preserve">  </w:t>
      </w:r>
      <w:r w:rsidR="00DC5B53">
        <w:rPr>
          <w:color w:val="000000"/>
          <w:sz w:val="22"/>
          <w:szCs w:val="22"/>
        </w:rPr>
        <w:t xml:space="preserve">Finally, AJB complains that the </w:t>
      </w:r>
      <w:r w:rsidR="00BD3CA8">
        <w:rPr>
          <w:color w:val="000000"/>
          <w:sz w:val="22"/>
          <w:szCs w:val="22"/>
        </w:rPr>
        <w:t>KPVO</w:t>
      </w:r>
      <w:r w:rsidR="00DC5B53">
        <w:rPr>
          <w:color w:val="000000"/>
          <w:sz w:val="22"/>
          <w:szCs w:val="22"/>
        </w:rPr>
        <w:t xml:space="preserve"> Modification Application </w:t>
      </w:r>
      <w:r w:rsidR="00C74AC2">
        <w:rPr>
          <w:color w:val="000000"/>
          <w:sz w:val="22"/>
          <w:szCs w:val="22"/>
        </w:rPr>
        <w:t xml:space="preserve">conflicts with the later-filed </w:t>
      </w:r>
      <w:r w:rsidR="00C55731">
        <w:rPr>
          <w:color w:val="000000"/>
          <w:sz w:val="22"/>
          <w:szCs w:val="22"/>
        </w:rPr>
        <w:t xml:space="preserve">KWSA Modification </w:t>
      </w:r>
      <w:r w:rsidR="00C74AC2">
        <w:rPr>
          <w:color w:val="000000"/>
          <w:sz w:val="22"/>
          <w:szCs w:val="22"/>
        </w:rPr>
        <w:t xml:space="preserve">Application. </w:t>
      </w:r>
    </w:p>
    <w:p w14:paraId="228160B2" w14:textId="6F3945A0" w:rsidR="00874AFC" w:rsidRDefault="00097F30" w:rsidP="0024515F">
      <w:pPr>
        <w:spacing w:before="120"/>
        <w:ind w:right="-360"/>
        <w:rPr>
          <w:color w:val="000000"/>
          <w:sz w:val="22"/>
          <w:szCs w:val="22"/>
        </w:rPr>
      </w:pPr>
      <w:r>
        <w:rPr>
          <w:color w:val="000000"/>
          <w:sz w:val="22"/>
          <w:szCs w:val="22"/>
        </w:rPr>
        <w:tab/>
        <w:t xml:space="preserve">On </w:t>
      </w:r>
      <w:r w:rsidR="003A32B3">
        <w:rPr>
          <w:color w:val="000000"/>
          <w:sz w:val="22"/>
          <w:szCs w:val="22"/>
        </w:rPr>
        <w:t>the merits</w:t>
      </w:r>
      <w:r w:rsidR="005F6E2F">
        <w:rPr>
          <w:color w:val="000000"/>
          <w:sz w:val="22"/>
          <w:szCs w:val="22"/>
        </w:rPr>
        <w:t>, AJB contends that</w:t>
      </w:r>
      <w:r w:rsidR="00416F5C">
        <w:rPr>
          <w:color w:val="000000"/>
          <w:sz w:val="22"/>
          <w:szCs w:val="22"/>
        </w:rPr>
        <w:t xml:space="preserve"> Valleydale has</w:t>
      </w:r>
      <w:r w:rsidR="005F6E2F">
        <w:rPr>
          <w:color w:val="000000"/>
          <w:sz w:val="22"/>
          <w:szCs w:val="22"/>
        </w:rPr>
        <w:t xml:space="preserve"> not </w:t>
      </w:r>
      <w:r w:rsidR="003A32B3">
        <w:rPr>
          <w:color w:val="000000"/>
          <w:sz w:val="22"/>
          <w:szCs w:val="22"/>
        </w:rPr>
        <w:t>shown</w:t>
      </w:r>
      <w:r w:rsidR="00A41E6A">
        <w:rPr>
          <w:color w:val="000000"/>
          <w:sz w:val="22"/>
          <w:szCs w:val="22"/>
        </w:rPr>
        <w:t xml:space="preserve"> any </w:t>
      </w:r>
      <w:r w:rsidR="005F6E2F">
        <w:rPr>
          <w:color w:val="000000"/>
          <w:sz w:val="22"/>
          <w:szCs w:val="22"/>
        </w:rPr>
        <w:t>public interest benefit</w:t>
      </w:r>
      <w:r w:rsidR="00A41E6A">
        <w:rPr>
          <w:color w:val="000000"/>
          <w:sz w:val="22"/>
          <w:szCs w:val="22"/>
        </w:rPr>
        <w:t>s</w:t>
      </w:r>
      <w:r w:rsidR="005F6E2F">
        <w:rPr>
          <w:color w:val="000000"/>
          <w:sz w:val="22"/>
          <w:szCs w:val="22"/>
        </w:rPr>
        <w:t xml:space="preserve"> to justify </w:t>
      </w:r>
      <w:r w:rsidR="00416F5C">
        <w:rPr>
          <w:color w:val="000000"/>
          <w:sz w:val="22"/>
          <w:szCs w:val="22"/>
        </w:rPr>
        <w:t>the proposed channel substitution.</w:t>
      </w:r>
      <w:r w:rsidR="00416F5C">
        <w:rPr>
          <w:rStyle w:val="FootnoteReference"/>
          <w:color w:val="000000"/>
          <w:sz w:val="22"/>
          <w:szCs w:val="22"/>
        </w:rPr>
        <w:footnoteReference w:id="16"/>
      </w:r>
      <w:r w:rsidR="003A32B3">
        <w:rPr>
          <w:color w:val="000000"/>
          <w:sz w:val="22"/>
          <w:szCs w:val="22"/>
        </w:rPr>
        <w:t xml:space="preserve">  AJB also argues that </w:t>
      </w:r>
      <w:r w:rsidR="00416C32">
        <w:rPr>
          <w:color w:val="000000"/>
          <w:sz w:val="22"/>
          <w:szCs w:val="22"/>
        </w:rPr>
        <w:t>an involuntary channel change</w:t>
      </w:r>
      <w:r w:rsidR="003A32B3">
        <w:rPr>
          <w:color w:val="000000"/>
          <w:sz w:val="22"/>
          <w:szCs w:val="22"/>
        </w:rPr>
        <w:t xml:space="preserve"> has a “rulemaking aspect” under</w:t>
      </w:r>
      <w:r w:rsidR="00416C32">
        <w:rPr>
          <w:color w:val="000000"/>
          <w:sz w:val="22"/>
          <w:szCs w:val="22"/>
        </w:rPr>
        <w:t xml:space="preserve"> Section 1.87(b) of the Rules</w:t>
      </w:r>
      <w:r w:rsidR="007977BA">
        <w:rPr>
          <w:color w:val="000000"/>
          <w:sz w:val="22"/>
          <w:szCs w:val="22"/>
        </w:rPr>
        <w:t xml:space="preserve">, </w:t>
      </w:r>
      <w:r w:rsidR="003A32B3">
        <w:rPr>
          <w:color w:val="000000"/>
          <w:sz w:val="22"/>
          <w:szCs w:val="22"/>
        </w:rPr>
        <w:t xml:space="preserve">thus </w:t>
      </w:r>
      <w:r w:rsidR="007977BA">
        <w:rPr>
          <w:color w:val="000000"/>
          <w:sz w:val="22"/>
          <w:szCs w:val="22"/>
        </w:rPr>
        <w:t xml:space="preserve">requiring the Bureau to compare the </w:t>
      </w:r>
      <w:r w:rsidR="00C714D4">
        <w:rPr>
          <w:color w:val="000000"/>
          <w:sz w:val="22"/>
          <w:szCs w:val="22"/>
        </w:rPr>
        <w:t xml:space="preserve">KWSA Modification </w:t>
      </w:r>
      <w:r w:rsidR="00C714D4">
        <w:rPr>
          <w:color w:val="000000"/>
          <w:sz w:val="22"/>
          <w:szCs w:val="22"/>
        </w:rPr>
        <w:lastRenderedPageBreak/>
        <w:t>Application</w:t>
      </w:r>
      <w:r w:rsidR="007977BA">
        <w:rPr>
          <w:color w:val="000000"/>
          <w:sz w:val="22"/>
          <w:szCs w:val="22"/>
        </w:rPr>
        <w:t xml:space="preserve"> to the </w:t>
      </w:r>
      <w:r w:rsidR="00BD3CA8">
        <w:rPr>
          <w:color w:val="000000"/>
          <w:sz w:val="22"/>
          <w:szCs w:val="22"/>
        </w:rPr>
        <w:t>KPVO</w:t>
      </w:r>
      <w:r w:rsidR="00C55731">
        <w:rPr>
          <w:color w:val="000000"/>
          <w:sz w:val="22"/>
          <w:szCs w:val="22"/>
        </w:rPr>
        <w:t xml:space="preserve"> Modification Application</w:t>
      </w:r>
      <w:r w:rsidR="007977BA">
        <w:rPr>
          <w:color w:val="000000"/>
          <w:sz w:val="22"/>
          <w:szCs w:val="22"/>
        </w:rPr>
        <w:t xml:space="preserve"> as a counter-proposal</w:t>
      </w:r>
      <w:r w:rsidR="00416C32">
        <w:rPr>
          <w:color w:val="000000"/>
          <w:sz w:val="22"/>
          <w:szCs w:val="22"/>
        </w:rPr>
        <w:t>.</w:t>
      </w:r>
      <w:r w:rsidR="00416C32">
        <w:rPr>
          <w:rStyle w:val="FootnoteReference"/>
          <w:color w:val="000000"/>
          <w:sz w:val="22"/>
          <w:szCs w:val="22"/>
        </w:rPr>
        <w:footnoteReference w:id="17"/>
      </w:r>
      <w:r w:rsidR="00416C32">
        <w:rPr>
          <w:color w:val="000000"/>
          <w:sz w:val="22"/>
          <w:szCs w:val="22"/>
        </w:rPr>
        <w:t xml:space="preserve">  </w:t>
      </w:r>
      <w:r w:rsidR="007977BA">
        <w:rPr>
          <w:color w:val="000000"/>
          <w:sz w:val="22"/>
          <w:szCs w:val="22"/>
        </w:rPr>
        <w:t xml:space="preserve">AJB </w:t>
      </w:r>
      <w:r w:rsidR="003A32B3">
        <w:rPr>
          <w:color w:val="000000"/>
          <w:sz w:val="22"/>
          <w:szCs w:val="22"/>
        </w:rPr>
        <w:t xml:space="preserve">further </w:t>
      </w:r>
      <w:r w:rsidR="00BD4A43">
        <w:rPr>
          <w:color w:val="000000"/>
          <w:sz w:val="22"/>
          <w:szCs w:val="22"/>
        </w:rPr>
        <w:t>states that</w:t>
      </w:r>
      <w:r w:rsidR="00DC5B53">
        <w:rPr>
          <w:color w:val="000000"/>
          <w:sz w:val="22"/>
          <w:szCs w:val="22"/>
        </w:rPr>
        <w:t xml:space="preserve"> Channel 280</w:t>
      </w:r>
      <w:r w:rsidR="007977BA">
        <w:rPr>
          <w:color w:val="000000"/>
          <w:sz w:val="22"/>
          <w:szCs w:val="22"/>
        </w:rPr>
        <w:t xml:space="preserve"> is currently occupied by Station KUDE(FM), Nephi, Utah</w:t>
      </w:r>
      <w:r w:rsidR="000B7EA1">
        <w:rPr>
          <w:color w:val="000000"/>
          <w:sz w:val="22"/>
          <w:szCs w:val="22"/>
        </w:rPr>
        <w:t xml:space="preserve"> (KUDE)</w:t>
      </w:r>
      <w:r w:rsidR="00116843">
        <w:rPr>
          <w:color w:val="000000"/>
          <w:sz w:val="22"/>
          <w:szCs w:val="22"/>
        </w:rPr>
        <w:t>, with no “timely prospect” to complete a channel change that was ordered in 2004</w:t>
      </w:r>
      <w:r w:rsidR="007977BA">
        <w:rPr>
          <w:color w:val="000000"/>
          <w:sz w:val="22"/>
          <w:szCs w:val="22"/>
        </w:rPr>
        <w:t>.</w:t>
      </w:r>
      <w:r w:rsidR="007977BA">
        <w:rPr>
          <w:rStyle w:val="FootnoteReference"/>
          <w:color w:val="000000"/>
          <w:sz w:val="22"/>
          <w:szCs w:val="22"/>
        </w:rPr>
        <w:footnoteReference w:id="18"/>
      </w:r>
      <w:r w:rsidR="00F53BB5">
        <w:rPr>
          <w:color w:val="000000"/>
          <w:sz w:val="22"/>
          <w:szCs w:val="22"/>
        </w:rPr>
        <w:t xml:space="preserve">  AJB</w:t>
      </w:r>
      <w:r w:rsidR="004912B2">
        <w:rPr>
          <w:color w:val="000000"/>
          <w:sz w:val="22"/>
          <w:szCs w:val="22"/>
        </w:rPr>
        <w:t xml:space="preserve"> also</w:t>
      </w:r>
      <w:r w:rsidR="00F53BB5">
        <w:rPr>
          <w:color w:val="000000"/>
          <w:sz w:val="22"/>
          <w:szCs w:val="22"/>
        </w:rPr>
        <w:t xml:space="preserve"> urges</w:t>
      </w:r>
      <w:r w:rsidR="00BD4A43">
        <w:rPr>
          <w:color w:val="000000"/>
          <w:sz w:val="22"/>
          <w:szCs w:val="22"/>
        </w:rPr>
        <w:t xml:space="preserve"> the Commission </w:t>
      </w:r>
      <w:r w:rsidR="00F53BB5">
        <w:rPr>
          <w:color w:val="000000"/>
          <w:sz w:val="22"/>
          <w:szCs w:val="22"/>
        </w:rPr>
        <w:t xml:space="preserve">not to </w:t>
      </w:r>
      <w:r w:rsidR="00BD4A43">
        <w:rPr>
          <w:color w:val="000000"/>
          <w:sz w:val="22"/>
          <w:szCs w:val="22"/>
        </w:rPr>
        <w:t xml:space="preserve">“countenance” Valleydale’s multiple amendments </w:t>
      </w:r>
      <w:r w:rsidR="003A32B3">
        <w:rPr>
          <w:color w:val="000000"/>
          <w:sz w:val="22"/>
          <w:szCs w:val="22"/>
        </w:rPr>
        <w:t xml:space="preserve">by granting </w:t>
      </w:r>
      <w:r w:rsidR="004912B2">
        <w:rPr>
          <w:color w:val="000000"/>
          <w:sz w:val="22"/>
          <w:szCs w:val="22"/>
        </w:rPr>
        <w:t xml:space="preserve">the </w:t>
      </w:r>
      <w:r w:rsidR="00BD3CA8">
        <w:rPr>
          <w:color w:val="000000"/>
          <w:sz w:val="22"/>
          <w:szCs w:val="22"/>
        </w:rPr>
        <w:t>KPVO</w:t>
      </w:r>
      <w:r w:rsidR="004912B2">
        <w:rPr>
          <w:color w:val="000000"/>
          <w:sz w:val="22"/>
          <w:szCs w:val="22"/>
        </w:rPr>
        <w:t xml:space="preserve"> Modification Application</w:t>
      </w:r>
      <w:r w:rsidR="00BD4A43">
        <w:rPr>
          <w:color w:val="000000"/>
          <w:sz w:val="22"/>
          <w:szCs w:val="22"/>
        </w:rPr>
        <w:t>.</w:t>
      </w:r>
      <w:r w:rsidR="00BD4A43">
        <w:rPr>
          <w:rStyle w:val="FootnoteReference"/>
          <w:color w:val="000000"/>
          <w:sz w:val="22"/>
          <w:szCs w:val="22"/>
        </w:rPr>
        <w:footnoteReference w:id="19"/>
      </w:r>
      <w:r w:rsidR="0066417E">
        <w:rPr>
          <w:color w:val="000000"/>
          <w:sz w:val="22"/>
          <w:szCs w:val="22"/>
        </w:rPr>
        <w:t xml:space="preserve">  Finally, AJB </w:t>
      </w:r>
      <w:r w:rsidR="004912B2">
        <w:rPr>
          <w:color w:val="000000"/>
          <w:sz w:val="22"/>
          <w:szCs w:val="22"/>
        </w:rPr>
        <w:t xml:space="preserve">claims that Valleydale should not be given another “bite at the apple” </w:t>
      </w:r>
      <w:r w:rsidR="00BC3FF5">
        <w:rPr>
          <w:color w:val="000000"/>
          <w:sz w:val="22"/>
          <w:szCs w:val="22"/>
        </w:rPr>
        <w:t>of involuntary channel substitution,</w:t>
      </w:r>
      <w:r w:rsidR="006A229D">
        <w:rPr>
          <w:color w:val="000000"/>
          <w:sz w:val="22"/>
          <w:szCs w:val="22"/>
        </w:rPr>
        <w:t xml:space="preserve"> having “failed to fulfill its obligations to KWSA for reimbursement of its expenses under </w:t>
      </w:r>
      <w:r w:rsidR="006A229D">
        <w:rPr>
          <w:i/>
          <w:color w:val="000000"/>
          <w:sz w:val="22"/>
          <w:szCs w:val="22"/>
        </w:rPr>
        <w:t>Circleville</w:t>
      </w:r>
      <w:r w:rsidR="006A229D">
        <w:rPr>
          <w:color w:val="000000"/>
          <w:sz w:val="22"/>
          <w:szCs w:val="22"/>
        </w:rPr>
        <w:t>”</w:t>
      </w:r>
      <w:r w:rsidR="00E4569E">
        <w:rPr>
          <w:color w:val="000000"/>
          <w:sz w:val="22"/>
          <w:szCs w:val="22"/>
        </w:rPr>
        <w:t xml:space="preserve"> </w:t>
      </w:r>
      <w:r w:rsidR="006A229D">
        <w:rPr>
          <w:color w:val="000000"/>
          <w:sz w:val="22"/>
          <w:szCs w:val="22"/>
        </w:rPr>
        <w:t xml:space="preserve">by refusing </w:t>
      </w:r>
      <w:r w:rsidR="00E4569E">
        <w:rPr>
          <w:color w:val="000000"/>
          <w:sz w:val="22"/>
          <w:szCs w:val="22"/>
        </w:rPr>
        <w:t>to</w:t>
      </w:r>
      <w:r w:rsidR="009C7ABD">
        <w:rPr>
          <w:color w:val="000000"/>
          <w:sz w:val="22"/>
          <w:szCs w:val="22"/>
        </w:rPr>
        <w:t xml:space="preserve"> </w:t>
      </w:r>
      <w:r w:rsidR="006A229D">
        <w:rPr>
          <w:color w:val="000000"/>
          <w:sz w:val="22"/>
          <w:szCs w:val="22"/>
        </w:rPr>
        <w:t>pay</w:t>
      </w:r>
      <w:r w:rsidR="00056B90">
        <w:rPr>
          <w:color w:val="000000"/>
          <w:sz w:val="22"/>
          <w:szCs w:val="22"/>
        </w:rPr>
        <w:t xml:space="preserve"> </w:t>
      </w:r>
      <w:r w:rsidR="00E4569E">
        <w:rPr>
          <w:color w:val="000000"/>
          <w:sz w:val="22"/>
          <w:szCs w:val="22"/>
        </w:rPr>
        <w:t>the 2012 KWSA Modification Application filing fee</w:t>
      </w:r>
      <w:r w:rsidR="00F327CF">
        <w:rPr>
          <w:color w:val="000000"/>
          <w:sz w:val="22"/>
          <w:szCs w:val="22"/>
        </w:rPr>
        <w:t>.</w:t>
      </w:r>
      <w:r w:rsidR="009C7ABD">
        <w:rPr>
          <w:rStyle w:val="FootnoteReference"/>
          <w:color w:val="000000"/>
          <w:sz w:val="22"/>
          <w:szCs w:val="22"/>
        </w:rPr>
        <w:footnoteReference w:id="20"/>
      </w:r>
      <w:r w:rsidR="004912B2">
        <w:rPr>
          <w:color w:val="000000"/>
          <w:sz w:val="22"/>
          <w:szCs w:val="22"/>
        </w:rPr>
        <w:t xml:space="preserve">  </w:t>
      </w:r>
    </w:p>
    <w:p w14:paraId="586749CE" w14:textId="77777777" w:rsidR="00056B90" w:rsidRPr="009C7ABD" w:rsidRDefault="00056B90" w:rsidP="0024515F">
      <w:pPr>
        <w:spacing w:before="120"/>
        <w:ind w:right="-360"/>
        <w:rPr>
          <w:color w:val="000000"/>
          <w:sz w:val="22"/>
          <w:szCs w:val="22"/>
        </w:rPr>
      </w:pPr>
      <w:r>
        <w:rPr>
          <w:color w:val="000000"/>
          <w:sz w:val="22"/>
          <w:szCs w:val="22"/>
        </w:rPr>
        <w:tab/>
        <w:t xml:space="preserve">In its Opposition, Valleydale </w:t>
      </w:r>
      <w:r w:rsidR="006A229D">
        <w:rPr>
          <w:color w:val="000000"/>
          <w:sz w:val="22"/>
          <w:szCs w:val="22"/>
        </w:rPr>
        <w:t>contends</w:t>
      </w:r>
      <w:r>
        <w:rPr>
          <w:color w:val="000000"/>
          <w:sz w:val="22"/>
          <w:szCs w:val="22"/>
        </w:rPr>
        <w:t xml:space="preserve"> that </w:t>
      </w:r>
      <w:r w:rsidR="0041719D">
        <w:rPr>
          <w:color w:val="000000"/>
          <w:sz w:val="22"/>
          <w:szCs w:val="22"/>
        </w:rPr>
        <w:t xml:space="preserve">AJB </w:t>
      </w:r>
      <w:r w:rsidR="00DE039D">
        <w:rPr>
          <w:color w:val="000000"/>
          <w:sz w:val="22"/>
          <w:szCs w:val="22"/>
        </w:rPr>
        <w:t xml:space="preserve">never complied with the </w:t>
      </w:r>
      <w:r w:rsidR="00A21ADE" w:rsidRPr="00A21ADE">
        <w:rPr>
          <w:i/>
          <w:color w:val="000000"/>
          <w:sz w:val="22"/>
          <w:szCs w:val="22"/>
        </w:rPr>
        <w:t>KWSA Modification Order</w:t>
      </w:r>
      <w:r w:rsidR="006A229D">
        <w:rPr>
          <w:color w:val="000000"/>
          <w:sz w:val="22"/>
          <w:szCs w:val="22"/>
        </w:rPr>
        <w:t>, thus forcing</w:t>
      </w:r>
      <w:r w:rsidR="0041719D">
        <w:rPr>
          <w:color w:val="000000"/>
          <w:sz w:val="22"/>
          <w:szCs w:val="22"/>
        </w:rPr>
        <w:t xml:space="preserve"> it “</w:t>
      </w:r>
      <w:r w:rsidR="00F25467">
        <w:rPr>
          <w:color w:val="000000"/>
          <w:sz w:val="22"/>
          <w:szCs w:val="22"/>
        </w:rPr>
        <w:t>to file an application</w:t>
      </w:r>
      <w:r w:rsidR="0041719D">
        <w:rPr>
          <w:color w:val="000000"/>
          <w:sz w:val="22"/>
          <w:szCs w:val="22"/>
        </w:rPr>
        <w:t xml:space="preserve"> for lower class facilities (not dependent on the Station KWSA channel change) in order to avoid having its permit cancelled and its auction payment forfeited.”</w:t>
      </w:r>
      <w:r w:rsidR="0041719D">
        <w:rPr>
          <w:rStyle w:val="FootnoteReference"/>
          <w:color w:val="000000"/>
          <w:sz w:val="22"/>
          <w:szCs w:val="22"/>
        </w:rPr>
        <w:footnoteReference w:id="21"/>
      </w:r>
      <w:r w:rsidR="00F25467">
        <w:rPr>
          <w:color w:val="000000"/>
          <w:sz w:val="22"/>
          <w:szCs w:val="22"/>
        </w:rPr>
        <w:t xml:space="preserve">  </w:t>
      </w:r>
      <w:r w:rsidR="00334BCB">
        <w:rPr>
          <w:color w:val="000000"/>
          <w:sz w:val="22"/>
          <w:szCs w:val="22"/>
        </w:rPr>
        <w:t>Regarding its multiple amendments, Valleydale explains that, at the time that</w:t>
      </w:r>
      <w:r w:rsidR="007F3859">
        <w:rPr>
          <w:color w:val="000000"/>
          <w:sz w:val="22"/>
          <w:szCs w:val="22"/>
        </w:rPr>
        <w:t xml:space="preserve"> it filed the </w:t>
      </w:r>
      <w:r w:rsidR="00BD3CA8">
        <w:rPr>
          <w:color w:val="000000"/>
          <w:sz w:val="22"/>
          <w:szCs w:val="22"/>
        </w:rPr>
        <w:t>KPVO</w:t>
      </w:r>
      <w:r w:rsidR="007F3859">
        <w:rPr>
          <w:color w:val="000000"/>
          <w:sz w:val="22"/>
          <w:szCs w:val="22"/>
        </w:rPr>
        <w:t xml:space="preserve"> Modification Application, it could not have known about the </w:t>
      </w:r>
      <w:r w:rsidR="00BC3FF5">
        <w:rPr>
          <w:color w:val="000000"/>
          <w:sz w:val="22"/>
          <w:szCs w:val="22"/>
        </w:rPr>
        <w:t>KWSA</w:t>
      </w:r>
      <w:r w:rsidR="007F3859">
        <w:rPr>
          <w:color w:val="000000"/>
          <w:sz w:val="22"/>
          <w:szCs w:val="22"/>
        </w:rPr>
        <w:t xml:space="preserve"> </w:t>
      </w:r>
      <w:r w:rsidR="00B3061E">
        <w:rPr>
          <w:color w:val="000000"/>
          <w:sz w:val="22"/>
          <w:szCs w:val="22"/>
        </w:rPr>
        <w:t xml:space="preserve">Channel </w:t>
      </w:r>
      <w:r w:rsidR="007F3859">
        <w:rPr>
          <w:color w:val="000000"/>
          <w:sz w:val="22"/>
          <w:szCs w:val="22"/>
        </w:rPr>
        <w:t>Reinstatement Application</w:t>
      </w:r>
      <w:r w:rsidR="00DE039D">
        <w:rPr>
          <w:color w:val="000000"/>
          <w:sz w:val="22"/>
          <w:szCs w:val="22"/>
        </w:rPr>
        <w:t>, which was</w:t>
      </w:r>
      <w:r w:rsidR="00334BCB">
        <w:rPr>
          <w:color w:val="000000"/>
          <w:sz w:val="22"/>
          <w:szCs w:val="22"/>
        </w:rPr>
        <w:t xml:space="preserve"> filed the previous day</w:t>
      </w:r>
      <w:r w:rsidR="00A56775">
        <w:rPr>
          <w:color w:val="000000"/>
          <w:sz w:val="22"/>
          <w:szCs w:val="22"/>
        </w:rPr>
        <w:t xml:space="preserve">.  Similarly, Valleydale </w:t>
      </w:r>
      <w:r w:rsidR="00DE039D">
        <w:rPr>
          <w:color w:val="000000"/>
          <w:sz w:val="22"/>
          <w:szCs w:val="22"/>
        </w:rPr>
        <w:t>states</w:t>
      </w:r>
      <w:r w:rsidR="00A56775">
        <w:rPr>
          <w:color w:val="000000"/>
          <w:sz w:val="22"/>
          <w:szCs w:val="22"/>
        </w:rPr>
        <w:t xml:space="preserve"> that it</w:t>
      </w:r>
      <w:r w:rsidR="00DE039D">
        <w:rPr>
          <w:color w:val="000000"/>
          <w:sz w:val="22"/>
          <w:szCs w:val="22"/>
        </w:rPr>
        <w:t xml:space="preserve"> amended</w:t>
      </w:r>
      <w:r w:rsidR="006125B6">
        <w:rPr>
          <w:color w:val="000000"/>
          <w:sz w:val="22"/>
          <w:szCs w:val="22"/>
        </w:rPr>
        <w:t xml:space="preserve"> to change the requested channel from Channel 224A to </w:t>
      </w:r>
      <w:r w:rsidR="00A56775">
        <w:rPr>
          <w:color w:val="000000"/>
          <w:sz w:val="22"/>
          <w:szCs w:val="22"/>
        </w:rPr>
        <w:t>Channel</w:t>
      </w:r>
      <w:r w:rsidR="007F3859">
        <w:rPr>
          <w:color w:val="000000"/>
          <w:sz w:val="22"/>
          <w:szCs w:val="22"/>
        </w:rPr>
        <w:t xml:space="preserve"> 280A </w:t>
      </w:r>
      <w:r w:rsidR="00A56775">
        <w:rPr>
          <w:color w:val="000000"/>
          <w:sz w:val="22"/>
          <w:szCs w:val="22"/>
        </w:rPr>
        <w:t>because of</w:t>
      </w:r>
      <w:r w:rsidR="007F3859">
        <w:rPr>
          <w:color w:val="000000"/>
          <w:sz w:val="22"/>
          <w:szCs w:val="22"/>
        </w:rPr>
        <w:t xml:space="preserve"> a </w:t>
      </w:r>
      <w:r w:rsidR="00334BCB">
        <w:rPr>
          <w:color w:val="000000"/>
          <w:sz w:val="22"/>
          <w:szCs w:val="22"/>
        </w:rPr>
        <w:t xml:space="preserve">“coordinated application </w:t>
      </w:r>
      <w:r w:rsidR="00A56775">
        <w:rPr>
          <w:color w:val="000000"/>
          <w:sz w:val="22"/>
          <w:szCs w:val="22"/>
        </w:rPr>
        <w:t xml:space="preserve">[filed August 20, 2015] </w:t>
      </w:r>
      <w:r w:rsidR="00334BCB">
        <w:rPr>
          <w:color w:val="000000"/>
          <w:sz w:val="22"/>
          <w:szCs w:val="22"/>
        </w:rPr>
        <w:t>which had the effect of eliminating Ch. 224A as an available alternate channel for Station KWSA.”</w:t>
      </w:r>
      <w:r w:rsidR="00334BCB">
        <w:rPr>
          <w:rStyle w:val="FootnoteReference"/>
          <w:color w:val="000000"/>
          <w:sz w:val="22"/>
          <w:szCs w:val="22"/>
        </w:rPr>
        <w:footnoteReference w:id="22"/>
      </w:r>
      <w:r w:rsidR="00334BCB">
        <w:rPr>
          <w:color w:val="000000"/>
          <w:sz w:val="22"/>
          <w:szCs w:val="22"/>
        </w:rPr>
        <w:t xml:space="preserve">  </w:t>
      </w:r>
      <w:r w:rsidR="00DE039D">
        <w:rPr>
          <w:color w:val="000000"/>
          <w:sz w:val="22"/>
          <w:szCs w:val="22"/>
        </w:rPr>
        <w:t xml:space="preserve">Regarding </w:t>
      </w:r>
      <w:r w:rsidR="00F25467">
        <w:rPr>
          <w:color w:val="000000"/>
          <w:sz w:val="22"/>
          <w:szCs w:val="22"/>
        </w:rPr>
        <w:t>compliance with Condition #2 of its current license, Valleydale states that</w:t>
      </w:r>
      <w:r w:rsidR="00C55731">
        <w:rPr>
          <w:color w:val="000000"/>
          <w:sz w:val="22"/>
          <w:szCs w:val="22"/>
        </w:rPr>
        <w:t>: (1)</w:t>
      </w:r>
      <w:r w:rsidR="00F25467">
        <w:rPr>
          <w:color w:val="000000"/>
          <w:sz w:val="22"/>
          <w:szCs w:val="22"/>
        </w:rPr>
        <w:t xml:space="preserve"> </w:t>
      </w:r>
      <w:r w:rsidR="00960FD3">
        <w:rPr>
          <w:color w:val="000000"/>
          <w:sz w:val="22"/>
          <w:szCs w:val="22"/>
        </w:rPr>
        <w:t>it “constructed Station KPVO with permanent facil</w:t>
      </w:r>
      <w:r w:rsidR="00C55731">
        <w:rPr>
          <w:color w:val="000000"/>
          <w:sz w:val="22"/>
          <w:szCs w:val="22"/>
        </w:rPr>
        <w:t>ities and it remains on the air</w:t>
      </w:r>
      <w:r w:rsidR="00960FD3">
        <w:rPr>
          <w:color w:val="000000"/>
          <w:sz w:val="22"/>
          <w:szCs w:val="22"/>
        </w:rPr>
        <w:t>”</w:t>
      </w:r>
      <w:r w:rsidR="00C55731">
        <w:rPr>
          <w:color w:val="000000"/>
          <w:sz w:val="22"/>
          <w:szCs w:val="22"/>
        </w:rPr>
        <w:t xml:space="preserve">; (2) </w:t>
      </w:r>
      <w:r w:rsidR="00960FD3">
        <w:rPr>
          <w:color w:val="000000"/>
          <w:sz w:val="22"/>
          <w:szCs w:val="22"/>
        </w:rPr>
        <w:t>the mere fact that “Valleydale seeks a permit to improve its facilities is not inconsistent with remaining on the air with its current licensed facilities”</w:t>
      </w:r>
      <w:r w:rsidR="00C55731">
        <w:rPr>
          <w:color w:val="000000"/>
          <w:sz w:val="22"/>
          <w:szCs w:val="22"/>
        </w:rPr>
        <w:t>; and (3)</w:t>
      </w:r>
      <w:r w:rsidR="00BA5064">
        <w:rPr>
          <w:color w:val="000000"/>
          <w:sz w:val="22"/>
          <w:szCs w:val="22"/>
        </w:rPr>
        <w:t xml:space="preserve"> in any case, </w:t>
      </w:r>
      <w:r w:rsidR="00DE039D">
        <w:rPr>
          <w:color w:val="000000"/>
          <w:sz w:val="22"/>
          <w:szCs w:val="22"/>
        </w:rPr>
        <w:t xml:space="preserve">if the </w:t>
      </w:r>
      <w:r w:rsidR="00BD3CA8">
        <w:rPr>
          <w:color w:val="000000"/>
          <w:sz w:val="22"/>
          <w:szCs w:val="22"/>
        </w:rPr>
        <w:t>KPVO</w:t>
      </w:r>
      <w:r w:rsidR="00DE039D">
        <w:rPr>
          <w:color w:val="000000"/>
          <w:sz w:val="22"/>
          <w:szCs w:val="22"/>
        </w:rPr>
        <w:t xml:space="preserve"> Modification Application were granted, </w:t>
      </w:r>
      <w:r w:rsidR="00BA5064">
        <w:rPr>
          <w:color w:val="000000"/>
          <w:sz w:val="22"/>
          <w:szCs w:val="22"/>
        </w:rPr>
        <w:t>Valleydale</w:t>
      </w:r>
      <w:r w:rsidR="00960FD3">
        <w:rPr>
          <w:color w:val="000000"/>
          <w:sz w:val="22"/>
          <w:szCs w:val="22"/>
        </w:rPr>
        <w:t xml:space="preserve"> would have three years to build</w:t>
      </w:r>
      <w:r w:rsidR="00DE039D">
        <w:rPr>
          <w:color w:val="000000"/>
          <w:sz w:val="22"/>
          <w:szCs w:val="22"/>
        </w:rPr>
        <w:t>.  Therefore—</w:t>
      </w:r>
      <w:r w:rsidR="00960FD3">
        <w:rPr>
          <w:color w:val="000000"/>
          <w:sz w:val="22"/>
          <w:szCs w:val="22"/>
        </w:rPr>
        <w:t>if necessa</w:t>
      </w:r>
      <w:r w:rsidR="00DE039D">
        <w:rPr>
          <w:color w:val="000000"/>
          <w:sz w:val="22"/>
          <w:szCs w:val="22"/>
        </w:rPr>
        <w:t>ry to comply with Condition #2—</w:t>
      </w:r>
      <w:r w:rsidR="00960FD3">
        <w:rPr>
          <w:color w:val="000000"/>
          <w:sz w:val="22"/>
          <w:szCs w:val="22"/>
        </w:rPr>
        <w:t>it could delay con</w:t>
      </w:r>
      <w:r w:rsidR="00C55731">
        <w:rPr>
          <w:color w:val="000000"/>
          <w:sz w:val="22"/>
          <w:szCs w:val="22"/>
        </w:rPr>
        <w:t>struction of the</w:t>
      </w:r>
      <w:r w:rsidR="00960FD3">
        <w:rPr>
          <w:color w:val="000000"/>
          <w:sz w:val="22"/>
          <w:szCs w:val="22"/>
        </w:rPr>
        <w:t xml:space="preserve"> modified facilities u</w:t>
      </w:r>
      <w:r w:rsidR="00E371CA">
        <w:rPr>
          <w:color w:val="000000"/>
          <w:sz w:val="22"/>
          <w:szCs w:val="22"/>
        </w:rPr>
        <w:t>ntil</w:t>
      </w:r>
      <w:r w:rsidR="00BA5064">
        <w:rPr>
          <w:color w:val="000000"/>
          <w:sz w:val="22"/>
          <w:szCs w:val="22"/>
        </w:rPr>
        <w:t xml:space="preserve"> after the first year of the</w:t>
      </w:r>
      <w:r w:rsidR="00960FD3">
        <w:rPr>
          <w:color w:val="000000"/>
          <w:sz w:val="22"/>
          <w:szCs w:val="22"/>
        </w:rPr>
        <w:t xml:space="preserve"> current authorization.</w:t>
      </w:r>
      <w:r w:rsidR="00960FD3">
        <w:rPr>
          <w:rStyle w:val="FootnoteReference"/>
          <w:color w:val="000000"/>
          <w:sz w:val="22"/>
          <w:szCs w:val="22"/>
        </w:rPr>
        <w:footnoteReference w:id="23"/>
      </w:r>
    </w:p>
    <w:p w14:paraId="0D874612" w14:textId="0330EFE8" w:rsidR="00BA5064" w:rsidRDefault="00C55731" w:rsidP="0024515F">
      <w:pPr>
        <w:spacing w:before="120"/>
        <w:ind w:right="-360"/>
        <w:rPr>
          <w:color w:val="000000"/>
          <w:sz w:val="22"/>
          <w:szCs w:val="22"/>
        </w:rPr>
      </w:pPr>
      <w:r>
        <w:rPr>
          <w:color w:val="000000"/>
          <w:sz w:val="22"/>
          <w:szCs w:val="22"/>
        </w:rPr>
        <w:tab/>
        <w:t xml:space="preserve">Regarding the claim that the </w:t>
      </w:r>
      <w:r w:rsidR="00BD3CA8">
        <w:rPr>
          <w:color w:val="000000"/>
          <w:sz w:val="22"/>
          <w:szCs w:val="22"/>
        </w:rPr>
        <w:t>KPVO</w:t>
      </w:r>
      <w:r>
        <w:rPr>
          <w:color w:val="000000"/>
          <w:sz w:val="22"/>
          <w:szCs w:val="22"/>
        </w:rPr>
        <w:t xml:space="preserve"> Modification Application is inconsistent or in conflict with the </w:t>
      </w:r>
      <w:r w:rsidR="00BD3CA8">
        <w:rPr>
          <w:color w:val="000000"/>
          <w:sz w:val="22"/>
          <w:szCs w:val="22"/>
        </w:rPr>
        <w:t>KPVO</w:t>
      </w:r>
      <w:r>
        <w:rPr>
          <w:color w:val="000000"/>
          <w:sz w:val="22"/>
          <w:szCs w:val="22"/>
        </w:rPr>
        <w:t xml:space="preserve"> License Application, </w:t>
      </w:r>
      <w:r w:rsidR="00C714D4">
        <w:rPr>
          <w:color w:val="000000"/>
          <w:sz w:val="22"/>
          <w:szCs w:val="22"/>
        </w:rPr>
        <w:t>Valleydale</w:t>
      </w:r>
      <w:r w:rsidR="006125B6">
        <w:rPr>
          <w:color w:val="000000"/>
          <w:sz w:val="22"/>
          <w:szCs w:val="22"/>
        </w:rPr>
        <w:t xml:space="preserve"> states</w:t>
      </w:r>
      <w:r w:rsidR="009962F7">
        <w:rPr>
          <w:color w:val="000000"/>
          <w:sz w:val="22"/>
          <w:szCs w:val="22"/>
        </w:rPr>
        <w:t xml:space="preserve"> that there is no case law</w:t>
      </w:r>
      <w:r w:rsidR="00C714D4">
        <w:rPr>
          <w:color w:val="000000"/>
          <w:sz w:val="22"/>
          <w:szCs w:val="22"/>
        </w:rPr>
        <w:t xml:space="preserve"> or administrative reason </w:t>
      </w:r>
      <w:r w:rsidR="009962F7">
        <w:rPr>
          <w:color w:val="000000"/>
          <w:sz w:val="22"/>
          <w:szCs w:val="22"/>
        </w:rPr>
        <w:t>preventing the</w:t>
      </w:r>
      <w:r w:rsidR="00C714D4">
        <w:rPr>
          <w:color w:val="000000"/>
          <w:sz w:val="22"/>
          <w:szCs w:val="22"/>
        </w:rPr>
        <w:t xml:space="preserve"> Bureau </w:t>
      </w:r>
      <w:r w:rsidR="009962F7">
        <w:rPr>
          <w:color w:val="000000"/>
          <w:sz w:val="22"/>
          <w:szCs w:val="22"/>
        </w:rPr>
        <w:t>from</w:t>
      </w:r>
      <w:r w:rsidR="00C714D4">
        <w:rPr>
          <w:color w:val="000000"/>
          <w:sz w:val="22"/>
          <w:szCs w:val="22"/>
        </w:rPr>
        <w:t xml:space="preserve"> </w:t>
      </w:r>
      <w:r w:rsidR="009962F7">
        <w:rPr>
          <w:color w:val="000000"/>
          <w:sz w:val="22"/>
          <w:szCs w:val="22"/>
        </w:rPr>
        <w:t>licensing</w:t>
      </w:r>
      <w:r w:rsidR="00C714D4">
        <w:rPr>
          <w:color w:val="000000"/>
          <w:sz w:val="22"/>
          <w:szCs w:val="22"/>
        </w:rPr>
        <w:t xml:space="preserve"> a</w:t>
      </w:r>
      <w:r w:rsidR="00C10ADC">
        <w:rPr>
          <w:color w:val="000000"/>
          <w:sz w:val="22"/>
          <w:szCs w:val="22"/>
        </w:rPr>
        <w:t xml:space="preserve"> granted</w:t>
      </w:r>
      <w:r w:rsidR="00C714D4">
        <w:rPr>
          <w:color w:val="000000"/>
          <w:sz w:val="22"/>
          <w:szCs w:val="22"/>
        </w:rPr>
        <w:t xml:space="preserve"> construction permit at the same time </w:t>
      </w:r>
      <w:r w:rsidR="009962F7">
        <w:rPr>
          <w:color w:val="000000"/>
          <w:sz w:val="22"/>
          <w:szCs w:val="22"/>
        </w:rPr>
        <w:t>that it</w:t>
      </w:r>
      <w:r w:rsidR="00C714D4">
        <w:rPr>
          <w:color w:val="000000"/>
          <w:sz w:val="22"/>
          <w:szCs w:val="22"/>
        </w:rPr>
        <w:t xml:space="preserve"> process</w:t>
      </w:r>
      <w:r w:rsidR="009962F7">
        <w:rPr>
          <w:color w:val="000000"/>
          <w:sz w:val="22"/>
          <w:szCs w:val="22"/>
        </w:rPr>
        <w:t>es</w:t>
      </w:r>
      <w:r w:rsidR="00C714D4">
        <w:rPr>
          <w:color w:val="000000"/>
          <w:sz w:val="22"/>
          <w:szCs w:val="22"/>
        </w:rPr>
        <w:t xml:space="preserve"> a mod</w:t>
      </w:r>
      <w:r w:rsidR="00B77C91">
        <w:rPr>
          <w:color w:val="000000"/>
          <w:sz w:val="22"/>
          <w:szCs w:val="22"/>
        </w:rPr>
        <w:t xml:space="preserve">ification application for a new </w:t>
      </w:r>
      <w:r w:rsidR="00C714D4">
        <w:rPr>
          <w:color w:val="000000"/>
          <w:sz w:val="22"/>
          <w:szCs w:val="22"/>
        </w:rPr>
        <w:t>construction permit</w:t>
      </w:r>
      <w:r w:rsidR="00DE039D">
        <w:rPr>
          <w:color w:val="000000"/>
          <w:sz w:val="22"/>
          <w:szCs w:val="22"/>
        </w:rPr>
        <w:t xml:space="preserve"> from the same applicant</w:t>
      </w:r>
      <w:r w:rsidR="00C10ADC">
        <w:rPr>
          <w:color w:val="000000"/>
          <w:sz w:val="22"/>
          <w:szCs w:val="22"/>
        </w:rPr>
        <w:t xml:space="preserve"> for the same facilities</w:t>
      </w:r>
      <w:r w:rsidR="00C714D4">
        <w:rPr>
          <w:color w:val="000000"/>
          <w:sz w:val="22"/>
          <w:szCs w:val="22"/>
        </w:rPr>
        <w:t>.</w:t>
      </w:r>
      <w:r w:rsidR="00C714D4">
        <w:rPr>
          <w:rStyle w:val="FootnoteReference"/>
          <w:color w:val="000000"/>
          <w:sz w:val="22"/>
          <w:szCs w:val="22"/>
        </w:rPr>
        <w:footnoteReference w:id="24"/>
      </w:r>
      <w:r w:rsidR="00C714D4">
        <w:rPr>
          <w:color w:val="000000"/>
          <w:sz w:val="22"/>
          <w:szCs w:val="22"/>
        </w:rPr>
        <w:t xml:space="preserve">  Valleydale asserts that there are “hundreds, perhaps more than a thousand” instances where </w:t>
      </w:r>
      <w:r w:rsidR="00B77C91">
        <w:rPr>
          <w:color w:val="000000"/>
          <w:sz w:val="22"/>
          <w:szCs w:val="22"/>
        </w:rPr>
        <w:t>such overlapping applications have</w:t>
      </w:r>
      <w:r w:rsidR="00C714D4">
        <w:rPr>
          <w:color w:val="000000"/>
          <w:sz w:val="22"/>
          <w:szCs w:val="22"/>
        </w:rPr>
        <w:t xml:space="preserve"> been routinely </w:t>
      </w:r>
      <w:r w:rsidR="00B77C91">
        <w:rPr>
          <w:color w:val="000000"/>
          <w:sz w:val="22"/>
          <w:szCs w:val="22"/>
        </w:rPr>
        <w:t>processed</w:t>
      </w:r>
      <w:r w:rsidR="00314FCD">
        <w:rPr>
          <w:color w:val="000000"/>
          <w:sz w:val="22"/>
          <w:szCs w:val="22"/>
        </w:rPr>
        <w:t>.</w:t>
      </w:r>
      <w:r w:rsidR="00314FCD">
        <w:rPr>
          <w:rStyle w:val="FootnoteReference"/>
          <w:color w:val="000000"/>
          <w:sz w:val="22"/>
          <w:szCs w:val="22"/>
        </w:rPr>
        <w:footnoteReference w:id="25"/>
      </w:r>
      <w:r w:rsidR="00314FCD">
        <w:rPr>
          <w:color w:val="000000"/>
          <w:sz w:val="22"/>
          <w:szCs w:val="22"/>
        </w:rPr>
        <w:t xml:space="preserve">  Valleydale points out that AJB itself filed simila</w:t>
      </w:r>
      <w:r w:rsidR="00FD681C">
        <w:rPr>
          <w:color w:val="000000"/>
          <w:sz w:val="22"/>
          <w:szCs w:val="22"/>
        </w:rPr>
        <w:t>rly “inconsistent” applications</w:t>
      </w:r>
      <w:r w:rsidR="00BA5064">
        <w:rPr>
          <w:color w:val="000000"/>
          <w:sz w:val="22"/>
          <w:szCs w:val="22"/>
        </w:rPr>
        <w:t xml:space="preserve"> </w:t>
      </w:r>
      <w:r w:rsidR="00314FCD">
        <w:rPr>
          <w:color w:val="000000"/>
          <w:sz w:val="22"/>
          <w:szCs w:val="22"/>
        </w:rPr>
        <w:t xml:space="preserve">when it filed the KWSA </w:t>
      </w:r>
      <w:r w:rsidR="00FD681C">
        <w:rPr>
          <w:color w:val="000000"/>
          <w:sz w:val="22"/>
          <w:szCs w:val="22"/>
        </w:rPr>
        <w:t xml:space="preserve">Reinstatement </w:t>
      </w:r>
      <w:r w:rsidR="00314FCD">
        <w:rPr>
          <w:color w:val="000000"/>
          <w:sz w:val="22"/>
          <w:szCs w:val="22"/>
        </w:rPr>
        <w:t>License Application and KWSA Modification Application</w:t>
      </w:r>
      <w:r w:rsidR="00BA5064">
        <w:rPr>
          <w:color w:val="000000"/>
          <w:sz w:val="22"/>
          <w:szCs w:val="22"/>
        </w:rPr>
        <w:t xml:space="preserve"> on the same day</w:t>
      </w:r>
      <w:r w:rsidR="00B77C91">
        <w:rPr>
          <w:color w:val="000000"/>
          <w:sz w:val="22"/>
          <w:szCs w:val="22"/>
        </w:rPr>
        <w:t>.</w:t>
      </w:r>
      <w:r w:rsidR="00FD681C">
        <w:rPr>
          <w:rStyle w:val="FootnoteReference"/>
          <w:color w:val="000000"/>
          <w:sz w:val="22"/>
          <w:szCs w:val="22"/>
        </w:rPr>
        <w:footnoteReference w:id="26"/>
      </w:r>
      <w:r w:rsidR="00B77C91">
        <w:rPr>
          <w:color w:val="000000"/>
          <w:sz w:val="22"/>
          <w:szCs w:val="22"/>
        </w:rPr>
        <w:t xml:space="preserve"> </w:t>
      </w:r>
      <w:r w:rsidR="00BA5064">
        <w:rPr>
          <w:color w:val="000000"/>
          <w:sz w:val="22"/>
          <w:szCs w:val="22"/>
        </w:rPr>
        <w:t xml:space="preserve"> </w:t>
      </w:r>
      <w:r w:rsidR="00E10561">
        <w:rPr>
          <w:color w:val="000000"/>
          <w:sz w:val="22"/>
          <w:szCs w:val="22"/>
        </w:rPr>
        <w:t xml:space="preserve">Furthermore, </w:t>
      </w:r>
      <w:r w:rsidR="00BA5064">
        <w:rPr>
          <w:color w:val="000000"/>
          <w:sz w:val="22"/>
          <w:szCs w:val="22"/>
        </w:rPr>
        <w:t xml:space="preserve">Valleydale contends that as a prior-filed application, there is no reason for the KPVO Modification Application to “accommodate” the later-filed KWSA Application.  Finally, Valleydale reiterates its willingness, under </w:t>
      </w:r>
      <w:r w:rsidR="00BA5064">
        <w:rPr>
          <w:i/>
          <w:color w:val="000000"/>
          <w:sz w:val="22"/>
          <w:szCs w:val="22"/>
        </w:rPr>
        <w:t>Circleville</w:t>
      </w:r>
      <w:r w:rsidR="00BA5064">
        <w:rPr>
          <w:color w:val="000000"/>
          <w:sz w:val="22"/>
          <w:szCs w:val="22"/>
        </w:rPr>
        <w:t xml:space="preserve">, to reimburse AJB for its expenses </w:t>
      </w:r>
      <w:r w:rsidR="00397B83">
        <w:rPr>
          <w:color w:val="000000"/>
          <w:sz w:val="22"/>
          <w:szCs w:val="22"/>
        </w:rPr>
        <w:t>involved in the</w:t>
      </w:r>
      <w:r w:rsidR="00FD681C">
        <w:rPr>
          <w:color w:val="000000"/>
          <w:sz w:val="22"/>
          <w:szCs w:val="22"/>
        </w:rPr>
        <w:t xml:space="preserve"> proposed</w:t>
      </w:r>
      <w:r w:rsidR="00397B83">
        <w:rPr>
          <w:color w:val="000000"/>
          <w:sz w:val="22"/>
          <w:szCs w:val="22"/>
        </w:rPr>
        <w:t xml:space="preserve"> channel change.</w:t>
      </w:r>
      <w:r w:rsidR="00BA5064">
        <w:rPr>
          <w:rStyle w:val="FootnoteReference"/>
          <w:color w:val="000000"/>
          <w:sz w:val="22"/>
          <w:szCs w:val="22"/>
        </w:rPr>
        <w:footnoteReference w:id="27"/>
      </w:r>
    </w:p>
    <w:p w14:paraId="1997D90A" w14:textId="77777777" w:rsidR="00C15D0B" w:rsidRDefault="00983C40" w:rsidP="009962F7">
      <w:pPr>
        <w:spacing w:before="120"/>
        <w:ind w:firstLine="720"/>
        <w:rPr>
          <w:color w:val="000000"/>
          <w:sz w:val="22"/>
          <w:szCs w:val="22"/>
        </w:rPr>
      </w:pPr>
      <w:r w:rsidRPr="0024515F">
        <w:rPr>
          <w:b/>
          <w:color w:val="000000"/>
          <w:sz w:val="22"/>
          <w:szCs w:val="22"/>
        </w:rPr>
        <w:t xml:space="preserve">Discussion.  </w:t>
      </w:r>
      <w:r>
        <w:rPr>
          <w:color w:val="000000"/>
          <w:sz w:val="22"/>
          <w:szCs w:val="22"/>
        </w:rPr>
        <w:t>AJB</w:t>
      </w:r>
      <w:r w:rsidRPr="0024515F">
        <w:rPr>
          <w:color w:val="000000"/>
          <w:sz w:val="22"/>
          <w:szCs w:val="22"/>
        </w:rPr>
        <w:t xml:space="preserve"> fail</w:t>
      </w:r>
      <w:r>
        <w:rPr>
          <w:color w:val="000000"/>
          <w:sz w:val="22"/>
          <w:szCs w:val="22"/>
        </w:rPr>
        <w:t>s</w:t>
      </w:r>
      <w:r w:rsidRPr="0024515F">
        <w:rPr>
          <w:color w:val="000000"/>
          <w:sz w:val="22"/>
          <w:szCs w:val="22"/>
        </w:rPr>
        <w:t xml:space="preserve"> to raise any substantial o</w:t>
      </w:r>
      <w:r>
        <w:rPr>
          <w:color w:val="000000"/>
          <w:sz w:val="22"/>
          <w:szCs w:val="22"/>
        </w:rPr>
        <w:t>r material question of fact why</w:t>
      </w:r>
      <w:r w:rsidRPr="0024515F">
        <w:rPr>
          <w:color w:val="000000"/>
          <w:sz w:val="22"/>
          <w:szCs w:val="22"/>
        </w:rPr>
        <w:t xml:space="preserve"> the </w:t>
      </w:r>
      <w:r w:rsidR="00BD3CA8">
        <w:rPr>
          <w:color w:val="000000"/>
          <w:sz w:val="22"/>
          <w:szCs w:val="22"/>
        </w:rPr>
        <w:t>KPVO</w:t>
      </w:r>
      <w:r>
        <w:rPr>
          <w:color w:val="000000"/>
          <w:sz w:val="22"/>
          <w:szCs w:val="22"/>
        </w:rPr>
        <w:t xml:space="preserve"> Modification </w:t>
      </w:r>
      <w:r w:rsidRPr="0024515F">
        <w:rPr>
          <w:color w:val="000000"/>
          <w:sz w:val="22"/>
          <w:szCs w:val="22"/>
        </w:rPr>
        <w:t>Application should not be granted</w:t>
      </w:r>
      <w:r w:rsidR="00350209">
        <w:rPr>
          <w:color w:val="000000"/>
          <w:sz w:val="22"/>
          <w:szCs w:val="22"/>
        </w:rPr>
        <w:t xml:space="preserve">.  We discuss each issue raised by AJB separately below. </w:t>
      </w:r>
      <w:r>
        <w:rPr>
          <w:color w:val="000000"/>
          <w:sz w:val="22"/>
          <w:szCs w:val="22"/>
        </w:rPr>
        <w:t xml:space="preserve"> </w:t>
      </w:r>
    </w:p>
    <w:p w14:paraId="716E0675" w14:textId="6BA9D10D" w:rsidR="009962F7" w:rsidRDefault="00C15D0B" w:rsidP="007140A6">
      <w:pPr>
        <w:spacing w:before="120"/>
        <w:ind w:firstLine="720"/>
        <w:rPr>
          <w:color w:val="000000"/>
          <w:sz w:val="22"/>
          <w:szCs w:val="22"/>
        </w:rPr>
      </w:pPr>
      <w:r>
        <w:rPr>
          <w:i/>
          <w:color w:val="000000"/>
          <w:sz w:val="22"/>
          <w:szCs w:val="22"/>
        </w:rPr>
        <w:t xml:space="preserve">Condition #2.  </w:t>
      </w:r>
      <w:r w:rsidR="006B22B4">
        <w:rPr>
          <w:color w:val="000000"/>
          <w:sz w:val="22"/>
          <w:szCs w:val="22"/>
        </w:rPr>
        <w:t>Condition #2</w:t>
      </w:r>
      <w:r w:rsidR="006A318A">
        <w:rPr>
          <w:color w:val="000000"/>
          <w:sz w:val="22"/>
          <w:szCs w:val="22"/>
        </w:rPr>
        <w:t xml:space="preserve"> </w:t>
      </w:r>
      <w:r w:rsidR="004A18C2">
        <w:rPr>
          <w:color w:val="000000"/>
          <w:sz w:val="22"/>
          <w:szCs w:val="22"/>
        </w:rPr>
        <w:t xml:space="preserve">requires </w:t>
      </w:r>
      <w:r w:rsidR="006F4DA3">
        <w:rPr>
          <w:color w:val="000000"/>
          <w:sz w:val="22"/>
          <w:szCs w:val="22"/>
        </w:rPr>
        <w:t>“</w:t>
      </w:r>
      <w:r w:rsidR="004A18C2">
        <w:rPr>
          <w:color w:val="000000"/>
          <w:sz w:val="22"/>
          <w:szCs w:val="22"/>
        </w:rPr>
        <w:t xml:space="preserve">continuous operation </w:t>
      </w:r>
      <w:r w:rsidR="006B22B4">
        <w:rPr>
          <w:color w:val="000000"/>
          <w:sz w:val="22"/>
          <w:szCs w:val="22"/>
        </w:rPr>
        <w:t>of</w:t>
      </w:r>
      <w:r w:rsidR="004A18C2">
        <w:rPr>
          <w:color w:val="000000"/>
          <w:sz w:val="22"/>
          <w:szCs w:val="22"/>
        </w:rPr>
        <w:t xml:space="preserve"> the licensed facilit</w:t>
      </w:r>
      <w:r w:rsidR="006B22B4">
        <w:rPr>
          <w:color w:val="000000"/>
          <w:sz w:val="22"/>
          <w:szCs w:val="22"/>
        </w:rPr>
        <w:t>y</w:t>
      </w:r>
      <w:r w:rsidR="004A18C2">
        <w:rPr>
          <w:color w:val="000000"/>
          <w:sz w:val="22"/>
          <w:szCs w:val="22"/>
        </w:rPr>
        <w:t xml:space="preserve"> for </w:t>
      </w:r>
      <w:r w:rsidR="006F4DA3">
        <w:rPr>
          <w:color w:val="000000"/>
          <w:sz w:val="22"/>
          <w:szCs w:val="22"/>
        </w:rPr>
        <w:t xml:space="preserve">the twelve month period </w:t>
      </w:r>
      <w:r w:rsidR="005A244F">
        <w:rPr>
          <w:color w:val="000000"/>
          <w:sz w:val="22"/>
          <w:szCs w:val="22"/>
        </w:rPr>
        <w:t>following</w:t>
      </w:r>
      <w:r w:rsidR="006A318A">
        <w:rPr>
          <w:color w:val="000000"/>
          <w:sz w:val="22"/>
          <w:szCs w:val="22"/>
        </w:rPr>
        <w:t xml:space="preserve"> </w:t>
      </w:r>
      <w:r w:rsidR="000D2C29">
        <w:rPr>
          <w:color w:val="000000"/>
          <w:sz w:val="22"/>
          <w:szCs w:val="22"/>
        </w:rPr>
        <w:t>grant</w:t>
      </w:r>
      <w:r w:rsidR="005A244F">
        <w:rPr>
          <w:color w:val="000000"/>
          <w:sz w:val="22"/>
          <w:szCs w:val="22"/>
        </w:rPr>
        <w:t>.</w:t>
      </w:r>
      <w:r w:rsidR="006F4DA3">
        <w:rPr>
          <w:color w:val="000000"/>
          <w:sz w:val="22"/>
          <w:szCs w:val="22"/>
        </w:rPr>
        <w:t xml:space="preserve">  The failure of the facility to operate will result in the rescission of this grant . . . unless the licensee rebuts the presumption that the authorized facilities were temporarily constructed.”</w:t>
      </w:r>
      <w:r w:rsidR="005A244F">
        <w:rPr>
          <w:color w:val="000000"/>
          <w:sz w:val="22"/>
          <w:szCs w:val="22"/>
        </w:rPr>
        <w:t xml:space="preserve"> </w:t>
      </w:r>
      <w:r w:rsidR="006A318A">
        <w:rPr>
          <w:color w:val="000000"/>
          <w:sz w:val="22"/>
          <w:szCs w:val="22"/>
        </w:rPr>
        <w:t xml:space="preserve"> </w:t>
      </w:r>
      <w:r w:rsidR="003349AF">
        <w:rPr>
          <w:color w:val="000000"/>
          <w:sz w:val="22"/>
          <w:szCs w:val="22"/>
        </w:rPr>
        <w:t xml:space="preserve">In this case, Valleydale states that </w:t>
      </w:r>
      <w:r w:rsidR="00711209">
        <w:rPr>
          <w:color w:val="000000"/>
          <w:sz w:val="22"/>
          <w:szCs w:val="22"/>
        </w:rPr>
        <w:t>KPVO currently continues to operate with its authorized facilities</w:t>
      </w:r>
      <w:r w:rsidR="003349AF">
        <w:rPr>
          <w:color w:val="000000"/>
          <w:sz w:val="22"/>
          <w:szCs w:val="22"/>
        </w:rPr>
        <w:t xml:space="preserve">, so there is no </w:t>
      </w:r>
      <w:r w:rsidR="00711209">
        <w:rPr>
          <w:color w:val="000000"/>
          <w:sz w:val="22"/>
          <w:szCs w:val="22"/>
        </w:rPr>
        <w:t>“failure to operate” and thus no nee</w:t>
      </w:r>
      <w:r w:rsidR="003349AF">
        <w:rPr>
          <w:color w:val="000000"/>
          <w:sz w:val="22"/>
          <w:szCs w:val="22"/>
        </w:rPr>
        <w:t xml:space="preserve">d to rebut the presumption.  </w:t>
      </w:r>
      <w:r w:rsidR="00B50669">
        <w:rPr>
          <w:color w:val="000000"/>
          <w:sz w:val="22"/>
          <w:szCs w:val="22"/>
        </w:rPr>
        <w:t>AJB does not cite any cases supporting its interpretation that the mere filing of a modification application violates the condition and renders the modification application unacceptable when filed</w:t>
      </w:r>
      <w:r w:rsidR="007140A6">
        <w:rPr>
          <w:color w:val="000000"/>
          <w:sz w:val="22"/>
          <w:szCs w:val="22"/>
        </w:rPr>
        <w:t>, and we</w:t>
      </w:r>
      <w:r w:rsidR="00711209">
        <w:rPr>
          <w:color w:val="000000"/>
          <w:sz w:val="22"/>
          <w:szCs w:val="22"/>
        </w:rPr>
        <w:t xml:space="preserve"> agree with Valleydale that </w:t>
      </w:r>
      <w:r w:rsidR="000960C4">
        <w:rPr>
          <w:color w:val="000000"/>
          <w:sz w:val="22"/>
          <w:szCs w:val="22"/>
        </w:rPr>
        <w:t xml:space="preserve">simply </w:t>
      </w:r>
      <w:r w:rsidR="00711209">
        <w:rPr>
          <w:color w:val="000000"/>
          <w:sz w:val="22"/>
          <w:szCs w:val="22"/>
        </w:rPr>
        <w:t xml:space="preserve">filing </w:t>
      </w:r>
      <w:r w:rsidR="007140A6">
        <w:rPr>
          <w:color w:val="000000"/>
          <w:sz w:val="22"/>
          <w:szCs w:val="22"/>
        </w:rPr>
        <w:t>such</w:t>
      </w:r>
      <w:r w:rsidR="00711209">
        <w:rPr>
          <w:color w:val="000000"/>
          <w:sz w:val="22"/>
          <w:szCs w:val="22"/>
        </w:rPr>
        <w:t xml:space="preserve"> an </w:t>
      </w:r>
      <w:r w:rsidR="005A244F">
        <w:rPr>
          <w:color w:val="000000"/>
          <w:sz w:val="22"/>
          <w:szCs w:val="22"/>
        </w:rPr>
        <w:t>application</w:t>
      </w:r>
      <w:r w:rsidR="00711209">
        <w:rPr>
          <w:color w:val="000000"/>
          <w:sz w:val="22"/>
          <w:szCs w:val="22"/>
        </w:rPr>
        <w:t xml:space="preserve"> does not violate</w:t>
      </w:r>
      <w:r w:rsidR="005A244F">
        <w:rPr>
          <w:color w:val="000000"/>
          <w:sz w:val="22"/>
          <w:szCs w:val="22"/>
        </w:rPr>
        <w:t xml:space="preserve"> Condition #2</w:t>
      </w:r>
      <w:r w:rsidR="00711209">
        <w:rPr>
          <w:color w:val="000000"/>
          <w:sz w:val="22"/>
          <w:szCs w:val="22"/>
        </w:rPr>
        <w:t xml:space="preserve">.  </w:t>
      </w:r>
      <w:r w:rsidR="007140A6">
        <w:rPr>
          <w:color w:val="000000"/>
          <w:sz w:val="22"/>
          <w:szCs w:val="22"/>
        </w:rPr>
        <w:t>The fact that Valleydale merely seeks a permit to improve its facilities in the future is not inconsistent with it remaining on the air with its currently licensed facilities for at least the first twelve month period following the grant of the license</w:t>
      </w:r>
      <w:r w:rsidR="00EB13BE">
        <w:rPr>
          <w:color w:val="000000"/>
          <w:sz w:val="22"/>
          <w:szCs w:val="22"/>
        </w:rPr>
        <w:t>.</w:t>
      </w:r>
      <w:r w:rsidR="007140A6">
        <w:rPr>
          <w:color w:val="000000"/>
          <w:sz w:val="22"/>
          <w:szCs w:val="22"/>
        </w:rPr>
        <w:t xml:space="preserve">  A construction permit provides three years to complete construction, so Valleydale could still operate at its licensed facilities for one year</w:t>
      </w:r>
      <w:r w:rsidR="000960C4">
        <w:rPr>
          <w:color w:val="000000"/>
          <w:sz w:val="22"/>
          <w:szCs w:val="22"/>
        </w:rPr>
        <w:t xml:space="preserve"> following its initial authorization</w:t>
      </w:r>
      <w:r w:rsidR="007140A6">
        <w:rPr>
          <w:color w:val="000000"/>
          <w:sz w:val="22"/>
          <w:szCs w:val="22"/>
        </w:rPr>
        <w:t xml:space="preserve"> before commencing licensed operation from the modified facilities.  Finally</w:t>
      </w:r>
      <w:r w:rsidR="00237773">
        <w:rPr>
          <w:color w:val="000000"/>
          <w:sz w:val="22"/>
          <w:szCs w:val="22"/>
        </w:rPr>
        <w:t>, if Valle</w:t>
      </w:r>
      <w:r w:rsidR="004A18C2">
        <w:rPr>
          <w:color w:val="000000"/>
          <w:sz w:val="22"/>
          <w:szCs w:val="22"/>
        </w:rPr>
        <w:t>ydale desires</w:t>
      </w:r>
      <w:r w:rsidR="00FD51CC">
        <w:rPr>
          <w:color w:val="000000"/>
          <w:sz w:val="22"/>
          <w:szCs w:val="22"/>
        </w:rPr>
        <w:t xml:space="preserve"> to </w:t>
      </w:r>
      <w:r w:rsidR="00764EEA">
        <w:rPr>
          <w:color w:val="000000"/>
          <w:sz w:val="22"/>
          <w:szCs w:val="22"/>
        </w:rPr>
        <w:t xml:space="preserve">license the modified facilities and cease operation </w:t>
      </w:r>
      <w:r w:rsidR="00350209">
        <w:rPr>
          <w:color w:val="000000"/>
          <w:sz w:val="22"/>
          <w:szCs w:val="22"/>
        </w:rPr>
        <w:t>from</w:t>
      </w:r>
      <w:r w:rsidR="00764EEA">
        <w:rPr>
          <w:color w:val="000000"/>
          <w:sz w:val="22"/>
          <w:szCs w:val="22"/>
        </w:rPr>
        <w:t xml:space="preserve"> the currently licensed facilities</w:t>
      </w:r>
      <w:r w:rsidR="00237773">
        <w:rPr>
          <w:color w:val="000000"/>
          <w:sz w:val="22"/>
          <w:szCs w:val="22"/>
        </w:rPr>
        <w:t xml:space="preserve"> b</w:t>
      </w:r>
      <w:r w:rsidR="00FD51CC">
        <w:rPr>
          <w:color w:val="000000"/>
          <w:sz w:val="22"/>
          <w:szCs w:val="22"/>
        </w:rPr>
        <w:t xml:space="preserve">efore </w:t>
      </w:r>
      <w:r w:rsidR="00764EEA">
        <w:rPr>
          <w:color w:val="000000"/>
          <w:sz w:val="22"/>
          <w:szCs w:val="22"/>
        </w:rPr>
        <w:t xml:space="preserve">the one year is over (on </w:t>
      </w:r>
      <w:r w:rsidR="00806C56">
        <w:rPr>
          <w:color w:val="000000"/>
          <w:sz w:val="22"/>
          <w:szCs w:val="22"/>
        </w:rPr>
        <w:t>August</w:t>
      </w:r>
      <w:r w:rsidR="00FE4DEF">
        <w:rPr>
          <w:color w:val="000000"/>
          <w:sz w:val="22"/>
          <w:szCs w:val="22"/>
        </w:rPr>
        <w:t xml:space="preserve"> 2</w:t>
      </w:r>
      <w:r w:rsidR="00FD51CC">
        <w:rPr>
          <w:color w:val="000000"/>
          <w:sz w:val="22"/>
          <w:szCs w:val="22"/>
        </w:rPr>
        <w:t>8, 2016</w:t>
      </w:r>
      <w:r w:rsidR="00764EEA">
        <w:rPr>
          <w:color w:val="000000"/>
          <w:sz w:val="22"/>
          <w:szCs w:val="22"/>
        </w:rPr>
        <w:t>)</w:t>
      </w:r>
      <w:r w:rsidR="00FD51CC">
        <w:rPr>
          <w:color w:val="000000"/>
          <w:sz w:val="22"/>
          <w:szCs w:val="22"/>
        </w:rPr>
        <w:t>, Condition #2 provides</w:t>
      </w:r>
      <w:r w:rsidR="000A26BB">
        <w:rPr>
          <w:color w:val="000000"/>
          <w:sz w:val="22"/>
          <w:szCs w:val="22"/>
        </w:rPr>
        <w:t xml:space="preserve"> </w:t>
      </w:r>
      <w:r w:rsidR="00237773">
        <w:rPr>
          <w:color w:val="000000"/>
          <w:sz w:val="22"/>
          <w:szCs w:val="22"/>
        </w:rPr>
        <w:t xml:space="preserve"> the option of </w:t>
      </w:r>
      <w:r w:rsidR="00FD51CC">
        <w:rPr>
          <w:color w:val="000000"/>
          <w:sz w:val="22"/>
          <w:szCs w:val="22"/>
        </w:rPr>
        <w:t>re</w:t>
      </w:r>
      <w:r w:rsidR="00BC62DC">
        <w:rPr>
          <w:color w:val="000000"/>
          <w:sz w:val="22"/>
          <w:szCs w:val="22"/>
        </w:rPr>
        <w:t>butting the presumption that the</w:t>
      </w:r>
      <w:r w:rsidR="00FD51CC">
        <w:rPr>
          <w:color w:val="000000"/>
          <w:sz w:val="22"/>
          <w:szCs w:val="22"/>
        </w:rPr>
        <w:t xml:space="preserve"> current</w:t>
      </w:r>
      <w:r w:rsidR="00BC62DC">
        <w:rPr>
          <w:color w:val="000000"/>
          <w:sz w:val="22"/>
          <w:szCs w:val="22"/>
        </w:rPr>
        <w:t xml:space="preserve"> </w:t>
      </w:r>
      <w:r w:rsidR="00BD3CA8">
        <w:rPr>
          <w:color w:val="000000"/>
          <w:sz w:val="22"/>
          <w:szCs w:val="22"/>
        </w:rPr>
        <w:t>KPVO</w:t>
      </w:r>
      <w:r w:rsidR="00FD51CC">
        <w:rPr>
          <w:color w:val="000000"/>
          <w:sz w:val="22"/>
          <w:szCs w:val="22"/>
        </w:rPr>
        <w:t xml:space="preserve"> facilities were temporarily constructed.</w:t>
      </w:r>
    </w:p>
    <w:p w14:paraId="24FAAEB1" w14:textId="77777777" w:rsidR="00567CDC" w:rsidRDefault="00567CDC" w:rsidP="009962F7">
      <w:pPr>
        <w:spacing w:before="120"/>
        <w:ind w:firstLine="720"/>
        <w:rPr>
          <w:color w:val="000000"/>
          <w:sz w:val="22"/>
          <w:szCs w:val="22"/>
        </w:rPr>
      </w:pPr>
      <w:r>
        <w:rPr>
          <w:i/>
          <w:color w:val="000000"/>
          <w:sz w:val="22"/>
          <w:szCs w:val="22"/>
        </w:rPr>
        <w:t>“Inconsistent and conflicting”</w:t>
      </w:r>
      <w:r w:rsidR="00C15D0B">
        <w:rPr>
          <w:i/>
          <w:color w:val="000000"/>
          <w:sz w:val="22"/>
          <w:szCs w:val="22"/>
        </w:rPr>
        <w:t xml:space="preserve"> applications.  </w:t>
      </w:r>
      <w:r w:rsidR="00A21A76">
        <w:rPr>
          <w:color w:val="000000"/>
          <w:sz w:val="22"/>
          <w:szCs w:val="22"/>
        </w:rPr>
        <w:t xml:space="preserve">We </w:t>
      </w:r>
      <w:r w:rsidR="007E3BEB">
        <w:rPr>
          <w:color w:val="000000"/>
          <w:sz w:val="22"/>
          <w:szCs w:val="22"/>
        </w:rPr>
        <w:t xml:space="preserve">also </w:t>
      </w:r>
      <w:r w:rsidR="00A21A76">
        <w:rPr>
          <w:color w:val="000000"/>
          <w:sz w:val="22"/>
          <w:szCs w:val="22"/>
        </w:rPr>
        <w:t xml:space="preserve">agree with Valleydale that </w:t>
      </w:r>
      <w:r w:rsidR="00397B83">
        <w:rPr>
          <w:color w:val="000000"/>
          <w:sz w:val="22"/>
          <w:szCs w:val="22"/>
        </w:rPr>
        <w:t>Section 73.3518</w:t>
      </w:r>
      <w:r w:rsidR="00AF01A8">
        <w:rPr>
          <w:color w:val="000000"/>
          <w:sz w:val="22"/>
          <w:szCs w:val="22"/>
        </w:rPr>
        <w:t xml:space="preserve"> </w:t>
      </w:r>
      <w:r w:rsidR="00350209">
        <w:rPr>
          <w:color w:val="000000"/>
          <w:sz w:val="22"/>
          <w:szCs w:val="22"/>
        </w:rPr>
        <w:t xml:space="preserve">of the Rules </w:t>
      </w:r>
      <w:r w:rsidR="00AF01A8">
        <w:rPr>
          <w:color w:val="000000"/>
          <w:sz w:val="22"/>
          <w:szCs w:val="22"/>
        </w:rPr>
        <w:t xml:space="preserve">does not prevent an applicant from </w:t>
      </w:r>
      <w:r w:rsidR="003C7843">
        <w:rPr>
          <w:color w:val="000000"/>
          <w:sz w:val="22"/>
          <w:szCs w:val="22"/>
        </w:rPr>
        <w:t>filing an application for a license to cover an existing permit at the s</w:t>
      </w:r>
      <w:r w:rsidR="00AF01A8">
        <w:rPr>
          <w:color w:val="000000"/>
          <w:sz w:val="22"/>
          <w:szCs w:val="22"/>
        </w:rPr>
        <w:t>ame time that it</w:t>
      </w:r>
      <w:r w:rsidR="003C7843">
        <w:rPr>
          <w:color w:val="000000"/>
          <w:sz w:val="22"/>
          <w:szCs w:val="22"/>
        </w:rPr>
        <w:t xml:space="preserve"> seeks permission to modify those facilities in the future, and that such </w:t>
      </w:r>
      <w:r w:rsidR="00397B83">
        <w:rPr>
          <w:color w:val="000000"/>
          <w:sz w:val="22"/>
          <w:szCs w:val="22"/>
        </w:rPr>
        <w:t>concurrent</w:t>
      </w:r>
      <w:r w:rsidR="006B22B4">
        <w:rPr>
          <w:color w:val="000000"/>
          <w:sz w:val="22"/>
          <w:szCs w:val="22"/>
        </w:rPr>
        <w:t>ly pending</w:t>
      </w:r>
      <w:r w:rsidR="00397B83">
        <w:rPr>
          <w:color w:val="000000"/>
          <w:sz w:val="22"/>
          <w:szCs w:val="22"/>
        </w:rPr>
        <w:t xml:space="preserve"> </w:t>
      </w:r>
      <w:r w:rsidR="003C7843">
        <w:rPr>
          <w:color w:val="000000"/>
          <w:sz w:val="22"/>
          <w:szCs w:val="22"/>
        </w:rPr>
        <w:t>applications are routinely processed.</w:t>
      </w:r>
      <w:r w:rsidR="00BC62DC">
        <w:rPr>
          <w:rStyle w:val="FootnoteReference"/>
          <w:color w:val="000000"/>
          <w:sz w:val="22"/>
          <w:szCs w:val="22"/>
        </w:rPr>
        <w:footnoteReference w:id="28"/>
      </w:r>
      <w:r w:rsidR="003C7843">
        <w:rPr>
          <w:color w:val="000000"/>
          <w:sz w:val="22"/>
          <w:szCs w:val="22"/>
        </w:rPr>
        <w:t xml:space="preserve">  The cases AJB cites in s</w:t>
      </w:r>
      <w:r w:rsidR="00397B83">
        <w:rPr>
          <w:color w:val="000000"/>
          <w:sz w:val="22"/>
          <w:szCs w:val="22"/>
        </w:rPr>
        <w:t>upport of its</w:t>
      </w:r>
      <w:r w:rsidR="003C7843">
        <w:rPr>
          <w:color w:val="000000"/>
          <w:sz w:val="22"/>
          <w:szCs w:val="22"/>
        </w:rPr>
        <w:t xml:space="preserve"> argum</w:t>
      </w:r>
      <w:r w:rsidR="00350209">
        <w:rPr>
          <w:color w:val="000000"/>
          <w:sz w:val="22"/>
          <w:szCs w:val="22"/>
        </w:rPr>
        <w:t xml:space="preserve">ent are inapposite, as they </w:t>
      </w:r>
      <w:r>
        <w:rPr>
          <w:color w:val="000000"/>
          <w:sz w:val="22"/>
          <w:szCs w:val="22"/>
        </w:rPr>
        <w:t>concern situations where it was</w:t>
      </w:r>
      <w:r w:rsidR="00350209">
        <w:rPr>
          <w:color w:val="000000"/>
          <w:sz w:val="22"/>
          <w:szCs w:val="22"/>
        </w:rPr>
        <w:t xml:space="preserve"> impossible to grant both applications</w:t>
      </w:r>
      <w:r>
        <w:rPr>
          <w:color w:val="000000"/>
          <w:sz w:val="22"/>
          <w:szCs w:val="22"/>
        </w:rPr>
        <w:t xml:space="preserve"> in question</w:t>
      </w:r>
      <w:r w:rsidR="00350209">
        <w:rPr>
          <w:color w:val="000000"/>
          <w:sz w:val="22"/>
          <w:szCs w:val="22"/>
        </w:rPr>
        <w:t>.</w:t>
      </w:r>
      <w:r>
        <w:rPr>
          <w:rStyle w:val="FootnoteReference"/>
          <w:color w:val="000000"/>
          <w:sz w:val="22"/>
          <w:szCs w:val="22"/>
        </w:rPr>
        <w:footnoteReference w:id="29"/>
      </w:r>
      <w:r w:rsidR="00350209">
        <w:rPr>
          <w:color w:val="000000"/>
          <w:sz w:val="22"/>
          <w:szCs w:val="22"/>
        </w:rPr>
        <w:t xml:space="preserve">  </w:t>
      </w:r>
      <w:r>
        <w:rPr>
          <w:color w:val="000000"/>
          <w:sz w:val="22"/>
          <w:szCs w:val="22"/>
        </w:rPr>
        <w:t>With</w:t>
      </w:r>
      <w:r w:rsidR="00350209">
        <w:rPr>
          <w:color w:val="000000"/>
          <w:sz w:val="22"/>
          <w:szCs w:val="22"/>
        </w:rPr>
        <w:t xml:space="preserve"> </w:t>
      </w:r>
      <w:r w:rsidR="00397B83">
        <w:rPr>
          <w:color w:val="000000"/>
          <w:sz w:val="22"/>
          <w:szCs w:val="22"/>
        </w:rPr>
        <w:t xml:space="preserve">concurrently pending </w:t>
      </w:r>
      <w:r w:rsidR="003C7843">
        <w:rPr>
          <w:color w:val="000000"/>
          <w:sz w:val="22"/>
          <w:szCs w:val="22"/>
        </w:rPr>
        <w:t>license</w:t>
      </w:r>
      <w:r w:rsidR="00397B83">
        <w:rPr>
          <w:color w:val="000000"/>
          <w:sz w:val="22"/>
          <w:szCs w:val="22"/>
        </w:rPr>
        <w:t xml:space="preserve"> and modification</w:t>
      </w:r>
      <w:r w:rsidR="003C7843">
        <w:rPr>
          <w:color w:val="000000"/>
          <w:sz w:val="22"/>
          <w:szCs w:val="22"/>
        </w:rPr>
        <w:t xml:space="preserve"> application</w:t>
      </w:r>
      <w:r w:rsidR="00397B83">
        <w:rPr>
          <w:color w:val="000000"/>
          <w:sz w:val="22"/>
          <w:szCs w:val="22"/>
        </w:rPr>
        <w:t>s</w:t>
      </w:r>
      <w:r w:rsidR="00350209">
        <w:rPr>
          <w:color w:val="000000"/>
          <w:sz w:val="22"/>
          <w:szCs w:val="22"/>
        </w:rPr>
        <w:t xml:space="preserve">, </w:t>
      </w:r>
      <w:r>
        <w:rPr>
          <w:color w:val="000000"/>
          <w:sz w:val="22"/>
          <w:szCs w:val="22"/>
        </w:rPr>
        <w:t xml:space="preserve">as here, </w:t>
      </w:r>
      <w:r w:rsidR="00350209" w:rsidRPr="00350209">
        <w:rPr>
          <w:color w:val="000000"/>
          <w:sz w:val="22"/>
          <w:szCs w:val="22"/>
        </w:rPr>
        <w:t xml:space="preserve">it is possible to grant </w:t>
      </w:r>
      <w:r w:rsidR="000D2C29">
        <w:rPr>
          <w:color w:val="000000"/>
          <w:sz w:val="22"/>
          <w:szCs w:val="22"/>
        </w:rPr>
        <w:t xml:space="preserve">one or </w:t>
      </w:r>
      <w:r w:rsidR="00350209" w:rsidRPr="00350209">
        <w:rPr>
          <w:color w:val="000000"/>
          <w:sz w:val="22"/>
          <w:szCs w:val="22"/>
        </w:rPr>
        <w:t>both applications without violating any Commission rule</w:t>
      </w:r>
      <w:r w:rsidR="003C7843">
        <w:rPr>
          <w:color w:val="000000"/>
          <w:sz w:val="22"/>
          <w:szCs w:val="22"/>
        </w:rPr>
        <w:t xml:space="preserve">.  </w:t>
      </w:r>
    </w:p>
    <w:p w14:paraId="400C7D44" w14:textId="7BB6F1B7" w:rsidR="00A21A76" w:rsidRDefault="00567CDC" w:rsidP="009962F7">
      <w:pPr>
        <w:spacing w:before="120"/>
        <w:ind w:firstLine="720"/>
        <w:rPr>
          <w:color w:val="000000"/>
          <w:sz w:val="22"/>
          <w:szCs w:val="22"/>
        </w:rPr>
      </w:pPr>
      <w:r>
        <w:rPr>
          <w:i/>
          <w:color w:val="000000"/>
          <w:sz w:val="22"/>
          <w:szCs w:val="22"/>
        </w:rPr>
        <w:t xml:space="preserve">Eligibility to file as a minor change application.  </w:t>
      </w:r>
      <w:r w:rsidR="00BC62DC">
        <w:rPr>
          <w:color w:val="000000"/>
          <w:sz w:val="22"/>
          <w:szCs w:val="22"/>
        </w:rPr>
        <w:t>Section 73.3573(a)</w:t>
      </w:r>
      <w:r w:rsidR="00CC050A">
        <w:rPr>
          <w:color w:val="000000"/>
          <w:sz w:val="22"/>
          <w:szCs w:val="22"/>
        </w:rPr>
        <w:t>(1)</w:t>
      </w:r>
      <w:r w:rsidR="00BC62DC">
        <w:rPr>
          <w:color w:val="000000"/>
          <w:sz w:val="22"/>
          <w:szCs w:val="22"/>
        </w:rPr>
        <w:t>(iii)</w:t>
      </w:r>
      <w:r>
        <w:rPr>
          <w:color w:val="000000"/>
          <w:sz w:val="22"/>
          <w:szCs w:val="22"/>
        </w:rPr>
        <w:t xml:space="preserve"> of the Rules</w:t>
      </w:r>
      <w:r w:rsidR="00AF01A8">
        <w:rPr>
          <w:color w:val="000000"/>
          <w:sz w:val="22"/>
          <w:szCs w:val="22"/>
        </w:rPr>
        <w:t xml:space="preserve">, which permits </w:t>
      </w:r>
      <w:r w:rsidR="00CC050A">
        <w:rPr>
          <w:color w:val="000000"/>
          <w:sz w:val="22"/>
          <w:szCs w:val="22"/>
        </w:rPr>
        <w:t xml:space="preserve">a change to a </w:t>
      </w:r>
      <w:r w:rsidR="00AF01A8">
        <w:rPr>
          <w:color w:val="000000"/>
          <w:sz w:val="22"/>
          <w:szCs w:val="22"/>
        </w:rPr>
        <w:t>s</w:t>
      </w:r>
      <w:r w:rsidR="002B41E9">
        <w:rPr>
          <w:color w:val="000000"/>
          <w:sz w:val="22"/>
          <w:szCs w:val="22"/>
        </w:rPr>
        <w:t>ame-class first-, second-, or third-adjacent channel</w:t>
      </w:r>
      <w:r w:rsidR="00AF01A8">
        <w:rPr>
          <w:color w:val="000000"/>
          <w:sz w:val="22"/>
          <w:szCs w:val="22"/>
        </w:rPr>
        <w:t xml:space="preserve"> to be processed</w:t>
      </w:r>
      <w:r w:rsidR="002B41E9">
        <w:rPr>
          <w:color w:val="000000"/>
          <w:sz w:val="22"/>
          <w:szCs w:val="22"/>
        </w:rPr>
        <w:t xml:space="preserve"> as</w:t>
      </w:r>
      <w:r w:rsidR="00CC050A">
        <w:rPr>
          <w:color w:val="000000"/>
          <w:sz w:val="22"/>
          <w:szCs w:val="22"/>
        </w:rPr>
        <w:t xml:space="preserve"> a</w:t>
      </w:r>
      <w:r w:rsidR="002B41E9">
        <w:rPr>
          <w:color w:val="000000"/>
          <w:sz w:val="22"/>
          <w:szCs w:val="22"/>
        </w:rPr>
        <w:t xml:space="preserve"> minor change</w:t>
      </w:r>
      <w:r w:rsidR="00AF01A8">
        <w:rPr>
          <w:color w:val="000000"/>
          <w:sz w:val="22"/>
          <w:szCs w:val="22"/>
        </w:rPr>
        <w:t>,</w:t>
      </w:r>
      <w:r w:rsidR="002B41E9">
        <w:rPr>
          <w:color w:val="000000"/>
          <w:sz w:val="22"/>
          <w:szCs w:val="22"/>
        </w:rPr>
        <w:t xml:space="preserve"> </w:t>
      </w:r>
      <w:r w:rsidR="00BC62DC">
        <w:rPr>
          <w:color w:val="000000"/>
          <w:sz w:val="22"/>
          <w:szCs w:val="22"/>
        </w:rPr>
        <w:t xml:space="preserve">does not </w:t>
      </w:r>
      <w:r>
        <w:rPr>
          <w:color w:val="000000"/>
          <w:sz w:val="22"/>
          <w:szCs w:val="22"/>
        </w:rPr>
        <w:t>apply to</w:t>
      </w:r>
      <w:r w:rsidR="00BC62DC">
        <w:rPr>
          <w:color w:val="000000"/>
          <w:sz w:val="22"/>
          <w:szCs w:val="22"/>
        </w:rPr>
        <w:t xml:space="preserve"> the </w:t>
      </w:r>
      <w:r w:rsidR="00BD3CA8">
        <w:rPr>
          <w:color w:val="000000"/>
          <w:sz w:val="22"/>
          <w:szCs w:val="22"/>
        </w:rPr>
        <w:t>KPVO</w:t>
      </w:r>
      <w:r w:rsidR="00BC62DC">
        <w:rPr>
          <w:color w:val="000000"/>
          <w:sz w:val="22"/>
          <w:szCs w:val="22"/>
        </w:rPr>
        <w:t xml:space="preserve"> Modification Application, </w:t>
      </w:r>
      <w:r w:rsidR="00CB4641">
        <w:rPr>
          <w:color w:val="000000"/>
          <w:sz w:val="22"/>
          <w:szCs w:val="22"/>
        </w:rPr>
        <w:t>because</w:t>
      </w:r>
      <w:r w:rsidR="00BC62DC">
        <w:rPr>
          <w:color w:val="000000"/>
          <w:sz w:val="22"/>
          <w:szCs w:val="22"/>
        </w:rPr>
        <w:t xml:space="preserve"> </w:t>
      </w:r>
      <w:r w:rsidR="002B41E9">
        <w:rPr>
          <w:color w:val="000000"/>
          <w:sz w:val="22"/>
          <w:szCs w:val="22"/>
        </w:rPr>
        <w:t xml:space="preserve">the </w:t>
      </w:r>
      <w:r w:rsidR="00E371CA">
        <w:rPr>
          <w:color w:val="000000"/>
          <w:sz w:val="22"/>
          <w:szCs w:val="22"/>
        </w:rPr>
        <w:t>proposed channel substitution for KWSA</w:t>
      </w:r>
      <w:r w:rsidR="002B41E9">
        <w:rPr>
          <w:color w:val="000000"/>
          <w:sz w:val="22"/>
          <w:szCs w:val="22"/>
        </w:rPr>
        <w:t xml:space="preserve"> is </w:t>
      </w:r>
      <w:r w:rsidR="00AF01A8">
        <w:rPr>
          <w:color w:val="000000"/>
          <w:sz w:val="22"/>
          <w:szCs w:val="22"/>
        </w:rPr>
        <w:t xml:space="preserve">authorized </w:t>
      </w:r>
      <w:r w:rsidR="002B41E9">
        <w:rPr>
          <w:color w:val="000000"/>
          <w:sz w:val="22"/>
          <w:szCs w:val="22"/>
        </w:rPr>
        <w:t>under</w:t>
      </w:r>
      <w:r w:rsidR="00AF01A8">
        <w:rPr>
          <w:color w:val="000000"/>
          <w:sz w:val="22"/>
          <w:szCs w:val="22"/>
        </w:rPr>
        <w:t xml:space="preserve"> another </w:t>
      </w:r>
      <w:r w:rsidR="00CC050A">
        <w:rPr>
          <w:color w:val="000000"/>
          <w:sz w:val="22"/>
          <w:szCs w:val="22"/>
        </w:rPr>
        <w:t xml:space="preserve">rule </w:t>
      </w:r>
      <w:r w:rsidR="00AF01A8">
        <w:rPr>
          <w:color w:val="000000"/>
          <w:sz w:val="22"/>
          <w:szCs w:val="22"/>
        </w:rPr>
        <w:t>section,</w:t>
      </w:r>
      <w:r w:rsidR="002B41E9">
        <w:rPr>
          <w:color w:val="000000"/>
          <w:sz w:val="22"/>
          <w:szCs w:val="22"/>
        </w:rPr>
        <w:t xml:space="preserve"> Section 73.3573(a)</w:t>
      </w:r>
      <w:r w:rsidR="00CC050A">
        <w:rPr>
          <w:color w:val="000000"/>
          <w:sz w:val="22"/>
          <w:szCs w:val="22"/>
        </w:rPr>
        <w:t>(1)</w:t>
      </w:r>
      <w:r w:rsidR="002B41E9">
        <w:rPr>
          <w:color w:val="000000"/>
          <w:sz w:val="22"/>
          <w:szCs w:val="22"/>
        </w:rPr>
        <w:t>(iv)</w:t>
      </w:r>
      <w:r w:rsidR="00AF01A8">
        <w:rPr>
          <w:color w:val="000000"/>
          <w:sz w:val="22"/>
          <w:szCs w:val="22"/>
        </w:rPr>
        <w:t>, which permits involuntary channel substitutions to be processed as</w:t>
      </w:r>
      <w:r w:rsidR="002B41E9">
        <w:rPr>
          <w:color w:val="000000"/>
          <w:sz w:val="22"/>
          <w:szCs w:val="22"/>
        </w:rPr>
        <w:t xml:space="preserve"> minor change</w:t>
      </w:r>
      <w:r w:rsidR="00AF01A8">
        <w:rPr>
          <w:color w:val="000000"/>
          <w:sz w:val="22"/>
          <w:szCs w:val="22"/>
        </w:rPr>
        <w:t>s</w:t>
      </w:r>
      <w:r w:rsidR="002B41E9">
        <w:rPr>
          <w:color w:val="000000"/>
          <w:sz w:val="22"/>
          <w:szCs w:val="22"/>
        </w:rPr>
        <w:t>.</w:t>
      </w:r>
      <w:r w:rsidR="00CB4641">
        <w:rPr>
          <w:rStyle w:val="FootnoteReference"/>
          <w:color w:val="000000"/>
          <w:sz w:val="22"/>
          <w:szCs w:val="22"/>
        </w:rPr>
        <w:footnoteReference w:id="30"/>
      </w:r>
      <w:r w:rsidR="002B41E9">
        <w:rPr>
          <w:color w:val="000000"/>
          <w:sz w:val="22"/>
          <w:szCs w:val="22"/>
        </w:rPr>
        <w:t xml:space="preserve"> </w:t>
      </w:r>
    </w:p>
    <w:p w14:paraId="3A2E5FB0" w14:textId="77777777" w:rsidR="00D5017B" w:rsidRDefault="00C15D0B" w:rsidP="007522DA">
      <w:pPr>
        <w:spacing w:before="120"/>
        <w:ind w:firstLine="720"/>
        <w:rPr>
          <w:color w:val="000000"/>
          <w:sz w:val="22"/>
          <w:szCs w:val="22"/>
        </w:rPr>
      </w:pPr>
      <w:r>
        <w:rPr>
          <w:i/>
          <w:color w:val="000000"/>
          <w:sz w:val="22"/>
          <w:szCs w:val="22"/>
        </w:rPr>
        <w:t xml:space="preserve">First come/first served processing.  </w:t>
      </w:r>
      <w:r w:rsidR="004D4126">
        <w:rPr>
          <w:color w:val="000000"/>
          <w:sz w:val="22"/>
          <w:szCs w:val="22"/>
        </w:rPr>
        <w:t>Regarding</w:t>
      </w:r>
      <w:r w:rsidR="00CB4641">
        <w:rPr>
          <w:color w:val="000000"/>
          <w:sz w:val="22"/>
          <w:szCs w:val="22"/>
        </w:rPr>
        <w:t xml:space="preserve"> AJB’s argument that the KWSA Modification Application constitutes a </w:t>
      </w:r>
      <w:r w:rsidR="00CB4641">
        <w:rPr>
          <w:i/>
          <w:color w:val="000000"/>
          <w:sz w:val="22"/>
          <w:szCs w:val="22"/>
        </w:rPr>
        <w:t xml:space="preserve">de facto </w:t>
      </w:r>
      <w:r w:rsidR="00CB4641">
        <w:rPr>
          <w:color w:val="000000"/>
          <w:sz w:val="22"/>
          <w:szCs w:val="22"/>
        </w:rPr>
        <w:t>“counter-proposal” to the KPVO Modification A</w:t>
      </w:r>
      <w:r>
        <w:rPr>
          <w:color w:val="000000"/>
          <w:sz w:val="22"/>
          <w:szCs w:val="22"/>
        </w:rPr>
        <w:t xml:space="preserve">pplication, we find </w:t>
      </w:r>
      <w:r w:rsidR="00BD3CA8">
        <w:rPr>
          <w:color w:val="000000"/>
          <w:sz w:val="22"/>
          <w:szCs w:val="22"/>
        </w:rPr>
        <w:t>that neither Section 1.87 nor 73.3573(f)(1)</w:t>
      </w:r>
      <w:r w:rsidR="00CC050A">
        <w:rPr>
          <w:color w:val="000000"/>
          <w:sz w:val="22"/>
          <w:szCs w:val="22"/>
        </w:rPr>
        <w:t xml:space="preserve"> of the Rules</w:t>
      </w:r>
      <w:r w:rsidR="00BD3CA8">
        <w:rPr>
          <w:color w:val="000000"/>
          <w:sz w:val="22"/>
          <w:szCs w:val="22"/>
        </w:rPr>
        <w:t xml:space="preserve"> requires a comparative analysis of the KPVO and KWSA Modification Applications. </w:t>
      </w:r>
      <w:r w:rsidR="00BD3CA8" w:rsidRPr="0024515F">
        <w:rPr>
          <w:color w:val="000000"/>
          <w:sz w:val="22"/>
          <w:szCs w:val="22"/>
        </w:rPr>
        <w:t xml:space="preserve"> </w:t>
      </w:r>
      <w:r w:rsidR="00BD3CA8">
        <w:rPr>
          <w:color w:val="000000"/>
          <w:sz w:val="22"/>
          <w:szCs w:val="22"/>
        </w:rPr>
        <w:t xml:space="preserve">Rather, </w:t>
      </w:r>
      <w:r w:rsidR="00CB4641">
        <w:rPr>
          <w:color w:val="000000"/>
          <w:sz w:val="22"/>
          <w:szCs w:val="22"/>
        </w:rPr>
        <w:t>the KWSA Modification Application is</w:t>
      </w:r>
      <w:r w:rsidR="004D4126">
        <w:rPr>
          <w:color w:val="000000"/>
          <w:sz w:val="22"/>
          <w:szCs w:val="22"/>
        </w:rPr>
        <w:t xml:space="preserve"> in fact</w:t>
      </w:r>
      <w:r w:rsidR="00CB4641">
        <w:rPr>
          <w:color w:val="000000"/>
          <w:sz w:val="22"/>
          <w:szCs w:val="22"/>
        </w:rPr>
        <w:t xml:space="preserve"> a </w:t>
      </w:r>
      <w:r w:rsidR="00821792">
        <w:rPr>
          <w:color w:val="000000"/>
          <w:sz w:val="22"/>
          <w:szCs w:val="22"/>
        </w:rPr>
        <w:t xml:space="preserve">later-filed minor change application that </w:t>
      </w:r>
      <w:r>
        <w:rPr>
          <w:color w:val="000000"/>
          <w:sz w:val="22"/>
          <w:szCs w:val="22"/>
        </w:rPr>
        <w:t xml:space="preserve">is </w:t>
      </w:r>
      <w:r w:rsidR="007B558A">
        <w:rPr>
          <w:color w:val="000000"/>
          <w:sz w:val="22"/>
          <w:szCs w:val="22"/>
        </w:rPr>
        <w:t>processed on a</w:t>
      </w:r>
      <w:r w:rsidR="00821792">
        <w:rPr>
          <w:color w:val="000000"/>
          <w:sz w:val="22"/>
          <w:szCs w:val="22"/>
        </w:rPr>
        <w:t xml:space="preserve"> </w:t>
      </w:r>
      <w:r w:rsidR="007B558A" w:rsidRPr="007B558A">
        <w:rPr>
          <w:color w:val="000000"/>
          <w:sz w:val="22"/>
          <w:szCs w:val="22"/>
        </w:rPr>
        <w:t>“first come/first served” basis</w:t>
      </w:r>
      <w:r w:rsidR="004D4126">
        <w:rPr>
          <w:color w:val="000000"/>
          <w:sz w:val="22"/>
          <w:szCs w:val="22"/>
        </w:rPr>
        <w:t xml:space="preserve"> under Section 73.3573(f)(1) of the Rules</w:t>
      </w:r>
      <w:r w:rsidR="007B558A" w:rsidRPr="007B558A">
        <w:rPr>
          <w:color w:val="000000"/>
          <w:sz w:val="22"/>
          <w:szCs w:val="22"/>
        </w:rPr>
        <w:t>.</w:t>
      </w:r>
      <w:r w:rsidR="007B558A">
        <w:rPr>
          <w:rStyle w:val="FootnoteReference"/>
          <w:color w:val="000000"/>
          <w:sz w:val="22"/>
          <w:szCs w:val="22"/>
        </w:rPr>
        <w:footnoteReference w:id="31"/>
      </w:r>
      <w:r w:rsidR="007B558A">
        <w:rPr>
          <w:color w:val="000000"/>
          <w:sz w:val="22"/>
          <w:szCs w:val="22"/>
        </w:rPr>
        <w:t xml:space="preserve">  </w:t>
      </w:r>
      <w:r w:rsidR="00BD3CA8">
        <w:rPr>
          <w:color w:val="000000"/>
          <w:sz w:val="22"/>
          <w:szCs w:val="22"/>
        </w:rPr>
        <w:t>Under Section 73.3573(f)(1), a</w:t>
      </w:r>
      <w:r w:rsidR="00D5017B" w:rsidRPr="00D5017B">
        <w:rPr>
          <w:color w:val="000000"/>
          <w:sz w:val="22"/>
          <w:szCs w:val="22"/>
        </w:rPr>
        <w:t>ny applications received after the filing of a lead application will be grouped according to filing date, and placed in a queue behind the lead applicant.</w:t>
      </w:r>
      <w:r w:rsidR="00BD3CA8">
        <w:rPr>
          <w:color w:val="000000"/>
          <w:sz w:val="22"/>
          <w:szCs w:val="22"/>
        </w:rPr>
        <w:t xml:space="preserve"> </w:t>
      </w:r>
      <w:r w:rsidR="007522DA">
        <w:rPr>
          <w:color w:val="000000"/>
          <w:sz w:val="22"/>
          <w:szCs w:val="22"/>
        </w:rPr>
        <w:t xml:space="preserve"> S</w:t>
      </w:r>
      <w:r w:rsidR="00D5017B" w:rsidRPr="00D5017B">
        <w:rPr>
          <w:color w:val="000000"/>
          <w:sz w:val="22"/>
          <w:szCs w:val="22"/>
        </w:rPr>
        <w:t xml:space="preserve">ince the </w:t>
      </w:r>
      <w:r w:rsidR="00BD3CA8">
        <w:rPr>
          <w:color w:val="000000"/>
          <w:sz w:val="22"/>
          <w:szCs w:val="22"/>
        </w:rPr>
        <w:t>KWSA Modification</w:t>
      </w:r>
      <w:r w:rsidR="00D5017B" w:rsidRPr="00D5017B">
        <w:rPr>
          <w:color w:val="000000"/>
          <w:sz w:val="22"/>
          <w:szCs w:val="22"/>
        </w:rPr>
        <w:t xml:space="preserve"> Application conflicts with the </w:t>
      </w:r>
      <w:r w:rsidR="00BD3CA8">
        <w:rPr>
          <w:color w:val="000000"/>
          <w:sz w:val="22"/>
          <w:szCs w:val="22"/>
        </w:rPr>
        <w:t>KPVO Modification</w:t>
      </w:r>
      <w:r w:rsidR="00D5017B" w:rsidRPr="00D5017B">
        <w:rPr>
          <w:color w:val="000000"/>
          <w:sz w:val="22"/>
          <w:szCs w:val="22"/>
        </w:rPr>
        <w:t xml:space="preserve"> Application, and the </w:t>
      </w:r>
      <w:r w:rsidR="00BD3CA8">
        <w:rPr>
          <w:color w:val="000000"/>
          <w:sz w:val="22"/>
          <w:szCs w:val="22"/>
        </w:rPr>
        <w:t>KPVO Modification Application</w:t>
      </w:r>
      <w:r w:rsidR="00D5017B" w:rsidRPr="00D5017B">
        <w:rPr>
          <w:color w:val="000000"/>
          <w:sz w:val="22"/>
          <w:szCs w:val="22"/>
        </w:rPr>
        <w:t xml:space="preserve"> was filed first, the </w:t>
      </w:r>
      <w:r w:rsidR="00BD3CA8">
        <w:rPr>
          <w:color w:val="000000"/>
          <w:sz w:val="22"/>
          <w:szCs w:val="22"/>
        </w:rPr>
        <w:t>KWSA Modification</w:t>
      </w:r>
      <w:r w:rsidR="00BD3CA8" w:rsidRPr="00D5017B">
        <w:rPr>
          <w:color w:val="000000"/>
          <w:sz w:val="22"/>
          <w:szCs w:val="22"/>
        </w:rPr>
        <w:t xml:space="preserve"> Application</w:t>
      </w:r>
      <w:r w:rsidR="00D5017B" w:rsidRPr="00D5017B">
        <w:rPr>
          <w:color w:val="000000"/>
          <w:sz w:val="22"/>
          <w:szCs w:val="22"/>
        </w:rPr>
        <w:t xml:space="preserve"> is in queue behind the </w:t>
      </w:r>
      <w:r w:rsidR="00BD3CA8">
        <w:rPr>
          <w:color w:val="000000"/>
          <w:sz w:val="22"/>
          <w:szCs w:val="22"/>
        </w:rPr>
        <w:t>KPVO Modification</w:t>
      </w:r>
      <w:r w:rsidR="00BD3CA8" w:rsidRPr="00D5017B">
        <w:rPr>
          <w:color w:val="000000"/>
          <w:sz w:val="22"/>
          <w:szCs w:val="22"/>
        </w:rPr>
        <w:t xml:space="preserve"> Application</w:t>
      </w:r>
      <w:r w:rsidR="00D5017B" w:rsidRPr="00D5017B">
        <w:rPr>
          <w:color w:val="000000"/>
          <w:sz w:val="22"/>
          <w:szCs w:val="22"/>
        </w:rPr>
        <w:t>.</w:t>
      </w:r>
      <w:r w:rsidR="007522DA">
        <w:rPr>
          <w:color w:val="000000"/>
          <w:sz w:val="22"/>
          <w:szCs w:val="22"/>
        </w:rPr>
        <w:t xml:space="preserve"> </w:t>
      </w:r>
      <w:r w:rsidR="00D5017B" w:rsidRPr="00D5017B">
        <w:rPr>
          <w:color w:val="000000"/>
          <w:sz w:val="22"/>
          <w:szCs w:val="22"/>
        </w:rPr>
        <w:t> </w:t>
      </w:r>
      <w:r w:rsidR="007522DA">
        <w:rPr>
          <w:color w:val="000000"/>
          <w:sz w:val="22"/>
          <w:szCs w:val="22"/>
        </w:rPr>
        <w:t>T</w:t>
      </w:r>
      <w:r w:rsidR="00D5017B" w:rsidRPr="00D5017B">
        <w:rPr>
          <w:color w:val="000000"/>
          <w:sz w:val="22"/>
          <w:szCs w:val="22"/>
        </w:rPr>
        <w:t xml:space="preserve">he rights of an applicant in a queue ripen only upon a final determination that the lead applicant is unacceptable </w:t>
      </w:r>
      <w:r w:rsidR="007522DA">
        <w:rPr>
          <w:color w:val="000000"/>
          <w:sz w:val="22"/>
          <w:szCs w:val="22"/>
        </w:rPr>
        <w:t>(</w:t>
      </w:r>
      <w:r w:rsidR="00D5017B" w:rsidRPr="00D5017B">
        <w:rPr>
          <w:color w:val="000000"/>
          <w:sz w:val="22"/>
          <w:szCs w:val="22"/>
        </w:rPr>
        <w:t>and if the queue member i</w:t>
      </w:r>
      <w:r w:rsidR="007522DA">
        <w:rPr>
          <w:color w:val="000000"/>
          <w:sz w:val="22"/>
          <w:szCs w:val="22"/>
        </w:rPr>
        <w:t>s reached and found acceptable).</w:t>
      </w:r>
      <w:r w:rsidR="00CC050A">
        <w:rPr>
          <w:rStyle w:val="FootnoteReference"/>
          <w:color w:val="000000"/>
          <w:sz w:val="22"/>
          <w:szCs w:val="22"/>
        </w:rPr>
        <w:footnoteReference w:id="32"/>
      </w:r>
      <w:r w:rsidR="00D5017B" w:rsidRPr="00D5017B">
        <w:rPr>
          <w:color w:val="000000"/>
          <w:sz w:val="22"/>
          <w:szCs w:val="22"/>
        </w:rPr>
        <w:t xml:space="preserve">  In this case, we have determined that the lead applicant is acceptable and the lead application grantable.  Therefore, upon grant of the </w:t>
      </w:r>
      <w:r w:rsidR="007522DA">
        <w:rPr>
          <w:color w:val="000000"/>
          <w:sz w:val="22"/>
          <w:szCs w:val="22"/>
        </w:rPr>
        <w:t>KPVO Modification</w:t>
      </w:r>
      <w:r w:rsidR="007522DA" w:rsidRPr="00D5017B">
        <w:rPr>
          <w:color w:val="000000"/>
          <w:sz w:val="22"/>
          <w:szCs w:val="22"/>
        </w:rPr>
        <w:t xml:space="preserve"> Application</w:t>
      </w:r>
      <w:r w:rsidR="00D5017B" w:rsidRPr="00D5017B">
        <w:rPr>
          <w:color w:val="000000"/>
          <w:sz w:val="22"/>
          <w:szCs w:val="22"/>
        </w:rPr>
        <w:t xml:space="preserve">, the queue dissolves, and the </w:t>
      </w:r>
      <w:r w:rsidR="007522DA">
        <w:rPr>
          <w:color w:val="000000"/>
          <w:sz w:val="22"/>
          <w:szCs w:val="22"/>
        </w:rPr>
        <w:t>KWSA Modification</w:t>
      </w:r>
      <w:r w:rsidR="007522DA" w:rsidRPr="00D5017B">
        <w:rPr>
          <w:color w:val="000000"/>
          <w:sz w:val="22"/>
          <w:szCs w:val="22"/>
        </w:rPr>
        <w:t xml:space="preserve"> Application</w:t>
      </w:r>
      <w:r w:rsidR="00D5017B" w:rsidRPr="00D5017B">
        <w:rPr>
          <w:color w:val="000000"/>
          <w:sz w:val="22"/>
          <w:szCs w:val="22"/>
        </w:rPr>
        <w:t xml:space="preserve"> will be dismissed. </w:t>
      </w:r>
    </w:p>
    <w:p w14:paraId="2019AF71" w14:textId="77777777" w:rsidR="007D0FE5" w:rsidRDefault="00A61997" w:rsidP="00406D41">
      <w:pPr>
        <w:spacing w:before="120"/>
        <w:ind w:firstLine="720"/>
        <w:rPr>
          <w:color w:val="000000"/>
          <w:sz w:val="22"/>
          <w:szCs w:val="22"/>
        </w:rPr>
      </w:pPr>
      <w:r>
        <w:rPr>
          <w:i/>
          <w:color w:val="000000"/>
          <w:sz w:val="22"/>
          <w:szCs w:val="22"/>
        </w:rPr>
        <w:t xml:space="preserve">Public interest.  </w:t>
      </w:r>
      <w:r w:rsidR="00983C40" w:rsidRPr="0024515F">
        <w:rPr>
          <w:color w:val="000000"/>
          <w:sz w:val="22"/>
          <w:szCs w:val="22"/>
        </w:rPr>
        <w:t>Section 316(a) of the Communications Act of 1934, as amended, permits us to modify a license if such action is in the public interest.</w:t>
      </w:r>
      <w:r w:rsidR="00983C40" w:rsidRPr="0024515F">
        <w:rPr>
          <w:rStyle w:val="FootnoteReference"/>
          <w:color w:val="000000"/>
          <w:sz w:val="22"/>
          <w:szCs w:val="22"/>
        </w:rPr>
        <w:footnoteReference w:id="33"/>
      </w:r>
      <w:r w:rsidR="00983C40" w:rsidRPr="0024515F">
        <w:rPr>
          <w:color w:val="000000"/>
          <w:sz w:val="22"/>
          <w:szCs w:val="22"/>
        </w:rPr>
        <w:t xml:space="preserve">  We have consistently held that disruption of service does not outweigh the public interest benefit of providing service to an additional population</w:t>
      </w:r>
      <w:r w:rsidR="00406D41">
        <w:rPr>
          <w:color w:val="000000"/>
          <w:sz w:val="22"/>
          <w:szCs w:val="22"/>
        </w:rPr>
        <w:t>, as here</w:t>
      </w:r>
      <w:r w:rsidR="00983C40" w:rsidRPr="0024515F">
        <w:rPr>
          <w:color w:val="000000"/>
          <w:sz w:val="22"/>
          <w:szCs w:val="22"/>
        </w:rPr>
        <w:t>.</w:t>
      </w:r>
      <w:r w:rsidR="00983C40" w:rsidRPr="0024515F">
        <w:rPr>
          <w:rStyle w:val="FootnoteReference"/>
          <w:color w:val="000000"/>
          <w:sz w:val="22"/>
          <w:szCs w:val="22"/>
        </w:rPr>
        <w:footnoteReference w:id="34"/>
      </w:r>
      <w:r w:rsidR="00983C40" w:rsidRPr="0024515F">
        <w:rPr>
          <w:color w:val="000000"/>
          <w:sz w:val="22"/>
          <w:szCs w:val="22"/>
        </w:rPr>
        <w:t xml:space="preserve">  </w:t>
      </w:r>
      <w:r w:rsidR="00406D41">
        <w:rPr>
          <w:color w:val="000000"/>
          <w:sz w:val="22"/>
          <w:szCs w:val="22"/>
        </w:rPr>
        <w:t>Therefore</w:t>
      </w:r>
      <w:r w:rsidR="00983C40" w:rsidRPr="0024515F">
        <w:rPr>
          <w:color w:val="000000"/>
          <w:sz w:val="22"/>
          <w:szCs w:val="22"/>
        </w:rPr>
        <w:t xml:space="preserve">, </w:t>
      </w:r>
      <w:r w:rsidR="00406D41">
        <w:rPr>
          <w:color w:val="000000"/>
          <w:sz w:val="22"/>
          <w:szCs w:val="22"/>
        </w:rPr>
        <w:t xml:space="preserve">in the </w:t>
      </w:r>
      <w:r w:rsidR="004A6525">
        <w:rPr>
          <w:i/>
          <w:color w:val="000000"/>
          <w:sz w:val="22"/>
          <w:szCs w:val="22"/>
        </w:rPr>
        <w:t xml:space="preserve">2015 </w:t>
      </w:r>
      <w:r w:rsidR="00406D41" w:rsidRPr="008456C4">
        <w:rPr>
          <w:i/>
          <w:color w:val="000000"/>
          <w:sz w:val="22"/>
          <w:szCs w:val="22"/>
        </w:rPr>
        <w:t>Order to Show Cause</w:t>
      </w:r>
      <w:r w:rsidR="00406D41">
        <w:rPr>
          <w:color w:val="000000"/>
          <w:sz w:val="22"/>
          <w:szCs w:val="22"/>
        </w:rPr>
        <w:t xml:space="preserve">, </w:t>
      </w:r>
      <w:r w:rsidR="00983C40" w:rsidRPr="0024515F">
        <w:rPr>
          <w:color w:val="000000"/>
          <w:sz w:val="22"/>
          <w:szCs w:val="22"/>
        </w:rPr>
        <w:t xml:space="preserve">we </w:t>
      </w:r>
      <w:r w:rsidR="00406D41">
        <w:rPr>
          <w:color w:val="000000"/>
          <w:sz w:val="22"/>
          <w:szCs w:val="22"/>
        </w:rPr>
        <w:t xml:space="preserve">properly </w:t>
      </w:r>
      <w:r w:rsidR="00983C40" w:rsidRPr="0024515F">
        <w:rPr>
          <w:color w:val="000000"/>
          <w:sz w:val="22"/>
          <w:szCs w:val="22"/>
        </w:rPr>
        <w:t>found that the upgrade</w:t>
      </w:r>
      <w:r w:rsidR="00983C40">
        <w:rPr>
          <w:color w:val="000000"/>
          <w:sz w:val="22"/>
          <w:szCs w:val="22"/>
        </w:rPr>
        <w:t>d</w:t>
      </w:r>
      <w:r w:rsidR="00983C40" w:rsidRPr="0024515F">
        <w:rPr>
          <w:color w:val="000000"/>
          <w:sz w:val="22"/>
          <w:szCs w:val="22"/>
        </w:rPr>
        <w:t xml:space="preserve"> and expanded service proposed by </w:t>
      </w:r>
      <w:r w:rsidR="00983C40">
        <w:rPr>
          <w:color w:val="000000"/>
          <w:sz w:val="22"/>
          <w:szCs w:val="22"/>
        </w:rPr>
        <w:t>Valleydale</w:t>
      </w:r>
      <w:r w:rsidR="00983C40" w:rsidRPr="0024515F">
        <w:rPr>
          <w:color w:val="000000"/>
          <w:sz w:val="22"/>
          <w:szCs w:val="22"/>
        </w:rPr>
        <w:t xml:space="preserve"> serves the public interest.</w:t>
      </w:r>
      <w:r w:rsidR="00983C40" w:rsidRPr="0024515F">
        <w:rPr>
          <w:rStyle w:val="FootnoteReference"/>
          <w:color w:val="000000"/>
          <w:sz w:val="22"/>
          <w:szCs w:val="22"/>
        </w:rPr>
        <w:footnoteReference w:id="35"/>
      </w:r>
      <w:r w:rsidR="00983C40" w:rsidRPr="0024515F">
        <w:rPr>
          <w:color w:val="000000"/>
          <w:sz w:val="22"/>
          <w:szCs w:val="22"/>
        </w:rPr>
        <w:t xml:space="preserve"> </w:t>
      </w:r>
      <w:r w:rsidR="00983C40">
        <w:rPr>
          <w:color w:val="000000"/>
          <w:sz w:val="22"/>
          <w:szCs w:val="22"/>
        </w:rPr>
        <w:t xml:space="preserve"> </w:t>
      </w:r>
    </w:p>
    <w:p w14:paraId="146C46FD" w14:textId="77777777" w:rsidR="0072328D" w:rsidRPr="007D0FE5" w:rsidRDefault="00A61997" w:rsidP="00406D41">
      <w:pPr>
        <w:spacing w:before="120"/>
        <w:ind w:firstLine="720"/>
        <w:rPr>
          <w:color w:val="000000"/>
          <w:sz w:val="22"/>
          <w:szCs w:val="22"/>
        </w:rPr>
      </w:pPr>
      <w:r>
        <w:rPr>
          <w:i/>
          <w:color w:val="000000"/>
          <w:sz w:val="22"/>
          <w:szCs w:val="22"/>
        </w:rPr>
        <w:t xml:space="preserve">Multiple amendments.  </w:t>
      </w:r>
      <w:r w:rsidR="0072328D">
        <w:rPr>
          <w:color w:val="000000"/>
          <w:sz w:val="22"/>
          <w:szCs w:val="22"/>
        </w:rPr>
        <w:t xml:space="preserve">AJB cites to no precedent for its contention that multiple amendments are a cause for denying </w:t>
      </w:r>
      <w:r w:rsidR="003B69F2">
        <w:rPr>
          <w:color w:val="000000"/>
          <w:sz w:val="22"/>
          <w:szCs w:val="22"/>
        </w:rPr>
        <w:t>a</w:t>
      </w:r>
      <w:r w:rsidR="004A6525">
        <w:rPr>
          <w:color w:val="000000"/>
          <w:sz w:val="22"/>
          <w:szCs w:val="22"/>
        </w:rPr>
        <w:t xml:space="preserve"> minor</w:t>
      </w:r>
      <w:r w:rsidR="003B69F2">
        <w:rPr>
          <w:color w:val="000000"/>
          <w:sz w:val="22"/>
          <w:szCs w:val="22"/>
        </w:rPr>
        <w:t xml:space="preserve"> modification</w:t>
      </w:r>
      <w:r w:rsidR="0072328D">
        <w:rPr>
          <w:color w:val="000000"/>
          <w:sz w:val="22"/>
          <w:szCs w:val="22"/>
        </w:rPr>
        <w:t xml:space="preserve"> application, and we note that such amendments are commonplace</w:t>
      </w:r>
      <w:r w:rsidR="00A41F07">
        <w:rPr>
          <w:color w:val="000000"/>
          <w:sz w:val="22"/>
          <w:szCs w:val="22"/>
        </w:rPr>
        <w:t xml:space="preserve"> and </w:t>
      </w:r>
      <w:r w:rsidR="004A6525">
        <w:rPr>
          <w:color w:val="000000"/>
          <w:sz w:val="22"/>
          <w:szCs w:val="22"/>
        </w:rPr>
        <w:t xml:space="preserve">liberally </w:t>
      </w:r>
      <w:r w:rsidR="00F361A6">
        <w:rPr>
          <w:color w:val="000000"/>
          <w:sz w:val="22"/>
          <w:szCs w:val="22"/>
        </w:rPr>
        <w:t>permitted under Section 73.3522</w:t>
      </w:r>
      <w:r w:rsidR="00A41F07">
        <w:rPr>
          <w:color w:val="000000"/>
          <w:sz w:val="22"/>
          <w:szCs w:val="22"/>
        </w:rPr>
        <w:t>(c</w:t>
      </w:r>
      <w:r w:rsidR="00F361A6">
        <w:rPr>
          <w:color w:val="000000"/>
          <w:sz w:val="22"/>
          <w:szCs w:val="22"/>
        </w:rPr>
        <w:t>)(2) of the Rules</w:t>
      </w:r>
      <w:r w:rsidR="0072328D">
        <w:rPr>
          <w:color w:val="000000"/>
          <w:sz w:val="22"/>
          <w:szCs w:val="22"/>
        </w:rPr>
        <w:t>.</w:t>
      </w:r>
      <w:r w:rsidR="00F361A6">
        <w:rPr>
          <w:rStyle w:val="FootnoteReference"/>
          <w:color w:val="000000"/>
          <w:sz w:val="22"/>
          <w:szCs w:val="22"/>
        </w:rPr>
        <w:footnoteReference w:id="36"/>
      </w:r>
      <w:r w:rsidR="0072328D">
        <w:rPr>
          <w:color w:val="000000"/>
          <w:sz w:val="22"/>
          <w:szCs w:val="22"/>
        </w:rPr>
        <w:t xml:space="preserve">   </w:t>
      </w:r>
    </w:p>
    <w:p w14:paraId="18EC0F96" w14:textId="77777777" w:rsidR="00676C87" w:rsidRDefault="00A61997" w:rsidP="00BD3626">
      <w:pPr>
        <w:spacing w:before="120"/>
        <w:ind w:right="-360" w:firstLine="720"/>
        <w:rPr>
          <w:color w:val="000000"/>
          <w:sz w:val="22"/>
          <w:szCs w:val="22"/>
        </w:rPr>
      </w:pPr>
      <w:r>
        <w:rPr>
          <w:i/>
          <w:color w:val="000000"/>
          <w:sz w:val="22"/>
          <w:szCs w:val="22"/>
        </w:rPr>
        <w:t xml:space="preserve">Availability of new channel.  </w:t>
      </w:r>
      <w:r w:rsidR="000B7EA1">
        <w:rPr>
          <w:color w:val="000000"/>
          <w:sz w:val="22"/>
          <w:szCs w:val="22"/>
        </w:rPr>
        <w:t xml:space="preserve">AJB objects that any move to Channel 280 would </w:t>
      </w:r>
      <w:r w:rsidR="003548EE">
        <w:rPr>
          <w:color w:val="000000"/>
          <w:sz w:val="22"/>
          <w:szCs w:val="22"/>
        </w:rPr>
        <w:t>be obstructed by</w:t>
      </w:r>
      <w:r w:rsidR="000B7EA1">
        <w:rPr>
          <w:color w:val="000000"/>
          <w:sz w:val="22"/>
          <w:szCs w:val="22"/>
        </w:rPr>
        <w:t xml:space="preserve"> Station KUDE’s </w:t>
      </w:r>
      <w:r w:rsidR="003548EE">
        <w:rPr>
          <w:color w:val="000000"/>
          <w:sz w:val="22"/>
          <w:szCs w:val="22"/>
        </w:rPr>
        <w:t>current o</w:t>
      </w:r>
      <w:r w:rsidR="001B0FEB">
        <w:rPr>
          <w:color w:val="000000"/>
          <w:sz w:val="22"/>
          <w:szCs w:val="22"/>
        </w:rPr>
        <w:t>peration on</w:t>
      </w:r>
      <w:r w:rsidR="003548EE">
        <w:rPr>
          <w:color w:val="000000"/>
          <w:sz w:val="22"/>
          <w:szCs w:val="22"/>
        </w:rPr>
        <w:t xml:space="preserve"> that channel despite a 2004 Commission order </w:t>
      </w:r>
      <w:r w:rsidR="0008398F">
        <w:rPr>
          <w:color w:val="000000"/>
          <w:sz w:val="22"/>
          <w:szCs w:val="22"/>
        </w:rPr>
        <w:t>modifying KUDE’</w:t>
      </w:r>
      <w:r w:rsidR="007D4D88">
        <w:rPr>
          <w:color w:val="000000"/>
          <w:sz w:val="22"/>
          <w:szCs w:val="22"/>
        </w:rPr>
        <w:t>s license to specify Channel 256</w:t>
      </w:r>
      <w:r w:rsidR="0008398F">
        <w:rPr>
          <w:color w:val="000000"/>
          <w:sz w:val="22"/>
          <w:szCs w:val="22"/>
        </w:rPr>
        <w:t>C in l</w:t>
      </w:r>
      <w:r w:rsidR="001B0FEB">
        <w:rPr>
          <w:color w:val="000000"/>
          <w:sz w:val="22"/>
          <w:szCs w:val="22"/>
        </w:rPr>
        <w:t>ieu of Channel 280C</w:t>
      </w:r>
      <w:r w:rsidR="004A6525">
        <w:rPr>
          <w:color w:val="000000"/>
          <w:sz w:val="22"/>
          <w:szCs w:val="22"/>
        </w:rPr>
        <w:t xml:space="preserve"> at Nephi, Utah</w:t>
      </w:r>
      <w:r w:rsidR="003548EE">
        <w:rPr>
          <w:color w:val="000000"/>
          <w:sz w:val="22"/>
          <w:szCs w:val="22"/>
        </w:rPr>
        <w:t>.</w:t>
      </w:r>
      <w:r w:rsidR="0008398F">
        <w:rPr>
          <w:rStyle w:val="FootnoteReference"/>
          <w:color w:val="000000"/>
          <w:sz w:val="22"/>
          <w:szCs w:val="22"/>
        </w:rPr>
        <w:footnoteReference w:id="37"/>
      </w:r>
      <w:r w:rsidR="003548EE">
        <w:rPr>
          <w:color w:val="000000"/>
          <w:sz w:val="22"/>
          <w:szCs w:val="22"/>
        </w:rPr>
        <w:t xml:space="preserve"> </w:t>
      </w:r>
      <w:r w:rsidR="000B7EA1">
        <w:rPr>
          <w:color w:val="000000"/>
          <w:sz w:val="22"/>
          <w:szCs w:val="22"/>
        </w:rPr>
        <w:t xml:space="preserve"> </w:t>
      </w:r>
      <w:r w:rsidR="00F40E28">
        <w:rPr>
          <w:color w:val="000000"/>
          <w:sz w:val="22"/>
          <w:szCs w:val="22"/>
        </w:rPr>
        <w:t xml:space="preserve">On </w:t>
      </w:r>
      <w:r w:rsidR="00847DCD">
        <w:rPr>
          <w:color w:val="000000"/>
          <w:sz w:val="22"/>
          <w:szCs w:val="22"/>
        </w:rPr>
        <w:t>December 20</w:t>
      </w:r>
      <w:r w:rsidR="002A121F">
        <w:rPr>
          <w:color w:val="000000"/>
          <w:sz w:val="22"/>
          <w:szCs w:val="22"/>
        </w:rPr>
        <w:t>, 2010</w:t>
      </w:r>
      <w:r w:rsidR="001B0FEB">
        <w:rPr>
          <w:color w:val="000000"/>
          <w:sz w:val="22"/>
          <w:szCs w:val="22"/>
        </w:rPr>
        <w:t xml:space="preserve">, the licensee of KUDE </w:t>
      </w:r>
      <w:r w:rsidR="00F40E28">
        <w:rPr>
          <w:color w:val="000000"/>
          <w:sz w:val="22"/>
          <w:szCs w:val="22"/>
        </w:rPr>
        <w:t xml:space="preserve">filed </w:t>
      </w:r>
      <w:r w:rsidR="007D4D88">
        <w:rPr>
          <w:color w:val="000000"/>
          <w:sz w:val="22"/>
          <w:szCs w:val="22"/>
        </w:rPr>
        <w:t xml:space="preserve">the required </w:t>
      </w:r>
      <w:r w:rsidR="00F40E28">
        <w:rPr>
          <w:color w:val="000000"/>
          <w:sz w:val="22"/>
          <w:szCs w:val="22"/>
        </w:rPr>
        <w:t>modification application</w:t>
      </w:r>
      <w:r w:rsidR="007D4D88">
        <w:rPr>
          <w:rStyle w:val="FootnoteReference"/>
          <w:color w:val="000000"/>
          <w:sz w:val="22"/>
          <w:szCs w:val="22"/>
        </w:rPr>
        <w:footnoteReference w:id="38"/>
      </w:r>
      <w:r w:rsidR="007D4D88">
        <w:rPr>
          <w:color w:val="000000"/>
          <w:sz w:val="22"/>
          <w:szCs w:val="22"/>
        </w:rPr>
        <w:t>; however, the resulting</w:t>
      </w:r>
      <w:r w:rsidR="00F86F28">
        <w:rPr>
          <w:color w:val="000000"/>
          <w:sz w:val="22"/>
          <w:szCs w:val="22"/>
        </w:rPr>
        <w:t xml:space="preserve"> KUDE Construction Permit was tolled in 2014 because </w:t>
      </w:r>
      <w:r w:rsidR="00676C87">
        <w:rPr>
          <w:color w:val="000000"/>
          <w:sz w:val="22"/>
          <w:szCs w:val="22"/>
        </w:rPr>
        <w:t xml:space="preserve">yet </w:t>
      </w:r>
      <w:r w:rsidR="00F86F28">
        <w:rPr>
          <w:color w:val="000000"/>
          <w:sz w:val="22"/>
          <w:szCs w:val="22"/>
        </w:rPr>
        <w:t xml:space="preserve">another </w:t>
      </w:r>
      <w:r w:rsidR="006B694A">
        <w:rPr>
          <w:color w:val="000000"/>
          <w:sz w:val="22"/>
          <w:szCs w:val="22"/>
        </w:rPr>
        <w:t>channel substitution</w:t>
      </w:r>
      <w:r w:rsidR="00F86F28">
        <w:rPr>
          <w:color w:val="000000"/>
          <w:sz w:val="22"/>
          <w:szCs w:val="22"/>
        </w:rPr>
        <w:t xml:space="preserve">, upon which </w:t>
      </w:r>
      <w:r w:rsidR="007D4D88">
        <w:rPr>
          <w:color w:val="000000"/>
          <w:sz w:val="22"/>
          <w:szCs w:val="22"/>
        </w:rPr>
        <w:t>the KUDE Construction Permit</w:t>
      </w:r>
      <w:r w:rsidR="00F237EB">
        <w:rPr>
          <w:color w:val="000000"/>
          <w:sz w:val="22"/>
          <w:szCs w:val="22"/>
        </w:rPr>
        <w:t xml:space="preserve"> was</w:t>
      </w:r>
      <w:r w:rsidR="00F86F28">
        <w:rPr>
          <w:color w:val="000000"/>
          <w:sz w:val="22"/>
          <w:szCs w:val="22"/>
        </w:rPr>
        <w:t xml:space="preserve"> conditioned, had not yet </w:t>
      </w:r>
      <w:r w:rsidR="00F237EB">
        <w:rPr>
          <w:color w:val="000000"/>
          <w:sz w:val="22"/>
          <w:szCs w:val="22"/>
        </w:rPr>
        <w:t>occurred</w:t>
      </w:r>
      <w:r w:rsidR="00F86F28">
        <w:rPr>
          <w:color w:val="000000"/>
          <w:sz w:val="22"/>
          <w:szCs w:val="22"/>
        </w:rPr>
        <w:t>.</w:t>
      </w:r>
      <w:r w:rsidR="00F237EB">
        <w:rPr>
          <w:rStyle w:val="FootnoteReference"/>
          <w:color w:val="000000"/>
          <w:sz w:val="22"/>
          <w:szCs w:val="22"/>
        </w:rPr>
        <w:footnoteReference w:id="39"/>
      </w:r>
      <w:r w:rsidR="007D4D88">
        <w:rPr>
          <w:color w:val="000000"/>
          <w:sz w:val="22"/>
          <w:szCs w:val="22"/>
        </w:rPr>
        <w:t xml:space="preserve">  O</w:t>
      </w:r>
      <w:r w:rsidR="00F86F28">
        <w:rPr>
          <w:color w:val="000000"/>
          <w:sz w:val="22"/>
          <w:szCs w:val="22"/>
        </w:rPr>
        <w:t xml:space="preserve">n June 14, 2016, the licensee of KUDE </w:t>
      </w:r>
      <w:r w:rsidR="006B694A">
        <w:rPr>
          <w:color w:val="000000"/>
          <w:sz w:val="22"/>
          <w:szCs w:val="22"/>
        </w:rPr>
        <w:t xml:space="preserve">filed a </w:t>
      </w:r>
      <w:r w:rsidR="004A6525">
        <w:rPr>
          <w:color w:val="000000"/>
          <w:sz w:val="22"/>
          <w:szCs w:val="22"/>
        </w:rPr>
        <w:t xml:space="preserve">minor </w:t>
      </w:r>
      <w:r w:rsidR="006B694A">
        <w:rPr>
          <w:color w:val="000000"/>
          <w:sz w:val="22"/>
          <w:szCs w:val="22"/>
        </w:rPr>
        <w:t>modification application applying</w:t>
      </w:r>
      <w:r w:rsidR="00F86F28">
        <w:rPr>
          <w:color w:val="000000"/>
          <w:sz w:val="22"/>
          <w:szCs w:val="22"/>
        </w:rPr>
        <w:t xml:space="preserve"> for a do</w:t>
      </w:r>
      <w:r w:rsidR="00175D3E">
        <w:rPr>
          <w:color w:val="000000"/>
          <w:sz w:val="22"/>
          <w:szCs w:val="22"/>
        </w:rPr>
        <w:t xml:space="preserve">wngrade so that it could begin operation on Channel 256A without </w:t>
      </w:r>
      <w:r w:rsidR="00676C87">
        <w:rPr>
          <w:color w:val="000000"/>
          <w:sz w:val="22"/>
          <w:szCs w:val="22"/>
        </w:rPr>
        <w:t>waiting for another channel substitution</w:t>
      </w:r>
      <w:r w:rsidR="00F86F28">
        <w:rPr>
          <w:color w:val="000000"/>
          <w:sz w:val="22"/>
          <w:szCs w:val="22"/>
        </w:rPr>
        <w:t>.</w:t>
      </w:r>
      <w:r w:rsidR="004D22CC">
        <w:rPr>
          <w:rStyle w:val="FootnoteReference"/>
          <w:color w:val="000000"/>
          <w:sz w:val="22"/>
          <w:szCs w:val="22"/>
        </w:rPr>
        <w:footnoteReference w:id="40"/>
      </w:r>
      <w:r w:rsidR="00F86F28">
        <w:rPr>
          <w:color w:val="000000"/>
          <w:sz w:val="22"/>
          <w:szCs w:val="22"/>
        </w:rPr>
        <w:t xml:space="preserve">  </w:t>
      </w:r>
      <w:r w:rsidR="007D4D88">
        <w:rPr>
          <w:color w:val="000000"/>
          <w:sz w:val="22"/>
          <w:szCs w:val="22"/>
        </w:rPr>
        <w:t>This</w:t>
      </w:r>
      <w:r w:rsidR="00874AFC">
        <w:rPr>
          <w:color w:val="000000"/>
          <w:sz w:val="22"/>
          <w:szCs w:val="22"/>
        </w:rPr>
        <w:t xml:space="preserve"> </w:t>
      </w:r>
      <w:r w:rsidR="004A6525">
        <w:rPr>
          <w:color w:val="000000"/>
          <w:sz w:val="22"/>
          <w:szCs w:val="22"/>
        </w:rPr>
        <w:t xml:space="preserve">minor </w:t>
      </w:r>
      <w:r w:rsidR="00874AFC">
        <w:rPr>
          <w:color w:val="000000"/>
          <w:sz w:val="22"/>
          <w:szCs w:val="22"/>
        </w:rPr>
        <w:t>modification application was granted on</w:t>
      </w:r>
      <w:r w:rsidR="0056411C">
        <w:rPr>
          <w:color w:val="000000"/>
          <w:sz w:val="22"/>
          <w:szCs w:val="22"/>
        </w:rPr>
        <w:t xml:space="preserve"> July 15, 2016</w:t>
      </w:r>
      <w:r w:rsidR="00874AFC">
        <w:rPr>
          <w:color w:val="000000"/>
          <w:sz w:val="22"/>
          <w:szCs w:val="22"/>
        </w:rPr>
        <w:t>.</w:t>
      </w:r>
      <w:r w:rsidR="0056411C">
        <w:rPr>
          <w:rStyle w:val="FootnoteReference"/>
          <w:color w:val="000000"/>
          <w:sz w:val="22"/>
          <w:szCs w:val="22"/>
        </w:rPr>
        <w:footnoteReference w:id="41"/>
      </w:r>
      <w:r w:rsidR="00874AFC">
        <w:rPr>
          <w:color w:val="000000"/>
          <w:sz w:val="22"/>
          <w:szCs w:val="22"/>
        </w:rPr>
        <w:t xml:space="preserve">  </w:t>
      </w:r>
      <w:r w:rsidR="0056411C">
        <w:rPr>
          <w:color w:val="000000"/>
          <w:sz w:val="22"/>
          <w:szCs w:val="22"/>
        </w:rPr>
        <w:t>The resulting construction permit will expire on July 15, 20</w:t>
      </w:r>
      <w:r w:rsidR="00676C87">
        <w:rPr>
          <w:color w:val="000000"/>
          <w:sz w:val="22"/>
          <w:szCs w:val="22"/>
        </w:rPr>
        <w:t>19, and thus will run more or less concurrently wi</w:t>
      </w:r>
      <w:r w:rsidR="00E371CA">
        <w:rPr>
          <w:color w:val="000000"/>
          <w:sz w:val="22"/>
          <w:szCs w:val="22"/>
        </w:rPr>
        <w:t>th the KWSA construction permit required by this letter</w:t>
      </w:r>
      <w:r w:rsidR="00676C87">
        <w:rPr>
          <w:color w:val="000000"/>
          <w:sz w:val="22"/>
          <w:szCs w:val="22"/>
        </w:rPr>
        <w:t>.  For these reasons</w:t>
      </w:r>
      <w:r w:rsidR="0056411C">
        <w:rPr>
          <w:color w:val="000000"/>
          <w:sz w:val="22"/>
          <w:szCs w:val="22"/>
        </w:rPr>
        <w:t xml:space="preserve">, we do not </w:t>
      </w:r>
      <w:r w:rsidR="00676C87">
        <w:rPr>
          <w:color w:val="000000"/>
          <w:sz w:val="22"/>
          <w:szCs w:val="22"/>
        </w:rPr>
        <w:t>believe that</w:t>
      </w:r>
      <w:r w:rsidR="0056411C">
        <w:rPr>
          <w:color w:val="000000"/>
          <w:sz w:val="22"/>
          <w:szCs w:val="22"/>
        </w:rPr>
        <w:t xml:space="preserve"> </w:t>
      </w:r>
      <w:r w:rsidR="002A121F">
        <w:rPr>
          <w:color w:val="000000"/>
          <w:sz w:val="22"/>
          <w:szCs w:val="22"/>
        </w:rPr>
        <w:t xml:space="preserve">the </w:t>
      </w:r>
      <w:r w:rsidR="0056411C">
        <w:rPr>
          <w:color w:val="000000"/>
          <w:sz w:val="22"/>
          <w:szCs w:val="22"/>
        </w:rPr>
        <w:t xml:space="preserve">KUDE </w:t>
      </w:r>
      <w:r w:rsidR="002A121F">
        <w:rPr>
          <w:color w:val="000000"/>
          <w:sz w:val="22"/>
          <w:szCs w:val="22"/>
        </w:rPr>
        <w:t xml:space="preserve">channel substitution </w:t>
      </w:r>
      <w:r w:rsidR="00676C87">
        <w:rPr>
          <w:color w:val="000000"/>
          <w:sz w:val="22"/>
          <w:szCs w:val="22"/>
        </w:rPr>
        <w:t>will present a</w:t>
      </w:r>
      <w:r w:rsidR="007D4D88">
        <w:rPr>
          <w:color w:val="000000"/>
          <w:sz w:val="22"/>
          <w:szCs w:val="22"/>
        </w:rPr>
        <w:t>n</w:t>
      </w:r>
      <w:r w:rsidR="00676C87">
        <w:rPr>
          <w:color w:val="000000"/>
          <w:sz w:val="22"/>
          <w:szCs w:val="22"/>
        </w:rPr>
        <w:t xml:space="preserve"> </w:t>
      </w:r>
      <w:r w:rsidR="0056411C">
        <w:rPr>
          <w:color w:val="000000"/>
          <w:sz w:val="22"/>
          <w:szCs w:val="22"/>
        </w:rPr>
        <w:t>obstacle to Valleydale’s proposed c</w:t>
      </w:r>
      <w:r w:rsidR="00BC535E">
        <w:rPr>
          <w:color w:val="000000"/>
          <w:sz w:val="22"/>
          <w:szCs w:val="22"/>
        </w:rPr>
        <w:t xml:space="preserve">hannel change.  </w:t>
      </w:r>
    </w:p>
    <w:p w14:paraId="331E9F65" w14:textId="7C7F915A" w:rsidR="00144446" w:rsidRDefault="00A121D9" w:rsidP="00B727E8">
      <w:pPr>
        <w:spacing w:before="120"/>
        <w:ind w:right="-360" w:firstLine="720"/>
        <w:rPr>
          <w:color w:val="000000"/>
          <w:sz w:val="22"/>
          <w:szCs w:val="22"/>
        </w:rPr>
      </w:pPr>
      <w:r>
        <w:rPr>
          <w:color w:val="000000"/>
          <w:sz w:val="22"/>
          <w:szCs w:val="22"/>
        </w:rPr>
        <w:t>Moreover, we remind AJB that</w:t>
      </w:r>
      <w:r w:rsidR="00B727E8">
        <w:rPr>
          <w:color w:val="000000"/>
          <w:sz w:val="22"/>
          <w:szCs w:val="22"/>
        </w:rPr>
        <w:t xml:space="preserve"> </w:t>
      </w:r>
      <w:r w:rsidR="00676C87">
        <w:rPr>
          <w:color w:val="000000"/>
          <w:sz w:val="22"/>
          <w:szCs w:val="22"/>
        </w:rPr>
        <w:t>in channel substitution situations, “the affected station has at best an ‘implied STA’ to remain on its old frequency until it is ready for operation on its new frequency.”</w:t>
      </w:r>
      <w:r w:rsidR="00676C87">
        <w:rPr>
          <w:rStyle w:val="FootnoteReference"/>
          <w:color w:val="000000"/>
          <w:sz w:val="22"/>
          <w:szCs w:val="22"/>
        </w:rPr>
        <w:footnoteReference w:id="42"/>
      </w:r>
      <w:r w:rsidR="00676C87">
        <w:rPr>
          <w:color w:val="000000"/>
          <w:sz w:val="22"/>
          <w:szCs w:val="22"/>
        </w:rPr>
        <w:t xml:space="preserve"> </w:t>
      </w:r>
      <w:r w:rsidR="005B47DB">
        <w:rPr>
          <w:color w:val="000000"/>
          <w:sz w:val="22"/>
          <w:szCs w:val="22"/>
        </w:rPr>
        <w:t xml:space="preserve"> Under our FM non-reserved band technical rules, stations operating with STAs—ex</w:t>
      </w:r>
      <w:r w:rsidR="005B47DB" w:rsidRPr="00BD3626">
        <w:rPr>
          <w:color w:val="000000"/>
          <w:sz w:val="22"/>
          <w:szCs w:val="22"/>
        </w:rPr>
        <w:t>press</w:t>
      </w:r>
      <w:r w:rsidR="005B47DB">
        <w:rPr>
          <w:color w:val="000000"/>
          <w:sz w:val="22"/>
          <w:szCs w:val="22"/>
        </w:rPr>
        <w:t xml:space="preserve"> or implied—</w:t>
      </w:r>
      <w:r w:rsidR="005B47DB" w:rsidRPr="00BD3626">
        <w:rPr>
          <w:color w:val="000000"/>
          <w:sz w:val="22"/>
          <w:szCs w:val="22"/>
        </w:rPr>
        <w:t>are entitled to no protection from operating stations, construction permits, pending applications or subsequently filed applications.</w:t>
      </w:r>
      <w:r w:rsidR="005B47DB" w:rsidRPr="00BD3626">
        <w:rPr>
          <w:color w:val="000000"/>
          <w:sz w:val="22"/>
          <w:szCs w:val="22"/>
          <w:vertAlign w:val="superscript"/>
        </w:rPr>
        <w:footnoteReference w:id="43"/>
      </w:r>
      <w:r w:rsidR="005B47DB" w:rsidRPr="00BD3626">
        <w:rPr>
          <w:b/>
          <w:color w:val="000000"/>
          <w:sz w:val="22"/>
          <w:szCs w:val="22"/>
        </w:rPr>
        <w:t xml:space="preserve"> </w:t>
      </w:r>
      <w:r w:rsidR="005B47DB">
        <w:rPr>
          <w:color w:val="000000"/>
          <w:sz w:val="22"/>
          <w:szCs w:val="22"/>
        </w:rPr>
        <w:t xml:space="preserve"> Therefore, an</w:t>
      </w:r>
      <w:r w:rsidR="00676C87">
        <w:rPr>
          <w:spacing w:val="-2"/>
          <w:sz w:val="22"/>
        </w:rPr>
        <w:t xml:space="preserve"> implied STA is subject to summary cancellation if such action is necessary to accommodate the operation of any FM station pursuant to its authorization.</w:t>
      </w:r>
      <w:r w:rsidR="00676C87">
        <w:rPr>
          <w:rStyle w:val="FootnoteReference"/>
          <w:spacing w:val="-2"/>
          <w:sz w:val="22"/>
        </w:rPr>
        <w:footnoteReference w:id="44"/>
      </w:r>
      <w:r w:rsidR="005B47DB">
        <w:rPr>
          <w:b/>
          <w:color w:val="000000"/>
          <w:sz w:val="22"/>
          <w:szCs w:val="22"/>
        </w:rPr>
        <w:t xml:space="preserve">  </w:t>
      </w:r>
      <w:r w:rsidR="00334DF8">
        <w:rPr>
          <w:color w:val="000000"/>
          <w:sz w:val="22"/>
          <w:szCs w:val="22"/>
        </w:rPr>
        <w:t xml:space="preserve">Furthermore, although </w:t>
      </w:r>
      <w:r w:rsidR="005B47DB">
        <w:rPr>
          <w:color w:val="000000"/>
          <w:sz w:val="22"/>
          <w:szCs w:val="22"/>
        </w:rPr>
        <w:t>construction permit</w:t>
      </w:r>
      <w:r w:rsidR="00334DF8">
        <w:rPr>
          <w:color w:val="000000"/>
          <w:sz w:val="22"/>
          <w:szCs w:val="22"/>
        </w:rPr>
        <w:t>s i</w:t>
      </w:r>
      <w:r w:rsidR="00B727E8">
        <w:rPr>
          <w:color w:val="000000"/>
          <w:sz w:val="22"/>
          <w:szCs w:val="22"/>
        </w:rPr>
        <w:t>nvolving channel substitutions often</w:t>
      </w:r>
      <w:r w:rsidR="005B47DB">
        <w:rPr>
          <w:color w:val="000000"/>
          <w:sz w:val="22"/>
          <w:szCs w:val="22"/>
        </w:rPr>
        <w:t xml:space="preserve"> contain </w:t>
      </w:r>
      <w:r w:rsidR="00B727E8">
        <w:rPr>
          <w:color w:val="000000"/>
          <w:sz w:val="22"/>
          <w:szCs w:val="22"/>
        </w:rPr>
        <w:t xml:space="preserve">a </w:t>
      </w:r>
      <w:r w:rsidR="005B47DB">
        <w:rPr>
          <w:color w:val="000000"/>
          <w:sz w:val="22"/>
          <w:szCs w:val="22"/>
        </w:rPr>
        <w:t>special</w:t>
      </w:r>
      <w:r w:rsidR="00334DF8">
        <w:rPr>
          <w:color w:val="000000"/>
          <w:sz w:val="22"/>
          <w:szCs w:val="22"/>
        </w:rPr>
        <w:t xml:space="preserve"> operating condition that prohibit</w:t>
      </w:r>
      <w:r w:rsidR="00B727E8">
        <w:rPr>
          <w:color w:val="000000"/>
          <w:sz w:val="22"/>
          <w:szCs w:val="22"/>
        </w:rPr>
        <w:t>s</w:t>
      </w:r>
      <w:r w:rsidR="005B47DB">
        <w:rPr>
          <w:color w:val="000000"/>
          <w:sz w:val="22"/>
          <w:szCs w:val="22"/>
        </w:rPr>
        <w:t xml:space="preserve"> operation on the new channel until the incumbent has vacated</w:t>
      </w:r>
      <w:r w:rsidR="00334DF8">
        <w:rPr>
          <w:color w:val="000000"/>
          <w:sz w:val="22"/>
          <w:szCs w:val="22"/>
        </w:rPr>
        <w:t xml:space="preserve">, we have in the past deleted such conditions </w:t>
      </w:r>
      <w:r w:rsidR="00B727E8">
        <w:rPr>
          <w:color w:val="000000"/>
          <w:sz w:val="22"/>
          <w:szCs w:val="22"/>
        </w:rPr>
        <w:t>when</w:t>
      </w:r>
      <w:r w:rsidR="00334DF8">
        <w:rPr>
          <w:color w:val="000000"/>
          <w:sz w:val="22"/>
          <w:szCs w:val="22"/>
        </w:rPr>
        <w:t xml:space="preserve"> necessary to </w:t>
      </w:r>
      <w:r w:rsidR="00DB7046">
        <w:rPr>
          <w:color w:val="000000"/>
          <w:sz w:val="22"/>
          <w:szCs w:val="22"/>
        </w:rPr>
        <w:t xml:space="preserve">allow </w:t>
      </w:r>
      <w:r w:rsidR="00CE7791">
        <w:rPr>
          <w:color w:val="000000"/>
          <w:sz w:val="22"/>
          <w:szCs w:val="22"/>
        </w:rPr>
        <w:t>the commencement of operations on the new channel when the incumbent has been grossly tardy in implementing required facility modifications</w:t>
      </w:r>
      <w:r w:rsidR="00DB7046">
        <w:rPr>
          <w:color w:val="000000"/>
          <w:sz w:val="22"/>
          <w:szCs w:val="22"/>
        </w:rPr>
        <w:t>.</w:t>
      </w:r>
      <w:r w:rsidR="00A21ADE">
        <w:rPr>
          <w:rStyle w:val="FootnoteReference"/>
          <w:color w:val="000000"/>
          <w:sz w:val="22"/>
          <w:szCs w:val="22"/>
        </w:rPr>
        <w:footnoteReference w:id="45"/>
      </w:r>
      <w:r w:rsidR="00424DF3">
        <w:rPr>
          <w:spacing w:val="-2"/>
          <w:sz w:val="22"/>
        </w:rPr>
        <w:t xml:space="preserve"> </w:t>
      </w:r>
      <w:r w:rsidR="00334DF8">
        <w:rPr>
          <w:spacing w:val="-2"/>
          <w:sz w:val="22"/>
        </w:rPr>
        <w:t xml:space="preserve"> </w:t>
      </w:r>
      <w:r w:rsidR="00A21ADE">
        <w:rPr>
          <w:spacing w:val="-2"/>
          <w:sz w:val="22"/>
        </w:rPr>
        <w:t>Finally</w:t>
      </w:r>
      <w:r w:rsidR="00334DF8">
        <w:rPr>
          <w:spacing w:val="-2"/>
          <w:sz w:val="22"/>
        </w:rPr>
        <w:t xml:space="preserve">, </w:t>
      </w:r>
      <w:r w:rsidR="00B727E8">
        <w:rPr>
          <w:spacing w:val="-2"/>
          <w:sz w:val="22"/>
        </w:rPr>
        <w:t xml:space="preserve">we note that modification </w:t>
      </w:r>
      <w:r w:rsidR="00334DF8">
        <w:rPr>
          <w:spacing w:val="-2"/>
          <w:sz w:val="22"/>
        </w:rPr>
        <w:t xml:space="preserve">applicants are governed by the principle that </w:t>
      </w:r>
      <w:r w:rsidR="00676C87">
        <w:rPr>
          <w:spacing w:val="-2"/>
          <w:sz w:val="22"/>
        </w:rPr>
        <w:t>“implicit in the filing of any facility application is that the applicant stands ‘ready, willing, and able’ to construct and operate as proposed.”</w:t>
      </w:r>
      <w:r w:rsidR="00676C87">
        <w:rPr>
          <w:rStyle w:val="FootnoteReference"/>
          <w:spacing w:val="-2"/>
          <w:sz w:val="22"/>
        </w:rPr>
        <w:footnoteReference w:id="46"/>
      </w:r>
    </w:p>
    <w:p w14:paraId="38D5BE7B" w14:textId="3463EAEA" w:rsidR="00E10561" w:rsidRDefault="00A61997" w:rsidP="00E10561">
      <w:pPr>
        <w:spacing w:before="120"/>
        <w:ind w:right="-360" w:firstLine="720"/>
        <w:rPr>
          <w:color w:val="000000"/>
          <w:sz w:val="22"/>
          <w:szCs w:val="22"/>
        </w:rPr>
      </w:pPr>
      <w:r>
        <w:rPr>
          <w:i/>
          <w:color w:val="000000"/>
          <w:sz w:val="22"/>
          <w:szCs w:val="22"/>
        </w:rPr>
        <w:t>Failure to comply with</w:t>
      </w:r>
      <w:r w:rsidR="00A21ADE">
        <w:rPr>
          <w:i/>
          <w:color w:val="000000"/>
          <w:sz w:val="22"/>
          <w:szCs w:val="22"/>
        </w:rPr>
        <w:t xml:space="preserve"> a</w:t>
      </w:r>
      <w:r>
        <w:rPr>
          <w:i/>
          <w:color w:val="000000"/>
          <w:sz w:val="22"/>
          <w:szCs w:val="22"/>
        </w:rPr>
        <w:t xml:space="preserve"> Commission order.  </w:t>
      </w:r>
      <w:r w:rsidR="0002251E" w:rsidRPr="0002251E">
        <w:rPr>
          <w:color w:val="000000"/>
          <w:sz w:val="22"/>
          <w:szCs w:val="22"/>
        </w:rPr>
        <w:t xml:space="preserve">We </w:t>
      </w:r>
      <w:r w:rsidR="00EF6A14">
        <w:rPr>
          <w:color w:val="000000"/>
          <w:sz w:val="22"/>
          <w:szCs w:val="22"/>
        </w:rPr>
        <w:t xml:space="preserve">hereby </w:t>
      </w:r>
      <w:r w:rsidR="0002251E" w:rsidRPr="0002251E">
        <w:rPr>
          <w:noProof/>
          <w:color w:val="000000"/>
          <w:sz w:val="22"/>
          <w:szCs w:val="22"/>
        </w:rPr>
        <w:drawing>
          <wp:inline distT="0" distB="0" distL="0" distR="0" wp14:anchorId="061A0A2C" wp14:editId="3004DB8E">
            <wp:extent cx="9525" cy="9525"/>
            <wp:effectExtent l="0" t="0" r="0" b="0"/>
            <wp:docPr id="34" name="Picture 34" descr="previous hit">
              <a:hlinkClick xmlns:a="http://schemas.openxmlformats.org/drawingml/2006/main" r:id="rId11"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previous hit">
                      <a:hlinkClick r:id="rId11" tgtFrame="&quot;_to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51E" w:rsidRPr="0002251E">
        <w:rPr>
          <w:color w:val="000000"/>
          <w:sz w:val="22"/>
          <w:szCs w:val="22"/>
        </w:rPr>
        <w:t>admonish</w:t>
      </w:r>
      <w:r w:rsidR="0002251E" w:rsidRPr="0002251E">
        <w:rPr>
          <w:noProof/>
          <w:color w:val="000000"/>
          <w:sz w:val="22"/>
          <w:szCs w:val="22"/>
        </w:rPr>
        <w:drawing>
          <wp:inline distT="0" distB="0" distL="0" distR="0" wp14:anchorId="45679873" wp14:editId="325040A8">
            <wp:extent cx="9525" cy="9525"/>
            <wp:effectExtent l="0" t="0" r="0" b="0"/>
            <wp:docPr id="33" name="Picture 33" descr="next 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next hit">
                      <a:hlinkClick r:id="rId10"/>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51E" w:rsidRPr="0002251E">
        <w:rPr>
          <w:color w:val="000000"/>
          <w:sz w:val="22"/>
          <w:szCs w:val="22"/>
        </w:rPr>
        <w:t xml:space="preserve"> </w:t>
      </w:r>
      <w:r w:rsidR="0002251E">
        <w:rPr>
          <w:color w:val="000000"/>
          <w:sz w:val="22"/>
          <w:szCs w:val="22"/>
        </w:rPr>
        <w:t>AJB</w:t>
      </w:r>
      <w:r w:rsidR="0002251E" w:rsidRPr="0002251E">
        <w:rPr>
          <w:color w:val="000000"/>
          <w:sz w:val="22"/>
          <w:szCs w:val="22"/>
        </w:rPr>
        <w:t xml:space="preserve"> for its </w:t>
      </w:r>
      <w:r w:rsidR="0002251E" w:rsidRPr="0002251E">
        <w:rPr>
          <w:noProof/>
          <w:color w:val="000000"/>
          <w:sz w:val="22"/>
          <w:szCs w:val="22"/>
        </w:rPr>
        <w:drawing>
          <wp:inline distT="0" distB="0" distL="0" distR="0" wp14:anchorId="4BCD2E71" wp14:editId="197B94D9">
            <wp:extent cx="9525" cy="9525"/>
            <wp:effectExtent l="0" t="0" r="0" b="0"/>
            <wp:docPr id="32" name="Picture 32" descr="previous hi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previous hit">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51E" w:rsidRPr="0002251E">
        <w:rPr>
          <w:color w:val="000000"/>
          <w:sz w:val="22"/>
          <w:szCs w:val="22"/>
        </w:rPr>
        <w:t>failure</w:t>
      </w:r>
      <w:r w:rsidR="0002251E" w:rsidRPr="0002251E">
        <w:rPr>
          <w:noProof/>
          <w:color w:val="000000"/>
          <w:sz w:val="22"/>
          <w:szCs w:val="22"/>
        </w:rPr>
        <w:drawing>
          <wp:inline distT="0" distB="0" distL="0" distR="0" wp14:anchorId="3509FC9C" wp14:editId="5B2CB3DA">
            <wp:extent cx="9525" cy="9525"/>
            <wp:effectExtent l="0" t="0" r="0" b="0"/>
            <wp:docPr id="31" name="Picture 31" descr="next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next hit">
                      <a:hlinkClick r:id="rId13"/>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51E" w:rsidRPr="0002251E">
        <w:rPr>
          <w:color w:val="000000"/>
          <w:sz w:val="22"/>
          <w:szCs w:val="22"/>
        </w:rPr>
        <w:t xml:space="preserve"> to </w:t>
      </w:r>
      <w:r w:rsidR="0002251E" w:rsidRPr="0002251E">
        <w:rPr>
          <w:noProof/>
          <w:color w:val="000000"/>
          <w:sz w:val="22"/>
          <w:szCs w:val="22"/>
        </w:rPr>
        <w:drawing>
          <wp:inline distT="0" distB="0" distL="0" distR="0" wp14:anchorId="5CFCA176" wp14:editId="62CB21F4">
            <wp:extent cx="9525" cy="9525"/>
            <wp:effectExtent l="0" t="0" r="0" b="0"/>
            <wp:docPr id="30" name="Picture 30" descr="previous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previous hit">
                      <a:hlinkClick r:id="rId14"/>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51E" w:rsidRPr="0002251E">
        <w:rPr>
          <w:color w:val="000000"/>
          <w:sz w:val="22"/>
          <w:szCs w:val="22"/>
        </w:rPr>
        <w:t>comply</w:t>
      </w:r>
      <w:r w:rsidR="0002251E" w:rsidRPr="0002251E">
        <w:rPr>
          <w:noProof/>
          <w:color w:val="000000"/>
          <w:sz w:val="22"/>
          <w:szCs w:val="22"/>
        </w:rPr>
        <w:drawing>
          <wp:inline distT="0" distB="0" distL="0" distR="0" wp14:anchorId="25E271AC" wp14:editId="7B2F99C4">
            <wp:extent cx="9525" cy="9525"/>
            <wp:effectExtent l="0" t="0" r="0" b="0"/>
            <wp:docPr id="29" name="Picture 29" descr="next hi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next hit">
                      <a:hlinkClick r:id="rId1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02251E" w:rsidRPr="0002251E">
        <w:rPr>
          <w:color w:val="000000"/>
          <w:sz w:val="22"/>
          <w:szCs w:val="22"/>
        </w:rPr>
        <w:t xml:space="preserve"> with the </w:t>
      </w:r>
      <w:bookmarkStart w:id="1" w:name="ctx4"/>
      <w:bookmarkEnd w:id="1"/>
      <w:r w:rsidR="0037183D" w:rsidRPr="00A21ADE">
        <w:rPr>
          <w:i/>
          <w:color w:val="000000"/>
          <w:sz w:val="22"/>
          <w:szCs w:val="22"/>
        </w:rPr>
        <w:t>KWSA Modification Order</w:t>
      </w:r>
      <w:r w:rsidR="0002251E" w:rsidRPr="0002251E">
        <w:rPr>
          <w:color w:val="000000"/>
          <w:sz w:val="22"/>
          <w:szCs w:val="22"/>
        </w:rPr>
        <w:t>.</w:t>
      </w:r>
      <w:bookmarkStart w:id="2" w:name="a0d6f7q9u4_ref"/>
      <w:bookmarkEnd w:id="2"/>
      <w:r w:rsidR="0037183D">
        <w:rPr>
          <w:rStyle w:val="FootnoteReference"/>
          <w:color w:val="000000"/>
          <w:sz w:val="22"/>
          <w:szCs w:val="22"/>
        </w:rPr>
        <w:footnoteReference w:id="47"/>
      </w:r>
      <w:r w:rsidR="0002251E" w:rsidRPr="0002251E">
        <w:rPr>
          <w:color w:val="000000"/>
          <w:sz w:val="22"/>
          <w:szCs w:val="22"/>
        </w:rPr>
        <w:t xml:space="preserve"> </w:t>
      </w:r>
      <w:bookmarkStart w:id="3" w:name="a0d6f7q9u4_reffirst_footref"/>
      <w:bookmarkEnd w:id="3"/>
      <w:r w:rsidR="0002251E">
        <w:rPr>
          <w:color w:val="000000"/>
          <w:sz w:val="22"/>
          <w:szCs w:val="22"/>
        </w:rPr>
        <w:t xml:space="preserve"> </w:t>
      </w:r>
      <w:r w:rsidR="0002251E" w:rsidRPr="0002251E">
        <w:rPr>
          <w:color w:val="000000"/>
          <w:sz w:val="22"/>
          <w:szCs w:val="22"/>
        </w:rPr>
        <w:t xml:space="preserve">Non-hearing actions taken pursuant to delegated authority, including the </w:t>
      </w:r>
      <w:r w:rsidR="00A21ADE" w:rsidRPr="00A21ADE">
        <w:rPr>
          <w:i/>
          <w:color w:val="000000"/>
          <w:sz w:val="22"/>
          <w:szCs w:val="22"/>
        </w:rPr>
        <w:t>KWSA Modification Order</w:t>
      </w:r>
      <w:r w:rsidR="0002251E" w:rsidRPr="0002251E">
        <w:rPr>
          <w:color w:val="000000"/>
          <w:sz w:val="22"/>
          <w:szCs w:val="22"/>
        </w:rPr>
        <w:t>, are effective upon release, unless otherwise ordered by the designated authority</w:t>
      </w:r>
      <w:bookmarkStart w:id="4" w:name="a0d6f7q9u6_ref"/>
      <w:bookmarkStart w:id="5" w:name="a0d6f7q9u6_reffirst_footref"/>
      <w:bookmarkEnd w:id="4"/>
      <w:bookmarkEnd w:id="5"/>
      <w:r w:rsidR="0037183D">
        <w:rPr>
          <w:color w:val="000000"/>
          <w:sz w:val="22"/>
          <w:szCs w:val="22"/>
        </w:rPr>
        <w:t>.</w:t>
      </w:r>
      <w:r w:rsidR="0037183D">
        <w:rPr>
          <w:rStyle w:val="FootnoteReference"/>
          <w:color w:val="000000"/>
          <w:sz w:val="22"/>
          <w:szCs w:val="22"/>
        </w:rPr>
        <w:footnoteReference w:id="48"/>
      </w:r>
      <w:r w:rsidR="0037183D">
        <w:rPr>
          <w:color w:val="000000"/>
          <w:sz w:val="22"/>
          <w:szCs w:val="22"/>
        </w:rPr>
        <w:t xml:space="preserve">  </w:t>
      </w:r>
      <w:r w:rsidR="0002251E" w:rsidRPr="0002251E">
        <w:rPr>
          <w:color w:val="000000"/>
          <w:sz w:val="22"/>
          <w:szCs w:val="22"/>
        </w:rPr>
        <w:t xml:space="preserve">The </w:t>
      </w:r>
      <w:r w:rsidR="00A21ADE" w:rsidRPr="00A21ADE">
        <w:rPr>
          <w:i/>
          <w:color w:val="000000"/>
          <w:sz w:val="22"/>
          <w:szCs w:val="22"/>
        </w:rPr>
        <w:t>KWSA Modification Order</w:t>
      </w:r>
      <w:r w:rsidR="0002251E" w:rsidRPr="0002251E">
        <w:rPr>
          <w:color w:val="000000"/>
          <w:sz w:val="22"/>
          <w:szCs w:val="22"/>
        </w:rPr>
        <w:t xml:space="preserve"> required </w:t>
      </w:r>
      <w:r w:rsidR="0037183D">
        <w:rPr>
          <w:color w:val="000000"/>
          <w:sz w:val="22"/>
          <w:szCs w:val="22"/>
        </w:rPr>
        <w:t>AJB to file a modification application specifying operation on Channel 224A</w:t>
      </w:r>
      <w:r w:rsidR="00D055B3">
        <w:rPr>
          <w:color w:val="000000"/>
          <w:sz w:val="22"/>
          <w:szCs w:val="22"/>
        </w:rPr>
        <w:t xml:space="preserve"> within 30 days from the effective date of th</w:t>
      </w:r>
      <w:r w:rsidR="004A6525">
        <w:rPr>
          <w:color w:val="000000"/>
          <w:sz w:val="22"/>
          <w:szCs w:val="22"/>
        </w:rPr>
        <w:t>at</w:t>
      </w:r>
      <w:r w:rsidR="00D055B3">
        <w:rPr>
          <w:color w:val="000000"/>
          <w:sz w:val="22"/>
          <w:szCs w:val="22"/>
        </w:rPr>
        <w:t xml:space="preserve"> </w:t>
      </w:r>
      <w:r w:rsidR="00D055B3">
        <w:rPr>
          <w:i/>
          <w:color w:val="000000"/>
          <w:sz w:val="22"/>
          <w:szCs w:val="22"/>
        </w:rPr>
        <w:t>Order</w:t>
      </w:r>
      <w:r w:rsidR="0037183D">
        <w:rPr>
          <w:color w:val="000000"/>
          <w:sz w:val="22"/>
          <w:szCs w:val="22"/>
        </w:rPr>
        <w:t xml:space="preserve">.  </w:t>
      </w:r>
      <w:r w:rsidR="00D055B3">
        <w:rPr>
          <w:color w:val="000000"/>
          <w:sz w:val="22"/>
          <w:szCs w:val="22"/>
        </w:rPr>
        <w:t>I</w:t>
      </w:r>
      <w:r w:rsidR="00B03C56">
        <w:rPr>
          <w:color w:val="000000"/>
          <w:sz w:val="22"/>
          <w:szCs w:val="22"/>
        </w:rPr>
        <w:t>t appears that although AJB initiated an application in CDBS, the filing fee was not paid</w:t>
      </w:r>
      <w:r w:rsidR="00D055B3">
        <w:rPr>
          <w:color w:val="000000"/>
          <w:sz w:val="22"/>
          <w:szCs w:val="22"/>
        </w:rPr>
        <w:t>,</w:t>
      </w:r>
      <w:r w:rsidR="00B03C56" w:rsidRPr="00B03C56">
        <w:rPr>
          <w:color w:val="000000"/>
          <w:sz w:val="22"/>
          <w:szCs w:val="22"/>
        </w:rPr>
        <w:t xml:space="preserve"> </w:t>
      </w:r>
      <w:r w:rsidR="00B03C56">
        <w:rPr>
          <w:color w:val="000000"/>
          <w:sz w:val="22"/>
          <w:szCs w:val="22"/>
        </w:rPr>
        <w:t>and the application was accordingly not accepted for filing</w:t>
      </w:r>
      <w:r w:rsidR="00EF6A14">
        <w:rPr>
          <w:color w:val="000000"/>
          <w:sz w:val="22"/>
          <w:szCs w:val="22"/>
        </w:rPr>
        <w:t xml:space="preserve">.  This failure to comply with a Commission order is not excused by AJB’s explanation </w:t>
      </w:r>
      <w:r w:rsidR="0037183D">
        <w:rPr>
          <w:color w:val="000000"/>
          <w:sz w:val="22"/>
          <w:szCs w:val="22"/>
        </w:rPr>
        <w:t xml:space="preserve">that it expected Valleydale to pay the filing fee.  </w:t>
      </w:r>
      <w:r w:rsidR="00266C50">
        <w:rPr>
          <w:color w:val="000000"/>
          <w:sz w:val="22"/>
          <w:szCs w:val="22"/>
        </w:rPr>
        <w:t>Our well established</w:t>
      </w:r>
      <w:r w:rsidR="00D055B3">
        <w:rPr>
          <w:color w:val="000000"/>
          <w:sz w:val="22"/>
          <w:szCs w:val="22"/>
        </w:rPr>
        <w:t xml:space="preserve"> case law on this point—</w:t>
      </w:r>
      <w:r w:rsidR="00B03C56">
        <w:rPr>
          <w:color w:val="000000"/>
          <w:sz w:val="22"/>
          <w:szCs w:val="22"/>
        </w:rPr>
        <w:t>as well as the</w:t>
      </w:r>
      <w:r>
        <w:rPr>
          <w:color w:val="000000"/>
          <w:sz w:val="22"/>
          <w:szCs w:val="22"/>
        </w:rPr>
        <w:t xml:space="preserve"> plain meaning of the word “reimbursement</w:t>
      </w:r>
      <w:r w:rsidR="00D055B3">
        <w:rPr>
          <w:color w:val="000000"/>
          <w:sz w:val="22"/>
          <w:szCs w:val="22"/>
        </w:rPr>
        <w:t>”</w:t>
      </w:r>
      <w:r w:rsidR="00D055B3">
        <w:rPr>
          <w:rStyle w:val="FootnoteReference"/>
          <w:color w:val="000000"/>
          <w:sz w:val="22"/>
          <w:szCs w:val="22"/>
        </w:rPr>
        <w:footnoteReference w:id="49"/>
      </w:r>
      <w:r w:rsidR="00D055B3">
        <w:rPr>
          <w:color w:val="000000"/>
          <w:sz w:val="22"/>
          <w:szCs w:val="22"/>
        </w:rPr>
        <w:t>—</w:t>
      </w:r>
      <w:r w:rsidR="000C09C1">
        <w:rPr>
          <w:color w:val="000000"/>
          <w:sz w:val="22"/>
          <w:szCs w:val="22"/>
        </w:rPr>
        <w:t>establishes</w:t>
      </w:r>
      <w:r w:rsidR="00D055B3">
        <w:rPr>
          <w:color w:val="000000"/>
          <w:sz w:val="22"/>
          <w:szCs w:val="22"/>
        </w:rPr>
        <w:t xml:space="preserve"> </w:t>
      </w:r>
      <w:r>
        <w:rPr>
          <w:color w:val="000000"/>
          <w:sz w:val="22"/>
          <w:szCs w:val="22"/>
        </w:rPr>
        <w:t xml:space="preserve"> </w:t>
      </w:r>
      <w:r w:rsidR="000C09C1">
        <w:rPr>
          <w:color w:val="000000"/>
          <w:sz w:val="22"/>
          <w:szCs w:val="22"/>
        </w:rPr>
        <w:t xml:space="preserve">that AJB was entitled only to </w:t>
      </w:r>
      <w:r>
        <w:rPr>
          <w:color w:val="000000"/>
          <w:sz w:val="22"/>
          <w:szCs w:val="22"/>
        </w:rPr>
        <w:t xml:space="preserve">payment of expenditures </w:t>
      </w:r>
      <w:r w:rsidR="00266C50" w:rsidRPr="00266C50">
        <w:rPr>
          <w:i/>
          <w:color w:val="000000"/>
          <w:sz w:val="22"/>
          <w:szCs w:val="22"/>
        </w:rPr>
        <w:t>already incurred</w:t>
      </w:r>
      <w:r>
        <w:rPr>
          <w:color w:val="000000"/>
          <w:sz w:val="22"/>
          <w:szCs w:val="22"/>
        </w:rPr>
        <w:t>, as AJB, a longtime broadcaster with experienced counsel, should be well aware.</w:t>
      </w:r>
      <w:r>
        <w:rPr>
          <w:rStyle w:val="FootnoteReference"/>
          <w:color w:val="000000"/>
          <w:sz w:val="22"/>
          <w:szCs w:val="22"/>
        </w:rPr>
        <w:footnoteReference w:id="50"/>
      </w:r>
      <w:r>
        <w:rPr>
          <w:color w:val="000000"/>
          <w:sz w:val="22"/>
          <w:szCs w:val="22"/>
        </w:rPr>
        <w:t xml:space="preserve">  </w:t>
      </w:r>
    </w:p>
    <w:p w14:paraId="7AF957E3" w14:textId="77777777" w:rsidR="00D3581C" w:rsidRPr="0024515F" w:rsidRDefault="00A61997" w:rsidP="00E10561">
      <w:pPr>
        <w:spacing w:before="120"/>
        <w:ind w:right="-360" w:firstLine="720"/>
        <w:rPr>
          <w:i/>
          <w:color w:val="000000"/>
          <w:sz w:val="22"/>
          <w:szCs w:val="22"/>
        </w:rPr>
      </w:pPr>
      <w:r>
        <w:rPr>
          <w:i/>
          <w:color w:val="000000"/>
          <w:sz w:val="22"/>
          <w:szCs w:val="22"/>
        </w:rPr>
        <w:t xml:space="preserve">Reimbursement requirement.  </w:t>
      </w:r>
      <w:r w:rsidR="00DF412D">
        <w:rPr>
          <w:color w:val="000000"/>
          <w:sz w:val="22"/>
          <w:szCs w:val="22"/>
        </w:rPr>
        <w:t xml:space="preserve">Under </w:t>
      </w:r>
      <w:r w:rsidR="00DF412D">
        <w:rPr>
          <w:i/>
          <w:color w:val="000000"/>
          <w:sz w:val="22"/>
          <w:szCs w:val="22"/>
        </w:rPr>
        <w:t xml:space="preserve">Circleville </w:t>
      </w:r>
      <w:r w:rsidR="00DF412D">
        <w:rPr>
          <w:color w:val="000000"/>
          <w:sz w:val="22"/>
          <w:szCs w:val="22"/>
        </w:rPr>
        <w:t>and subsequent cases, d</w:t>
      </w:r>
      <w:r w:rsidR="00B17992" w:rsidRPr="0024515F">
        <w:rPr>
          <w:color w:val="000000"/>
          <w:sz w:val="22"/>
          <w:szCs w:val="22"/>
        </w:rPr>
        <w:t xml:space="preserve">etermination of what constitutes legitimate and prudent expenses for reimbursement is left to the expeditious good faith negotiation of the </w:t>
      </w:r>
      <w:r w:rsidR="00BA6453" w:rsidRPr="0024515F">
        <w:rPr>
          <w:color w:val="000000"/>
          <w:sz w:val="22"/>
          <w:szCs w:val="22"/>
        </w:rPr>
        <w:t>parties, subject to Commission adjudication</w:t>
      </w:r>
      <w:r w:rsidR="00B17992" w:rsidRPr="0024515F">
        <w:rPr>
          <w:color w:val="000000"/>
          <w:sz w:val="22"/>
          <w:szCs w:val="22"/>
        </w:rPr>
        <w:t xml:space="preserve"> if the parties are unable to reach agreement</w:t>
      </w:r>
      <w:r w:rsidR="00CF780E" w:rsidRPr="0024515F">
        <w:rPr>
          <w:color w:val="000000"/>
          <w:sz w:val="22"/>
          <w:szCs w:val="22"/>
        </w:rPr>
        <w:t xml:space="preserve"> or</w:t>
      </w:r>
      <w:r w:rsidR="00B17992" w:rsidRPr="0024515F">
        <w:rPr>
          <w:color w:val="000000"/>
          <w:sz w:val="22"/>
          <w:szCs w:val="22"/>
        </w:rPr>
        <w:t xml:space="preserve"> to</w:t>
      </w:r>
      <w:r w:rsidR="00CF780E" w:rsidRPr="0024515F">
        <w:rPr>
          <w:color w:val="000000"/>
          <w:sz w:val="22"/>
          <w:szCs w:val="22"/>
        </w:rPr>
        <w:t xml:space="preserve"> </w:t>
      </w:r>
      <w:r w:rsidR="00BA6453" w:rsidRPr="0024515F">
        <w:rPr>
          <w:color w:val="000000"/>
          <w:sz w:val="22"/>
          <w:szCs w:val="22"/>
        </w:rPr>
        <w:t>enter into</w:t>
      </w:r>
      <w:r w:rsidR="00CF780E" w:rsidRPr="0024515F">
        <w:rPr>
          <w:color w:val="000000"/>
          <w:sz w:val="22"/>
          <w:szCs w:val="22"/>
        </w:rPr>
        <w:t xml:space="preserve"> binding arbitration.</w:t>
      </w:r>
      <w:r w:rsidR="00CF780E" w:rsidRPr="0024515F">
        <w:rPr>
          <w:rStyle w:val="FootnoteReference"/>
          <w:color w:val="000000"/>
          <w:sz w:val="22"/>
          <w:szCs w:val="22"/>
        </w:rPr>
        <w:footnoteReference w:id="51"/>
      </w:r>
      <w:r w:rsidR="00CF780E" w:rsidRPr="0024515F">
        <w:rPr>
          <w:color w:val="000000"/>
          <w:sz w:val="22"/>
          <w:szCs w:val="22"/>
        </w:rPr>
        <w:t xml:space="preserve">  </w:t>
      </w:r>
      <w:r w:rsidR="00B17992" w:rsidRPr="0024515F">
        <w:rPr>
          <w:color w:val="000000"/>
          <w:sz w:val="22"/>
          <w:szCs w:val="22"/>
        </w:rPr>
        <w:t xml:space="preserve">In this case, </w:t>
      </w:r>
      <w:r w:rsidR="00A116D3">
        <w:rPr>
          <w:color w:val="000000"/>
          <w:sz w:val="22"/>
          <w:szCs w:val="22"/>
        </w:rPr>
        <w:t>Valleydale</w:t>
      </w:r>
      <w:r w:rsidR="00E10561">
        <w:rPr>
          <w:color w:val="000000"/>
          <w:sz w:val="22"/>
          <w:szCs w:val="22"/>
        </w:rPr>
        <w:t xml:space="preserve"> </w:t>
      </w:r>
      <w:r>
        <w:rPr>
          <w:color w:val="000000"/>
          <w:sz w:val="22"/>
          <w:szCs w:val="22"/>
        </w:rPr>
        <w:t xml:space="preserve">has </w:t>
      </w:r>
      <w:r w:rsidR="006F1672" w:rsidRPr="0024515F">
        <w:rPr>
          <w:color w:val="000000"/>
          <w:sz w:val="22"/>
          <w:szCs w:val="22"/>
        </w:rPr>
        <w:t xml:space="preserve">committed to reimburse </w:t>
      </w:r>
      <w:r w:rsidR="00A116D3">
        <w:rPr>
          <w:color w:val="000000"/>
          <w:sz w:val="22"/>
          <w:szCs w:val="22"/>
        </w:rPr>
        <w:t>AJB</w:t>
      </w:r>
      <w:r w:rsidR="006F1672" w:rsidRPr="0024515F">
        <w:rPr>
          <w:color w:val="000000"/>
          <w:sz w:val="22"/>
          <w:szCs w:val="22"/>
        </w:rPr>
        <w:t xml:space="preserve"> for any reasonable and prudent expenses incurred in th</w:t>
      </w:r>
      <w:r w:rsidR="00233B86" w:rsidRPr="0024515F">
        <w:rPr>
          <w:color w:val="000000"/>
          <w:sz w:val="22"/>
          <w:szCs w:val="22"/>
        </w:rPr>
        <w:t>e proposed channel change</w:t>
      </w:r>
      <w:r w:rsidR="00BB7D4A" w:rsidRPr="0024515F">
        <w:rPr>
          <w:color w:val="000000"/>
          <w:sz w:val="22"/>
          <w:szCs w:val="22"/>
        </w:rPr>
        <w:t>.</w:t>
      </w:r>
      <w:r w:rsidR="00BB7D4A" w:rsidRPr="0024515F">
        <w:rPr>
          <w:rStyle w:val="FootnoteReference"/>
          <w:color w:val="000000"/>
          <w:sz w:val="22"/>
          <w:szCs w:val="22"/>
        </w:rPr>
        <w:footnoteReference w:id="52"/>
      </w:r>
      <w:r w:rsidR="00BB7D4A" w:rsidRPr="0024515F">
        <w:rPr>
          <w:color w:val="000000"/>
          <w:sz w:val="22"/>
          <w:szCs w:val="22"/>
        </w:rPr>
        <w:t xml:space="preserve">  </w:t>
      </w:r>
      <w:r w:rsidR="00482F04" w:rsidRPr="0024515F">
        <w:rPr>
          <w:color w:val="000000"/>
          <w:sz w:val="22"/>
          <w:szCs w:val="22"/>
        </w:rPr>
        <w:t xml:space="preserve">Therefore, </w:t>
      </w:r>
      <w:r w:rsidR="00BA6453" w:rsidRPr="0024515F">
        <w:rPr>
          <w:color w:val="000000"/>
          <w:sz w:val="22"/>
          <w:szCs w:val="22"/>
        </w:rPr>
        <w:t xml:space="preserve">following the policy set out in </w:t>
      </w:r>
      <w:r w:rsidR="00BA6453" w:rsidRPr="0024515F">
        <w:rPr>
          <w:i/>
          <w:color w:val="000000"/>
          <w:sz w:val="22"/>
          <w:szCs w:val="22"/>
        </w:rPr>
        <w:t>Circleville</w:t>
      </w:r>
      <w:r w:rsidR="00BA6453" w:rsidRPr="0024515F">
        <w:rPr>
          <w:color w:val="000000"/>
          <w:sz w:val="22"/>
          <w:szCs w:val="22"/>
        </w:rPr>
        <w:t>,</w:t>
      </w:r>
      <w:r w:rsidR="00BA6453" w:rsidRPr="0024515F">
        <w:rPr>
          <w:i/>
          <w:color w:val="000000"/>
          <w:sz w:val="22"/>
          <w:szCs w:val="22"/>
        </w:rPr>
        <w:t xml:space="preserve"> </w:t>
      </w:r>
      <w:r w:rsidR="001E786D" w:rsidRPr="0024515F">
        <w:rPr>
          <w:color w:val="000000"/>
          <w:sz w:val="22"/>
          <w:szCs w:val="22"/>
        </w:rPr>
        <w:t xml:space="preserve">we </w:t>
      </w:r>
      <w:r w:rsidR="002F5956" w:rsidRPr="0024515F">
        <w:rPr>
          <w:color w:val="000000"/>
          <w:sz w:val="22"/>
          <w:szCs w:val="22"/>
        </w:rPr>
        <w:t xml:space="preserve">will </w:t>
      </w:r>
      <w:r w:rsidR="00BA6453" w:rsidRPr="0024515F">
        <w:rPr>
          <w:color w:val="000000"/>
          <w:sz w:val="22"/>
          <w:szCs w:val="22"/>
        </w:rPr>
        <w:t>grant the Application</w:t>
      </w:r>
      <w:r w:rsidR="00A116D3">
        <w:rPr>
          <w:color w:val="000000"/>
          <w:sz w:val="22"/>
          <w:szCs w:val="22"/>
        </w:rPr>
        <w:t xml:space="preserve"> and require Valleydale</w:t>
      </w:r>
      <w:r w:rsidR="001B0E68" w:rsidRPr="0024515F">
        <w:rPr>
          <w:color w:val="000000"/>
          <w:sz w:val="22"/>
          <w:szCs w:val="22"/>
        </w:rPr>
        <w:t xml:space="preserve"> to </w:t>
      </w:r>
      <w:r w:rsidR="00DE1672">
        <w:rPr>
          <w:color w:val="000000"/>
          <w:sz w:val="22"/>
          <w:szCs w:val="22"/>
        </w:rPr>
        <w:t xml:space="preserve">enter into negotiations to </w:t>
      </w:r>
      <w:r w:rsidR="001B0E68" w:rsidRPr="0024515F">
        <w:rPr>
          <w:color w:val="000000"/>
          <w:sz w:val="22"/>
          <w:szCs w:val="22"/>
        </w:rPr>
        <w:t xml:space="preserve">reimburse </w:t>
      </w:r>
      <w:r w:rsidR="00A116D3">
        <w:rPr>
          <w:color w:val="000000"/>
          <w:sz w:val="22"/>
          <w:szCs w:val="22"/>
        </w:rPr>
        <w:t>AJB</w:t>
      </w:r>
      <w:r w:rsidR="001B0E68" w:rsidRPr="0024515F">
        <w:rPr>
          <w:color w:val="000000"/>
          <w:sz w:val="22"/>
          <w:szCs w:val="22"/>
        </w:rPr>
        <w:t xml:space="preserve"> for </w:t>
      </w:r>
      <w:r w:rsidR="0024515F">
        <w:rPr>
          <w:color w:val="000000"/>
          <w:sz w:val="22"/>
          <w:szCs w:val="22"/>
        </w:rPr>
        <w:t xml:space="preserve">the </w:t>
      </w:r>
      <w:r>
        <w:rPr>
          <w:color w:val="000000"/>
          <w:sz w:val="22"/>
          <w:szCs w:val="22"/>
        </w:rPr>
        <w:t>reasonable and prudent expenses</w:t>
      </w:r>
      <w:r w:rsidR="00A116D3" w:rsidRPr="00A61997">
        <w:rPr>
          <w:color w:val="000000"/>
          <w:sz w:val="22"/>
          <w:szCs w:val="22"/>
        </w:rPr>
        <w:t xml:space="preserve"> </w:t>
      </w:r>
      <w:r w:rsidR="001B0E68" w:rsidRPr="00A61997">
        <w:rPr>
          <w:color w:val="000000"/>
          <w:sz w:val="22"/>
          <w:szCs w:val="22"/>
        </w:rPr>
        <w:t>incurred i</w:t>
      </w:r>
      <w:r w:rsidR="001B0E68" w:rsidRPr="0024515F">
        <w:rPr>
          <w:color w:val="000000"/>
          <w:sz w:val="22"/>
          <w:szCs w:val="22"/>
        </w:rPr>
        <w:t>n</w:t>
      </w:r>
      <w:r w:rsidR="00347580">
        <w:rPr>
          <w:color w:val="000000"/>
          <w:sz w:val="22"/>
          <w:szCs w:val="22"/>
        </w:rPr>
        <w:t xml:space="preserve"> implementing</w:t>
      </w:r>
      <w:r w:rsidR="001B0E68" w:rsidRPr="0024515F">
        <w:rPr>
          <w:color w:val="000000"/>
          <w:sz w:val="22"/>
          <w:szCs w:val="22"/>
        </w:rPr>
        <w:t xml:space="preserve"> the proposed channel changes</w:t>
      </w:r>
      <w:r w:rsidR="00BA6453" w:rsidRPr="0024515F">
        <w:rPr>
          <w:color w:val="000000"/>
          <w:sz w:val="22"/>
          <w:szCs w:val="22"/>
        </w:rPr>
        <w:t>.</w:t>
      </w:r>
    </w:p>
    <w:p w14:paraId="4AAD8C2F" w14:textId="6C22CFBC" w:rsidR="008B501D" w:rsidRDefault="00DB71AE" w:rsidP="006A318A">
      <w:pPr>
        <w:spacing w:before="120"/>
        <w:ind w:firstLine="720"/>
        <w:rPr>
          <w:sz w:val="22"/>
          <w:szCs w:val="22"/>
        </w:rPr>
      </w:pPr>
      <w:r w:rsidRPr="0024515F">
        <w:rPr>
          <w:b/>
          <w:spacing w:val="-2"/>
          <w:sz w:val="22"/>
          <w:szCs w:val="22"/>
        </w:rPr>
        <w:t>Conclusion</w:t>
      </w:r>
      <w:r w:rsidRPr="0024515F">
        <w:rPr>
          <w:spacing w:val="-2"/>
          <w:sz w:val="22"/>
          <w:szCs w:val="22"/>
        </w:rPr>
        <w:t>/</w:t>
      </w:r>
      <w:r w:rsidRPr="0024515F">
        <w:rPr>
          <w:b/>
          <w:spacing w:val="-2"/>
          <w:sz w:val="22"/>
          <w:szCs w:val="22"/>
        </w:rPr>
        <w:t>Actions</w:t>
      </w:r>
      <w:r w:rsidR="003A3C89" w:rsidRPr="0024515F">
        <w:rPr>
          <w:spacing w:val="-2"/>
          <w:sz w:val="22"/>
          <w:szCs w:val="22"/>
        </w:rPr>
        <w:t xml:space="preserve">. </w:t>
      </w:r>
      <w:r w:rsidRPr="0024515F">
        <w:rPr>
          <w:spacing w:val="-2"/>
          <w:sz w:val="22"/>
          <w:szCs w:val="22"/>
        </w:rPr>
        <w:t xml:space="preserve"> </w:t>
      </w:r>
      <w:r w:rsidR="00E27EC2" w:rsidRPr="0024515F">
        <w:rPr>
          <w:spacing w:val="-2"/>
          <w:sz w:val="22"/>
          <w:szCs w:val="22"/>
        </w:rPr>
        <w:t>Accordingly, IT IS ORDERED t</w:t>
      </w:r>
      <w:r w:rsidR="00E27EC2" w:rsidRPr="0024515F">
        <w:rPr>
          <w:sz w:val="22"/>
          <w:szCs w:val="22"/>
        </w:rPr>
        <w:t xml:space="preserve">hat the </w:t>
      </w:r>
      <w:r w:rsidR="008B501D" w:rsidRPr="0024515F">
        <w:rPr>
          <w:sz w:val="22"/>
          <w:szCs w:val="22"/>
        </w:rPr>
        <w:t xml:space="preserve">minor change application filed on </w:t>
      </w:r>
      <w:r w:rsidR="000A4E9B">
        <w:rPr>
          <w:sz w:val="22"/>
          <w:szCs w:val="22"/>
        </w:rPr>
        <w:t>August 21, 2015</w:t>
      </w:r>
      <w:r w:rsidR="008B501D" w:rsidRPr="0024515F">
        <w:rPr>
          <w:sz w:val="22"/>
          <w:szCs w:val="22"/>
        </w:rPr>
        <w:t xml:space="preserve">, by </w:t>
      </w:r>
      <w:r w:rsidR="000A4E9B">
        <w:rPr>
          <w:sz w:val="22"/>
          <w:szCs w:val="22"/>
        </w:rPr>
        <w:t>Valley Broadcasting, LLC</w:t>
      </w:r>
      <w:r w:rsidR="008B501D" w:rsidRPr="0024515F">
        <w:rPr>
          <w:sz w:val="22"/>
          <w:szCs w:val="22"/>
        </w:rPr>
        <w:t xml:space="preserve"> (File No. BPH-</w:t>
      </w:r>
      <w:r w:rsidR="000A4E9B">
        <w:rPr>
          <w:sz w:val="22"/>
          <w:szCs w:val="22"/>
        </w:rPr>
        <w:t>20150821ABK</w:t>
      </w:r>
      <w:r w:rsidR="008B501D" w:rsidRPr="0024515F">
        <w:rPr>
          <w:sz w:val="22"/>
          <w:szCs w:val="22"/>
        </w:rPr>
        <w:t xml:space="preserve">) IS GRANTED. </w:t>
      </w:r>
    </w:p>
    <w:p w14:paraId="7EE7D67D" w14:textId="54CC8CD7" w:rsidR="00A3729A" w:rsidRDefault="00A3729A" w:rsidP="004D79BE">
      <w:pPr>
        <w:spacing w:before="120"/>
        <w:ind w:firstLine="720"/>
        <w:rPr>
          <w:sz w:val="22"/>
          <w:szCs w:val="22"/>
        </w:rPr>
      </w:pPr>
      <w:r>
        <w:rPr>
          <w:sz w:val="22"/>
          <w:szCs w:val="22"/>
        </w:rPr>
        <w:t>IT IS FURTHER ORDERED that</w:t>
      </w:r>
      <w:r w:rsidR="00A979B7">
        <w:rPr>
          <w:sz w:val="22"/>
          <w:szCs w:val="22"/>
        </w:rPr>
        <w:t xml:space="preserve"> </w:t>
      </w:r>
      <w:r>
        <w:rPr>
          <w:sz w:val="22"/>
          <w:szCs w:val="22"/>
        </w:rPr>
        <w:t xml:space="preserve">the minor change application </w:t>
      </w:r>
      <w:r>
        <w:rPr>
          <w:color w:val="000000"/>
          <w:sz w:val="22"/>
          <w:szCs w:val="22"/>
        </w:rPr>
        <w:t>filed on September 2, 2015, by AJB Holdings, LLC (File No.</w:t>
      </w:r>
      <w:r w:rsidRPr="00A3729A">
        <w:rPr>
          <w:sz w:val="22"/>
          <w:szCs w:val="22"/>
        </w:rPr>
        <w:t xml:space="preserve"> </w:t>
      </w:r>
      <w:r>
        <w:rPr>
          <w:sz w:val="22"/>
          <w:szCs w:val="22"/>
        </w:rPr>
        <w:t>BPH-20150902ADY) IS DISMISSED.</w:t>
      </w:r>
      <w:r>
        <w:rPr>
          <w:color w:val="000000"/>
          <w:sz w:val="22"/>
          <w:szCs w:val="22"/>
        </w:rPr>
        <w:t xml:space="preserve"> </w:t>
      </w:r>
    </w:p>
    <w:p w14:paraId="1F1C7D70" w14:textId="77777777" w:rsidR="008B501D" w:rsidRPr="0024515F" w:rsidRDefault="003B223F" w:rsidP="004D79BE">
      <w:pPr>
        <w:spacing w:before="120"/>
        <w:ind w:firstLine="720"/>
        <w:rPr>
          <w:sz w:val="22"/>
          <w:szCs w:val="22"/>
        </w:rPr>
      </w:pPr>
      <w:r>
        <w:rPr>
          <w:sz w:val="22"/>
          <w:szCs w:val="22"/>
        </w:rPr>
        <w:t>IT IS FURTHER ORDERED</w:t>
      </w:r>
      <w:r w:rsidR="00E27EC2" w:rsidRPr="0024515F">
        <w:rPr>
          <w:sz w:val="22"/>
          <w:szCs w:val="22"/>
        </w:rPr>
        <w:t xml:space="preserve"> </w:t>
      </w:r>
      <w:r w:rsidR="008B501D" w:rsidRPr="0024515F">
        <w:rPr>
          <w:sz w:val="22"/>
          <w:szCs w:val="22"/>
        </w:rPr>
        <w:t>that</w:t>
      </w:r>
      <w:r w:rsidR="00E46447">
        <w:rPr>
          <w:sz w:val="22"/>
          <w:szCs w:val="22"/>
        </w:rPr>
        <w:t xml:space="preserve"> </w:t>
      </w:r>
      <w:r w:rsidR="008B501D" w:rsidRPr="0024515F">
        <w:rPr>
          <w:sz w:val="22"/>
          <w:szCs w:val="22"/>
        </w:rPr>
        <w:t xml:space="preserve">the license for Station </w:t>
      </w:r>
      <w:r w:rsidR="00F811DE">
        <w:rPr>
          <w:sz w:val="22"/>
          <w:szCs w:val="22"/>
        </w:rPr>
        <w:t>KWSA(FM), Price, Utah</w:t>
      </w:r>
      <w:r>
        <w:rPr>
          <w:sz w:val="22"/>
          <w:szCs w:val="22"/>
        </w:rPr>
        <w:t xml:space="preserve"> (File No.</w:t>
      </w:r>
      <w:r w:rsidR="00F811DE">
        <w:rPr>
          <w:sz w:val="22"/>
          <w:szCs w:val="22"/>
        </w:rPr>
        <w:t xml:space="preserve"> BLH-</w:t>
      </w:r>
      <w:r w:rsidR="005C25BD">
        <w:rPr>
          <w:sz w:val="22"/>
          <w:szCs w:val="22"/>
        </w:rPr>
        <w:t>20150902ADW</w:t>
      </w:r>
      <w:r w:rsidR="00F811DE">
        <w:rPr>
          <w:sz w:val="22"/>
          <w:szCs w:val="22"/>
        </w:rPr>
        <w:t>)</w:t>
      </w:r>
      <w:r w:rsidR="008B501D" w:rsidRPr="0024515F">
        <w:rPr>
          <w:sz w:val="22"/>
          <w:szCs w:val="22"/>
        </w:rPr>
        <w:t xml:space="preserve"> is modified to sp</w:t>
      </w:r>
      <w:r w:rsidR="00F811DE">
        <w:rPr>
          <w:sz w:val="22"/>
          <w:szCs w:val="22"/>
        </w:rPr>
        <w:t>ecify operation on Channel 280A</w:t>
      </w:r>
      <w:r w:rsidR="008B501D" w:rsidRPr="0024515F">
        <w:rPr>
          <w:sz w:val="22"/>
          <w:szCs w:val="22"/>
        </w:rPr>
        <w:t>, subject to the following conditions:</w:t>
      </w:r>
    </w:p>
    <w:p w14:paraId="2304E743" w14:textId="0CB0782F" w:rsidR="008B501D" w:rsidRPr="0024515F" w:rsidRDefault="00565E15" w:rsidP="0024515F">
      <w:pPr>
        <w:spacing w:before="120"/>
        <w:ind w:left="720"/>
        <w:rPr>
          <w:sz w:val="22"/>
          <w:szCs w:val="22"/>
        </w:rPr>
      </w:pPr>
      <w:r>
        <w:rPr>
          <w:sz w:val="22"/>
          <w:szCs w:val="22"/>
        </w:rPr>
        <w:t>(a) Within 30</w:t>
      </w:r>
      <w:r w:rsidR="008B501D" w:rsidRPr="0024515F">
        <w:rPr>
          <w:sz w:val="22"/>
          <w:szCs w:val="22"/>
        </w:rPr>
        <w:t xml:space="preserve"> days of the effective date of this </w:t>
      </w:r>
      <w:r w:rsidR="00A979B7">
        <w:rPr>
          <w:sz w:val="22"/>
          <w:szCs w:val="22"/>
        </w:rPr>
        <w:t>Letter</w:t>
      </w:r>
      <w:r w:rsidR="008B501D" w:rsidRPr="0024515F">
        <w:rPr>
          <w:sz w:val="22"/>
          <w:szCs w:val="22"/>
        </w:rPr>
        <w:t xml:space="preserve">, </w:t>
      </w:r>
      <w:r w:rsidR="00CE7791">
        <w:rPr>
          <w:sz w:val="22"/>
          <w:szCs w:val="22"/>
        </w:rPr>
        <w:t>AJB</w:t>
      </w:r>
      <w:r w:rsidR="008B501D" w:rsidRPr="0024515F">
        <w:rPr>
          <w:sz w:val="22"/>
          <w:szCs w:val="22"/>
        </w:rPr>
        <w:t xml:space="preserve"> shall submit to the</w:t>
      </w:r>
      <w:r w:rsidR="003B223F">
        <w:rPr>
          <w:sz w:val="22"/>
          <w:szCs w:val="22"/>
        </w:rPr>
        <w:t xml:space="preserve"> </w:t>
      </w:r>
      <w:r w:rsidR="008B501D" w:rsidRPr="0024515F">
        <w:rPr>
          <w:sz w:val="22"/>
          <w:szCs w:val="22"/>
        </w:rPr>
        <w:t>Commission a minor change application for a construction permit (Form 301), specifying</w:t>
      </w:r>
      <w:r w:rsidR="00085875" w:rsidRPr="0024515F">
        <w:rPr>
          <w:sz w:val="22"/>
          <w:szCs w:val="22"/>
        </w:rPr>
        <w:t xml:space="preserve"> </w:t>
      </w:r>
      <w:r w:rsidR="008B501D" w:rsidRPr="0024515F">
        <w:rPr>
          <w:sz w:val="22"/>
          <w:szCs w:val="22"/>
        </w:rPr>
        <w:t>the new facilities;</w:t>
      </w:r>
    </w:p>
    <w:p w14:paraId="0E28CA50" w14:textId="77777777" w:rsidR="008B501D" w:rsidRPr="0024515F" w:rsidRDefault="008B501D" w:rsidP="0024515F">
      <w:pPr>
        <w:spacing w:before="120"/>
        <w:ind w:left="720"/>
        <w:rPr>
          <w:sz w:val="22"/>
          <w:szCs w:val="22"/>
        </w:rPr>
      </w:pPr>
      <w:r w:rsidRPr="0024515F">
        <w:rPr>
          <w:sz w:val="22"/>
          <w:szCs w:val="22"/>
        </w:rPr>
        <w:t>(b) Upon grant of the construction permit, program tests may be conducted in accordance</w:t>
      </w:r>
      <w:r w:rsidR="00085875" w:rsidRPr="0024515F">
        <w:rPr>
          <w:sz w:val="22"/>
          <w:szCs w:val="22"/>
        </w:rPr>
        <w:t xml:space="preserve"> </w:t>
      </w:r>
      <w:r w:rsidR="005C25BD">
        <w:rPr>
          <w:sz w:val="22"/>
          <w:szCs w:val="22"/>
        </w:rPr>
        <w:t>with 47 CF</w:t>
      </w:r>
      <w:r w:rsidRPr="0024515F">
        <w:rPr>
          <w:sz w:val="22"/>
          <w:szCs w:val="22"/>
        </w:rPr>
        <w:t xml:space="preserve">R </w:t>
      </w:r>
      <w:r w:rsidR="005C25BD">
        <w:rPr>
          <w:sz w:val="22"/>
          <w:szCs w:val="22"/>
        </w:rPr>
        <w:t>§</w:t>
      </w:r>
      <w:r w:rsidRPr="0024515F">
        <w:rPr>
          <w:sz w:val="22"/>
          <w:szCs w:val="22"/>
        </w:rPr>
        <w:t xml:space="preserve"> 73.1620; and</w:t>
      </w:r>
    </w:p>
    <w:p w14:paraId="4DE611CA" w14:textId="77777777" w:rsidR="00E27EC2" w:rsidRPr="0024515F" w:rsidRDefault="008B501D" w:rsidP="0024515F">
      <w:pPr>
        <w:spacing w:before="120"/>
        <w:ind w:left="720"/>
        <w:rPr>
          <w:sz w:val="22"/>
          <w:szCs w:val="22"/>
        </w:rPr>
      </w:pPr>
      <w:r w:rsidRPr="0024515F">
        <w:rPr>
          <w:sz w:val="22"/>
          <w:szCs w:val="22"/>
        </w:rPr>
        <w:t>(c) Nothing contained herein shall be construed to authorize changes in transmitter location</w:t>
      </w:r>
      <w:r w:rsidR="00085875" w:rsidRPr="0024515F">
        <w:rPr>
          <w:sz w:val="22"/>
          <w:szCs w:val="22"/>
        </w:rPr>
        <w:t xml:space="preserve"> </w:t>
      </w:r>
      <w:r w:rsidRPr="0024515F">
        <w:rPr>
          <w:sz w:val="22"/>
          <w:szCs w:val="22"/>
        </w:rPr>
        <w:t>or to avoid the</w:t>
      </w:r>
      <w:r w:rsidR="00085875" w:rsidRPr="0024515F">
        <w:rPr>
          <w:sz w:val="22"/>
          <w:szCs w:val="22"/>
        </w:rPr>
        <w:t xml:space="preserve"> necessity of filing environmental a</w:t>
      </w:r>
      <w:r w:rsidR="005C25BD">
        <w:rPr>
          <w:sz w:val="22"/>
          <w:szCs w:val="22"/>
        </w:rPr>
        <w:t>ssessments pursuant to 47 CFR</w:t>
      </w:r>
      <w:r w:rsidR="00085875" w:rsidRPr="0024515F">
        <w:rPr>
          <w:sz w:val="22"/>
          <w:szCs w:val="22"/>
        </w:rPr>
        <w:t xml:space="preserve"> § 1.1307.</w:t>
      </w:r>
    </w:p>
    <w:p w14:paraId="0E454B1A" w14:textId="47DF072A" w:rsidR="003B223F" w:rsidRDefault="00085875" w:rsidP="004D79BE">
      <w:pPr>
        <w:spacing w:before="120"/>
        <w:ind w:firstLine="720"/>
        <w:rPr>
          <w:color w:val="000000"/>
          <w:sz w:val="22"/>
          <w:szCs w:val="22"/>
        </w:rPr>
      </w:pPr>
      <w:r w:rsidRPr="0024515F">
        <w:rPr>
          <w:spacing w:val="-3"/>
          <w:sz w:val="22"/>
          <w:szCs w:val="22"/>
        </w:rPr>
        <w:t xml:space="preserve">IT IS FURTHER ORDERED </w:t>
      </w:r>
      <w:r w:rsidR="0024515F">
        <w:rPr>
          <w:spacing w:val="-3"/>
          <w:sz w:val="22"/>
          <w:szCs w:val="22"/>
        </w:rPr>
        <w:t xml:space="preserve">that </w:t>
      </w:r>
      <w:r w:rsidR="005C25BD">
        <w:rPr>
          <w:spacing w:val="-3"/>
          <w:sz w:val="22"/>
          <w:szCs w:val="22"/>
        </w:rPr>
        <w:t>Valleydale Broadcasting, LLC</w:t>
      </w:r>
      <w:r w:rsidR="0024515F">
        <w:rPr>
          <w:spacing w:val="-3"/>
          <w:sz w:val="22"/>
          <w:szCs w:val="22"/>
        </w:rPr>
        <w:t xml:space="preserve"> shall reimburse </w:t>
      </w:r>
      <w:r w:rsidR="005C25BD">
        <w:rPr>
          <w:color w:val="000000"/>
          <w:sz w:val="22"/>
          <w:szCs w:val="22"/>
        </w:rPr>
        <w:t>AJB Holdings, LLC</w:t>
      </w:r>
      <w:r w:rsidR="00DE1672">
        <w:rPr>
          <w:color w:val="000000"/>
          <w:sz w:val="22"/>
          <w:szCs w:val="22"/>
        </w:rPr>
        <w:t xml:space="preserve"> </w:t>
      </w:r>
      <w:r w:rsidR="0024515F">
        <w:rPr>
          <w:color w:val="000000"/>
          <w:sz w:val="22"/>
          <w:szCs w:val="22"/>
        </w:rPr>
        <w:t xml:space="preserve">for </w:t>
      </w:r>
      <w:r w:rsidR="00FE4DEF">
        <w:rPr>
          <w:color w:val="000000"/>
          <w:sz w:val="22"/>
          <w:szCs w:val="22"/>
        </w:rPr>
        <w:t>its</w:t>
      </w:r>
      <w:r w:rsidR="0024515F">
        <w:rPr>
          <w:color w:val="000000"/>
          <w:sz w:val="22"/>
          <w:szCs w:val="22"/>
        </w:rPr>
        <w:t xml:space="preserve"> reasonable and prudent costs associated with</w:t>
      </w:r>
      <w:r w:rsidR="003B223F">
        <w:rPr>
          <w:color w:val="000000"/>
          <w:sz w:val="22"/>
          <w:szCs w:val="22"/>
        </w:rPr>
        <w:t xml:space="preserve"> the channel changes ordered herein.</w:t>
      </w:r>
    </w:p>
    <w:p w14:paraId="135EDA52" w14:textId="77777777" w:rsidR="00217C1E" w:rsidRPr="00217C1E" w:rsidRDefault="00217C1E" w:rsidP="004D79BE">
      <w:pPr>
        <w:spacing w:before="120"/>
        <w:ind w:firstLine="720"/>
        <w:rPr>
          <w:color w:val="000000"/>
          <w:sz w:val="22"/>
          <w:szCs w:val="22"/>
        </w:rPr>
      </w:pPr>
      <w:r w:rsidRPr="00217C1E">
        <w:rPr>
          <w:color w:val="000000"/>
          <w:sz w:val="22"/>
          <w:szCs w:val="22"/>
        </w:rPr>
        <w:t>IT IS FURTHER ORDERE</w:t>
      </w:r>
      <w:r>
        <w:rPr>
          <w:color w:val="000000"/>
          <w:sz w:val="22"/>
          <w:szCs w:val="22"/>
        </w:rPr>
        <w:t>D</w:t>
      </w:r>
      <w:r w:rsidRPr="00217C1E">
        <w:rPr>
          <w:color w:val="000000"/>
          <w:sz w:val="22"/>
          <w:szCs w:val="22"/>
        </w:rPr>
        <w:t xml:space="preserve"> that </w:t>
      </w:r>
      <w:r>
        <w:rPr>
          <w:color w:val="000000"/>
          <w:sz w:val="22"/>
          <w:szCs w:val="22"/>
        </w:rPr>
        <w:t>AJB</w:t>
      </w:r>
      <w:r w:rsidR="00A3729A">
        <w:rPr>
          <w:color w:val="000000"/>
          <w:sz w:val="22"/>
          <w:szCs w:val="22"/>
        </w:rPr>
        <w:t xml:space="preserve"> HOLDINGS, LLC</w:t>
      </w:r>
      <w:r w:rsidRPr="00217C1E">
        <w:rPr>
          <w:color w:val="000000"/>
          <w:sz w:val="22"/>
          <w:szCs w:val="22"/>
        </w:rPr>
        <w:t xml:space="preserve"> IS ADMONISHED for</w:t>
      </w:r>
      <w:r>
        <w:rPr>
          <w:color w:val="000000"/>
          <w:sz w:val="22"/>
          <w:szCs w:val="22"/>
        </w:rPr>
        <w:t xml:space="preserve"> its</w:t>
      </w:r>
      <w:r w:rsidRPr="00217C1E">
        <w:rPr>
          <w:color w:val="000000"/>
          <w:sz w:val="22"/>
          <w:szCs w:val="22"/>
        </w:rPr>
        <w:t xml:space="preserve"> failure to</w:t>
      </w:r>
      <w:r>
        <w:rPr>
          <w:color w:val="000000"/>
          <w:sz w:val="22"/>
          <w:szCs w:val="22"/>
        </w:rPr>
        <w:t xml:space="preserve"> file a modification application specifying operation on Channel 224A, as directed by the </w:t>
      </w:r>
      <w:r w:rsidR="00A21ADE" w:rsidRPr="00A21ADE">
        <w:rPr>
          <w:i/>
          <w:color w:val="000000"/>
          <w:sz w:val="22"/>
          <w:szCs w:val="22"/>
        </w:rPr>
        <w:t>KWSA Modification Order</w:t>
      </w:r>
      <w:r w:rsidRPr="00217C1E">
        <w:rPr>
          <w:color w:val="000000"/>
          <w:sz w:val="22"/>
          <w:szCs w:val="22"/>
        </w:rPr>
        <w:t>.</w:t>
      </w:r>
    </w:p>
    <w:p w14:paraId="38EA4645" w14:textId="77777777" w:rsidR="00633232" w:rsidRPr="0024515F" w:rsidRDefault="00194180" w:rsidP="0024515F">
      <w:pPr>
        <w:tabs>
          <w:tab w:val="left" w:pos="270"/>
        </w:tabs>
        <w:spacing w:before="120"/>
        <w:rPr>
          <w:color w:val="000000"/>
          <w:sz w:val="22"/>
          <w:szCs w:val="22"/>
        </w:rPr>
      </w:pPr>
      <w:r w:rsidRPr="0024515F">
        <w:rPr>
          <w:color w:val="000000"/>
          <w:sz w:val="22"/>
          <w:szCs w:val="22"/>
        </w:rPr>
        <w:tab/>
      </w:r>
      <w:r w:rsidRPr="0024515F">
        <w:rPr>
          <w:color w:val="000000"/>
          <w:sz w:val="22"/>
          <w:szCs w:val="22"/>
        </w:rPr>
        <w:tab/>
      </w:r>
      <w:r w:rsidRPr="0024515F">
        <w:rPr>
          <w:color w:val="000000"/>
          <w:sz w:val="22"/>
          <w:szCs w:val="22"/>
        </w:rPr>
        <w:tab/>
      </w:r>
      <w:r w:rsidRPr="0024515F">
        <w:rPr>
          <w:color w:val="000000"/>
          <w:sz w:val="22"/>
          <w:szCs w:val="22"/>
        </w:rPr>
        <w:tab/>
      </w:r>
      <w:r w:rsidRPr="0024515F">
        <w:rPr>
          <w:color w:val="000000"/>
          <w:sz w:val="22"/>
          <w:szCs w:val="22"/>
        </w:rPr>
        <w:tab/>
      </w:r>
      <w:r w:rsidR="00F41B2C" w:rsidRPr="0024515F">
        <w:rPr>
          <w:color w:val="000000"/>
          <w:sz w:val="22"/>
          <w:szCs w:val="22"/>
        </w:rPr>
        <w:tab/>
      </w:r>
      <w:r w:rsidRPr="0024515F">
        <w:rPr>
          <w:color w:val="000000"/>
          <w:sz w:val="22"/>
          <w:szCs w:val="22"/>
        </w:rPr>
        <w:tab/>
      </w:r>
      <w:r w:rsidRPr="0024515F">
        <w:rPr>
          <w:color w:val="000000"/>
          <w:sz w:val="22"/>
          <w:szCs w:val="22"/>
        </w:rPr>
        <w:tab/>
      </w:r>
      <w:r w:rsidR="00633232" w:rsidRPr="0024515F">
        <w:rPr>
          <w:color w:val="000000"/>
          <w:sz w:val="22"/>
          <w:szCs w:val="22"/>
        </w:rPr>
        <w:t>Sincerely,</w:t>
      </w:r>
    </w:p>
    <w:p w14:paraId="0E968DAD" w14:textId="77777777" w:rsidR="00AF3FFF" w:rsidRPr="0024515F" w:rsidRDefault="00AF3FFF" w:rsidP="0024515F">
      <w:pPr>
        <w:tabs>
          <w:tab w:val="left" w:pos="0"/>
          <w:tab w:val="left" w:pos="270"/>
        </w:tabs>
        <w:suppressAutoHyphens/>
        <w:spacing w:before="120"/>
        <w:rPr>
          <w:color w:val="000000"/>
          <w:sz w:val="22"/>
          <w:szCs w:val="22"/>
        </w:rPr>
      </w:pPr>
    </w:p>
    <w:p w14:paraId="40C5D9B3" w14:textId="77777777" w:rsidR="00194180" w:rsidRPr="0024515F" w:rsidRDefault="00194180" w:rsidP="0024515F">
      <w:pPr>
        <w:tabs>
          <w:tab w:val="left" w:pos="0"/>
          <w:tab w:val="left" w:pos="270"/>
        </w:tabs>
        <w:suppressAutoHyphens/>
        <w:spacing w:before="120"/>
        <w:rPr>
          <w:color w:val="000000"/>
          <w:sz w:val="22"/>
          <w:szCs w:val="22"/>
        </w:rPr>
      </w:pPr>
    </w:p>
    <w:p w14:paraId="013D762F" w14:textId="77777777" w:rsidR="00E6665D" w:rsidRPr="005675BC" w:rsidRDefault="00E6665D">
      <w:pPr>
        <w:tabs>
          <w:tab w:val="left" w:pos="0"/>
          <w:tab w:val="left" w:pos="270"/>
        </w:tabs>
        <w:suppressAutoHyphens/>
        <w:rPr>
          <w:color w:val="000000"/>
          <w:sz w:val="22"/>
          <w:szCs w:val="22"/>
        </w:rPr>
      </w:pPr>
    </w:p>
    <w:p w14:paraId="2DEB877F" w14:textId="77777777" w:rsidR="00194180" w:rsidRPr="005675BC" w:rsidRDefault="00194180">
      <w:pPr>
        <w:tabs>
          <w:tab w:val="left" w:pos="0"/>
          <w:tab w:val="left" w:pos="270"/>
        </w:tabs>
        <w:suppressAutoHyphens/>
        <w:rPr>
          <w:color w:val="000000"/>
          <w:sz w:val="22"/>
          <w:szCs w:val="22"/>
        </w:rPr>
      </w:pPr>
    </w:p>
    <w:p w14:paraId="3FB9E33D" w14:textId="77777777" w:rsidR="00633232" w:rsidRPr="005675BC" w:rsidRDefault="00633232">
      <w:pPr>
        <w:tabs>
          <w:tab w:val="left" w:pos="0"/>
        </w:tabs>
        <w:suppressAutoHyphens/>
        <w:outlineLvl w:val="0"/>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Peter H. Doyle</w:t>
      </w:r>
    </w:p>
    <w:p w14:paraId="594F60CE" w14:textId="77777777" w:rsidR="00633232" w:rsidRPr="005675BC" w:rsidRDefault="00633232">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Chief, Audio Division</w:t>
      </w:r>
    </w:p>
    <w:p w14:paraId="5541A57D" w14:textId="77777777" w:rsidR="00775FED" w:rsidRPr="005675BC" w:rsidRDefault="00633232" w:rsidP="00837C4A">
      <w:pPr>
        <w:tabs>
          <w:tab w:val="left" w:pos="0"/>
        </w:tabs>
        <w:suppressAutoHyphens/>
        <w:rPr>
          <w:color w:val="000000"/>
          <w:sz w:val="22"/>
          <w:szCs w:val="22"/>
        </w:rPr>
      </w:pP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r>
      <w:r w:rsidRPr="005675BC">
        <w:rPr>
          <w:color w:val="000000"/>
          <w:sz w:val="22"/>
          <w:szCs w:val="22"/>
        </w:rPr>
        <w:tab/>
        <w:t>Media Bureau</w:t>
      </w:r>
    </w:p>
    <w:sectPr w:rsidR="00775FED" w:rsidRPr="005675BC">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7E86CA" w14:textId="77777777" w:rsidR="0084000B" w:rsidRDefault="0084000B">
      <w:r>
        <w:separator/>
      </w:r>
    </w:p>
  </w:endnote>
  <w:endnote w:type="continuationSeparator" w:id="0">
    <w:p w14:paraId="7BAB59EB" w14:textId="77777777" w:rsidR="0084000B" w:rsidRDefault="0084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BBA53" w14:textId="77777777"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547C79D" w14:textId="77777777" w:rsidR="00420B39" w:rsidRDefault="00420B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C4B0A" w14:textId="77777777" w:rsidR="00420B39" w:rsidRDefault="00420B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09D">
      <w:rPr>
        <w:rStyle w:val="PageNumber"/>
        <w:noProof/>
      </w:rPr>
      <w:t>2</w:t>
    </w:r>
    <w:r>
      <w:rPr>
        <w:rStyle w:val="PageNumber"/>
      </w:rPr>
      <w:fldChar w:fldCharType="end"/>
    </w:r>
  </w:p>
  <w:p w14:paraId="4DB7C068" w14:textId="77777777" w:rsidR="00420B39" w:rsidRDefault="00420B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82E1D" w14:textId="77777777" w:rsidR="00363369" w:rsidRDefault="00363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A4731" w14:textId="77777777" w:rsidR="0084000B" w:rsidRDefault="0084000B">
      <w:r>
        <w:separator/>
      </w:r>
    </w:p>
  </w:footnote>
  <w:footnote w:type="continuationSeparator" w:id="0">
    <w:p w14:paraId="55AA9F67" w14:textId="77777777" w:rsidR="0084000B" w:rsidRDefault="0084000B">
      <w:r>
        <w:continuationSeparator/>
      </w:r>
    </w:p>
  </w:footnote>
  <w:footnote w:id="1">
    <w:p w14:paraId="276BFFBE" w14:textId="77777777" w:rsidR="000E6509" w:rsidRPr="00C6345D" w:rsidRDefault="000E6509" w:rsidP="00C6345D">
      <w:pPr>
        <w:pStyle w:val="FootnoteText"/>
        <w:spacing w:after="120"/>
      </w:pPr>
      <w:r w:rsidRPr="00C6345D">
        <w:rPr>
          <w:rStyle w:val="FootnoteReference"/>
        </w:rPr>
        <w:footnoteRef/>
      </w:r>
      <w:r w:rsidRPr="00C6345D">
        <w:t xml:space="preserve"> On October 30, 2015, AJB filed an informal objection to the </w:t>
      </w:r>
      <w:r w:rsidR="00BD3CA8" w:rsidRPr="00C6345D">
        <w:t>KPVO</w:t>
      </w:r>
      <w:r w:rsidR="00C55731" w:rsidRPr="00C6345D">
        <w:t xml:space="preserve"> Modification Application</w:t>
      </w:r>
      <w:r w:rsidRPr="00C6345D">
        <w:t xml:space="preserve"> (Informal Objection).  On November 12, 2015, Valleydale filed an opposition to the Informal Objection (Opposition). </w:t>
      </w:r>
    </w:p>
  </w:footnote>
  <w:footnote w:id="2">
    <w:p w14:paraId="753ED5F1" w14:textId="12AAFF67" w:rsidR="00144446" w:rsidRPr="00C6345D" w:rsidRDefault="00144446" w:rsidP="00C6345D">
      <w:pPr>
        <w:pStyle w:val="FootnoteText"/>
        <w:spacing w:after="120"/>
      </w:pPr>
      <w:r w:rsidRPr="00C6345D">
        <w:rPr>
          <w:rStyle w:val="FootnoteReference"/>
        </w:rPr>
        <w:footnoteRef/>
      </w:r>
      <w:r w:rsidRPr="00C6345D">
        <w:t xml:space="preserve"> FCC File No. BNPH-20120419AAS</w:t>
      </w:r>
      <w:r w:rsidR="00E160EF" w:rsidRPr="00C6345D">
        <w:t xml:space="preserve"> (2012 </w:t>
      </w:r>
      <w:r w:rsidR="00BD3CA8" w:rsidRPr="00C6345D">
        <w:t>KPVO</w:t>
      </w:r>
      <w:r w:rsidR="00E160EF" w:rsidRPr="00C6345D">
        <w:t xml:space="preserve"> </w:t>
      </w:r>
      <w:r w:rsidR="0097196C" w:rsidRPr="00C6345D">
        <w:t xml:space="preserve">CP </w:t>
      </w:r>
      <w:r w:rsidR="00E160EF" w:rsidRPr="00C6345D">
        <w:t>Application)</w:t>
      </w:r>
      <w:r w:rsidRPr="00C6345D">
        <w:t xml:space="preserve">.  </w:t>
      </w:r>
      <w:r w:rsidR="00641A5A" w:rsidRPr="00C6345D">
        <w:t>On May 9, 2012, the Audio Division, Media Bureau (Bureau) issued an order to show cause why the license for KWSA should not be modified to specify operation on Channel 224A.</w:t>
      </w:r>
      <w:r w:rsidR="00641A5A" w:rsidRPr="00C6345D">
        <w:rPr>
          <w:i/>
        </w:rPr>
        <w:t xml:space="preserve">  AJB Holdings, LLC</w:t>
      </w:r>
      <w:r w:rsidR="00641A5A" w:rsidRPr="00C6345D">
        <w:t xml:space="preserve">, </w:t>
      </w:r>
      <w:r w:rsidR="0097196C" w:rsidRPr="00C6345D">
        <w:t>Order to Show Cause</w:t>
      </w:r>
      <w:r w:rsidR="00641A5A" w:rsidRPr="00C6345D">
        <w:t>, Ref. No. 1800B3-DEB (MB May 9, 2012).</w:t>
      </w:r>
    </w:p>
  </w:footnote>
  <w:footnote w:id="3">
    <w:p w14:paraId="06A2680E" w14:textId="77777777" w:rsidR="00B67C0D" w:rsidRPr="00C6345D" w:rsidRDefault="00B67C0D" w:rsidP="00C6345D">
      <w:pPr>
        <w:pStyle w:val="FootnoteText"/>
        <w:spacing w:after="120"/>
      </w:pPr>
      <w:r w:rsidRPr="00C6345D">
        <w:rPr>
          <w:rStyle w:val="FootnoteReference"/>
        </w:rPr>
        <w:footnoteRef/>
      </w:r>
      <w:r w:rsidRPr="00C6345D">
        <w:t xml:space="preserve"> </w:t>
      </w:r>
      <w:r w:rsidRPr="00C6345D">
        <w:rPr>
          <w:i/>
        </w:rPr>
        <w:t>AJB Holdings, LLC</w:t>
      </w:r>
      <w:r w:rsidRPr="00C6345D">
        <w:t>, Letter Decision, Ref. No. 1800B3-DEB (</w:t>
      </w:r>
      <w:r w:rsidR="00B938FB" w:rsidRPr="00C6345D">
        <w:t xml:space="preserve">MB </w:t>
      </w:r>
      <w:r w:rsidRPr="00C6345D">
        <w:t>Aug. 24, 2012)</w:t>
      </w:r>
      <w:r w:rsidR="009C7ABD" w:rsidRPr="00C6345D">
        <w:t xml:space="preserve"> (</w:t>
      </w:r>
      <w:r w:rsidR="00B938FB" w:rsidRPr="00C6345D">
        <w:rPr>
          <w:i/>
        </w:rPr>
        <w:t xml:space="preserve">KWSA </w:t>
      </w:r>
      <w:r w:rsidR="00056B90" w:rsidRPr="00C6345D">
        <w:rPr>
          <w:i/>
        </w:rPr>
        <w:t>Modification Order</w:t>
      </w:r>
      <w:r w:rsidR="009C7ABD" w:rsidRPr="00C6345D">
        <w:t>)</w:t>
      </w:r>
      <w:r w:rsidR="00275837" w:rsidRPr="00C6345D">
        <w:t xml:space="preserve">; </w:t>
      </w:r>
      <w:r w:rsidR="00275837" w:rsidRPr="00C6345D">
        <w:rPr>
          <w:i/>
        </w:rPr>
        <w:t>Broadcast Actions</w:t>
      </w:r>
      <w:r w:rsidR="00275837" w:rsidRPr="00C6345D">
        <w:t>, Public Notice, Report No. 47812 (</w:t>
      </w:r>
      <w:r w:rsidR="008F47AC" w:rsidRPr="00C6345D">
        <w:t xml:space="preserve">MB </w:t>
      </w:r>
      <w:r w:rsidR="00275837" w:rsidRPr="00C6345D">
        <w:t>Aug. 29, 2012)</w:t>
      </w:r>
      <w:r w:rsidR="004B3772" w:rsidRPr="00C6345D">
        <w:t xml:space="preserve"> (2012 </w:t>
      </w:r>
      <w:r w:rsidR="00BD3CA8" w:rsidRPr="00C6345D">
        <w:t>KPVO</w:t>
      </w:r>
      <w:r w:rsidR="004B3772" w:rsidRPr="00C6345D">
        <w:t xml:space="preserve"> Construction Permit)</w:t>
      </w:r>
      <w:r w:rsidRPr="00C6345D">
        <w:t xml:space="preserve">. </w:t>
      </w:r>
      <w:r w:rsidR="00DB5BCE" w:rsidRPr="00C6345D">
        <w:t xml:space="preserve"> The</w:t>
      </w:r>
      <w:r w:rsidR="00B3061E" w:rsidRPr="00C6345D">
        <w:t xml:space="preserve"> 2012</w:t>
      </w:r>
      <w:r w:rsidR="00DB5BCE" w:rsidRPr="00C6345D">
        <w:t xml:space="preserve"> KVPO Construction Permit</w:t>
      </w:r>
      <w:r w:rsidR="00B3061E" w:rsidRPr="00C6345D">
        <w:t xml:space="preserve"> expired August 24, 2015. </w:t>
      </w:r>
      <w:r w:rsidR="00DB5BCE" w:rsidRPr="00C6345D">
        <w:t xml:space="preserve"> </w:t>
      </w:r>
    </w:p>
  </w:footnote>
  <w:footnote w:id="4">
    <w:p w14:paraId="1F7E8AF9" w14:textId="0937BB8D" w:rsidR="00C71ED8" w:rsidRPr="00C6345D" w:rsidRDefault="00C71ED8" w:rsidP="00C6345D">
      <w:pPr>
        <w:pStyle w:val="FootnoteText"/>
        <w:spacing w:after="120"/>
      </w:pPr>
      <w:r w:rsidRPr="00C6345D">
        <w:rPr>
          <w:rStyle w:val="FootnoteReference"/>
        </w:rPr>
        <w:footnoteRef/>
      </w:r>
      <w:r w:rsidR="00EB4CA3" w:rsidRPr="00C6345D">
        <w:t xml:space="preserve"> </w:t>
      </w:r>
      <w:r w:rsidRPr="00C6345D">
        <w:t>FCC File No. BPH-20120924AIU</w:t>
      </w:r>
      <w:r w:rsidR="009C7ABD" w:rsidRPr="00C6345D">
        <w:t xml:space="preserve"> (2012 </w:t>
      </w:r>
      <w:r w:rsidR="00C714D4" w:rsidRPr="00C6345D">
        <w:t>KWSA Modification Application</w:t>
      </w:r>
      <w:r w:rsidR="009C7ABD" w:rsidRPr="00C6345D">
        <w:t>)</w:t>
      </w:r>
      <w:r w:rsidRPr="00C6345D">
        <w:t>.</w:t>
      </w:r>
    </w:p>
  </w:footnote>
  <w:footnote w:id="5">
    <w:p w14:paraId="54A63A8A" w14:textId="43DF5200" w:rsidR="001D0D4D" w:rsidRPr="00C6345D" w:rsidRDefault="001D0D4D" w:rsidP="00C6345D">
      <w:pPr>
        <w:pStyle w:val="FootnoteText"/>
        <w:spacing w:after="120"/>
      </w:pPr>
      <w:r w:rsidRPr="00C6345D">
        <w:rPr>
          <w:rStyle w:val="FootnoteReference"/>
        </w:rPr>
        <w:footnoteRef/>
      </w:r>
      <w:r w:rsidRPr="00C6345D">
        <w:t xml:space="preserve"> FCC File No. BMPH-20150812AAW</w:t>
      </w:r>
      <w:r w:rsidR="00744FCD" w:rsidRPr="00C6345D">
        <w:t xml:space="preserve"> (</w:t>
      </w:r>
      <w:r w:rsidR="00BD3CA8" w:rsidRPr="00C6345D">
        <w:t>KPVO</w:t>
      </w:r>
      <w:r w:rsidR="00744FCD" w:rsidRPr="00C6345D">
        <w:t xml:space="preserve"> Downgrade Application)</w:t>
      </w:r>
      <w:r w:rsidR="00FE4DEF" w:rsidRPr="00C6345D">
        <w:t>.  V</w:t>
      </w:r>
      <w:r w:rsidR="00311BCD" w:rsidRPr="00C6345D">
        <w:t xml:space="preserve">alleydale </w:t>
      </w:r>
      <w:r w:rsidR="009220A4" w:rsidRPr="00C6345D">
        <w:t>had previously filed two modifications to the</w:t>
      </w:r>
      <w:r w:rsidR="00311BCD" w:rsidRPr="00C6345D">
        <w:t xml:space="preserve"> </w:t>
      </w:r>
      <w:r w:rsidR="005D3554" w:rsidRPr="00C6345D">
        <w:t xml:space="preserve">2012 </w:t>
      </w:r>
      <w:r w:rsidR="00BD3CA8" w:rsidRPr="00C6345D">
        <w:t>KPVO</w:t>
      </w:r>
      <w:r w:rsidR="00311BCD" w:rsidRPr="00C6345D">
        <w:t xml:space="preserve"> </w:t>
      </w:r>
      <w:r w:rsidR="005D3554" w:rsidRPr="00C6345D">
        <w:t>Construction Permit</w:t>
      </w:r>
      <w:r w:rsidR="00311BCD" w:rsidRPr="00C6345D">
        <w:t xml:space="preserve">.  </w:t>
      </w:r>
      <w:r w:rsidR="00311BCD" w:rsidRPr="00C6345D">
        <w:rPr>
          <w:i/>
        </w:rPr>
        <w:t xml:space="preserve">See </w:t>
      </w:r>
      <w:r w:rsidR="00311BCD" w:rsidRPr="00C6345D">
        <w:t xml:space="preserve">FCC File Nos. BMPH-20130212AAT and BMPH-20140716AEM. </w:t>
      </w:r>
    </w:p>
  </w:footnote>
  <w:footnote w:id="6">
    <w:p w14:paraId="14864EC1" w14:textId="20BAC4CE" w:rsidR="00FE4DEF" w:rsidRPr="00C6345D" w:rsidRDefault="00FE4DEF" w:rsidP="00C6345D">
      <w:pPr>
        <w:pStyle w:val="FootnoteText"/>
        <w:spacing w:after="120"/>
      </w:pPr>
      <w:r w:rsidRPr="00C6345D">
        <w:rPr>
          <w:rStyle w:val="FootnoteReference"/>
        </w:rPr>
        <w:footnoteRef/>
      </w:r>
      <w:r w:rsidRPr="00C6345D">
        <w:t xml:space="preserve"> </w:t>
      </w:r>
      <w:r w:rsidRPr="00C6345D">
        <w:rPr>
          <w:i/>
        </w:rPr>
        <w:t xml:space="preserve">Broadcast Actions, </w:t>
      </w:r>
      <w:r w:rsidRPr="00C6345D">
        <w:t>Public Notice, Report No. 48560 (MB Aug. 25, 2015).</w:t>
      </w:r>
    </w:p>
  </w:footnote>
  <w:footnote w:id="7">
    <w:p w14:paraId="08208FEF" w14:textId="77777777" w:rsidR="001D0D4D" w:rsidRPr="00C6345D" w:rsidRDefault="001D0D4D" w:rsidP="00C6345D">
      <w:pPr>
        <w:pStyle w:val="FootnoteText"/>
        <w:spacing w:after="120"/>
      </w:pPr>
      <w:r w:rsidRPr="00C6345D">
        <w:rPr>
          <w:rStyle w:val="FootnoteReference"/>
        </w:rPr>
        <w:footnoteRef/>
      </w:r>
      <w:r w:rsidRPr="00C6345D">
        <w:t xml:space="preserve"> FCC File No. BLH-20150820CNF</w:t>
      </w:r>
      <w:r w:rsidR="00200E2F" w:rsidRPr="00C6345D">
        <w:t xml:space="preserve"> (</w:t>
      </w:r>
      <w:r w:rsidR="00BD3CA8" w:rsidRPr="00C6345D">
        <w:t>KPVO</w:t>
      </w:r>
      <w:r w:rsidR="00200E2F" w:rsidRPr="00C6345D">
        <w:t xml:space="preserve"> License</w:t>
      </w:r>
      <w:r w:rsidR="009205A3" w:rsidRPr="00C6345D">
        <w:t xml:space="preserve"> Application</w:t>
      </w:r>
      <w:r w:rsidR="00200E2F" w:rsidRPr="00C6345D">
        <w:t>)</w:t>
      </w:r>
      <w:r w:rsidRPr="00C6345D">
        <w:t>.</w:t>
      </w:r>
      <w:r w:rsidR="009205A3" w:rsidRPr="00C6345D">
        <w:t xml:space="preserve">  The </w:t>
      </w:r>
      <w:r w:rsidR="00BD3CA8" w:rsidRPr="00C6345D">
        <w:t>KPVO</w:t>
      </w:r>
      <w:r w:rsidR="009205A3" w:rsidRPr="00C6345D">
        <w:t xml:space="preserve"> License Application was granted August 28, 2015</w:t>
      </w:r>
      <w:r w:rsidR="00264929" w:rsidRPr="00C6345D">
        <w:t xml:space="preserve"> (</w:t>
      </w:r>
      <w:r w:rsidR="00BD3CA8" w:rsidRPr="00C6345D">
        <w:t>KPVO</w:t>
      </w:r>
      <w:r w:rsidR="00264929" w:rsidRPr="00C6345D">
        <w:t xml:space="preserve"> License)</w:t>
      </w:r>
      <w:r w:rsidR="009205A3" w:rsidRPr="00C6345D">
        <w:t xml:space="preserve">.  </w:t>
      </w:r>
      <w:r w:rsidR="009205A3" w:rsidRPr="00C6345D">
        <w:rPr>
          <w:i/>
        </w:rPr>
        <w:t>Broadcast Actions</w:t>
      </w:r>
      <w:r w:rsidR="009205A3" w:rsidRPr="00C6345D">
        <w:t xml:space="preserve">, Public Notice, Report No. </w:t>
      </w:r>
      <w:r w:rsidR="0099441A" w:rsidRPr="00C6345D">
        <w:t>48566 (</w:t>
      </w:r>
      <w:r w:rsidR="008F47AC" w:rsidRPr="00C6345D">
        <w:t xml:space="preserve">MB </w:t>
      </w:r>
      <w:r w:rsidR="0099441A" w:rsidRPr="00C6345D">
        <w:t xml:space="preserve">Sept. 2, 2015). </w:t>
      </w:r>
    </w:p>
  </w:footnote>
  <w:footnote w:id="8">
    <w:p w14:paraId="643E8875" w14:textId="77777777" w:rsidR="002F58D0" w:rsidRPr="00C6345D" w:rsidRDefault="002F58D0" w:rsidP="00C6345D">
      <w:pPr>
        <w:pStyle w:val="FootnoteText"/>
        <w:spacing w:after="120"/>
      </w:pPr>
      <w:r w:rsidRPr="00C6345D">
        <w:rPr>
          <w:rStyle w:val="FootnoteReference"/>
        </w:rPr>
        <w:footnoteRef/>
      </w:r>
      <w:r w:rsidRPr="00C6345D">
        <w:t xml:space="preserve"> FCC File No. BPH-20150820CNC</w:t>
      </w:r>
      <w:r w:rsidR="006C1CC6" w:rsidRPr="00C6345D">
        <w:t xml:space="preserve"> (KWSA Channel Reinstatement Application)</w:t>
      </w:r>
      <w:r w:rsidRPr="00C6345D">
        <w:t>.</w:t>
      </w:r>
      <w:r w:rsidR="00C55731" w:rsidRPr="00C6345D">
        <w:t xml:space="preserve"> </w:t>
      </w:r>
      <w:r w:rsidR="00012C46" w:rsidRPr="00C6345D">
        <w:t xml:space="preserve"> </w:t>
      </w:r>
    </w:p>
  </w:footnote>
  <w:footnote w:id="9">
    <w:p w14:paraId="4E05D907" w14:textId="77777777" w:rsidR="009B1858" w:rsidRPr="00C6345D" w:rsidRDefault="009B1858" w:rsidP="00C6345D">
      <w:pPr>
        <w:pStyle w:val="FootnoteText"/>
        <w:spacing w:after="120"/>
      </w:pPr>
      <w:r w:rsidRPr="00C6345D">
        <w:rPr>
          <w:rStyle w:val="FootnoteReference"/>
        </w:rPr>
        <w:footnoteRef/>
      </w:r>
      <w:r w:rsidRPr="00C6345D">
        <w:t xml:space="preserve"> </w:t>
      </w:r>
      <w:r w:rsidRPr="00C6345D">
        <w:rPr>
          <w:i/>
        </w:rPr>
        <w:t>See Broadcast Actions</w:t>
      </w:r>
      <w:r w:rsidRPr="00C6345D">
        <w:t>, Public Notice, Report No. 48562 (</w:t>
      </w:r>
      <w:r w:rsidR="008F47AC" w:rsidRPr="00C6345D">
        <w:t xml:space="preserve">MB </w:t>
      </w:r>
      <w:r w:rsidRPr="00C6345D">
        <w:t>Aug. 27, 2015).</w:t>
      </w:r>
    </w:p>
  </w:footnote>
  <w:footnote w:id="10">
    <w:p w14:paraId="5163CA4B" w14:textId="77777777" w:rsidR="006C1CC6" w:rsidRPr="00C6345D" w:rsidRDefault="006C1CC6" w:rsidP="00C6345D">
      <w:pPr>
        <w:pStyle w:val="FootnoteText"/>
        <w:spacing w:after="120"/>
      </w:pPr>
      <w:r w:rsidRPr="00C6345D">
        <w:rPr>
          <w:rStyle w:val="FootnoteReference"/>
        </w:rPr>
        <w:footnoteRef/>
      </w:r>
      <w:r w:rsidRPr="00C6345D">
        <w:t xml:space="preserve"> FCC File No. BLH-20150902ADW (KWSA </w:t>
      </w:r>
      <w:r w:rsidR="009B1858" w:rsidRPr="00C6345D">
        <w:t xml:space="preserve">Reinstatement </w:t>
      </w:r>
      <w:r w:rsidRPr="00C6345D">
        <w:t>License Application).</w:t>
      </w:r>
    </w:p>
  </w:footnote>
  <w:footnote w:id="11">
    <w:p w14:paraId="7C547689" w14:textId="77777777" w:rsidR="009B1858" w:rsidRPr="00C6345D" w:rsidRDefault="009B1858" w:rsidP="00C6345D">
      <w:pPr>
        <w:pStyle w:val="FootnoteText"/>
        <w:spacing w:after="120"/>
      </w:pPr>
      <w:r w:rsidRPr="00C6345D">
        <w:rPr>
          <w:rStyle w:val="FootnoteReference"/>
        </w:rPr>
        <w:footnoteRef/>
      </w:r>
      <w:r w:rsidRPr="00C6345D">
        <w:t xml:space="preserve"> </w:t>
      </w:r>
      <w:r w:rsidRPr="00C6345D">
        <w:rPr>
          <w:i/>
        </w:rPr>
        <w:t>See Broadcast Actions</w:t>
      </w:r>
      <w:r w:rsidRPr="00C6345D">
        <w:t>, Public Notice, Report No. 48576 (</w:t>
      </w:r>
      <w:r w:rsidR="008F47AC" w:rsidRPr="00C6345D">
        <w:t xml:space="preserve">MB </w:t>
      </w:r>
      <w:r w:rsidRPr="00C6345D">
        <w:t>Sept. 23, 2015).</w:t>
      </w:r>
    </w:p>
  </w:footnote>
  <w:footnote w:id="12">
    <w:p w14:paraId="4F54570F" w14:textId="49886D66" w:rsidR="00AD6A71" w:rsidRPr="00C6345D" w:rsidRDefault="00AD6A71" w:rsidP="00C6345D">
      <w:pPr>
        <w:pStyle w:val="FootnoteText"/>
        <w:spacing w:after="120"/>
      </w:pPr>
      <w:r w:rsidRPr="00C6345D">
        <w:rPr>
          <w:rStyle w:val="FootnoteReference"/>
        </w:rPr>
        <w:footnoteRef/>
      </w:r>
      <w:r w:rsidRPr="00C6345D">
        <w:t xml:space="preserve"> </w:t>
      </w:r>
      <w:r w:rsidRPr="00C6345D">
        <w:rPr>
          <w:i/>
        </w:rPr>
        <w:t>AJB Holdings, LLC</w:t>
      </w:r>
      <w:r w:rsidRPr="00C6345D">
        <w:t xml:space="preserve">, </w:t>
      </w:r>
      <w:r w:rsidR="00B3061E" w:rsidRPr="00C6345D">
        <w:t>Order to Show Cause</w:t>
      </w:r>
      <w:r w:rsidR="00B938FB" w:rsidRPr="00C6345D">
        <w:t>, Ref. No. 1800B3-AED</w:t>
      </w:r>
      <w:r w:rsidRPr="00C6345D">
        <w:t xml:space="preserve"> (</w:t>
      </w:r>
      <w:r w:rsidR="00B938FB" w:rsidRPr="00C6345D">
        <w:t xml:space="preserve">MB </w:t>
      </w:r>
      <w:r w:rsidRPr="00C6345D">
        <w:t>September 30, 2015) (</w:t>
      </w:r>
      <w:r w:rsidR="00B3061E" w:rsidRPr="00C6345D">
        <w:rPr>
          <w:i/>
        </w:rPr>
        <w:t xml:space="preserve">2015 </w:t>
      </w:r>
      <w:r w:rsidRPr="00C6345D">
        <w:rPr>
          <w:i/>
        </w:rPr>
        <w:t>Order to Show Cause</w:t>
      </w:r>
      <w:r w:rsidRPr="00C6345D">
        <w:t>).</w:t>
      </w:r>
    </w:p>
  </w:footnote>
  <w:footnote w:id="13">
    <w:p w14:paraId="719CCCDD" w14:textId="77777777" w:rsidR="00BD7452" w:rsidRPr="00C6345D" w:rsidRDefault="00BD7452" w:rsidP="00C6345D">
      <w:pPr>
        <w:pStyle w:val="FootnoteText"/>
        <w:spacing w:after="120"/>
      </w:pPr>
      <w:r w:rsidRPr="00C6345D">
        <w:rPr>
          <w:rStyle w:val="FootnoteReference"/>
        </w:rPr>
        <w:footnoteRef/>
      </w:r>
      <w:r w:rsidRPr="00C6345D">
        <w:t xml:space="preserve"> Informal Objection at 2.</w:t>
      </w:r>
    </w:p>
  </w:footnote>
  <w:footnote w:id="14">
    <w:p w14:paraId="276C2223" w14:textId="37D00DC6" w:rsidR="009C0902" w:rsidRPr="00C6345D" w:rsidRDefault="009C0902" w:rsidP="00C6345D">
      <w:pPr>
        <w:pStyle w:val="FootnoteText"/>
        <w:spacing w:after="120"/>
      </w:pPr>
      <w:r w:rsidRPr="00C6345D">
        <w:rPr>
          <w:rStyle w:val="FootnoteReference"/>
        </w:rPr>
        <w:footnoteRef/>
      </w:r>
      <w:r w:rsidRPr="00C6345D">
        <w:t xml:space="preserve"> </w:t>
      </w:r>
      <w:r w:rsidR="00C6345D" w:rsidRPr="00C6345D">
        <w:rPr>
          <w:i/>
        </w:rPr>
        <w:t>Id.</w:t>
      </w:r>
      <w:r w:rsidRPr="00C6345D">
        <w:t xml:space="preserve"> at 3</w:t>
      </w:r>
      <w:r w:rsidR="0066417E" w:rsidRPr="00C6345D">
        <w:t xml:space="preserve"> (citing 47 CFR § 73.3518).</w:t>
      </w:r>
    </w:p>
  </w:footnote>
  <w:footnote w:id="15">
    <w:p w14:paraId="7A666942" w14:textId="77777777" w:rsidR="00097F30" w:rsidRPr="00C6345D" w:rsidRDefault="00097F30" w:rsidP="00C6345D">
      <w:pPr>
        <w:pStyle w:val="FootnoteText"/>
        <w:spacing w:after="120"/>
      </w:pPr>
      <w:r w:rsidRPr="00C6345D">
        <w:rPr>
          <w:rStyle w:val="FootnoteReference"/>
        </w:rPr>
        <w:footnoteRef/>
      </w:r>
      <w:r w:rsidRPr="00C6345D">
        <w:t xml:space="preserve"> Response at 2; 47 CFR § 73.3573(a)</w:t>
      </w:r>
      <w:r w:rsidR="00E930C3" w:rsidRPr="00C6345D">
        <w:t>(1)</w:t>
      </w:r>
      <w:r w:rsidRPr="00C6345D">
        <w:t>(iii).</w:t>
      </w:r>
    </w:p>
  </w:footnote>
  <w:footnote w:id="16">
    <w:p w14:paraId="45E1134B" w14:textId="77777777" w:rsidR="00416F5C" w:rsidRPr="00C6345D" w:rsidRDefault="00416F5C" w:rsidP="00C6345D">
      <w:pPr>
        <w:pStyle w:val="FootnoteText"/>
        <w:spacing w:after="120"/>
      </w:pPr>
      <w:r w:rsidRPr="00C6345D">
        <w:rPr>
          <w:rStyle w:val="FootnoteReference"/>
        </w:rPr>
        <w:footnoteRef/>
      </w:r>
      <w:r w:rsidRPr="00C6345D">
        <w:t xml:space="preserve"> Response at 3-6.</w:t>
      </w:r>
    </w:p>
  </w:footnote>
  <w:footnote w:id="17">
    <w:p w14:paraId="66AE0A12" w14:textId="6508736F" w:rsidR="00416C32" w:rsidRPr="00C6345D" w:rsidRDefault="00416C32" w:rsidP="00C6345D">
      <w:pPr>
        <w:pStyle w:val="FootnoteText"/>
        <w:spacing w:after="120"/>
      </w:pPr>
      <w:r w:rsidRPr="00C6345D">
        <w:rPr>
          <w:rStyle w:val="FootnoteReference"/>
        </w:rPr>
        <w:footnoteRef/>
      </w:r>
      <w:r w:rsidRPr="00C6345D">
        <w:t xml:space="preserve"> </w:t>
      </w:r>
      <w:r w:rsidR="00C6345D" w:rsidRPr="00C6345D">
        <w:rPr>
          <w:i/>
        </w:rPr>
        <w:t>Id.</w:t>
      </w:r>
      <w:r w:rsidR="00C6345D">
        <w:rPr>
          <w:i/>
        </w:rPr>
        <w:t xml:space="preserve"> </w:t>
      </w:r>
      <w:r w:rsidRPr="00C6345D">
        <w:t>at 7; 47 CFR § 1.87(b).</w:t>
      </w:r>
    </w:p>
  </w:footnote>
  <w:footnote w:id="18">
    <w:p w14:paraId="3DC54EF9" w14:textId="370DB2E1" w:rsidR="007977BA" w:rsidRPr="00C6345D" w:rsidRDefault="007977BA" w:rsidP="00C6345D">
      <w:pPr>
        <w:pStyle w:val="FootnoteText"/>
        <w:spacing w:after="120"/>
      </w:pPr>
      <w:r w:rsidRPr="00C6345D">
        <w:rPr>
          <w:rStyle w:val="FootnoteReference"/>
        </w:rPr>
        <w:footnoteRef/>
      </w:r>
      <w:r w:rsidRPr="00C6345D">
        <w:t xml:space="preserve"> Response at 8</w:t>
      </w:r>
      <w:r w:rsidR="00116843" w:rsidRPr="00C6345D">
        <w:t xml:space="preserve"> (citing </w:t>
      </w:r>
      <w:r w:rsidR="00116843" w:rsidRPr="00C6345D">
        <w:rPr>
          <w:i/>
        </w:rPr>
        <w:t>Dinosaur and Rangely, Colorado</w:t>
      </w:r>
      <w:r w:rsidR="00116843" w:rsidRPr="00C6345D">
        <w:t>,</w:t>
      </w:r>
      <w:r w:rsidR="00C10ADC" w:rsidRPr="00C6345D">
        <w:rPr>
          <w:i/>
        </w:rPr>
        <w:t xml:space="preserve"> et al</w:t>
      </w:r>
      <w:r w:rsidR="00C10ADC" w:rsidRPr="00C6345D">
        <w:t>,</w:t>
      </w:r>
      <w:r w:rsidR="00116843" w:rsidRPr="00C6345D">
        <w:t xml:space="preserve"> Report and Order, </w:t>
      </w:r>
      <w:r w:rsidR="00DC5B53" w:rsidRPr="00C6345D">
        <w:t xml:space="preserve">19 FCC Rcd 10327 </w:t>
      </w:r>
      <w:r w:rsidR="00116843" w:rsidRPr="00C6345D">
        <w:t>(MB 2004)</w:t>
      </w:r>
      <w:r w:rsidR="00FE4DEF" w:rsidRPr="00C6345D">
        <w:t xml:space="preserve"> </w:t>
      </w:r>
      <w:r w:rsidR="001B0FEB" w:rsidRPr="00C6345D">
        <w:t>(</w:t>
      </w:r>
      <w:r w:rsidR="001B0FEB" w:rsidRPr="00C6345D">
        <w:rPr>
          <w:i/>
        </w:rPr>
        <w:t>Dinosaur and Rangely</w:t>
      </w:r>
      <w:r w:rsidR="001B0FEB" w:rsidRPr="00C6345D">
        <w:t>)</w:t>
      </w:r>
      <w:r w:rsidR="0008398F" w:rsidRPr="00C6345D">
        <w:t>)</w:t>
      </w:r>
      <w:r w:rsidRPr="00C6345D">
        <w:t>.</w:t>
      </w:r>
    </w:p>
  </w:footnote>
  <w:footnote w:id="19">
    <w:p w14:paraId="557378A7" w14:textId="46DE1536" w:rsidR="00BD4A43" w:rsidRPr="00C6345D" w:rsidRDefault="00BD4A43" w:rsidP="00C6345D">
      <w:pPr>
        <w:pStyle w:val="FootnoteText"/>
        <w:spacing w:after="120"/>
      </w:pPr>
      <w:r w:rsidRPr="00C6345D">
        <w:rPr>
          <w:rStyle w:val="FootnoteReference"/>
        </w:rPr>
        <w:footnoteRef/>
      </w:r>
      <w:r w:rsidRPr="00C6345D">
        <w:t xml:space="preserve"> </w:t>
      </w:r>
      <w:r w:rsidR="00C6345D" w:rsidRPr="00C6345D">
        <w:rPr>
          <w:i/>
        </w:rPr>
        <w:t>Id.</w:t>
      </w:r>
      <w:r w:rsidR="00C6345D">
        <w:rPr>
          <w:i/>
        </w:rPr>
        <w:t xml:space="preserve"> </w:t>
      </w:r>
      <w:r w:rsidRPr="00C6345D">
        <w:t>at 9.</w:t>
      </w:r>
    </w:p>
  </w:footnote>
  <w:footnote w:id="20">
    <w:p w14:paraId="49E88279" w14:textId="0D00A26A" w:rsidR="009C7ABD" w:rsidRPr="00C6345D" w:rsidRDefault="009C7ABD" w:rsidP="00C6345D">
      <w:pPr>
        <w:pStyle w:val="FootnoteText"/>
        <w:spacing w:after="120"/>
      </w:pPr>
      <w:r w:rsidRPr="00C6345D">
        <w:rPr>
          <w:rStyle w:val="FootnoteReference"/>
        </w:rPr>
        <w:footnoteRef/>
      </w:r>
      <w:r w:rsidR="006A229D" w:rsidRPr="00C6345D">
        <w:t xml:space="preserve"> </w:t>
      </w:r>
      <w:r w:rsidR="00C6345D" w:rsidRPr="00C6345D">
        <w:rPr>
          <w:i/>
        </w:rPr>
        <w:t>Id.</w:t>
      </w:r>
      <w:r w:rsidR="00C6345D">
        <w:rPr>
          <w:i/>
        </w:rPr>
        <w:t xml:space="preserve"> </w:t>
      </w:r>
      <w:r w:rsidR="006A229D" w:rsidRPr="00C6345D">
        <w:t>at 9</w:t>
      </w:r>
      <w:r w:rsidR="00151D07" w:rsidRPr="00C6345D">
        <w:t>-11</w:t>
      </w:r>
      <w:r w:rsidRPr="00C6345D">
        <w:t xml:space="preserve"> (citing </w:t>
      </w:r>
      <w:r w:rsidRPr="00C6345D">
        <w:rPr>
          <w:i/>
        </w:rPr>
        <w:t>Circleville, Ohio</w:t>
      </w:r>
      <w:r w:rsidRPr="00C6345D">
        <w:t xml:space="preserve">, </w:t>
      </w:r>
      <w:r w:rsidR="00F327CF" w:rsidRPr="00C6345D">
        <w:t xml:space="preserve">Second Report and Order, </w:t>
      </w:r>
      <w:r w:rsidRPr="00C6345D">
        <w:t xml:space="preserve">8 FCC 2d 159 (1967)). </w:t>
      </w:r>
    </w:p>
  </w:footnote>
  <w:footnote w:id="21">
    <w:p w14:paraId="77E233B2" w14:textId="77777777" w:rsidR="0041719D" w:rsidRPr="00C6345D" w:rsidRDefault="0041719D" w:rsidP="00C6345D">
      <w:pPr>
        <w:pStyle w:val="FootnoteText"/>
        <w:spacing w:after="120"/>
      </w:pPr>
      <w:r w:rsidRPr="00C6345D">
        <w:rPr>
          <w:rStyle w:val="FootnoteReference"/>
        </w:rPr>
        <w:footnoteRef/>
      </w:r>
      <w:r w:rsidRPr="00C6345D">
        <w:t xml:space="preserve"> Opposition at 1-2. </w:t>
      </w:r>
    </w:p>
  </w:footnote>
  <w:footnote w:id="22">
    <w:p w14:paraId="3BE62867" w14:textId="3FD150F1" w:rsidR="00334BCB" w:rsidRPr="00C6345D" w:rsidRDefault="00334BCB" w:rsidP="00C6345D">
      <w:pPr>
        <w:pStyle w:val="FootnoteText"/>
        <w:spacing w:after="120"/>
      </w:pPr>
      <w:r w:rsidRPr="00C6345D">
        <w:rPr>
          <w:rStyle w:val="FootnoteReference"/>
        </w:rPr>
        <w:footnoteRef/>
      </w:r>
      <w:r w:rsidRPr="00C6345D">
        <w:t xml:space="preserve"> </w:t>
      </w:r>
      <w:r w:rsidR="00C6345D" w:rsidRPr="00C6345D">
        <w:rPr>
          <w:i/>
        </w:rPr>
        <w:t>Id.</w:t>
      </w:r>
      <w:r w:rsidRPr="00C6345D">
        <w:t xml:space="preserve"> at 2 (apparently referring to FCC File No. BMPH 20150820CNJ, filed by Alex Media, Inc., licensee of Station KPUT(FM), Mona, Utah). </w:t>
      </w:r>
    </w:p>
  </w:footnote>
  <w:footnote w:id="23">
    <w:p w14:paraId="07A8D143" w14:textId="42B561A2" w:rsidR="00960FD3" w:rsidRPr="00C6345D" w:rsidRDefault="00960FD3" w:rsidP="00C6345D">
      <w:pPr>
        <w:pStyle w:val="FootnoteText"/>
        <w:spacing w:after="120"/>
      </w:pPr>
      <w:r w:rsidRPr="00C6345D">
        <w:rPr>
          <w:rStyle w:val="FootnoteReference"/>
        </w:rPr>
        <w:footnoteRef/>
      </w:r>
      <w:r w:rsidRPr="00C6345D">
        <w:t xml:space="preserve"> </w:t>
      </w:r>
      <w:r w:rsidR="00C6345D" w:rsidRPr="00C6345D">
        <w:rPr>
          <w:i/>
        </w:rPr>
        <w:t>Id.</w:t>
      </w:r>
      <w:r w:rsidR="00C6345D">
        <w:rPr>
          <w:i/>
        </w:rPr>
        <w:t xml:space="preserve"> </w:t>
      </w:r>
      <w:r w:rsidRPr="00C6345D">
        <w:t>at 2-3.</w:t>
      </w:r>
    </w:p>
  </w:footnote>
  <w:footnote w:id="24">
    <w:p w14:paraId="7270A2A5" w14:textId="1F793D0D" w:rsidR="00C714D4" w:rsidRPr="00C6345D" w:rsidRDefault="00C714D4" w:rsidP="00C6345D">
      <w:pPr>
        <w:pStyle w:val="FootnoteText"/>
        <w:spacing w:after="120"/>
      </w:pPr>
      <w:r w:rsidRPr="00C6345D">
        <w:rPr>
          <w:rStyle w:val="FootnoteReference"/>
        </w:rPr>
        <w:footnoteRef/>
      </w:r>
      <w:r w:rsidRPr="00C6345D">
        <w:t xml:space="preserve"> </w:t>
      </w:r>
      <w:r w:rsidR="00C6345D" w:rsidRPr="00C6345D">
        <w:rPr>
          <w:i/>
        </w:rPr>
        <w:t>Id.</w:t>
      </w:r>
      <w:r w:rsidR="00C6345D">
        <w:rPr>
          <w:i/>
        </w:rPr>
        <w:t xml:space="preserve"> </w:t>
      </w:r>
      <w:r w:rsidRPr="00C6345D">
        <w:t xml:space="preserve">at 2-3. </w:t>
      </w:r>
    </w:p>
  </w:footnote>
  <w:footnote w:id="25">
    <w:p w14:paraId="661C93B1" w14:textId="172CCDE6" w:rsidR="00314FCD" w:rsidRPr="00C6345D" w:rsidRDefault="00314FCD" w:rsidP="00C6345D">
      <w:pPr>
        <w:pStyle w:val="FootnoteText"/>
        <w:spacing w:after="120"/>
      </w:pPr>
      <w:r w:rsidRPr="00C6345D">
        <w:rPr>
          <w:rStyle w:val="FootnoteReference"/>
        </w:rPr>
        <w:footnoteRef/>
      </w:r>
      <w:r w:rsidRPr="00C6345D">
        <w:t xml:space="preserve"> </w:t>
      </w:r>
      <w:r w:rsidR="00C6345D" w:rsidRPr="00C6345D">
        <w:rPr>
          <w:i/>
        </w:rPr>
        <w:t>Id.</w:t>
      </w:r>
      <w:r w:rsidR="00C6345D">
        <w:rPr>
          <w:i/>
        </w:rPr>
        <w:t xml:space="preserve"> </w:t>
      </w:r>
      <w:r w:rsidRPr="00C6345D">
        <w:t>at 4-5 (offering to provide citations upon request)</w:t>
      </w:r>
      <w:r w:rsidR="00FD681C" w:rsidRPr="00C6345D">
        <w:t>.</w:t>
      </w:r>
    </w:p>
  </w:footnote>
  <w:footnote w:id="26">
    <w:p w14:paraId="715AE1F6" w14:textId="77777777" w:rsidR="00FD681C" w:rsidRPr="00C6345D" w:rsidRDefault="00FD681C" w:rsidP="00C6345D">
      <w:pPr>
        <w:pStyle w:val="FootnoteText"/>
        <w:spacing w:after="120"/>
      </w:pPr>
      <w:r w:rsidRPr="00C6345D">
        <w:rPr>
          <w:rStyle w:val="FootnoteReference"/>
        </w:rPr>
        <w:footnoteRef/>
      </w:r>
      <w:r w:rsidRPr="00C6345D">
        <w:t xml:space="preserve"> </w:t>
      </w:r>
      <w:r w:rsidRPr="00C6345D">
        <w:rPr>
          <w:i/>
        </w:rPr>
        <w:t xml:space="preserve">See </w:t>
      </w:r>
      <w:r w:rsidRPr="00C6345D">
        <w:t>FCC File No</w:t>
      </w:r>
      <w:r w:rsidR="008F47AC" w:rsidRPr="00C6345D">
        <w:t>s</w:t>
      </w:r>
      <w:r w:rsidRPr="00C6345D">
        <w:t>. BLH-20150902ADW</w:t>
      </w:r>
      <w:r w:rsidR="008F47AC" w:rsidRPr="00C6345D">
        <w:t xml:space="preserve">, </w:t>
      </w:r>
      <w:r w:rsidRPr="00C6345D">
        <w:t>BPH-20150902ADY.</w:t>
      </w:r>
    </w:p>
  </w:footnote>
  <w:footnote w:id="27">
    <w:p w14:paraId="469B9374" w14:textId="77777777" w:rsidR="00BA5064" w:rsidRPr="00C6345D" w:rsidRDefault="00BA5064" w:rsidP="00C6345D">
      <w:pPr>
        <w:pStyle w:val="FootnoteText"/>
        <w:spacing w:after="120"/>
      </w:pPr>
      <w:r w:rsidRPr="00C6345D">
        <w:rPr>
          <w:rStyle w:val="FootnoteReference"/>
        </w:rPr>
        <w:footnoteRef/>
      </w:r>
      <w:r w:rsidRPr="00C6345D">
        <w:t xml:space="preserve"> Opposition at 5 (adding that “if the Bureau disagrees with that position and believes that </w:t>
      </w:r>
      <w:r w:rsidR="004A6525" w:rsidRPr="00C6345D">
        <w:t xml:space="preserve">AJB is correct and that </w:t>
      </w:r>
      <w:r w:rsidRPr="00C6345D">
        <w:t>Valleydale should pay AJB in advance based on its anticipated expenses, then Valleydale will comply.”).</w:t>
      </w:r>
    </w:p>
  </w:footnote>
  <w:footnote w:id="28">
    <w:p w14:paraId="67EB67E4" w14:textId="77777777" w:rsidR="00BC62DC" w:rsidRPr="00C6345D" w:rsidRDefault="00BC62DC" w:rsidP="00C6345D">
      <w:pPr>
        <w:pStyle w:val="FootnoteText"/>
        <w:spacing w:after="120"/>
      </w:pPr>
      <w:r w:rsidRPr="00C6345D">
        <w:rPr>
          <w:rStyle w:val="FootnoteReference"/>
        </w:rPr>
        <w:footnoteRef/>
      </w:r>
      <w:r w:rsidRPr="00C6345D">
        <w:t xml:space="preserve"> </w:t>
      </w:r>
      <w:r w:rsidRPr="00C6345D">
        <w:rPr>
          <w:i/>
        </w:rPr>
        <w:t xml:space="preserve">See </w:t>
      </w:r>
      <w:r w:rsidRPr="00C6345D">
        <w:t xml:space="preserve">47 CFR </w:t>
      </w:r>
      <w:r w:rsidR="00CB4641" w:rsidRPr="00C6345D">
        <w:t xml:space="preserve">§ </w:t>
      </w:r>
      <w:r w:rsidRPr="00C6345D">
        <w:t>73.3518 (“While an application is pending and undecided, no subsequent inconsistent or conflicting application may be filed by or on behalf of or for the benefit of the same applicant, successor or assignee.”).</w:t>
      </w:r>
    </w:p>
  </w:footnote>
  <w:footnote w:id="29">
    <w:p w14:paraId="4CFD8D30" w14:textId="55D46D28" w:rsidR="00567CDC" w:rsidRPr="00C6345D" w:rsidRDefault="00567CDC" w:rsidP="00C6345D">
      <w:pPr>
        <w:pStyle w:val="FootnoteText"/>
        <w:spacing w:after="120"/>
      </w:pPr>
      <w:r w:rsidRPr="00C6345D">
        <w:rPr>
          <w:rStyle w:val="FootnoteReference"/>
        </w:rPr>
        <w:footnoteRef/>
      </w:r>
      <w:r w:rsidRPr="00C6345D">
        <w:t xml:space="preserve"> </w:t>
      </w:r>
      <w:r w:rsidRPr="00C6345D">
        <w:rPr>
          <w:i/>
        </w:rPr>
        <w:t>See WSTV, Inc.</w:t>
      </w:r>
      <w:r w:rsidRPr="00C6345D">
        <w:t xml:space="preserve">, Memorandum Opinion, 17 FCC 530, 531 (1953) (requiring an applicant to select one of two applications that were not both grantable without violating the multiple ownership rules); </w:t>
      </w:r>
      <w:r w:rsidRPr="00C6345D">
        <w:rPr>
          <w:i/>
        </w:rPr>
        <w:t>Big Wyoming Broadcasting Corp.</w:t>
      </w:r>
      <w:r w:rsidRPr="00C6345D">
        <w:t xml:space="preserve">, Memorandum Opinion and Order, 2 FCC Rcd 3493 (1987) (dismissing later-filed application when two applications were not both grantable without violating </w:t>
      </w:r>
      <w:r w:rsidR="00FE4DEF" w:rsidRPr="00C6345D">
        <w:t>the multiple ownership rules).</w:t>
      </w:r>
    </w:p>
  </w:footnote>
  <w:footnote w:id="30">
    <w:p w14:paraId="361E51D7" w14:textId="77777777" w:rsidR="00CB4641" w:rsidRPr="00C6345D" w:rsidRDefault="00CB4641" w:rsidP="00C6345D">
      <w:pPr>
        <w:pStyle w:val="FootnoteText"/>
        <w:spacing w:after="120"/>
      </w:pPr>
      <w:r w:rsidRPr="00C6345D">
        <w:rPr>
          <w:rStyle w:val="FootnoteReference"/>
        </w:rPr>
        <w:footnoteRef/>
      </w:r>
      <w:r w:rsidRPr="00C6345D">
        <w:t xml:space="preserve"> 47 CFR § 73.3573(a)</w:t>
      </w:r>
      <w:r w:rsidR="004A6525" w:rsidRPr="00C6345D">
        <w:t>(1)</w:t>
      </w:r>
      <w:r w:rsidR="00567CDC" w:rsidRPr="00C6345D">
        <w:t>(iii),</w:t>
      </w:r>
      <w:r w:rsidRPr="00C6345D">
        <w:t xml:space="preserve">(iv). </w:t>
      </w:r>
    </w:p>
  </w:footnote>
  <w:footnote w:id="31">
    <w:p w14:paraId="4436720F" w14:textId="77777777" w:rsidR="007B558A" w:rsidRPr="00C6345D" w:rsidRDefault="007B558A" w:rsidP="00C6345D">
      <w:pPr>
        <w:pStyle w:val="FootnoteText"/>
        <w:spacing w:after="120"/>
      </w:pPr>
      <w:r w:rsidRPr="00C6345D">
        <w:rPr>
          <w:rStyle w:val="FootnoteReference"/>
        </w:rPr>
        <w:footnoteRef/>
      </w:r>
      <w:r w:rsidRPr="00C6345D">
        <w:t xml:space="preserve"> 47 CFR § 73.3573(f)(1)</w:t>
      </w:r>
      <w:r w:rsidR="00BD3CA8" w:rsidRPr="00C6345D">
        <w:t xml:space="preserve"> (Section 73.3573(f)(1))</w:t>
      </w:r>
      <w:r w:rsidRPr="00C6345D">
        <w:t>.</w:t>
      </w:r>
    </w:p>
  </w:footnote>
  <w:footnote w:id="32">
    <w:p w14:paraId="77C271D4" w14:textId="77777777" w:rsidR="00CC050A" w:rsidRPr="00C6345D" w:rsidRDefault="00CC050A" w:rsidP="00C6345D">
      <w:pPr>
        <w:pStyle w:val="FootnoteText"/>
        <w:spacing w:after="120"/>
      </w:pPr>
      <w:r w:rsidRPr="00C6345D">
        <w:rPr>
          <w:rStyle w:val="FootnoteReference"/>
        </w:rPr>
        <w:footnoteRef/>
      </w:r>
      <w:r w:rsidRPr="00C6345D">
        <w:t xml:space="preserve"> </w:t>
      </w:r>
      <w:r w:rsidRPr="00C6345D">
        <w:rPr>
          <w:i/>
        </w:rPr>
        <w:t>Id</w:t>
      </w:r>
      <w:r w:rsidRPr="00C6345D">
        <w:t xml:space="preserve">. </w:t>
      </w:r>
    </w:p>
  </w:footnote>
  <w:footnote w:id="33">
    <w:p w14:paraId="7995BDAF" w14:textId="77777777" w:rsidR="00983C40" w:rsidRPr="00C6345D" w:rsidRDefault="00983C40" w:rsidP="00C6345D">
      <w:pPr>
        <w:pStyle w:val="FootnoteText"/>
        <w:spacing w:after="120"/>
      </w:pPr>
      <w:r w:rsidRPr="00C6345D">
        <w:rPr>
          <w:rStyle w:val="FootnoteReference"/>
        </w:rPr>
        <w:footnoteRef/>
      </w:r>
      <w:r w:rsidRPr="00C6345D">
        <w:t xml:space="preserve"> 47 U.S.C. § 316(a). </w:t>
      </w:r>
    </w:p>
  </w:footnote>
  <w:footnote w:id="34">
    <w:p w14:paraId="009AE388" w14:textId="77777777" w:rsidR="00983C40" w:rsidRPr="00C6345D" w:rsidRDefault="00983C40" w:rsidP="00C6345D">
      <w:pPr>
        <w:pStyle w:val="FootnoteText"/>
        <w:spacing w:after="120"/>
      </w:pPr>
      <w:r w:rsidRPr="00C6345D">
        <w:rPr>
          <w:rStyle w:val="FootnoteReference"/>
        </w:rPr>
        <w:footnoteRef/>
      </w:r>
      <w:r w:rsidRPr="00C6345D">
        <w:t xml:space="preserve"> </w:t>
      </w:r>
      <w:r w:rsidRPr="00C6345D">
        <w:rPr>
          <w:i/>
        </w:rPr>
        <w:t>See, e.g., Castle Rock Colorado, et al.</w:t>
      </w:r>
      <w:r w:rsidRPr="00C6345D">
        <w:t>, Report and Order</w:t>
      </w:r>
      <w:r w:rsidR="008456C4" w:rsidRPr="00C6345D">
        <w:t>, 7 FCC Rcd 7668, 7669 (1992)</w:t>
      </w:r>
      <w:r w:rsidRPr="00C6345D">
        <w:t>.</w:t>
      </w:r>
    </w:p>
  </w:footnote>
  <w:footnote w:id="35">
    <w:p w14:paraId="51177CBF" w14:textId="516C8A3F" w:rsidR="00983C40" w:rsidRPr="00C6345D" w:rsidRDefault="00983C40" w:rsidP="00C6345D">
      <w:pPr>
        <w:pStyle w:val="FootnoteText"/>
        <w:spacing w:after="120"/>
      </w:pPr>
      <w:r w:rsidRPr="00C6345D">
        <w:rPr>
          <w:rStyle w:val="FootnoteReference"/>
        </w:rPr>
        <w:footnoteRef/>
      </w:r>
      <w:r w:rsidRPr="00C6345D">
        <w:t xml:space="preserve"> </w:t>
      </w:r>
      <w:r w:rsidRPr="00C6345D">
        <w:rPr>
          <w:i/>
        </w:rPr>
        <w:t xml:space="preserve">See </w:t>
      </w:r>
      <w:r w:rsidR="00FE4DEF" w:rsidRPr="00C6345D">
        <w:rPr>
          <w:i/>
        </w:rPr>
        <w:t xml:space="preserve">2015 </w:t>
      </w:r>
      <w:r w:rsidRPr="00C6345D">
        <w:rPr>
          <w:i/>
        </w:rPr>
        <w:t>Order to Show Cause</w:t>
      </w:r>
      <w:r w:rsidRPr="00C6345D">
        <w:t xml:space="preserve"> at 2.</w:t>
      </w:r>
    </w:p>
  </w:footnote>
  <w:footnote w:id="36">
    <w:p w14:paraId="0D1988E7" w14:textId="77777777" w:rsidR="00F361A6" w:rsidRPr="00C6345D" w:rsidRDefault="00F361A6" w:rsidP="00C6345D">
      <w:pPr>
        <w:pStyle w:val="FootnoteText"/>
        <w:spacing w:after="120"/>
      </w:pPr>
      <w:r w:rsidRPr="00C6345D">
        <w:rPr>
          <w:rStyle w:val="FootnoteReference"/>
        </w:rPr>
        <w:footnoteRef/>
      </w:r>
      <w:r w:rsidRPr="00C6345D">
        <w:t xml:space="preserve"> 47 CFR §</w:t>
      </w:r>
      <w:r w:rsidR="004D4126" w:rsidRPr="00C6345D">
        <w:t xml:space="preserve"> 73.3522(c</w:t>
      </w:r>
      <w:r w:rsidRPr="00C6345D">
        <w:t>)(2)</w:t>
      </w:r>
      <w:r w:rsidR="004D4126" w:rsidRPr="00C6345D">
        <w:t>.</w:t>
      </w:r>
    </w:p>
  </w:footnote>
  <w:footnote w:id="37">
    <w:p w14:paraId="27A5B8DF" w14:textId="77777777" w:rsidR="0008398F" w:rsidRPr="00C6345D" w:rsidRDefault="0008398F" w:rsidP="00C6345D">
      <w:pPr>
        <w:pStyle w:val="FootnoteText"/>
        <w:spacing w:after="120"/>
      </w:pPr>
      <w:r w:rsidRPr="00C6345D">
        <w:rPr>
          <w:rStyle w:val="FootnoteReference"/>
        </w:rPr>
        <w:footnoteRef/>
      </w:r>
      <w:r w:rsidRPr="00C6345D">
        <w:t xml:space="preserve"> </w:t>
      </w:r>
      <w:r w:rsidR="0012460A" w:rsidRPr="00C6345D">
        <w:t>Response at 8.</w:t>
      </w:r>
    </w:p>
  </w:footnote>
  <w:footnote w:id="38">
    <w:p w14:paraId="1BB20A45" w14:textId="77777777" w:rsidR="007D4D88" w:rsidRPr="00C6345D" w:rsidRDefault="007D4D88" w:rsidP="00C6345D">
      <w:pPr>
        <w:pStyle w:val="FootnoteText"/>
        <w:spacing w:after="120"/>
      </w:pPr>
      <w:r w:rsidRPr="00C6345D">
        <w:rPr>
          <w:rStyle w:val="FootnoteReference"/>
        </w:rPr>
        <w:footnoteRef/>
      </w:r>
      <w:r w:rsidRPr="00C6345D">
        <w:t xml:space="preserve"> FCC File No. BPH-20101220ABB, granted on February 28, 2011.  </w:t>
      </w:r>
      <w:r w:rsidRPr="00C6345D">
        <w:rPr>
          <w:i/>
        </w:rPr>
        <w:t>Broadcast Actions</w:t>
      </w:r>
      <w:r w:rsidRPr="00C6345D">
        <w:t>, Public Notice, Report No. 47436 (MB March 4, 2011) (KUDE Construction Permit).</w:t>
      </w:r>
    </w:p>
  </w:footnote>
  <w:footnote w:id="39">
    <w:p w14:paraId="1840C8F1" w14:textId="77777777" w:rsidR="00F237EB" w:rsidRPr="00C6345D" w:rsidRDefault="00F237EB" w:rsidP="00C6345D">
      <w:pPr>
        <w:pStyle w:val="FootnoteText"/>
        <w:spacing w:after="120"/>
      </w:pPr>
      <w:r w:rsidRPr="00C6345D">
        <w:rPr>
          <w:rStyle w:val="FootnoteReference"/>
        </w:rPr>
        <w:footnoteRef/>
      </w:r>
      <w:r w:rsidRPr="00C6345D">
        <w:t xml:space="preserve"> </w:t>
      </w:r>
      <w:r w:rsidR="004D22CC" w:rsidRPr="00C6345D">
        <w:rPr>
          <w:i/>
        </w:rPr>
        <w:t xml:space="preserve">See </w:t>
      </w:r>
      <w:r w:rsidR="004D22CC" w:rsidRPr="00C6345D">
        <w:t>KUDE Construction Permit, Special Operating Condition #5.</w:t>
      </w:r>
      <w:r w:rsidRPr="00C6345D">
        <w:t xml:space="preserve"> </w:t>
      </w:r>
    </w:p>
  </w:footnote>
  <w:footnote w:id="40">
    <w:p w14:paraId="08699128" w14:textId="77777777" w:rsidR="004D22CC" w:rsidRPr="00C6345D" w:rsidRDefault="004D22CC" w:rsidP="00C6345D">
      <w:pPr>
        <w:pStyle w:val="FootnoteText"/>
        <w:spacing w:after="120"/>
      </w:pPr>
      <w:r w:rsidRPr="00C6345D">
        <w:rPr>
          <w:rStyle w:val="FootnoteReference"/>
        </w:rPr>
        <w:footnoteRef/>
      </w:r>
      <w:r w:rsidRPr="00C6345D">
        <w:t xml:space="preserve"> FCC File No. BMPH-20160614AAJ (modifying the KUDE Construction Permit to downgrade and specify a new site), </w:t>
      </w:r>
      <w:r w:rsidR="00175D3E" w:rsidRPr="00C6345D">
        <w:t>Attachment 30 at 1</w:t>
      </w:r>
      <w:r w:rsidR="00676C87" w:rsidRPr="00C6345D">
        <w:t>.</w:t>
      </w:r>
    </w:p>
  </w:footnote>
  <w:footnote w:id="41">
    <w:p w14:paraId="54F26992" w14:textId="5473121B" w:rsidR="0056411C" w:rsidRPr="00C6345D" w:rsidRDefault="0056411C" w:rsidP="00C6345D">
      <w:pPr>
        <w:pStyle w:val="FootnoteText"/>
        <w:spacing w:after="120"/>
      </w:pPr>
      <w:r w:rsidRPr="00C6345D">
        <w:rPr>
          <w:rStyle w:val="FootnoteReference"/>
        </w:rPr>
        <w:footnoteRef/>
      </w:r>
      <w:r w:rsidRPr="00C6345D">
        <w:t xml:space="preserve"> </w:t>
      </w:r>
      <w:r w:rsidRPr="00C6345D">
        <w:rPr>
          <w:i/>
        </w:rPr>
        <w:t>See Broadcast Actions</w:t>
      </w:r>
      <w:r w:rsidRPr="00C6345D">
        <w:t>, Public Notice, Report No. 48780 (</w:t>
      </w:r>
      <w:r w:rsidR="008F47AC" w:rsidRPr="00C6345D">
        <w:t xml:space="preserve">MB </w:t>
      </w:r>
      <w:r w:rsidR="004A6525" w:rsidRPr="00C6345D">
        <w:t>July 20, 2016</w:t>
      </w:r>
      <w:r w:rsidRPr="00C6345D">
        <w:t>).</w:t>
      </w:r>
    </w:p>
  </w:footnote>
  <w:footnote w:id="42">
    <w:p w14:paraId="72C8EF29" w14:textId="77777777" w:rsidR="00676C87" w:rsidRPr="00C6345D" w:rsidRDefault="00676C87" w:rsidP="00C6345D">
      <w:pPr>
        <w:pStyle w:val="FootnoteText"/>
        <w:spacing w:after="120"/>
      </w:pPr>
      <w:r w:rsidRPr="00C6345D">
        <w:rPr>
          <w:rStyle w:val="FootnoteReference"/>
        </w:rPr>
        <w:footnoteRef/>
      </w:r>
      <w:r w:rsidRPr="00C6345D">
        <w:t xml:space="preserve"> </w:t>
      </w:r>
      <w:r w:rsidR="00B727E8" w:rsidRPr="00C6345D">
        <w:rPr>
          <w:i/>
        </w:rPr>
        <w:t>Brian M. Madden, Esq.</w:t>
      </w:r>
      <w:r w:rsidR="00B727E8" w:rsidRPr="00C6345D">
        <w:t>, Letter, 25 FCC Rcd 4765</w:t>
      </w:r>
      <w:r w:rsidR="008456C4" w:rsidRPr="00C6345D">
        <w:t>, 4767</w:t>
      </w:r>
      <w:r w:rsidR="00B727E8" w:rsidRPr="00C6345D">
        <w:t xml:space="preserve"> (MB 2010) (</w:t>
      </w:r>
      <w:r w:rsidR="00B727E8" w:rsidRPr="00C6345D">
        <w:rPr>
          <w:i/>
        </w:rPr>
        <w:t>Liberman</w:t>
      </w:r>
      <w:r w:rsidR="00B727E8" w:rsidRPr="00C6345D">
        <w:t>)</w:t>
      </w:r>
      <w:r w:rsidR="008456C4" w:rsidRPr="00C6345D">
        <w:t xml:space="preserve"> (quoting </w:t>
      </w:r>
      <w:r w:rsidRPr="00C6345D">
        <w:rPr>
          <w:i/>
        </w:rPr>
        <w:t>1998 Biennial Regulatory Review—Streamlining of Mass Media Applications, Rules, and Processes,</w:t>
      </w:r>
      <w:r w:rsidR="00B727E8" w:rsidRPr="00C6345D">
        <w:rPr>
          <w:i/>
        </w:rPr>
        <w:t xml:space="preserve"> </w:t>
      </w:r>
      <w:r w:rsidRPr="00C6345D">
        <w:t>Memorandum Opinion and Order, 14 FCC Rcd 17525, 17540 n.55</w:t>
      </w:r>
      <w:r w:rsidR="00B727E8" w:rsidRPr="00C6345D">
        <w:t xml:space="preserve"> (1999))</w:t>
      </w:r>
    </w:p>
  </w:footnote>
  <w:footnote w:id="43">
    <w:p w14:paraId="218BF208" w14:textId="77777777" w:rsidR="005B47DB" w:rsidRPr="00C6345D" w:rsidRDefault="005B47DB" w:rsidP="00C6345D">
      <w:pPr>
        <w:pStyle w:val="FootnoteText"/>
        <w:spacing w:after="120"/>
      </w:pPr>
      <w:r w:rsidRPr="00C6345D">
        <w:rPr>
          <w:rStyle w:val="FootnoteReference"/>
        </w:rPr>
        <w:footnoteRef/>
      </w:r>
      <w:r w:rsidRPr="00C6345D">
        <w:t xml:space="preserve"> </w:t>
      </w:r>
      <w:r w:rsidR="008456C4" w:rsidRPr="00C6345D">
        <w:rPr>
          <w:i/>
        </w:rPr>
        <w:t>Liberman</w:t>
      </w:r>
      <w:r w:rsidR="008456C4" w:rsidRPr="00C6345D">
        <w:t>, 25 FCC Rcd at 4767 (citing</w:t>
      </w:r>
      <w:r w:rsidRPr="00C6345D">
        <w:rPr>
          <w:i/>
        </w:rPr>
        <w:t xml:space="preserve"> </w:t>
      </w:r>
      <w:r w:rsidRPr="00C6345D">
        <w:t>47 CFR §§ 73.207, 73.213 and 73.215</w:t>
      </w:r>
      <w:r w:rsidR="008456C4" w:rsidRPr="00C6345D">
        <w:t>)</w:t>
      </w:r>
      <w:r w:rsidRPr="00C6345D">
        <w:t>.</w:t>
      </w:r>
    </w:p>
  </w:footnote>
  <w:footnote w:id="44">
    <w:p w14:paraId="10D0D362" w14:textId="2A55E198" w:rsidR="00676C87" w:rsidRPr="00C6345D" w:rsidRDefault="00676C87" w:rsidP="00C6345D">
      <w:pPr>
        <w:pStyle w:val="FootnoteText"/>
        <w:spacing w:after="120"/>
      </w:pPr>
      <w:r w:rsidRPr="00C6345D">
        <w:rPr>
          <w:rStyle w:val="FootnoteReference"/>
        </w:rPr>
        <w:footnoteRef/>
      </w:r>
      <w:r w:rsidRPr="00C6345D">
        <w:t xml:space="preserve"> </w:t>
      </w:r>
      <w:r w:rsidR="00C6345D" w:rsidRPr="00C6345D">
        <w:rPr>
          <w:i/>
        </w:rPr>
        <w:t>Id.</w:t>
      </w:r>
      <w:r w:rsidR="008456C4" w:rsidRPr="00C6345D">
        <w:t xml:space="preserve"> at 4768 (citing</w:t>
      </w:r>
      <w:r w:rsidRPr="00C6345D">
        <w:t xml:space="preserve"> </w:t>
      </w:r>
      <w:r w:rsidRPr="00C6345D">
        <w:rPr>
          <w:i/>
        </w:rPr>
        <w:t xml:space="preserve">Corona de Tucson, Sierra Vista, Tanque Verde and Vail, AZ, and Animas, Lordsburg and Virden, NM, </w:t>
      </w:r>
      <w:r w:rsidRPr="00C6345D">
        <w:t>Memorandum Opinion and Order, 23 FCC Rcd 4792, 4796 (MB 2008)</w:t>
      </w:r>
      <w:r w:rsidR="008456C4" w:rsidRPr="00C6345D">
        <w:t>)</w:t>
      </w:r>
      <w:r w:rsidRPr="00C6345D">
        <w:t>.</w:t>
      </w:r>
    </w:p>
  </w:footnote>
  <w:footnote w:id="45">
    <w:p w14:paraId="364A0C1A" w14:textId="49B1105D" w:rsidR="00A21ADE" w:rsidRPr="00C6345D" w:rsidRDefault="00A21ADE" w:rsidP="00C6345D">
      <w:pPr>
        <w:pStyle w:val="FootnoteText"/>
        <w:spacing w:after="120"/>
      </w:pPr>
      <w:r w:rsidRPr="00C6345D">
        <w:rPr>
          <w:rStyle w:val="FootnoteReference"/>
        </w:rPr>
        <w:footnoteRef/>
      </w:r>
      <w:r w:rsidRPr="00C6345D">
        <w:t xml:space="preserve"> </w:t>
      </w:r>
      <w:r w:rsidR="00C6345D" w:rsidRPr="00C6345D">
        <w:rPr>
          <w:i/>
        </w:rPr>
        <w:t>Id.</w:t>
      </w:r>
      <w:r w:rsidR="00C6345D">
        <w:rPr>
          <w:i/>
        </w:rPr>
        <w:t xml:space="preserve"> </w:t>
      </w:r>
      <w:r w:rsidRPr="00C6345D">
        <w:t>at 4768</w:t>
      </w:r>
      <w:r w:rsidR="00D055B3" w:rsidRPr="00C6345D">
        <w:t>.</w:t>
      </w:r>
    </w:p>
  </w:footnote>
  <w:footnote w:id="46">
    <w:p w14:paraId="51BF0F72" w14:textId="46A02073" w:rsidR="00676C87" w:rsidRPr="00C6345D" w:rsidRDefault="00676C87" w:rsidP="00C6345D">
      <w:pPr>
        <w:pStyle w:val="FootnoteText"/>
        <w:spacing w:after="120"/>
      </w:pPr>
      <w:r w:rsidRPr="00C6345D">
        <w:rPr>
          <w:rStyle w:val="FootnoteReference"/>
        </w:rPr>
        <w:footnoteRef/>
      </w:r>
      <w:r w:rsidRPr="00C6345D">
        <w:t xml:space="preserve"> </w:t>
      </w:r>
      <w:r w:rsidR="00C6345D" w:rsidRPr="00C6345D">
        <w:rPr>
          <w:i/>
        </w:rPr>
        <w:t>Id.</w:t>
      </w:r>
      <w:r w:rsidR="00C6345D">
        <w:rPr>
          <w:i/>
        </w:rPr>
        <w:t xml:space="preserve"> </w:t>
      </w:r>
      <w:r w:rsidR="00D055B3" w:rsidRPr="00C6345D">
        <w:t xml:space="preserve">at 4768 (citing </w:t>
      </w:r>
      <w:r w:rsidR="00D055B3" w:rsidRPr="00C6345D">
        <w:rPr>
          <w:i/>
        </w:rPr>
        <w:t>Pathfinder Communications Corp</w:t>
      </w:r>
      <w:r w:rsidR="00D055B3" w:rsidRPr="00C6345D">
        <w:t>., Memorandum Opinion and Order, 18 FCC Rcd 9272, 9279 (2003)).</w:t>
      </w:r>
    </w:p>
  </w:footnote>
  <w:footnote w:id="47">
    <w:p w14:paraId="29C065A0" w14:textId="77777777" w:rsidR="0037183D" w:rsidRPr="00C6345D" w:rsidRDefault="0037183D" w:rsidP="00C6345D">
      <w:pPr>
        <w:pStyle w:val="FootnoteText"/>
        <w:spacing w:after="120"/>
      </w:pPr>
      <w:r w:rsidRPr="00C6345D">
        <w:rPr>
          <w:rStyle w:val="FootnoteReference"/>
        </w:rPr>
        <w:footnoteRef/>
      </w:r>
      <w:r w:rsidRPr="00C6345D">
        <w:t xml:space="preserve"> Given the passage of time and our action taken herein to modify the KWSA license, we are admonishing AJB for its violation rather than pursuing alternative enforcement action.</w:t>
      </w:r>
    </w:p>
  </w:footnote>
  <w:footnote w:id="48">
    <w:p w14:paraId="55078377" w14:textId="77777777" w:rsidR="0037183D" w:rsidRPr="00C6345D" w:rsidRDefault="0037183D" w:rsidP="00C6345D">
      <w:pPr>
        <w:pStyle w:val="FootnoteText"/>
        <w:spacing w:after="120"/>
      </w:pPr>
      <w:r w:rsidRPr="00C6345D">
        <w:rPr>
          <w:rStyle w:val="FootnoteReference"/>
        </w:rPr>
        <w:footnoteRef/>
      </w:r>
      <w:r w:rsidRPr="00C6345D">
        <w:t xml:space="preserve"> </w:t>
      </w:r>
      <w:r w:rsidR="00D055B3" w:rsidRPr="00C6345D">
        <w:t>47 C</w:t>
      </w:r>
      <w:r w:rsidRPr="00C6345D">
        <w:t>FR § 1.102(b)(1).</w:t>
      </w:r>
    </w:p>
  </w:footnote>
  <w:footnote w:id="49">
    <w:p w14:paraId="1C4B4BFE" w14:textId="77777777" w:rsidR="00D055B3" w:rsidRPr="00C6345D" w:rsidRDefault="00D055B3" w:rsidP="00C6345D">
      <w:pPr>
        <w:pStyle w:val="FootnoteText"/>
        <w:spacing w:after="120"/>
      </w:pPr>
      <w:r w:rsidRPr="00C6345D">
        <w:rPr>
          <w:rStyle w:val="FootnoteReference"/>
        </w:rPr>
        <w:footnoteRef/>
      </w:r>
      <w:r w:rsidRPr="00C6345D">
        <w:t xml:space="preserve"> Merriam-Webster Dictionary, “simple definition of ‘reimburse,’” http://www.merriam-webster.com/dictionary/reimburse (last visited July 10, 2016) (“to pay someone an amount of money equal to an amount that person </w:t>
      </w:r>
      <w:r w:rsidRPr="00C6345D">
        <w:rPr>
          <w:i/>
        </w:rPr>
        <w:t>has spent</w:t>
      </w:r>
      <w:r w:rsidRPr="00C6345D">
        <w:t>”) (emphasis added).</w:t>
      </w:r>
    </w:p>
  </w:footnote>
  <w:footnote w:id="50">
    <w:p w14:paraId="0FAF07FF" w14:textId="77777777" w:rsidR="00A61997" w:rsidRPr="00C6345D" w:rsidRDefault="00A61997" w:rsidP="00C6345D">
      <w:pPr>
        <w:pStyle w:val="FootnoteText"/>
        <w:spacing w:after="120"/>
      </w:pPr>
      <w:r w:rsidRPr="00C6345D">
        <w:rPr>
          <w:rStyle w:val="FootnoteReference"/>
        </w:rPr>
        <w:footnoteRef/>
      </w:r>
      <w:r w:rsidRPr="00C6345D">
        <w:t xml:space="preserve"> </w:t>
      </w:r>
      <w:r w:rsidRPr="00C6345D">
        <w:rPr>
          <w:i/>
        </w:rPr>
        <w:t>See</w:t>
      </w:r>
      <w:r w:rsidR="00B03C56" w:rsidRPr="00C6345D">
        <w:rPr>
          <w:i/>
        </w:rPr>
        <w:t xml:space="preserve"> Circleville, Ohio</w:t>
      </w:r>
      <w:r w:rsidR="00B03C56" w:rsidRPr="00C6345D">
        <w:t xml:space="preserve">, Second Report and Order, 8 FCC 2d 159 (1967); </w:t>
      </w:r>
      <w:r w:rsidR="00B03C56" w:rsidRPr="00C6345D">
        <w:rPr>
          <w:i/>
        </w:rPr>
        <w:t>Peter Wayne Lechman</w:t>
      </w:r>
      <w:r w:rsidR="00B03C56" w:rsidRPr="00C6345D">
        <w:t>, Memorandum Opinion and Order, 8 FCC Rcd</w:t>
      </w:r>
      <w:r w:rsidR="00D055B3" w:rsidRPr="00C6345D">
        <w:t xml:space="preserve"> 3058, 3058 (MMB 1993)</w:t>
      </w:r>
      <w:r w:rsidR="00286C68" w:rsidRPr="00C6345D">
        <w:t xml:space="preserve"> (</w:t>
      </w:r>
      <w:r w:rsidR="00286C68" w:rsidRPr="00C6345D">
        <w:rPr>
          <w:i/>
        </w:rPr>
        <w:t>Lechman</w:t>
      </w:r>
      <w:r w:rsidR="00286C68" w:rsidRPr="00C6345D">
        <w:t>)</w:t>
      </w:r>
      <w:r w:rsidR="00D055B3" w:rsidRPr="00C6345D">
        <w:t>.</w:t>
      </w:r>
    </w:p>
  </w:footnote>
  <w:footnote w:id="51">
    <w:p w14:paraId="48D2885E" w14:textId="77777777" w:rsidR="00CF780E" w:rsidRPr="00C6345D" w:rsidRDefault="00CF780E" w:rsidP="00C6345D">
      <w:pPr>
        <w:pStyle w:val="FootnoteText"/>
        <w:spacing w:after="120"/>
      </w:pPr>
      <w:r w:rsidRPr="00C6345D">
        <w:rPr>
          <w:rStyle w:val="FootnoteReference"/>
        </w:rPr>
        <w:footnoteRef/>
      </w:r>
      <w:r w:rsidRPr="00C6345D">
        <w:t xml:space="preserve"> </w:t>
      </w:r>
      <w:r w:rsidR="00DF412D" w:rsidRPr="00C6345D">
        <w:rPr>
          <w:i/>
        </w:rPr>
        <w:t xml:space="preserve">See, e.g., </w:t>
      </w:r>
      <w:r w:rsidR="00B17992" w:rsidRPr="00C6345D">
        <w:rPr>
          <w:i/>
        </w:rPr>
        <w:t>Lechman</w:t>
      </w:r>
      <w:r w:rsidR="00B17992" w:rsidRPr="00C6345D">
        <w:t xml:space="preserve">, </w:t>
      </w:r>
      <w:r w:rsidR="00286C68" w:rsidRPr="00C6345D">
        <w:t>8 FCC Rcd at 3058</w:t>
      </w:r>
      <w:r w:rsidR="00B03C56" w:rsidRPr="00C6345D">
        <w:t>.</w:t>
      </w:r>
    </w:p>
  </w:footnote>
  <w:footnote w:id="52">
    <w:p w14:paraId="4FC669F8" w14:textId="77777777" w:rsidR="00BB7D4A" w:rsidRPr="00C6345D" w:rsidRDefault="00BB7D4A" w:rsidP="00C6345D">
      <w:pPr>
        <w:pStyle w:val="FootnoteText"/>
        <w:spacing w:after="120"/>
      </w:pPr>
      <w:r w:rsidRPr="00C6345D">
        <w:rPr>
          <w:rStyle w:val="FootnoteReference"/>
        </w:rPr>
        <w:footnoteRef/>
      </w:r>
      <w:r w:rsidRPr="00C6345D">
        <w:t xml:space="preserve"> </w:t>
      </w:r>
      <w:r w:rsidRPr="00C6345D">
        <w:rPr>
          <w:i/>
        </w:rPr>
        <w:t xml:space="preserve">See, e.g., </w:t>
      </w:r>
      <w:r w:rsidR="005C25BD" w:rsidRPr="00C6345D">
        <w:t xml:space="preserve">KPVO Modification Application, Exh. 30; </w:t>
      </w:r>
      <w:r w:rsidR="00286C68" w:rsidRPr="00C6345D">
        <w:t>Opposition at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DE9C6" w14:textId="77777777" w:rsidR="00363369" w:rsidRDefault="00363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DB643" w14:textId="77777777" w:rsidR="00363369" w:rsidRDefault="00363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E109B" w14:textId="77777777" w:rsidR="00420B39" w:rsidRDefault="002E0BCC">
    <w:pPr>
      <w:pStyle w:val="Header"/>
      <w:tabs>
        <w:tab w:val="clear" w:pos="4320"/>
        <w:tab w:val="clear" w:pos="8640"/>
      </w:tabs>
      <w:spacing w:before="360" w:line="228" w:lineRule="auto"/>
      <w:jc w:val="center"/>
      <w:rPr>
        <w:b/>
        <w:sz w:val="22"/>
      </w:rPr>
    </w:pPr>
    <w:r>
      <w:rPr>
        <w:noProof/>
      </w:rPr>
      <w:drawing>
        <wp:anchor distT="0" distB="0" distL="114300" distR="114300" simplePos="0" relativeHeight="251657728" behindDoc="0" locked="0" layoutInCell="0" allowOverlap="1" wp14:anchorId="19A332C4" wp14:editId="24DF5927">
          <wp:simplePos x="0" y="0"/>
          <wp:positionH relativeFrom="column">
            <wp:posOffset>-403860</wp:posOffset>
          </wp:positionH>
          <wp:positionV relativeFrom="paragraph">
            <wp:posOffset>0</wp:posOffset>
          </wp:positionV>
          <wp:extent cx="863600"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3600"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420B39">
      <w:rPr>
        <w:b/>
        <w:sz w:val="22"/>
      </w:rPr>
      <w:t>Federal Communications Commission</w:t>
    </w:r>
  </w:p>
  <w:p w14:paraId="7F7FBA09" w14:textId="77777777" w:rsidR="00420B39" w:rsidRDefault="00420B39">
    <w:pPr>
      <w:jc w:val="center"/>
      <w:rPr>
        <w:b/>
        <w:sz w:val="22"/>
      </w:rPr>
    </w:pPr>
    <w:r>
      <w:rPr>
        <w:b/>
        <w:sz w:val="22"/>
      </w:rPr>
      <w:t>Washington, D.C. 20554</w:t>
    </w:r>
  </w:p>
  <w:p w14:paraId="6210E028" w14:textId="77777777" w:rsidR="00420B39" w:rsidRDefault="00420B39">
    <w:pPr>
      <w:jc w:val="center"/>
      <w:rPr>
        <w:b/>
        <w:sz w:val="22"/>
      </w:rPr>
    </w:pPr>
  </w:p>
  <w:p w14:paraId="3C744628" w14:textId="0A44E12B" w:rsidR="00420B39" w:rsidRPr="00745673" w:rsidRDefault="00DC31A3" w:rsidP="00F50E07">
    <w:pPr>
      <w:jc w:val="center"/>
      <w:rPr>
        <w:b/>
        <w:sz w:val="22"/>
      </w:rPr>
    </w:pPr>
    <w:r>
      <w:rPr>
        <w:b/>
        <w:sz w:val="22"/>
      </w:rPr>
      <w:t>August 12,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502B"/>
    <w:multiLevelType w:val="hybridMultilevel"/>
    <w:tmpl w:val="41C0D6BE"/>
    <w:lvl w:ilvl="0" w:tplc="BFF8364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51A63E6"/>
    <w:multiLevelType w:val="hybridMultilevel"/>
    <w:tmpl w:val="CCA8F89C"/>
    <w:lvl w:ilvl="0" w:tplc="DB5A8A08">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D0"/>
    <w:rsid w:val="00001E44"/>
    <w:rsid w:val="000046E9"/>
    <w:rsid w:val="000047FA"/>
    <w:rsid w:val="00004F89"/>
    <w:rsid w:val="00005D35"/>
    <w:rsid w:val="000063A5"/>
    <w:rsid w:val="0000783B"/>
    <w:rsid w:val="00007A8D"/>
    <w:rsid w:val="000102A2"/>
    <w:rsid w:val="000104B2"/>
    <w:rsid w:val="00010EC8"/>
    <w:rsid w:val="00012C46"/>
    <w:rsid w:val="00012C5B"/>
    <w:rsid w:val="00012E61"/>
    <w:rsid w:val="00014A5D"/>
    <w:rsid w:val="00015530"/>
    <w:rsid w:val="000165DF"/>
    <w:rsid w:val="000174C1"/>
    <w:rsid w:val="0002009F"/>
    <w:rsid w:val="00021B46"/>
    <w:rsid w:val="00022113"/>
    <w:rsid w:val="0002251E"/>
    <w:rsid w:val="000228B5"/>
    <w:rsid w:val="00023CE0"/>
    <w:rsid w:val="000241A7"/>
    <w:rsid w:val="00025687"/>
    <w:rsid w:val="00027667"/>
    <w:rsid w:val="00027EB4"/>
    <w:rsid w:val="00032872"/>
    <w:rsid w:val="000329B6"/>
    <w:rsid w:val="00034A2A"/>
    <w:rsid w:val="00034D8C"/>
    <w:rsid w:val="00034EAA"/>
    <w:rsid w:val="000355AC"/>
    <w:rsid w:val="00036341"/>
    <w:rsid w:val="00036470"/>
    <w:rsid w:val="00036D03"/>
    <w:rsid w:val="000378B8"/>
    <w:rsid w:val="00037CCF"/>
    <w:rsid w:val="00041399"/>
    <w:rsid w:val="00041F5D"/>
    <w:rsid w:val="0004256E"/>
    <w:rsid w:val="00043182"/>
    <w:rsid w:val="00043C86"/>
    <w:rsid w:val="00044A6C"/>
    <w:rsid w:val="00045C0A"/>
    <w:rsid w:val="00045EFE"/>
    <w:rsid w:val="0004625F"/>
    <w:rsid w:val="00046465"/>
    <w:rsid w:val="0004649F"/>
    <w:rsid w:val="00046FF3"/>
    <w:rsid w:val="000472E5"/>
    <w:rsid w:val="000504B5"/>
    <w:rsid w:val="00050961"/>
    <w:rsid w:val="00051383"/>
    <w:rsid w:val="00052114"/>
    <w:rsid w:val="00052560"/>
    <w:rsid w:val="000526E3"/>
    <w:rsid w:val="00053675"/>
    <w:rsid w:val="00054836"/>
    <w:rsid w:val="00055389"/>
    <w:rsid w:val="00055A2E"/>
    <w:rsid w:val="00056350"/>
    <w:rsid w:val="00056B90"/>
    <w:rsid w:val="00057F5F"/>
    <w:rsid w:val="00060C16"/>
    <w:rsid w:val="000622BC"/>
    <w:rsid w:val="00063839"/>
    <w:rsid w:val="00063956"/>
    <w:rsid w:val="00063A1A"/>
    <w:rsid w:val="000658F4"/>
    <w:rsid w:val="00066068"/>
    <w:rsid w:val="000661A0"/>
    <w:rsid w:val="00067221"/>
    <w:rsid w:val="000673A6"/>
    <w:rsid w:val="0006756A"/>
    <w:rsid w:val="00071742"/>
    <w:rsid w:val="00072A66"/>
    <w:rsid w:val="00072DD8"/>
    <w:rsid w:val="00072FE1"/>
    <w:rsid w:val="0007355A"/>
    <w:rsid w:val="000740D6"/>
    <w:rsid w:val="00074915"/>
    <w:rsid w:val="000750B5"/>
    <w:rsid w:val="00076242"/>
    <w:rsid w:val="00076D7C"/>
    <w:rsid w:val="00076D7D"/>
    <w:rsid w:val="00082F9B"/>
    <w:rsid w:val="000831BD"/>
    <w:rsid w:val="000832B2"/>
    <w:rsid w:val="0008398F"/>
    <w:rsid w:val="00084E50"/>
    <w:rsid w:val="00085875"/>
    <w:rsid w:val="000858EC"/>
    <w:rsid w:val="00090956"/>
    <w:rsid w:val="00091225"/>
    <w:rsid w:val="00091BDC"/>
    <w:rsid w:val="000939D0"/>
    <w:rsid w:val="00093FE6"/>
    <w:rsid w:val="0009550F"/>
    <w:rsid w:val="0009556E"/>
    <w:rsid w:val="00095B5F"/>
    <w:rsid w:val="000960C4"/>
    <w:rsid w:val="00096D91"/>
    <w:rsid w:val="00097279"/>
    <w:rsid w:val="00097325"/>
    <w:rsid w:val="0009789E"/>
    <w:rsid w:val="00097F30"/>
    <w:rsid w:val="000A26BB"/>
    <w:rsid w:val="000A2AD6"/>
    <w:rsid w:val="000A31F1"/>
    <w:rsid w:val="000A4901"/>
    <w:rsid w:val="000A4E9B"/>
    <w:rsid w:val="000A6B1D"/>
    <w:rsid w:val="000A77C4"/>
    <w:rsid w:val="000B1DB8"/>
    <w:rsid w:val="000B3BFC"/>
    <w:rsid w:val="000B3CDA"/>
    <w:rsid w:val="000B6F1B"/>
    <w:rsid w:val="000B7EA1"/>
    <w:rsid w:val="000C09C1"/>
    <w:rsid w:val="000C12E5"/>
    <w:rsid w:val="000C283A"/>
    <w:rsid w:val="000C478E"/>
    <w:rsid w:val="000C5CE9"/>
    <w:rsid w:val="000C6AB0"/>
    <w:rsid w:val="000C77E6"/>
    <w:rsid w:val="000D0612"/>
    <w:rsid w:val="000D090A"/>
    <w:rsid w:val="000D0A72"/>
    <w:rsid w:val="000D0F63"/>
    <w:rsid w:val="000D17C0"/>
    <w:rsid w:val="000D2C29"/>
    <w:rsid w:val="000D2F8E"/>
    <w:rsid w:val="000D60A2"/>
    <w:rsid w:val="000D65F5"/>
    <w:rsid w:val="000D6F54"/>
    <w:rsid w:val="000D7BB6"/>
    <w:rsid w:val="000D7F2B"/>
    <w:rsid w:val="000E0489"/>
    <w:rsid w:val="000E0923"/>
    <w:rsid w:val="000E0DA0"/>
    <w:rsid w:val="000E3577"/>
    <w:rsid w:val="000E61F4"/>
    <w:rsid w:val="000E6509"/>
    <w:rsid w:val="000F0353"/>
    <w:rsid w:val="000F2F58"/>
    <w:rsid w:val="000F4396"/>
    <w:rsid w:val="000F50C1"/>
    <w:rsid w:val="000F6DD7"/>
    <w:rsid w:val="000F776A"/>
    <w:rsid w:val="000F7864"/>
    <w:rsid w:val="00100497"/>
    <w:rsid w:val="00100A51"/>
    <w:rsid w:val="00101990"/>
    <w:rsid w:val="00102035"/>
    <w:rsid w:val="0010213C"/>
    <w:rsid w:val="00103DE5"/>
    <w:rsid w:val="001057A8"/>
    <w:rsid w:val="00106091"/>
    <w:rsid w:val="00106526"/>
    <w:rsid w:val="00107B37"/>
    <w:rsid w:val="0011079E"/>
    <w:rsid w:val="0011124A"/>
    <w:rsid w:val="00111C73"/>
    <w:rsid w:val="001125A6"/>
    <w:rsid w:val="001162FC"/>
    <w:rsid w:val="00116843"/>
    <w:rsid w:val="00116D10"/>
    <w:rsid w:val="00117B2D"/>
    <w:rsid w:val="00117B88"/>
    <w:rsid w:val="001204E8"/>
    <w:rsid w:val="00122D4D"/>
    <w:rsid w:val="001230A5"/>
    <w:rsid w:val="00123AA2"/>
    <w:rsid w:val="00123B3F"/>
    <w:rsid w:val="0012460A"/>
    <w:rsid w:val="00126D18"/>
    <w:rsid w:val="001271B1"/>
    <w:rsid w:val="001276DF"/>
    <w:rsid w:val="001278F9"/>
    <w:rsid w:val="00127D16"/>
    <w:rsid w:val="0013075A"/>
    <w:rsid w:val="00130A33"/>
    <w:rsid w:val="00131150"/>
    <w:rsid w:val="0013173F"/>
    <w:rsid w:val="00131B32"/>
    <w:rsid w:val="00133012"/>
    <w:rsid w:val="00133040"/>
    <w:rsid w:val="0013316C"/>
    <w:rsid w:val="00133477"/>
    <w:rsid w:val="001334BC"/>
    <w:rsid w:val="00134F47"/>
    <w:rsid w:val="00134FBC"/>
    <w:rsid w:val="001402A4"/>
    <w:rsid w:val="001404A3"/>
    <w:rsid w:val="00143351"/>
    <w:rsid w:val="00144446"/>
    <w:rsid w:val="0014451C"/>
    <w:rsid w:val="00145B19"/>
    <w:rsid w:val="00147993"/>
    <w:rsid w:val="00151091"/>
    <w:rsid w:val="001519B4"/>
    <w:rsid w:val="00151C5F"/>
    <w:rsid w:val="00151D07"/>
    <w:rsid w:val="00154D6B"/>
    <w:rsid w:val="00154D74"/>
    <w:rsid w:val="00160575"/>
    <w:rsid w:val="00160F35"/>
    <w:rsid w:val="00161A0F"/>
    <w:rsid w:val="00163362"/>
    <w:rsid w:val="00163CDB"/>
    <w:rsid w:val="00164249"/>
    <w:rsid w:val="0016449E"/>
    <w:rsid w:val="00165D30"/>
    <w:rsid w:val="00165F49"/>
    <w:rsid w:val="00166E98"/>
    <w:rsid w:val="0017097C"/>
    <w:rsid w:val="00173029"/>
    <w:rsid w:val="00173E8C"/>
    <w:rsid w:val="001757B3"/>
    <w:rsid w:val="00175D3E"/>
    <w:rsid w:val="00176B3C"/>
    <w:rsid w:val="00177A72"/>
    <w:rsid w:val="00180CC6"/>
    <w:rsid w:val="00181858"/>
    <w:rsid w:val="001828AD"/>
    <w:rsid w:val="00183EBA"/>
    <w:rsid w:val="001855DF"/>
    <w:rsid w:val="00185764"/>
    <w:rsid w:val="00186398"/>
    <w:rsid w:val="001868B0"/>
    <w:rsid w:val="001900F7"/>
    <w:rsid w:val="0019083F"/>
    <w:rsid w:val="00190E42"/>
    <w:rsid w:val="00191E25"/>
    <w:rsid w:val="00192577"/>
    <w:rsid w:val="00194097"/>
    <w:rsid w:val="00194180"/>
    <w:rsid w:val="00195711"/>
    <w:rsid w:val="0019597E"/>
    <w:rsid w:val="00196333"/>
    <w:rsid w:val="00197041"/>
    <w:rsid w:val="00197BBE"/>
    <w:rsid w:val="001A0A6C"/>
    <w:rsid w:val="001A0F7D"/>
    <w:rsid w:val="001A1653"/>
    <w:rsid w:val="001A2DAB"/>
    <w:rsid w:val="001A38FD"/>
    <w:rsid w:val="001A3D3F"/>
    <w:rsid w:val="001A441F"/>
    <w:rsid w:val="001A5181"/>
    <w:rsid w:val="001A5290"/>
    <w:rsid w:val="001A5488"/>
    <w:rsid w:val="001A7D3E"/>
    <w:rsid w:val="001B0E68"/>
    <w:rsid w:val="001B0FEB"/>
    <w:rsid w:val="001B26BA"/>
    <w:rsid w:val="001B3063"/>
    <w:rsid w:val="001B441E"/>
    <w:rsid w:val="001B4EFE"/>
    <w:rsid w:val="001B50AA"/>
    <w:rsid w:val="001B5849"/>
    <w:rsid w:val="001B73C0"/>
    <w:rsid w:val="001B770D"/>
    <w:rsid w:val="001B7AA2"/>
    <w:rsid w:val="001C0653"/>
    <w:rsid w:val="001C08D1"/>
    <w:rsid w:val="001C09CB"/>
    <w:rsid w:val="001C3662"/>
    <w:rsid w:val="001C3BA8"/>
    <w:rsid w:val="001C4031"/>
    <w:rsid w:val="001C4499"/>
    <w:rsid w:val="001C5FA4"/>
    <w:rsid w:val="001C706F"/>
    <w:rsid w:val="001C79E5"/>
    <w:rsid w:val="001D0D4D"/>
    <w:rsid w:val="001D23B9"/>
    <w:rsid w:val="001D2A8A"/>
    <w:rsid w:val="001D3323"/>
    <w:rsid w:val="001D4A32"/>
    <w:rsid w:val="001D4B5E"/>
    <w:rsid w:val="001D5271"/>
    <w:rsid w:val="001E1B8F"/>
    <w:rsid w:val="001E325B"/>
    <w:rsid w:val="001E3E63"/>
    <w:rsid w:val="001E444B"/>
    <w:rsid w:val="001E4623"/>
    <w:rsid w:val="001E6099"/>
    <w:rsid w:val="001E72DF"/>
    <w:rsid w:val="001E786D"/>
    <w:rsid w:val="001F0CDF"/>
    <w:rsid w:val="001F2C05"/>
    <w:rsid w:val="001F52D3"/>
    <w:rsid w:val="001F55AC"/>
    <w:rsid w:val="001F5A1E"/>
    <w:rsid w:val="001F682A"/>
    <w:rsid w:val="001F691E"/>
    <w:rsid w:val="001F6D46"/>
    <w:rsid w:val="001F76E3"/>
    <w:rsid w:val="00200332"/>
    <w:rsid w:val="0020050F"/>
    <w:rsid w:val="0020096E"/>
    <w:rsid w:val="00200B4C"/>
    <w:rsid w:val="00200E2F"/>
    <w:rsid w:val="0020149E"/>
    <w:rsid w:val="00201E6D"/>
    <w:rsid w:val="0020209C"/>
    <w:rsid w:val="002021BA"/>
    <w:rsid w:val="00202440"/>
    <w:rsid w:val="002024D2"/>
    <w:rsid w:val="002027BF"/>
    <w:rsid w:val="0020329C"/>
    <w:rsid w:val="002043B6"/>
    <w:rsid w:val="002044AF"/>
    <w:rsid w:val="00204E9C"/>
    <w:rsid w:val="0020553A"/>
    <w:rsid w:val="002118FC"/>
    <w:rsid w:val="00212189"/>
    <w:rsid w:val="00212542"/>
    <w:rsid w:val="002128F2"/>
    <w:rsid w:val="00214156"/>
    <w:rsid w:val="00214857"/>
    <w:rsid w:val="00215AAE"/>
    <w:rsid w:val="00216249"/>
    <w:rsid w:val="002164C0"/>
    <w:rsid w:val="002179D0"/>
    <w:rsid w:val="00217C1E"/>
    <w:rsid w:val="00217F5A"/>
    <w:rsid w:val="002209D0"/>
    <w:rsid w:val="00220F67"/>
    <w:rsid w:val="0022135F"/>
    <w:rsid w:val="00221542"/>
    <w:rsid w:val="002220DF"/>
    <w:rsid w:val="00222629"/>
    <w:rsid w:val="00223C51"/>
    <w:rsid w:val="002249F0"/>
    <w:rsid w:val="00224ABA"/>
    <w:rsid w:val="00230D8A"/>
    <w:rsid w:val="00231854"/>
    <w:rsid w:val="00233A9B"/>
    <w:rsid w:val="00233B86"/>
    <w:rsid w:val="002344E3"/>
    <w:rsid w:val="0023463E"/>
    <w:rsid w:val="002347F4"/>
    <w:rsid w:val="00235020"/>
    <w:rsid w:val="00235471"/>
    <w:rsid w:val="002356B0"/>
    <w:rsid w:val="00237509"/>
    <w:rsid w:val="00237773"/>
    <w:rsid w:val="002377F5"/>
    <w:rsid w:val="002402D9"/>
    <w:rsid w:val="002419BD"/>
    <w:rsid w:val="00241A67"/>
    <w:rsid w:val="00243FB4"/>
    <w:rsid w:val="002443A4"/>
    <w:rsid w:val="0024515F"/>
    <w:rsid w:val="00245A49"/>
    <w:rsid w:val="00245D13"/>
    <w:rsid w:val="00245E07"/>
    <w:rsid w:val="0024676C"/>
    <w:rsid w:val="00246F3B"/>
    <w:rsid w:val="002475C2"/>
    <w:rsid w:val="00247C65"/>
    <w:rsid w:val="002529BC"/>
    <w:rsid w:val="00253565"/>
    <w:rsid w:val="00254BF5"/>
    <w:rsid w:val="0025593D"/>
    <w:rsid w:val="00255B0A"/>
    <w:rsid w:val="00256709"/>
    <w:rsid w:val="0026046E"/>
    <w:rsid w:val="002608EA"/>
    <w:rsid w:val="00262AC9"/>
    <w:rsid w:val="00262DD6"/>
    <w:rsid w:val="00263F08"/>
    <w:rsid w:val="0026436A"/>
    <w:rsid w:val="00264929"/>
    <w:rsid w:val="00264D96"/>
    <w:rsid w:val="00264E12"/>
    <w:rsid w:val="00266ACB"/>
    <w:rsid w:val="00266B27"/>
    <w:rsid w:val="00266C50"/>
    <w:rsid w:val="002711AF"/>
    <w:rsid w:val="00273459"/>
    <w:rsid w:val="00273F39"/>
    <w:rsid w:val="0027461F"/>
    <w:rsid w:val="0027478E"/>
    <w:rsid w:val="002757A9"/>
    <w:rsid w:val="00275837"/>
    <w:rsid w:val="00276495"/>
    <w:rsid w:val="00276771"/>
    <w:rsid w:val="00276D4F"/>
    <w:rsid w:val="00277009"/>
    <w:rsid w:val="00281073"/>
    <w:rsid w:val="00281811"/>
    <w:rsid w:val="00281CC4"/>
    <w:rsid w:val="00284A1C"/>
    <w:rsid w:val="00284AC4"/>
    <w:rsid w:val="0028615C"/>
    <w:rsid w:val="0028634A"/>
    <w:rsid w:val="00286C27"/>
    <w:rsid w:val="00286C68"/>
    <w:rsid w:val="00291841"/>
    <w:rsid w:val="00291B5A"/>
    <w:rsid w:val="00292046"/>
    <w:rsid w:val="002926DE"/>
    <w:rsid w:val="0029297A"/>
    <w:rsid w:val="00292D02"/>
    <w:rsid w:val="00293B02"/>
    <w:rsid w:val="00294429"/>
    <w:rsid w:val="0029490F"/>
    <w:rsid w:val="00295179"/>
    <w:rsid w:val="00295F1A"/>
    <w:rsid w:val="00296450"/>
    <w:rsid w:val="002976E8"/>
    <w:rsid w:val="002A0920"/>
    <w:rsid w:val="002A121F"/>
    <w:rsid w:val="002A1B58"/>
    <w:rsid w:val="002A1F9B"/>
    <w:rsid w:val="002A2F71"/>
    <w:rsid w:val="002A3A39"/>
    <w:rsid w:val="002A3DFA"/>
    <w:rsid w:val="002A4094"/>
    <w:rsid w:val="002A46C1"/>
    <w:rsid w:val="002A65F8"/>
    <w:rsid w:val="002A6E5B"/>
    <w:rsid w:val="002B02C0"/>
    <w:rsid w:val="002B158E"/>
    <w:rsid w:val="002B1A24"/>
    <w:rsid w:val="002B2612"/>
    <w:rsid w:val="002B372A"/>
    <w:rsid w:val="002B41E9"/>
    <w:rsid w:val="002B4D80"/>
    <w:rsid w:val="002B513F"/>
    <w:rsid w:val="002B5350"/>
    <w:rsid w:val="002B592E"/>
    <w:rsid w:val="002B5F33"/>
    <w:rsid w:val="002C01E1"/>
    <w:rsid w:val="002C04E5"/>
    <w:rsid w:val="002C13A6"/>
    <w:rsid w:val="002C1B4F"/>
    <w:rsid w:val="002C36CE"/>
    <w:rsid w:val="002C4A65"/>
    <w:rsid w:val="002D05EE"/>
    <w:rsid w:val="002D1342"/>
    <w:rsid w:val="002D2BCE"/>
    <w:rsid w:val="002D32A2"/>
    <w:rsid w:val="002D3387"/>
    <w:rsid w:val="002D472F"/>
    <w:rsid w:val="002D681A"/>
    <w:rsid w:val="002D6998"/>
    <w:rsid w:val="002D6C3D"/>
    <w:rsid w:val="002D6CEC"/>
    <w:rsid w:val="002E0BCC"/>
    <w:rsid w:val="002E10CF"/>
    <w:rsid w:val="002E2556"/>
    <w:rsid w:val="002E3BBF"/>
    <w:rsid w:val="002E466D"/>
    <w:rsid w:val="002E47A7"/>
    <w:rsid w:val="002E7478"/>
    <w:rsid w:val="002F0706"/>
    <w:rsid w:val="002F1E68"/>
    <w:rsid w:val="002F3C3F"/>
    <w:rsid w:val="002F4BF3"/>
    <w:rsid w:val="002F56A6"/>
    <w:rsid w:val="002F58D0"/>
    <w:rsid w:val="002F5956"/>
    <w:rsid w:val="00300FFD"/>
    <w:rsid w:val="00302C0F"/>
    <w:rsid w:val="0030515F"/>
    <w:rsid w:val="00305AFE"/>
    <w:rsid w:val="00305F35"/>
    <w:rsid w:val="00305FD8"/>
    <w:rsid w:val="00310667"/>
    <w:rsid w:val="00311BCD"/>
    <w:rsid w:val="0031226A"/>
    <w:rsid w:val="003129FA"/>
    <w:rsid w:val="00314B2C"/>
    <w:rsid w:val="00314FCD"/>
    <w:rsid w:val="0031530E"/>
    <w:rsid w:val="00316D6A"/>
    <w:rsid w:val="00316DE6"/>
    <w:rsid w:val="00317C8D"/>
    <w:rsid w:val="00317FD2"/>
    <w:rsid w:val="00321139"/>
    <w:rsid w:val="0032210C"/>
    <w:rsid w:val="003237A5"/>
    <w:rsid w:val="003266C4"/>
    <w:rsid w:val="00326E0D"/>
    <w:rsid w:val="0032787C"/>
    <w:rsid w:val="00327DE9"/>
    <w:rsid w:val="00330362"/>
    <w:rsid w:val="003304C4"/>
    <w:rsid w:val="003312C7"/>
    <w:rsid w:val="003324D0"/>
    <w:rsid w:val="003349AF"/>
    <w:rsid w:val="00334BCB"/>
    <w:rsid w:val="00334DF8"/>
    <w:rsid w:val="00335159"/>
    <w:rsid w:val="00335879"/>
    <w:rsid w:val="00340982"/>
    <w:rsid w:val="00340A6A"/>
    <w:rsid w:val="00340E35"/>
    <w:rsid w:val="0034102D"/>
    <w:rsid w:val="00341EA5"/>
    <w:rsid w:val="0034286A"/>
    <w:rsid w:val="00343CF0"/>
    <w:rsid w:val="00343FDF"/>
    <w:rsid w:val="003446DF"/>
    <w:rsid w:val="00346815"/>
    <w:rsid w:val="00346B7F"/>
    <w:rsid w:val="00346D56"/>
    <w:rsid w:val="00347580"/>
    <w:rsid w:val="0034780C"/>
    <w:rsid w:val="00350209"/>
    <w:rsid w:val="0035070C"/>
    <w:rsid w:val="00350BD0"/>
    <w:rsid w:val="00352326"/>
    <w:rsid w:val="00352BBE"/>
    <w:rsid w:val="003548EE"/>
    <w:rsid w:val="0035598F"/>
    <w:rsid w:val="0035697F"/>
    <w:rsid w:val="003579B2"/>
    <w:rsid w:val="00357C97"/>
    <w:rsid w:val="00357E97"/>
    <w:rsid w:val="003603A1"/>
    <w:rsid w:val="00362BCB"/>
    <w:rsid w:val="00363369"/>
    <w:rsid w:val="003656BF"/>
    <w:rsid w:val="003678D5"/>
    <w:rsid w:val="00367E98"/>
    <w:rsid w:val="0037183D"/>
    <w:rsid w:val="00371C2D"/>
    <w:rsid w:val="00372F07"/>
    <w:rsid w:val="003733F9"/>
    <w:rsid w:val="0037539D"/>
    <w:rsid w:val="003754E8"/>
    <w:rsid w:val="00375750"/>
    <w:rsid w:val="0037799A"/>
    <w:rsid w:val="00380DA9"/>
    <w:rsid w:val="00381F1F"/>
    <w:rsid w:val="003822D6"/>
    <w:rsid w:val="003843E0"/>
    <w:rsid w:val="00384572"/>
    <w:rsid w:val="003876DA"/>
    <w:rsid w:val="00390685"/>
    <w:rsid w:val="00390A6F"/>
    <w:rsid w:val="00390FC1"/>
    <w:rsid w:val="003911B0"/>
    <w:rsid w:val="00391EDC"/>
    <w:rsid w:val="00393145"/>
    <w:rsid w:val="003936EE"/>
    <w:rsid w:val="0039397F"/>
    <w:rsid w:val="003962F1"/>
    <w:rsid w:val="003969C3"/>
    <w:rsid w:val="003975E8"/>
    <w:rsid w:val="00397993"/>
    <w:rsid w:val="00397B83"/>
    <w:rsid w:val="003A1218"/>
    <w:rsid w:val="003A157B"/>
    <w:rsid w:val="003A1DE2"/>
    <w:rsid w:val="003A240B"/>
    <w:rsid w:val="003A2DA4"/>
    <w:rsid w:val="003A32B3"/>
    <w:rsid w:val="003A3959"/>
    <w:rsid w:val="003A3C89"/>
    <w:rsid w:val="003A536E"/>
    <w:rsid w:val="003A6048"/>
    <w:rsid w:val="003A6782"/>
    <w:rsid w:val="003A6C41"/>
    <w:rsid w:val="003A6E48"/>
    <w:rsid w:val="003A74B8"/>
    <w:rsid w:val="003B0360"/>
    <w:rsid w:val="003B0620"/>
    <w:rsid w:val="003B09A8"/>
    <w:rsid w:val="003B0C78"/>
    <w:rsid w:val="003B1148"/>
    <w:rsid w:val="003B223F"/>
    <w:rsid w:val="003B32AE"/>
    <w:rsid w:val="003B46AA"/>
    <w:rsid w:val="003B6980"/>
    <w:rsid w:val="003B69F2"/>
    <w:rsid w:val="003B7183"/>
    <w:rsid w:val="003C1904"/>
    <w:rsid w:val="003C1E06"/>
    <w:rsid w:val="003C365F"/>
    <w:rsid w:val="003C4C6B"/>
    <w:rsid w:val="003C5ADD"/>
    <w:rsid w:val="003C609D"/>
    <w:rsid w:val="003C6251"/>
    <w:rsid w:val="003C67E9"/>
    <w:rsid w:val="003C6BF6"/>
    <w:rsid w:val="003C7843"/>
    <w:rsid w:val="003C7DC9"/>
    <w:rsid w:val="003D0289"/>
    <w:rsid w:val="003D0BE1"/>
    <w:rsid w:val="003D1847"/>
    <w:rsid w:val="003D203E"/>
    <w:rsid w:val="003D22F7"/>
    <w:rsid w:val="003D2A8E"/>
    <w:rsid w:val="003D3544"/>
    <w:rsid w:val="003D42A5"/>
    <w:rsid w:val="003D5044"/>
    <w:rsid w:val="003D5F72"/>
    <w:rsid w:val="003E0A59"/>
    <w:rsid w:val="003E1048"/>
    <w:rsid w:val="003E2FBE"/>
    <w:rsid w:val="003E3ED6"/>
    <w:rsid w:val="003E52A5"/>
    <w:rsid w:val="003E59BC"/>
    <w:rsid w:val="003E634D"/>
    <w:rsid w:val="003E7015"/>
    <w:rsid w:val="003E7474"/>
    <w:rsid w:val="003F0E4A"/>
    <w:rsid w:val="003F1DB2"/>
    <w:rsid w:val="003F2704"/>
    <w:rsid w:val="003F647B"/>
    <w:rsid w:val="003F68B4"/>
    <w:rsid w:val="003F7546"/>
    <w:rsid w:val="00400A63"/>
    <w:rsid w:val="00400C4D"/>
    <w:rsid w:val="00401FB5"/>
    <w:rsid w:val="00403B59"/>
    <w:rsid w:val="00404F11"/>
    <w:rsid w:val="00404FF0"/>
    <w:rsid w:val="0040501B"/>
    <w:rsid w:val="00405754"/>
    <w:rsid w:val="00405C7C"/>
    <w:rsid w:val="0040600D"/>
    <w:rsid w:val="0040690B"/>
    <w:rsid w:val="00406A20"/>
    <w:rsid w:val="00406D41"/>
    <w:rsid w:val="00410AD0"/>
    <w:rsid w:val="00411549"/>
    <w:rsid w:val="0041338D"/>
    <w:rsid w:val="004145BB"/>
    <w:rsid w:val="004150CA"/>
    <w:rsid w:val="00415154"/>
    <w:rsid w:val="00415D30"/>
    <w:rsid w:val="004163F4"/>
    <w:rsid w:val="00416C32"/>
    <w:rsid w:val="00416F5C"/>
    <w:rsid w:val="0041719D"/>
    <w:rsid w:val="00420B39"/>
    <w:rsid w:val="00421092"/>
    <w:rsid w:val="00423489"/>
    <w:rsid w:val="00423788"/>
    <w:rsid w:val="0042386A"/>
    <w:rsid w:val="00424510"/>
    <w:rsid w:val="00424B59"/>
    <w:rsid w:val="00424DF3"/>
    <w:rsid w:val="00424E0E"/>
    <w:rsid w:val="00425351"/>
    <w:rsid w:val="0042580A"/>
    <w:rsid w:val="00425F37"/>
    <w:rsid w:val="004264B4"/>
    <w:rsid w:val="0042667E"/>
    <w:rsid w:val="0043194D"/>
    <w:rsid w:val="00433914"/>
    <w:rsid w:val="00436830"/>
    <w:rsid w:val="0044002A"/>
    <w:rsid w:val="0044036C"/>
    <w:rsid w:val="00441179"/>
    <w:rsid w:val="00441435"/>
    <w:rsid w:val="00442438"/>
    <w:rsid w:val="00442541"/>
    <w:rsid w:val="00442F8C"/>
    <w:rsid w:val="00443234"/>
    <w:rsid w:val="0044357A"/>
    <w:rsid w:val="004441D1"/>
    <w:rsid w:val="00445C50"/>
    <w:rsid w:val="0045008C"/>
    <w:rsid w:val="004509B1"/>
    <w:rsid w:val="0045114F"/>
    <w:rsid w:val="00453E74"/>
    <w:rsid w:val="004543CC"/>
    <w:rsid w:val="004554A6"/>
    <w:rsid w:val="004609AD"/>
    <w:rsid w:val="00462726"/>
    <w:rsid w:val="00465D9C"/>
    <w:rsid w:val="00466CDF"/>
    <w:rsid w:val="00467221"/>
    <w:rsid w:val="0046726F"/>
    <w:rsid w:val="00467A4F"/>
    <w:rsid w:val="00467BAC"/>
    <w:rsid w:val="0047089F"/>
    <w:rsid w:val="00470D13"/>
    <w:rsid w:val="0047158E"/>
    <w:rsid w:val="00476097"/>
    <w:rsid w:val="00476AAE"/>
    <w:rsid w:val="00476DDB"/>
    <w:rsid w:val="00477DE7"/>
    <w:rsid w:val="004815B4"/>
    <w:rsid w:val="004815D3"/>
    <w:rsid w:val="00482F04"/>
    <w:rsid w:val="004836A0"/>
    <w:rsid w:val="00483D28"/>
    <w:rsid w:val="00483FBF"/>
    <w:rsid w:val="00486AE6"/>
    <w:rsid w:val="0049051C"/>
    <w:rsid w:val="004909D1"/>
    <w:rsid w:val="0049112C"/>
    <w:rsid w:val="0049122D"/>
    <w:rsid w:val="004912B2"/>
    <w:rsid w:val="0049457A"/>
    <w:rsid w:val="004952B6"/>
    <w:rsid w:val="004952E7"/>
    <w:rsid w:val="00495500"/>
    <w:rsid w:val="00495EED"/>
    <w:rsid w:val="004962D3"/>
    <w:rsid w:val="0049791F"/>
    <w:rsid w:val="004A0794"/>
    <w:rsid w:val="004A1434"/>
    <w:rsid w:val="004A18C2"/>
    <w:rsid w:val="004A32DA"/>
    <w:rsid w:val="004A38F5"/>
    <w:rsid w:val="004A4295"/>
    <w:rsid w:val="004A487D"/>
    <w:rsid w:val="004A48C6"/>
    <w:rsid w:val="004A4FD3"/>
    <w:rsid w:val="004A5F7F"/>
    <w:rsid w:val="004A6525"/>
    <w:rsid w:val="004A777F"/>
    <w:rsid w:val="004A79C1"/>
    <w:rsid w:val="004B1B5B"/>
    <w:rsid w:val="004B1DF2"/>
    <w:rsid w:val="004B3772"/>
    <w:rsid w:val="004B390B"/>
    <w:rsid w:val="004B4AC1"/>
    <w:rsid w:val="004B57F8"/>
    <w:rsid w:val="004B6356"/>
    <w:rsid w:val="004B6C23"/>
    <w:rsid w:val="004B753F"/>
    <w:rsid w:val="004C095D"/>
    <w:rsid w:val="004C1307"/>
    <w:rsid w:val="004C2171"/>
    <w:rsid w:val="004C4514"/>
    <w:rsid w:val="004C4962"/>
    <w:rsid w:val="004C49A5"/>
    <w:rsid w:val="004C49E2"/>
    <w:rsid w:val="004C5112"/>
    <w:rsid w:val="004C52F7"/>
    <w:rsid w:val="004C749D"/>
    <w:rsid w:val="004D1CFA"/>
    <w:rsid w:val="004D1E64"/>
    <w:rsid w:val="004D22CC"/>
    <w:rsid w:val="004D2914"/>
    <w:rsid w:val="004D2D41"/>
    <w:rsid w:val="004D3AE1"/>
    <w:rsid w:val="004D3E1B"/>
    <w:rsid w:val="004D3FB4"/>
    <w:rsid w:val="004D4126"/>
    <w:rsid w:val="004D4283"/>
    <w:rsid w:val="004D5CBD"/>
    <w:rsid w:val="004D729C"/>
    <w:rsid w:val="004D745F"/>
    <w:rsid w:val="004D79BE"/>
    <w:rsid w:val="004D7F48"/>
    <w:rsid w:val="004E03C1"/>
    <w:rsid w:val="004E37DF"/>
    <w:rsid w:val="004E5A69"/>
    <w:rsid w:val="004E5C2F"/>
    <w:rsid w:val="004E63B1"/>
    <w:rsid w:val="004E69F7"/>
    <w:rsid w:val="004E7625"/>
    <w:rsid w:val="004E7A05"/>
    <w:rsid w:val="004E7AA2"/>
    <w:rsid w:val="004E7E1A"/>
    <w:rsid w:val="004F0096"/>
    <w:rsid w:val="004F28D0"/>
    <w:rsid w:val="004F2FC7"/>
    <w:rsid w:val="004F4161"/>
    <w:rsid w:val="004F5291"/>
    <w:rsid w:val="004F5C24"/>
    <w:rsid w:val="004F610C"/>
    <w:rsid w:val="004F6471"/>
    <w:rsid w:val="004F68B9"/>
    <w:rsid w:val="004F73AC"/>
    <w:rsid w:val="00500319"/>
    <w:rsid w:val="00500345"/>
    <w:rsid w:val="00500FAE"/>
    <w:rsid w:val="00502D74"/>
    <w:rsid w:val="00503242"/>
    <w:rsid w:val="005033F7"/>
    <w:rsid w:val="005035DA"/>
    <w:rsid w:val="00503B18"/>
    <w:rsid w:val="005041E0"/>
    <w:rsid w:val="0050466E"/>
    <w:rsid w:val="005049D4"/>
    <w:rsid w:val="00504D02"/>
    <w:rsid w:val="00504FC3"/>
    <w:rsid w:val="0050511D"/>
    <w:rsid w:val="00505816"/>
    <w:rsid w:val="00505875"/>
    <w:rsid w:val="00505EF1"/>
    <w:rsid w:val="00510672"/>
    <w:rsid w:val="0051207D"/>
    <w:rsid w:val="00513338"/>
    <w:rsid w:val="00514034"/>
    <w:rsid w:val="0051468C"/>
    <w:rsid w:val="00514FAE"/>
    <w:rsid w:val="005157FE"/>
    <w:rsid w:val="005161DF"/>
    <w:rsid w:val="00516E9F"/>
    <w:rsid w:val="00516EE8"/>
    <w:rsid w:val="0052060C"/>
    <w:rsid w:val="00520D37"/>
    <w:rsid w:val="00521771"/>
    <w:rsid w:val="00522CC3"/>
    <w:rsid w:val="00524430"/>
    <w:rsid w:val="00526B1A"/>
    <w:rsid w:val="00526EEA"/>
    <w:rsid w:val="0052711B"/>
    <w:rsid w:val="0053011A"/>
    <w:rsid w:val="00530241"/>
    <w:rsid w:val="00531915"/>
    <w:rsid w:val="00531CEA"/>
    <w:rsid w:val="00533456"/>
    <w:rsid w:val="00534621"/>
    <w:rsid w:val="0053530A"/>
    <w:rsid w:val="0053599B"/>
    <w:rsid w:val="005363B3"/>
    <w:rsid w:val="00536C54"/>
    <w:rsid w:val="00537214"/>
    <w:rsid w:val="00540E28"/>
    <w:rsid w:val="00542C4B"/>
    <w:rsid w:val="00543D67"/>
    <w:rsid w:val="00545739"/>
    <w:rsid w:val="00545C71"/>
    <w:rsid w:val="005467A8"/>
    <w:rsid w:val="00547121"/>
    <w:rsid w:val="0054724B"/>
    <w:rsid w:val="00547EA5"/>
    <w:rsid w:val="005518A5"/>
    <w:rsid w:val="00551C32"/>
    <w:rsid w:val="00551CF5"/>
    <w:rsid w:val="00551EAC"/>
    <w:rsid w:val="00552AE2"/>
    <w:rsid w:val="0055499A"/>
    <w:rsid w:val="00554F69"/>
    <w:rsid w:val="00555236"/>
    <w:rsid w:val="0055555F"/>
    <w:rsid w:val="005559A9"/>
    <w:rsid w:val="005563DA"/>
    <w:rsid w:val="0055697B"/>
    <w:rsid w:val="005570D2"/>
    <w:rsid w:val="00560633"/>
    <w:rsid w:val="0056092A"/>
    <w:rsid w:val="005609FA"/>
    <w:rsid w:val="00560B59"/>
    <w:rsid w:val="00563184"/>
    <w:rsid w:val="0056411C"/>
    <w:rsid w:val="0056442D"/>
    <w:rsid w:val="00564B04"/>
    <w:rsid w:val="00564D61"/>
    <w:rsid w:val="005654F9"/>
    <w:rsid w:val="00565E15"/>
    <w:rsid w:val="00565F5E"/>
    <w:rsid w:val="00565F93"/>
    <w:rsid w:val="00566C1B"/>
    <w:rsid w:val="005675BC"/>
    <w:rsid w:val="0056792E"/>
    <w:rsid w:val="00567CDC"/>
    <w:rsid w:val="00567EDA"/>
    <w:rsid w:val="00570141"/>
    <w:rsid w:val="00570202"/>
    <w:rsid w:val="005754BC"/>
    <w:rsid w:val="0057628A"/>
    <w:rsid w:val="00576456"/>
    <w:rsid w:val="00576458"/>
    <w:rsid w:val="00576C31"/>
    <w:rsid w:val="005773CE"/>
    <w:rsid w:val="0058025E"/>
    <w:rsid w:val="00580F2D"/>
    <w:rsid w:val="00581E6A"/>
    <w:rsid w:val="005820BE"/>
    <w:rsid w:val="0058218D"/>
    <w:rsid w:val="00583204"/>
    <w:rsid w:val="0058383D"/>
    <w:rsid w:val="00583929"/>
    <w:rsid w:val="00583B22"/>
    <w:rsid w:val="0058459D"/>
    <w:rsid w:val="005851FC"/>
    <w:rsid w:val="0058551D"/>
    <w:rsid w:val="00585F9D"/>
    <w:rsid w:val="005861AA"/>
    <w:rsid w:val="0058686B"/>
    <w:rsid w:val="00587950"/>
    <w:rsid w:val="00587EC1"/>
    <w:rsid w:val="005912B0"/>
    <w:rsid w:val="00591557"/>
    <w:rsid w:val="00592C1A"/>
    <w:rsid w:val="0059375F"/>
    <w:rsid w:val="00593E3F"/>
    <w:rsid w:val="00594A72"/>
    <w:rsid w:val="00595074"/>
    <w:rsid w:val="00595C10"/>
    <w:rsid w:val="0059620F"/>
    <w:rsid w:val="00596953"/>
    <w:rsid w:val="00596989"/>
    <w:rsid w:val="00596A48"/>
    <w:rsid w:val="00596CFC"/>
    <w:rsid w:val="005A171A"/>
    <w:rsid w:val="005A1DF8"/>
    <w:rsid w:val="005A244F"/>
    <w:rsid w:val="005A3BFB"/>
    <w:rsid w:val="005A5A7B"/>
    <w:rsid w:val="005A7E16"/>
    <w:rsid w:val="005B2004"/>
    <w:rsid w:val="005B209F"/>
    <w:rsid w:val="005B2338"/>
    <w:rsid w:val="005B2786"/>
    <w:rsid w:val="005B4590"/>
    <w:rsid w:val="005B47DB"/>
    <w:rsid w:val="005B495A"/>
    <w:rsid w:val="005B647C"/>
    <w:rsid w:val="005B6BCE"/>
    <w:rsid w:val="005B6EF6"/>
    <w:rsid w:val="005C22EF"/>
    <w:rsid w:val="005C25BD"/>
    <w:rsid w:val="005C3AF5"/>
    <w:rsid w:val="005C3C59"/>
    <w:rsid w:val="005C3E1F"/>
    <w:rsid w:val="005C4C42"/>
    <w:rsid w:val="005C511F"/>
    <w:rsid w:val="005C5277"/>
    <w:rsid w:val="005C55BC"/>
    <w:rsid w:val="005D0115"/>
    <w:rsid w:val="005D23C2"/>
    <w:rsid w:val="005D3554"/>
    <w:rsid w:val="005D4FDC"/>
    <w:rsid w:val="005D5478"/>
    <w:rsid w:val="005D54D9"/>
    <w:rsid w:val="005D5AD0"/>
    <w:rsid w:val="005D764D"/>
    <w:rsid w:val="005D7E5B"/>
    <w:rsid w:val="005E05E5"/>
    <w:rsid w:val="005E08D0"/>
    <w:rsid w:val="005E158F"/>
    <w:rsid w:val="005E2FDE"/>
    <w:rsid w:val="005E440F"/>
    <w:rsid w:val="005E4580"/>
    <w:rsid w:val="005E4720"/>
    <w:rsid w:val="005E6BA2"/>
    <w:rsid w:val="005E7D5E"/>
    <w:rsid w:val="005F154A"/>
    <w:rsid w:val="005F1FDA"/>
    <w:rsid w:val="005F21D1"/>
    <w:rsid w:val="005F2B6D"/>
    <w:rsid w:val="005F2FB0"/>
    <w:rsid w:val="005F3DF8"/>
    <w:rsid w:val="005F4879"/>
    <w:rsid w:val="005F50B4"/>
    <w:rsid w:val="005F643E"/>
    <w:rsid w:val="005F694E"/>
    <w:rsid w:val="005F6E2F"/>
    <w:rsid w:val="005F7391"/>
    <w:rsid w:val="0060001C"/>
    <w:rsid w:val="00600166"/>
    <w:rsid w:val="00600C35"/>
    <w:rsid w:val="00600C73"/>
    <w:rsid w:val="00604784"/>
    <w:rsid w:val="0061075F"/>
    <w:rsid w:val="00612334"/>
    <w:rsid w:val="006125B6"/>
    <w:rsid w:val="00614610"/>
    <w:rsid w:val="00614CA6"/>
    <w:rsid w:val="00616396"/>
    <w:rsid w:val="006167A0"/>
    <w:rsid w:val="00617430"/>
    <w:rsid w:val="00617952"/>
    <w:rsid w:val="006226D2"/>
    <w:rsid w:val="0062340E"/>
    <w:rsid w:val="006242AA"/>
    <w:rsid w:val="0062507D"/>
    <w:rsid w:val="00626296"/>
    <w:rsid w:val="006271C0"/>
    <w:rsid w:val="006307AD"/>
    <w:rsid w:val="006328DD"/>
    <w:rsid w:val="00633232"/>
    <w:rsid w:val="00634679"/>
    <w:rsid w:val="00634D26"/>
    <w:rsid w:val="006350DB"/>
    <w:rsid w:val="00637927"/>
    <w:rsid w:val="006401C9"/>
    <w:rsid w:val="00641A5A"/>
    <w:rsid w:val="006428B8"/>
    <w:rsid w:val="0064357F"/>
    <w:rsid w:val="00647BC0"/>
    <w:rsid w:val="006503F4"/>
    <w:rsid w:val="0065099E"/>
    <w:rsid w:val="00651426"/>
    <w:rsid w:val="00654955"/>
    <w:rsid w:val="00654C46"/>
    <w:rsid w:val="00654E59"/>
    <w:rsid w:val="00656A21"/>
    <w:rsid w:val="00656EDF"/>
    <w:rsid w:val="00662132"/>
    <w:rsid w:val="0066219E"/>
    <w:rsid w:val="0066417E"/>
    <w:rsid w:val="00664CA9"/>
    <w:rsid w:val="006664C7"/>
    <w:rsid w:val="00666777"/>
    <w:rsid w:val="006671E4"/>
    <w:rsid w:val="00667F91"/>
    <w:rsid w:val="0067127B"/>
    <w:rsid w:val="006716D7"/>
    <w:rsid w:val="00671702"/>
    <w:rsid w:val="0067182C"/>
    <w:rsid w:val="006723A0"/>
    <w:rsid w:val="00672676"/>
    <w:rsid w:val="00673508"/>
    <w:rsid w:val="006746D6"/>
    <w:rsid w:val="006749DA"/>
    <w:rsid w:val="006767A3"/>
    <w:rsid w:val="00676C87"/>
    <w:rsid w:val="0067791A"/>
    <w:rsid w:val="006804C8"/>
    <w:rsid w:val="00681620"/>
    <w:rsid w:val="00681C69"/>
    <w:rsid w:val="006858CF"/>
    <w:rsid w:val="00685CF1"/>
    <w:rsid w:val="00685F3D"/>
    <w:rsid w:val="006907D2"/>
    <w:rsid w:val="00690F17"/>
    <w:rsid w:val="00691285"/>
    <w:rsid w:val="00691529"/>
    <w:rsid w:val="00691681"/>
    <w:rsid w:val="006916F0"/>
    <w:rsid w:val="00691C21"/>
    <w:rsid w:val="00692F51"/>
    <w:rsid w:val="00693A65"/>
    <w:rsid w:val="006941BD"/>
    <w:rsid w:val="0069440E"/>
    <w:rsid w:val="0069447F"/>
    <w:rsid w:val="00694807"/>
    <w:rsid w:val="00694A42"/>
    <w:rsid w:val="00695C87"/>
    <w:rsid w:val="006A14DA"/>
    <w:rsid w:val="006A229D"/>
    <w:rsid w:val="006A318A"/>
    <w:rsid w:val="006A481D"/>
    <w:rsid w:val="006A5EAF"/>
    <w:rsid w:val="006B22B4"/>
    <w:rsid w:val="006B2688"/>
    <w:rsid w:val="006B36D0"/>
    <w:rsid w:val="006B3985"/>
    <w:rsid w:val="006B4DCF"/>
    <w:rsid w:val="006B57BC"/>
    <w:rsid w:val="006B5CE1"/>
    <w:rsid w:val="006B694A"/>
    <w:rsid w:val="006C0B40"/>
    <w:rsid w:val="006C0F34"/>
    <w:rsid w:val="006C1CC6"/>
    <w:rsid w:val="006C293A"/>
    <w:rsid w:val="006C2E18"/>
    <w:rsid w:val="006C33CA"/>
    <w:rsid w:val="006C3E39"/>
    <w:rsid w:val="006C55E2"/>
    <w:rsid w:val="006C69D4"/>
    <w:rsid w:val="006D13FD"/>
    <w:rsid w:val="006D3714"/>
    <w:rsid w:val="006D42EB"/>
    <w:rsid w:val="006D42EC"/>
    <w:rsid w:val="006D663D"/>
    <w:rsid w:val="006E074D"/>
    <w:rsid w:val="006E1723"/>
    <w:rsid w:val="006E1ECA"/>
    <w:rsid w:val="006E2C8C"/>
    <w:rsid w:val="006E3A56"/>
    <w:rsid w:val="006E4708"/>
    <w:rsid w:val="006E4F48"/>
    <w:rsid w:val="006E563A"/>
    <w:rsid w:val="006E58F0"/>
    <w:rsid w:val="006E6E3C"/>
    <w:rsid w:val="006E7679"/>
    <w:rsid w:val="006F1672"/>
    <w:rsid w:val="006F2F26"/>
    <w:rsid w:val="006F33EE"/>
    <w:rsid w:val="006F4DA3"/>
    <w:rsid w:val="006F533F"/>
    <w:rsid w:val="006F6EBC"/>
    <w:rsid w:val="006F70F6"/>
    <w:rsid w:val="006F7C14"/>
    <w:rsid w:val="00700124"/>
    <w:rsid w:val="00701184"/>
    <w:rsid w:val="00704ADC"/>
    <w:rsid w:val="00707C39"/>
    <w:rsid w:val="00711209"/>
    <w:rsid w:val="007119BC"/>
    <w:rsid w:val="007123E7"/>
    <w:rsid w:val="00713E0C"/>
    <w:rsid w:val="007140A6"/>
    <w:rsid w:val="00714123"/>
    <w:rsid w:val="0071424D"/>
    <w:rsid w:val="00714DBB"/>
    <w:rsid w:val="007164C7"/>
    <w:rsid w:val="00716514"/>
    <w:rsid w:val="00716BB6"/>
    <w:rsid w:val="007173D5"/>
    <w:rsid w:val="007201A2"/>
    <w:rsid w:val="00722042"/>
    <w:rsid w:val="00722E3B"/>
    <w:rsid w:val="0072328D"/>
    <w:rsid w:val="007232A6"/>
    <w:rsid w:val="00724908"/>
    <w:rsid w:val="0072513A"/>
    <w:rsid w:val="007257F5"/>
    <w:rsid w:val="00725E8B"/>
    <w:rsid w:val="00726BFD"/>
    <w:rsid w:val="00730EBB"/>
    <w:rsid w:val="00731F9E"/>
    <w:rsid w:val="00732B4B"/>
    <w:rsid w:val="00732CDF"/>
    <w:rsid w:val="0073412E"/>
    <w:rsid w:val="00734301"/>
    <w:rsid w:val="0073590A"/>
    <w:rsid w:val="00735D6B"/>
    <w:rsid w:val="007377B6"/>
    <w:rsid w:val="007436E7"/>
    <w:rsid w:val="00743742"/>
    <w:rsid w:val="00744FCD"/>
    <w:rsid w:val="00745673"/>
    <w:rsid w:val="007462AB"/>
    <w:rsid w:val="0074668C"/>
    <w:rsid w:val="00750B8B"/>
    <w:rsid w:val="007517F2"/>
    <w:rsid w:val="00751F5B"/>
    <w:rsid w:val="007522DA"/>
    <w:rsid w:val="007530FD"/>
    <w:rsid w:val="0075310F"/>
    <w:rsid w:val="00753938"/>
    <w:rsid w:val="0075393A"/>
    <w:rsid w:val="00753EC2"/>
    <w:rsid w:val="00754BA4"/>
    <w:rsid w:val="00756DE8"/>
    <w:rsid w:val="00760CFF"/>
    <w:rsid w:val="007613D7"/>
    <w:rsid w:val="00763B49"/>
    <w:rsid w:val="007642BA"/>
    <w:rsid w:val="007642F1"/>
    <w:rsid w:val="00764EEA"/>
    <w:rsid w:val="0076509C"/>
    <w:rsid w:val="00767A85"/>
    <w:rsid w:val="00771235"/>
    <w:rsid w:val="00771741"/>
    <w:rsid w:val="0077199C"/>
    <w:rsid w:val="00772229"/>
    <w:rsid w:val="00773986"/>
    <w:rsid w:val="00775FED"/>
    <w:rsid w:val="007764FF"/>
    <w:rsid w:val="007769AA"/>
    <w:rsid w:val="00776E8B"/>
    <w:rsid w:val="00777F42"/>
    <w:rsid w:val="007806A7"/>
    <w:rsid w:val="00781160"/>
    <w:rsid w:val="007829FC"/>
    <w:rsid w:val="00782A45"/>
    <w:rsid w:val="00784972"/>
    <w:rsid w:val="00785722"/>
    <w:rsid w:val="00785792"/>
    <w:rsid w:val="00785F7D"/>
    <w:rsid w:val="007863EE"/>
    <w:rsid w:val="00790495"/>
    <w:rsid w:val="007926D5"/>
    <w:rsid w:val="00793AD6"/>
    <w:rsid w:val="00794238"/>
    <w:rsid w:val="00794709"/>
    <w:rsid w:val="007957E4"/>
    <w:rsid w:val="00795F7B"/>
    <w:rsid w:val="00797085"/>
    <w:rsid w:val="00797280"/>
    <w:rsid w:val="007977BA"/>
    <w:rsid w:val="007979C1"/>
    <w:rsid w:val="00797E55"/>
    <w:rsid w:val="007A0A37"/>
    <w:rsid w:val="007A1348"/>
    <w:rsid w:val="007A29AC"/>
    <w:rsid w:val="007A333F"/>
    <w:rsid w:val="007A3D47"/>
    <w:rsid w:val="007A3E2F"/>
    <w:rsid w:val="007A58BB"/>
    <w:rsid w:val="007A5D26"/>
    <w:rsid w:val="007A5ED5"/>
    <w:rsid w:val="007A63EA"/>
    <w:rsid w:val="007A6A1C"/>
    <w:rsid w:val="007A6F01"/>
    <w:rsid w:val="007A75FB"/>
    <w:rsid w:val="007A7794"/>
    <w:rsid w:val="007B0CD6"/>
    <w:rsid w:val="007B0D25"/>
    <w:rsid w:val="007B1E64"/>
    <w:rsid w:val="007B223E"/>
    <w:rsid w:val="007B4D1E"/>
    <w:rsid w:val="007B4FA7"/>
    <w:rsid w:val="007B558A"/>
    <w:rsid w:val="007B577B"/>
    <w:rsid w:val="007B5B4F"/>
    <w:rsid w:val="007B606F"/>
    <w:rsid w:val="007B6423"/>
    <w:rsid w:val="007B671B"/>
    <w:rsid w:val="007B6A80"/>
    <w:rsid w:val="007B6F00"/>
    <w:rsid w:val="007B6FE1"/>
    <w:rsid w:val="007B74E8"/>
    <w:rsid w:val="007B7BCE"/>
    <w:rsid w:val="007C0164"/>
    <w:rsid w:val="007C0CAD"/>
    <w:rsid w:val="007C119B"/>
    <w:rsid w:val="007C1C64"/>
    <w:rsid w:val="007C5FE7"/>
    <w:rsid w:val="007C6210"/>
    <w:rsid w:val="007C6ED1"/>
    <w:rsid w:val="007D0785"/>
    <w:rsid w:val="007D0FE5"/>
    <w:rsid w:val="007D1AC2"/>
    <w:rsid w:val="007D2E41"/>
    <w:rsid w:val="007D3954"/>
    <w:rsid w:val="007D3B45"/>
    <w:rsid w:val="007D3F0F"/>
    <w:rsid w:val="007D48A3"/>
    <w:rsid w:val="007D4D88"/>
    <w:rsid w:val="007D5555"/>
    <w:rsid w:val="007D60B1"/>
    <w:rsid w:val="007E1072"/>
    <w:rsid w:val="007E1484"/>
    <w:rsid w:val="007E1C7E"/>
    <w:rsid w:val="007E3BEB"/>
    <w:rsid w:val="007E4616"/>
    <w:rsid w:val="007E5584"/>
    <w:rsid w:val="007E5BC4"/>
    <w:rsid w:val="007E66AD"/>
    <w:rsid w:val="007E6C71"/>
    <w:rsid w:val="007E7140"/>
    <w:rsid w:val="007F0005"/>
    <w:rsid w:val="007F04B3"/>
    <w:rsid w:val="007F3021"/>
    <w:rsid w:val="007F363C"/>
    <w:rsid w:val="007F3859"/>
    <w:rsid w:val="007F5C8A"/>
    <w:rsid w:val="007F6E1D"/>
    <w:rsid w:val="007F7634"/>
    <w:rsid w:val="008014F4"/>
    <w:rsid w:val="008015EB"/>
    <w:rsid w:val="00801D44"/>
    <w:rsid w:val="0080279A"/>
    <w:rsid w:val="008029BA"/>
    <w:rsid w:val="00802A23"/>
    <w:rsid w:val="008033B2"/>
    <w:rsid w:val="00803A41"/>
    <w:rsid w:val="00804CFD"/>
    <w:rsid w:val="00805DA1"/>
    <w:rsid w:val="008061AA"/>
    <w:rsid w:val="00806C56"/>
    <w:rsid w:val="00806CEF"/>
    <w:rsid w:val="00807FD8"/>
    <w:rsid w:val="0081018A"/>
    <w:rsid w:val="0081047A"/>
    <w:rsid w:val="00811CFF"/>
    <w:rsid w:val="00811ECC"/>
    <w:rsid w:val="00811F77"/>
    <w:rsid w:val="00811FE8"/>
    <w:rsid w:val="008127D0"/>
    <w:rsid w:val="008141E9"/>
    <w:rsid w:val="00814B8F"/>
    <w:rsid w:val="00814C56"/>
    <w:rsid w:val="00814ECD"/>
    <w:rsid w:val="00815404"/>
    <w:rsid w:val="008155A5"/>
    <w:rsid w:val="00816A0E"/>
    <w:rsid w:val="008170BD"/>
    <w:rsid w:val="00817509"/>
    <w:rsid w:val="00820E63"/>
    <w:rsid w:val="00821792"/>
    <w:rsid w:val="00821F2F"/>
    <w:rsid w:val="0082461C"/>
    <w:rsid w:val="00826EEB"/>
    <w:rsid w:val="00827475"/>
    <w:rsid w:val="008307A4"/>
    <w:rsid w:val="00832AC0"/>
    <w:rsid w:val="00833EA0"/>
    <w:rsid w:val="008377EC"/>
    <w:rsid w:val="00837C4A"/>
    <w:rsid w:val="0084000B"/>
    <w:rsid w:val="00840314"/>
    <w:rsid w:val="00841926"/>
    <w:rsid w:val="008424F7"/>
    <w:rsid w:val="0084295D"/>
    <w:rsid w:val="008430F9"/>
    <w:rsid w:val="0084386F"/>
    <w:rsid w:val="0084387D"/>
    <w:rsid w:val="008456C4"/>
    <w:rsid w:val="008458AF"/>
    <w:rsid w:val="00845D45"/>
    <w:rsid w:val="00846E19"/>
    <w:rsid w:val="0084782A"/>
    <w:rsid w:val="00847DCD"/>
    <w:rsid w:val="0085024E"/>
    <w:rsid w:val="00852FBE"/>
    <w:rsid w:val="00854F69"/>
    <w:rsid w:val="00861E4D"/>
    <w:rsid w:val="008635BF"/>
    <w:rsid w:val="00864425"/>
    <w:rsid w:val="00864BE6"/>
    <w:rsid w:val="00865491"/>
    <w:rsid w:val="00865EDF"/>
    <w:rsid w:val="00867314"/>
    <w:rsid w:val="00867D21"/>
    <w:rsid w:val="00870058"/>
    <w:rsid w:val="00872ECE"/>
    <w:rsid w:val="008735DA"/>
    <w:rsid w:val="008745A0"/>
    <w:rsid w:val="00874AFC"/>
    <w:rsid w:val="00874BB4"/>
    <w:rsid w:val="0087542D"/>
    <w:rsid w:val="008777D6"/>
    <w:rsid w:val="008817B2"/>
    <w:rsid w:val="00881C79"/>
    <w:rsid w:val="008842C3"/>
    <w:rsid w:val="008868D6"/>
    <w:rsid w:val="00887061"/>
    <w:rsid w:val="0088741C"/>
    <w:rsid w:val="008878F5"/>
    <w:rsid w:val="008921C4"/>
    <w:rsid w:val="008922BA"/>
    <w:rsid w:val="00892C71"/>
    <w:rsid w:val="00895966"/>
    <w:rsid w:val="008A42AF"/>
    <w:rsid w:val="008A4DFB"/>
    <w:rsid w:val="008A6B26"/>
    <w:rsid w:val="008A6C44"/>
    <w:rsid w:val="008A7A29"/>
    <w:rsid w:val="008B0616"/>
    <w:rsid w:val="008B078F"/>
    <w:rsid w:val="008B08DD"/>
    <w:rsid w:val="008B1821"/>
    <w:rsid w:val="008B4067"/>
    <w:rsid w:val="008B4A1F"/>
    <w:rsid w:val="008B4CB6"/>
    <w:rsid w:val="008B501D"/>
    <w:rsid w:val="008B5A5E"/>
    <w:rsid w:val="008B645A"/>
    <w:rsid w:val="008B6F6D"/>
    <w:rsid w:val="008B741D"/>
    <w:rsid w:val="008C146F"/>
    <w:rsid w:val="008C574A"/>
    <w:rsid w:val="008C5FB9"/>
    <w:rsid w:val="008C70CC"/>
    <w:rsid w:val="008D0C56"/>
    <w:rsid w:val="008D0CBE"/>
    <w:rsid w:val="008D2AB8"/>
    <w:rsid w:val="008D3756"/>
    <w:rsid w:val="008D43A3"/>
    <w:rsid w:val="008D47EA"/>
    <w:rsid w:val="008D6DDD"/>
    <w:rsid w:val="008D7377"/>
    <w:rsid w:val="008E0500"/>
    <w:rsid w:val="008E1AFF"/>
    <w:rsid w:val="008E2829"/>
    <w:rsid w:val="008E2EB1"/>
    <w:rsid w:val="008E2EDC"/>
    <w:rsid w:val="008E3138"/>
    <w:rsid w:val="008E3226"/>
    <w:rsid w:val="008F01B6"/>
    <w:rsid w:val="008F18A4"/>
    <w:rsid w:val="008F1BA3"/>
    <w:rsid w:val="008F2777"/>
    <w:rsid w:val="008F47AC"/>
    <w:rsid w:val="008F66B9"/>
    <w:rsid w:val="008F710E"/>
    <w:rsid w:val="008F741B"/>
    <w:rsid w:val="008F7464"/>
    <w:rsid w:val="008F7B5D"/>
    <w:rsid w:val="009002DC"/>
    <w:rsid w:val="00901390"/>
    <w:rsid w:val="009015ED"/>
    <w:rsid w:val="00901B56"/>
    <w:rsid w:val="00902783"/>
    <w:rsid w:val="009030A4"/>
    <w:rsid w:val="00904A8C"/>
    <w:rsid w:val="009063D8"/>
    <w:rsid w:val="0090703A"/>
    <w:rsid w:val="00907C33"/>
    <w:rsid w:val="00910855"/>
    <w:rsid w:val="00913259"/>
    <w:rsid w:val="0091618A"/>
    <w:rsid w:val="009163B8"/>
    <w:rsid w:val="0091728A"/>
    <w:rsid w:val="009205A3"/>
    <w:rsid w:val="009208DF"/>
    <w:rsid w:val="009220A4"/>
    <w:rsid w:val="00923F22"/>
    <w:rsid w:val="0092403D"/>
    <w:rsid w:val="0092468A"/>
    <w:rsid w:val="009251B9"/>
    <w:rsid w:val="0092533E"/>
    <w:rsid w:val="009259E5"/>
    <w:rsid w:val="00925A2A"/>
    <w:rsid w:val="0092641C"/>
    <w:rsid w:val="009264F8"/>
    <w:rsid w:val="00930489"/>
    <w:rsid w:val="00931FD3"/>
    <w:rsid w:val="0093225E"/>
    <w:rsid w:val="009324A0"/>
    <w:rsid w:val="0093304D"/>
    <w:rsid w:val="0093306F"/>
    <w:rsid w:val="00933074"/>
    <w:rsid w:val="00933C15"/>
    <w:rsid w:val="00933C3C"/>
    <w:rsid w:val="00933D98"/>
    <w:rsid w:val="0093505F"/>
    <w:rsid w:val="0093620C"/>
    <w:rsid w:val="009415BF"/>
    <w:rsid w:val="00941935"/>
    <w:rsid w:val="00941D52"/>
    <w:rsid w:val="009420A8"/>
    <w:rsid w:val="00942C85"/>
    <w:rsid w:val="00943CF2"/>
    <w:rsid w:val="0094649B"/>
    <w:rsid w:val="00946886"/>
    <w:rsid w:val="009479C0"/>
    <w:rsid w:val="00950E1B"/>
    <w:rsid w:val="0095462D"/>
    <w:rsid w:val="0095466F"/>
    <w:rsid w:val="00954D33"/>
    <w:rsid w:val="00955167"/>
    <w:rsid w:val="0095520C"/>
    <w:rsid w:val="009556B1"/>
    <w:rsid w:val="00960235"/>
    <w:rsid w:val="00960FD3"/>
    <w:rsid w:val="00961153"/>
    <w:rsid w:val="00962307"/>
    <w:rsid w:val="009701DD"/>
    <w:rsid w:val="00970516"/>
    <w:rsid w:val="0097196C"/>
    <w:rsid w:val="009719A9"/>
    <w:rsid w:val="009722FD"/>
    <w:rsid w:val="009733D8"/>
    <w:rsid w:val="009740EF"/>
    <w:rsid w:val="009744B8"/>
    <w:rsid w:val="00975728"/>
    <w:rsid w:val="00975D08"/>
    <w:rsid w:val="00976F1C"/>
    <w:rsid w:val="00977CC5"/>
    <w:rsid w:val="00980557"/>
    <w:rsid w:val="00980F7E"/>
    <w:rsid w:val="00981958"/>
    <w:rsid w:val="009828E3"/>
    <w:rsid w:val="00983847"/>
    <w:rsid w:val="00983C40"/>
    <w:rsid w:val="0098642F"/>
    <w:rsid w:val="009864BB"/>
    <w:rsid w:val="00986855"/>
    <w:rsid w:val="00991028"/>
    <w:rsid w:val="009917A9"/>
    <w:rsid w:val="00993EB2"/>
    <w:rsid w:val="0099441A"/>
    <w:rsid w:val="009948B1"/>
    <w:rsid w:val="009962F7"/>
    <w:rsid w:val="00996A11"/>
    <w:rsid w:val="00996F21"/>
    <w:rsid w:val="00997FE3"/>
    <w:rsid w:val="009A00C9"/>
    <w:rsid w:val="009A0DDB"/>
    <w:rsid w:val="009A0EB7"/>
    <w:rsid w:val="009A1E06"/>
    <w:rsid w:val="009A1E31"/>
    <w:rsid w:val="009A2B4E"/>
    <w:rsid w:val="009A3197"/>
    <w:rsid w:val="009A4EF4"/>
    <w:rsid w:val="009A7773"/>
    <w:rsid w:val="009A7C4B"/>
    <w:rsid w:val="009B0992"/>
    <w:rsid w:val="009B1858"/>
    <w:rsid w:val="009B2FC6"/>
    <w:rsid w:val="009B3568"/>
    <w:rsid w:val="009B407A"/>
    <w:rsid w:val="009B4301"/>
    <w:rsid w:val="009B51A3"/>
    <w:rsid w:val="009B5BA6"/>
    <w:rsid w:val="009C0902"/>
    <w:rsid w:val="009C0AA1"/>
    <w:rsid w:val="009C104B"/>
    <w:rsid w:val="009C1327"/>
    <w:rsid w:val="009C40E6"/>
    <w:rsid w:val="009C585B"/>
    <w:rsid w:val="009C595E"/>
    <w:rsid w:val="009C5A4E"/>
    <w:rsid w:val="009C7ABD"/>
    <w:rsid w:val="009D0BF0"/>
    <w:rsid w:val="009D1DAD"/>
    <w:rsid w:val="009D2822"/>
    <w:rsid w:val="009D28F9"/>
    <w:rsid w:val="009D2EC7"/>
    <w:rsid w:val="009D3C91"/>
    <w:rsid w:val="009D6A25"/>
    <w:rsid w:val="009D6BF3"/>
    <w:rsid w:val="009D7639"/>
    <w:rsid w:val="009E2A38"/>
    <w:rsid w:val="009E361D"/>
    <w:rsid w:val="009E36E1"/>
    <w:rsid w:val="009E68EA"/>
    <w:rsid w:val="009E6D4A"/>
    <w:rsid w:val="009E7CB6"/>
    <w:rsid w:val="009F04CE"/>
    <w:rsid w:val="009F4A17"/>
    <w:rsid w:val="009F6253"/>
    <w:rsid w:val="00A0261D"/>
    <w:rsid w:val="00A02B91"/>
    <w:rsid w:val="00A02DF2"/>
    <w:rsid w:val="00A02E7A"/>
    <w:rsid w:val="00A059DB"/>
    <w:rsid w:val="00A10C03"/>
    <w:rsid w:val="00A10D9E"/>
    <w:rsid w:val="00A116D3"/>
    <w:rsid w:val="00A11C02"/>
    <w:rsid w:val="00A121D9"/>
    <w:rsid w:val="00A12696"/>
    <w:rsid w:val="00A13444"/>
    <w:rsid w:val="00A14E05"/>
    <w:rsid w:val="00A209EA"/>
    <w:rsid w:val="00A21A76"/>
    <w:rsid w:val="00A21ADE"/>
    <w:rsid w:val="00A2218D"/>
    <w:rsid w:val="00A2223D"/>
    <w:rsid w:val="00A23616"/>
    <w:rsid w:val="00A246F8"/>
    <w:rsid w:val="00A26ADE"/>
    <w:rsid w:val="00A26D41"/>
    <w:rsid w:val="00A26D77"/>
    <w:rsid w:val="00A27D7D"/>
    <w:rsid w:val="00A3047F"/>
    <w:rsid w:val="00A3164F"/>
    <w:rsid w:val="00A31D2F"/>
    <w:rsid w:val="00A34E06"/>
    <w:rsid w:val="00A35468"/>
    <w:rsid w:val="00A3729A"/>
    <w:rsid w:val="00A3789C"/>
    <w:rsid w:val="00A40184"/>
    <w:rsid w:val="00A4024A"/>
    <w:rsid w:val="00A4089A"/>
    <w:rsid w:val="00A4123A"/>
    <w:rsid w:val="00A41E6A"/>
    <w:rsid w:val="00A41F07"/>
    <w:rsid w:val="00A44F46"/>
    <w:rsid w:val="00A47E6E"/>
    <w:rsid w:val="00A50246"/>
    <w:rsid w:val="00A51E6B"/>
    <w:rsid w:val="00A52737"/>
    <w:rsid w:val="00A539A9"/>
    <w:rsid w:val="00A540EE"/>
    <w:rsid w:val="00A5512E"/>
    <w:rsid w:val="00A55985"/>
    <w:rsid w:val="00A56775"/>
    <w:rsid w:val="00A575C5"/>
    <w:rsid w:val="00A57A73"/>
    <w:rsid w:val="00A602A9"/>
    <w:rsid w:val="00A6144F"/>
    <w:rsid w:val="00A61997"/>
    <w:rsid w:val="00A62240"/>
    <w:rsid w:val="00A628B0"/>
    <w:rsid w:val="00A64776"/>
    <w:rsid w:val="00A64CEA"/>
    <w:rsid w:val="00A64F79"/>
    <w:rsid w:val="00A65105"/>
    <w:rsid w:val="00A66098"/>
    <w:rsid w:val="00A66442"/>
    <w:rsid w:val="00A670F5"/>
    <w:rsid w:val="00A6779A"/>
    <w:rsid w:val="00A70CB7"/>
    <w:rsid w:val="00A7147F"/>
    <w:rsid w:val="00A71D74"/>
    <w:rsid w:val="00A722DA"/>
    <w:rsid w:val="00A72E11"/>
    <w:rsid w:val="00A74621"/>
    <w:rsid w:val="00A74680"/>
    <w:rsid w:val="00A7472D"/>
    <w:rsid w:val="00A75514"/>
    <w:rsid w:val="00A7642A"/>
    <w:rsid w:val="00A76AAF"/>
    <w:rsid w:val="00A77204"/>
    <w:rsid w:val="00A77501"/>
    <w:rsid w:val="00A77DFC"/>
    <w:rsid w:val="00A81F1E"/>
    <w:rsid w:val="00A8361A"/>
    <w:rsid w:val="00A83626"/>
    <w:rsid w:val="00A83A58"/>
    <w:rsid w:val="00A83C0B"/>
    <w:rsid w:val="00A84F33"/>
    <w:rsid w:val="00A85102"/>
    <w:rsid w:val="00A85455"/>
    <w:rsid w:val="00A8586D"/>
    <w:rsid w:val="00A85AFE"/>
    <w:rsid w:val="00A85DF5"/>
    <w:rsid w:val="00A863EE"/>
    <w:rsid w:val="00A866DE"/>
    <w:rsid w:val="00A86744"/>
    <w:rsid w:val="00A8734A"/>
    <w:rsid w:val="00A91C43"/>
    <w:rsid w:val="00A92988"/>
    <w:rsid w:val="00A92E3A"/>
    <w:rsid w:val="00A93CEF"/>
    <w:rsid w:val="00A94DAC"/>
    <w:rsid w:val="00A94FC7"/>
    <w:rsid w:val="00A95F66"/>
    <w:rsid w:val="00A9671F"/>
    <w:rsid w:val="00A979B7"/>
    <w:rsid w:val="00A97D33"/>
    <w:rsid w:val="00AA0E56"/>
    <w:rsid w:val="00AA1BDE"/>
    <w:rsid w:val="00AA275C"/>
    <w:rsid w:val="00AA2B6B"/>
    <w:rsid w:val="00AA2BE1"/>
    <w:rsid w:val="00AA443E"/>
    <w:rsid w:val="00AA455C"/>
    <w:rsid w:val="00AA4D77"/>
    <w:rsid w:val="00AA4D9B"/>
    <w:rsid w:val="00AA4FF7"/>
    <w:rsid w:val="00AA5277"/>
    <w:rsid w:val="00AA55FF"/>
    <w:rsid w:val="00AA59B8"/>
    <w:rsid w:val="00AA6A37"/>
    <w:rsid w:val="00AA74B8"/>
    <w:rsid w:val="00AB00B4"/>
    <w:rsid w:val="00AB00ED"/>
    <w:rsid w:val="00AB013A"/>
    <w:rsid w:val="00AB0503"/>
    <w:rsid w:val="00AB2213"/>
    <w:rsid w:val="00AB75BE"/>
    <w:rsid w:val="00AB75E4"/>
    <w:rsid w:val="00AC11EF"/>
    <w:rsid w:val="00AC13DC"/>
    <w:rsid w:val="00AC3C49"/>
    <w:rsid w:val="00AC4465"/>
    <w:rsid w:val="00AC65B9"/>
    <w:rsid w:val="00AD1CCF"/>
    <w:rsid w:val="00AD28D1"/>
    <w:rsid w:val="00AD2C33"/>
    <w:rsid w:val="00AD2F5E"/>
    <w:rsid w:val="00AD3FEF"/>
    <w:rsid w:val="00AD4D3D"/>
    <w:rsid w:val="00AD6042"/>
    <w:rsid w:val="00AD64D3"/>
    <w:rsid w:val="00AD652D"/>
    <w:rsid w:val="00AD6694"/>
    <w:rsid w:val="00AD6979"/>
    <w:rsid w:val="00AD6A71"/>
    <w:rsid w:val="00AD77A8"/>
    <w:rsid w:val="00AE1E6F"/>
    <w:rsid w:val="00AE3CC9"/>
    <w:rsid w:val="00AE578E"/>
    <w:rsid w:val="00AE5DC5"/>
    <w:rsid w:val="00AF00DF"/>
    <w:rsid w:val="00AF01A8"/>
    <w:rsid w:val="00AF0968"/>
    <w:rsid w:val="00AF13B0"/>
    <w:rsid w:val="00AF1811"/>
    <w:rsid w:val="00AF1B0C"/>
    <w:rsid w:val="00AF296F"/>
    <w:rsid w:val="00AF2970"/>
    <w:rsid w:val="00AF2C36"/>
    <w:rsid w:val="00AF378D"/>
    <w:rsid w:val="00AF3FFF"/>
    <w:rsid w:val="00AF6307"/>
    <w:rsid w:val="00AF67F8"/>
    <w:rsid w:val="00AF69DB"/>
    <w:rsid w:val="00AF6C74"/>
    <w:rsid w:val="00AF7889"/>
    <w:rsid w:val="00B0066E"/>
    <w:rsid w:val="00B017D1"/>
    <w:rsid w:val="00B0214D"/>
    <w:rsid w:val="00B032EF"/>
    <w:rsid w:val="00B0392F"/>
    <w:rsid w:val="00B03C56"/>
    <w:rsid w:val="00B04414"/>
    <w:rsid w:val="00B046DB"/>
    <w:rsid w:val="00B05EC5"/>
    <w:rsid w:val="00B07119"/>
    <w:rsid w:val="00B072C6"/>
    <w:rsid w:val="00B07595"/>
    <w:rsid w:val="00B07D03"/>
    <w:rsid w:val="00B10122"/>
    <w:rsid w:val="00B102E7"/>
    <w:rsid w:val="00B11F8A"/>
    <w:rsid w:val="00B12127"/>
    <w:rsid w:val="00B149ED"/>
    <w:rsid w:val="00B14E97"/>
    <w:rsid w:val="00B151B9"/>
    <w:rsid w:val="00B17992"/>
    <w:rsid w:val="00B22084"/>
    <w:rsid w:val="00B22C85"/>
    <w:rsid w:val="00B2398B"/>
    <w:rsid w:val="00B2565F"/>
    <w:rsid w:val="00B26CE3"/>
    <w:rsid w:val="00B30044"/>
    <w:rsid w:val="00B3061E"/>
    <w:rsid w:val="00B32685"/>
    <w:rsid w:val="00B337AA"/>
    <w:rsid w:val="00B33F89"/>
    <w:rsid w:val="00B34D0D"/>
    <w:rsid w:val="00B36935"/>
    <w:rsid w:val="00B376A5"/>
    <w:rsid w:val="00B40ED4"/>
    <w:rsid w:val="00B42C67"/>
    <w:rsid w:val="00B43B3E"/>
    <w:rsid w:val="00B43C69"/>
    <w:rsid w:val="00B450E8"/>
    <w:rsid w:val="00B4560A"/>
    <w:rsid w:val="00B45649"/>
    <w:rsid w:val="00B45E3A"/>
    <w:rsid w:val="00B474FF"/>
    <w:rsid w:val="00B50669"/>
    <w:rsid w:val="00B50760"/>
    <w:rsid w:val="00B5185D"/>
    <w:rsid w:val="00B51A6D"/>
    <w:rsid w:val="00B51D69"/>
    <w:rsid w:val="00B529DD"/>
    <w:rsid w:val="00B52CA7"/>
    <w:rsid w:val="00B53826"/>
    <w:rsid w:val="00B543F9"/>
    <w:rsid w:val="00B56D55"/>
    <w:rsid w:val="00B56FFE"/>
    <w:rsid w:val="00B62E8F"/>
    <w:rsid w:val="00B65F50"/>
    <w:rsid w:val="00B6645A"/>
    <w:rsid w:val="00B669DA"/>
    <w:rsid w:val="00B66E2A"/>
    <w:rsid w:val="00B67C0D"/>
    <w:rsid w:val="00B7053F"/>
    <w:rsid w:val="00B7094A"/>
    <w:rsid w:val="00B727E8"/>
    <w:rsid w:val="00B732F0"/>
    <w:rsid w:val="00B74894"/>
    <w:rsid w:val="00B7592D"/>
    <w:rsid w:val="00B75C35"/>
    <w:rsid w:val="00B76F01"/>
    <w:rsid w:val="00B77C91"/>
    <w:rsid w:val="00B80059"/>
    <w:rsid w:val="00B80312"/>
    <w:rsid w:val="00B80B03"/>
    <w:rsid w:val="00B85CC5"/>
    <w:rsid w:val="00B90B61"/>
    <w:rsid w:val="00B92475"/>
    <w:rsid w:val="00B935F5"/>
    <w:rsid w:val="00B938FB"/>
    <w:rsid w:val="00B94C0A"/>
    <w:rsid w:val="00B951FC"/>
    <w:rsid w:val="00B96F85"/>
    <w:rsid w:val="00B96F9A"/>
    <w:rsid w:val="00BA0D71"/>
    <w:rsid w:val="00BA2170"/>
    <w:rsid w:val="00BA3FB4"/>
    <w:rsid w:val="00BA5064"/>
    <w:rsid w:val="00BA5107"/>
    <w:rsid w:val="00BA5146"/>
    <w:rsid w:val="00BA6453"/>
    <w:rsid w:val="00BA7E3B"/>
    <w:rsid w:val="00BB1464"/>
    <w:rsid w:val="00BB1C19"/>
    <w:rsid w:val="00BB341D"/>
    <w:rsid w:val="00BB5E0B"/>
    <w:rsid w:val="00BB66EF"/>
    <w:rsid w:val="00BB7783"/>
    <w:rsid w:val="00BB7943"/>
    <w:rsid w:val="00BB7B90"/>
    <w:rsid w:val="00BB7D4A"/>
    <w:rsid w:val="00BC0A18"/>
    <w:rsid w:val="00BC0DCD"/>
    <w:rsid w:val="00BC3404"/>
    <w:rsid w:val="00BC3A09"/>
    <w:rsid w:val="00BC3FF5"/>
    <w:rsid w:val="00BC535E"/>
    <w:rsid w:val="00BC6038"/>
    <w:rsid w:val="00BC62DC"/>
    <w:rsid w:val="00BC672B"/>
    <w:rsid w:val="00BD0DED"/>
    <w:rsid w:val="00BD1B6C"/>
    <w:rsid w:val="00BD33DF"/>
    <w:rsid w:val="00BD3626"/>
    <w:rsid w:val="00BD3CA8"/>
    <w:rsid w:val="00BD4A43"/>
    <w:rsid w:val="00BD52C6"/>
    <w:rsid w:val="00BD581A"/>
    <w:rsid w:val="00BD5A4C"/>
    <w:rsid w:val="00BD6A00"/>
    <w:rsid w:val="00BD7452"/>
    <w:rsid w:val="00BD7A08"/>
    <w:rsid w:val="00BD7A1D"/>
    <w:rsid w:val="00BE0441"/>
    <w:rsid w:val="00BE0949"/>
    <w:rsid w:val="00BE1477"/>
    <w:rsid w:val="00BE36C4"/>
    <w:rsid w:val="00BE4308"/>
    <w:rsid w:val="00BE52A8"/>
    <w:rsid w:val="00BF03D4"/>
    <w:rsid w:val="00BF04BE"/>
    <w:rsid w:val="00BF0EB8"/>
    <w:rsid w:val="00BF1823"/>
    <w:rsid w:val="00BF28F3"/>
    <w:rsid w:val="00BF2C39"/>
    <w:rsid w:val="00BF3193"/>
    <w:rsid w:val="00BF3DEB"/>
    <w:rsid w:val="00BF4E45"/>
    <w:rsid w:val="00BF67E8"/>
    <w:rsid w:val="00BF75B0"/>
    <w:rsid w:val="00C00630"/>
    <w:rsid w:val="00C0103D"/>
    <w:rsid w:val="00C0605A"/>
    <w:rsid w:val="00C061CC"/>
    <w:rsid w:val="00C076D5"/>
    <w:rsid w:val="00C10ADC"/>
    <w:rsid w:val="00C121C1"/>
    <w:rsid w:val="00C12303"/>
    <w:rsid w:val="00C132CF"/>
    <w:rsid w:val="00C143F4"/>
    <w:rsid w:val="00C14485"/>
    <w:rsid w:val="00C14E77"/>
    <w:rsid w:val="00C152FF"/>
    <w:rsid w:val="00C1536E"/>
    <w:rsid w:val="00C1553C"/>
    <w:rsid w:val="00C15A41"/>
    <w:rsid w:val="00C15D0B"/>
    <w:rsid w:val="00C164A5"/>
    <w:rsid w:val="00C20863"/>
    <w:rsid w:val="00C216DE"/>
    <w:rsid w:val="00C22D97"/>
    <w:rsid w:val="00C23B91"/>
    <w:rsid w:val="00C26055"/>
    <w:rsid w:val="00C26F1A"/>
    <w:rsid w:val="00C304CA"/>
    <w:rsid w:val="00C30FA6"/>
    <w:rsid w:val="00C31559"/>
    <w:rsid w:val="00C32748"/>
    <w:rsid w:val="00C34369"/>
    <w:rsid w:val="00C34981"/>
    <w:rsid w:val="00C37CEA"/>
    <w:rsid w:val="00C40136"/>
    <w:rsid w:val="00C40619"/>
    <w:rsid w:val="00C40EE5"/>
    <w:rsid w:val="00C42393"/>
    <w:rsid w:val="00C450BE"/>
    <w:rsid w:val="00C464AA"/>
    <w:rsid w:val="00C47A66"/>
    <w:rsid w:val="00C47E78"/>
    <w:rsid w:val="00C51AEF"/>
    <w:rsid w:val="00C524D6"/>
    <w:rsid w:val="00C52BD9"/>
    <w:rsid w:val="00C543F4"/>
    <w:rsid w:val="00C54BC8"/>
    <w:rsid w:val="00C5549E"/>
    <w:rsid w:val="00C55731"/>
    <w:rsid w:val="00C604F5"/>
    <w:rsid w:val="00C62A3E"/>
    <w:rsid w:val="00C63060"/>
    <w:rsid w:val="00C6345D"/>
    <w:rsid w:val="00C6363A"/>
    <w:rsid w:val="00C640EF"/>
    <w:rsid w:val="00C667E6"/>
    <w:rsid w:val="00C6714F"/>
    <w:rsid w:val="00C677DE"/>
    <w:rsid w:val="00C67840"/>
    <w:rsid w:val="00C7071E"/>
    <w:rsid w:val="00C70B90"/>
    <w:rsid w:val="00C7110E"/>
    <w:rsid w:val="00C7135A"/>
    <w:rsid w:val="00C714D4"/>
    <w:rsid w:val="00C71ED8"/>
    <w:rsid w:val="00C7471F"/>
    <w:rsid w:val="00C74AC2"/>
    <w:rsid w:val="00C74BDF"/>
    <w:rsid w:val="00C754EE"/>
    <w:rsid w:val="00C75811"/>
    <w:rsid w:val="00C75837"/>
    <w:rsid w:val="00C75BF6"/>
    <w:rsid w:val="00C762EE"/>
    <w:rsid w:val="00C76EA9"/>
    <w:rsid w:val="00C8030D"/>
    <w:rsid w:val="00C81619"/>
    <w:rsid w:val="00C82399"/>
    <w:rsid w:val="00C829F5"/>
    <w:rsid w:val="00C83031"/>
    <w:rsid w:val="00C83F4D"/>
    <w:rsid w:val="00C84244"/>
    <w:rsid w:val="00C8487E"/>
    <w:rsid w:val="00C84DB6"/>
    <w:rsid w:val="00C86E7B"/>
    <w:rsid w:val="00C870A3"/>
    <w:rsid w:val="00C8769D"/>
    <w:rsid w:val="00C90A1E"/>
    <w:rsid w:val="00C90D48"/>
    <w:rsid w:val="00C91682"/>
    <w:rsid w:val="00C927E5"/>
    <w:rsid w:val="00C93C75"/>
    <w:rsid w:val="00C951F4"/>
    <w:rsid w:val="00C95FE4"/>
    <w:rsid w:val="00C96A2A"/>
    <w:rsid w:val="00C96C9E"/>
    <w:rsid w:val="00CA0B4B"/>
    <w:rsid w:val="00CA0D7E"/>
    <w:rsid w:val="00CA0F1F"/>
    <w:rsid w:val="00CA14F3"/>
    <w:rsid w:val="00CA1706"/>
    <w:rsid w:val="00CA5521"/>
    <w:rsid w:val="00CA7608"/>
    <w:rsid w:val="00CB22B5"/>
    <w:rsid w:val="00CB305A"/>
    <w:rsid w:val="00CB3A9D"/>
    <w:rsid w:val="00CB4641"/>
    <w:rsid w:val="00CB49AA"/>
    <w:rsid w:val="00CB4D20"/>
    <w:rsid w:val="00CB4DC6"/>
    <w:rsid w:val="00CB4F62"/>
    <w:rsid w:val="00CB582F"/>
    <w:rsid w:val="00CB59E3"/>
    <w:rsid w:val="00CB6673"/>
    <w:rsid w:val="00CB66D0"/>
    <w:rsid w:val="00CB73AB"/>
    <w:rsid w:val="00CB798D"/>
    <w:rsid w:val="00CB7A36"/>
    <w:rsid w:val="00CB7AC3"/>
    <w:rsid w:val="00CB7DE0"/>
    <w:rsid w:val="00CC050A"/>
    <w:rsid w:val="00CC2533"/>
    <w:rsid w:val="00CC478F"/>
    <w:rsid w:val="00CC4A98"/>
    <w:rsid w:val="00CC4DAF"/>
    <w:rsid w:val="00CC69DF"/>
    <w:rsid w:val="00CC755F"/>
    <w:rsid w:val="00CC7780"/>
    <w:rsid w:val="00CD0133"/>
    <w:rsid w:val="00CD0DAA"/>
    <w:rsid w:val="00CD0EF6"/>
    <w:rsid w:val="00CD150B"/>
    <w:rsid w:val="00CD2D07"/>
    <w:rsid w:val="00CD33F5"/>
    <w:rsid w:val="00CD414F"/>
    <w:rsid w:val="00CD4C0E"/>
    <w:rsid w:val="00CD57FD"/>
    <w:rsid w:val="00CD6F62"/>
    <w:rsid w:val="00CD76D3"/>
    <w:rsid w:val="00CD773F"/>
    <w:rsid w:val="00CE00FB"/>
    <w:rsid w:val="00CE0870"/>
    <w:rsid w:val="00CE09C8"/>
    <w:rsid w:val="00CE09E3"/>
    <w:rsid w:val="00CE34A4"/>
    <w:rsid w:val="00CE360A"/>
    <w:rsid w:val="00CE416C"/>
    <w:rsid w:val="00CE4F4A"/>
    <w:rsid w:val="00CE52CF"/>
    <w:rsid w:val="00CE6461"/>
    <w:rsid w:val="00CE67C7"/>
    <w:rsid w:val="00CE7189"/>
    <w:rsid w:val="00CE7791"/>
    <w:rsid w:val="00CE7C69"/>
    <w:rsid w:val="00CE7C74"/>
    <w:rsid w:val="00CF0573"/>
    <w:rsid w:val="00CF05F1"/>
    <w:rsid w:val="00CF0DE0"/>
    <w:rsid w:val="00CF110A"/>
    <w:rsid w:val="00CF2660"/>
    <w:rsid w:val="00CF3982"/>
    <w:rsid w:val="00CF3ED0"/>
    <w:rsid w:val="00CF4786"/>
    <w:rsid w:val="00CF51C1"/>
    <w:rsid w:val="00CF59F6"/>
    <w:rsid w:val="00CF6985"/>
    <w:rsid w:val="00CF6EDE"/>
    <w:rsid w:val="00CF780E"/>
    <w:rsid w:val="00CF7F8A"/>
    <w:rsid w:val="00D0295A"/>
    <w:rsid w:val="00D02EF0"/>
    <w:rsid w:val="00D0331C"/>
    <w:rsid w:val="00D03362"/>
    <w:rsid w:val="00D03911"/>
    <w:rsid w:val="00D055B3"/>
    <w:rsid w:val="00D066A8"/>
    <w:rsid w:val="00D0738C"/>
    <w:rsid w:val="00D07A50"/>
    <w:rsid w:val="00D1043A"/>
    <w:rsid w:val="00D1060B"/>
    <w:rsid w:val="00D10628"/>
    <w:rsid w:val="00D10A24"/>
    <w:rsid w:val="00D11FE1"/>
    <w:rsid w:val="00D13269"/>
    <w:rsid w:val="00D14672"/>
    <w:rsid w:val="00D14B64"/>
    <w:rsid w:val="00D15998"/>
    <w:rsid w:val="00D167C1"/>
    <w:rsid w:val="00D17479"/>
    <w:rsid w:val="00D2030D"/>
    <w:rsid w:val="00D20D2D"/>
    <w:rsid w:val="00D21112"/>
    <w:rsid w:val="00D21577"/>
    <w:rsid w:val="00D21848"/>
    <w:rsid w:val="00D21F8E"/>
    <w:rsid w:val="00D22352"/>
    <w:rsid w:val="00D226E2"/>
    <w:rsid w:val="00D23E03"/>
    <w:rsid w:val="00D248DC"/>
    <w:rsid w:val="00D2678D"/>
    <w:rsid w:val="00D2697C"/>
    <w:rsid w:val="00D275B7"/>
    <w:rsid w:val="00D2788F"/>
    <w:rsid w:val="00D27CFA"/>
    <w:rsid w:val="00D30BA1"/>
    <w:rsid w:val="00D3169C"/>
    <w:rsid w:val="00D3196E"/>
    <w:rsid w:val="00D321C3"/>
    <w:rsid w:val="00D325DF"/>
    <w:rsid w:val="00D32908"/>
    <w:rsid w:val="00D32EC0"/>
    <w:rsid w:val="00D3575D"/>
    <w:rsid w:val="00D3581C"/>
    <w:rsid w:val="00D36573"/>
    <w:rsid w:val="00D36A73"/>
    <w:rsid w:val="00D401C6"/>
    <w:rsid w:val="00D40BB0"/>
    <w:rsid w:val="00D41F17"/>
    <w:rsid w:val="00D43229"/>
    <w:rsid w:val="00D43511"/>
    <w:rsid w:val="00D43A46"/>
    <w:rsid w:val="00D44083"/>
    <w:rsid w:val="00D4481B"/>
    <w:rsid w:val="00D44B90"/>
    <w:rsid w:val="00D454AF"/>
    <w:rsid w:val="00D454F6"/>
    <w:rsid w:val="00D45D36"/>
    <w:rsid w:val="00D46EC1"/>
    <w:rsid w:val="00D47165"/>
    <w:rsid w:val="00D5017B"/>
    <w:rsid w:val="00D515DA"/>
    <w:rsid w:val="00D51BA9"/>
    <w:rsid w:val="00D521ED"/>
    <w:rsid w:val="00D53D43"/>
    <w:rsid w:val="00D54C63"/>
    <w:rsid w:val="00D54CD2"/>
    <w:rsid w:val="00D55706"/>
    <w:rsid w:val="00D56ACA"/>
    <w:rsid w:val="00D571B9"/>
    <w:rsid w:val="00D609E9"/>
    <w:rsid w:val="00D61A53"/>
    <w:rsid w:val="00D62A05"/>
    <w:rsid w:val="00D62E11"/>
    <w:rsid w:val="00D63167"/>
    <w:rsid w:val="00D632E0"/>
    <w:rsid w:val="00D64072"/>
    <w:rsid w:val="00D64439"/>
    <w:rsid w:val="00D64DA5"/>
    <w:rsid w:val="00D71F88"/>
    <w:rsid w:val="00D726AB"/>
    <w:rsid w:val="00D742B6"/>
    <w:rsid w:val="00D74DFC"/>
    <w:rsid w:val="00D76217"/>
    <w:rsid w:val="00D80397"/>
    <w:rsid w:val="00D80553"/>
    <w:rsid w:val="00D822B5"/>
    <w:rsid w:val="00D83BD0"/>
    <w:rsid w:val="00D8491D"/>
    <w:rsid w:val="00D86CA3"/>
    <w:rsid w:val="00D87DDE"/>
    <w:rsid w:val="00D87F96"/>
    <w:rsid w:val="00D925D0"/>
    <w:rsid w:val="00D94A6D"/>
    <w:rsid w:val="00D95062"/>
    <w:rsid w:val="00D953A9"/>
    <w:rsid w:val="00D95BF7"/>
    <w:rsid w:val="00D97475"/>
    <w:rsid w:val="00DA0C42"/>
    <w:rsid w:val="00DA134F"/>
    <w:rsid w:val="00DA159E"/>
    <w:rsid w:val="00DA30D4"/>
    <w:rsid w:val="00DA38FE"/>
    <w:rsid w:val="00DA3A9A"/>
    <w:rsid w:val="00DA3B44"/>
    <w:rsid w:val="00DA690B"/>
    <w:rsid w:val="00DB0320"/>
    <w:rsid w:val="00DB0632"/>
    <w:rsid w:val="00DB0E24"/>
    <w:rsid w:val="00DB42AD"/>
    <w:rsid w:val="00DB467E"/>
    <w:rsid w:val="00DB4F4C"/>
    <w:rsid w:val="00DB51D4"/>
    <w:rsid w:val="00DB5650"/>
    <w:rsid w:val="00DB5BCE"/>
    <w:rsid w:val="00DB64C3"/>
    <w:rsid w:val="00DB7046"/>
    <w:rsid w:val="00DB71AE"/>
    <w:rsid w:val="00DB7976"/>
    <w:rsid w:val="00DB7B6E"/>
    <w:rsid w:val="00DC0CF6"/>
    <w:rsid w:val="00DC0D0F"/>
    <w:rsid w:val="00DC1AC2"/>
    <w:rsid w:val="00DC2AC8"/>
    <w:rsid w:val="00DC31A3"/>
    <w:rsid w:val="00DC48CB"/>
    <w:rsid w:val="00DC4982"/>
    <w:rsid w:val="00DC59C1"/>
    <w:rsid w:val="00DC5B1B"/>
    <w:rsid w:val="00DC5B53"/>
    <w:rsid w:val="00DC5CD5"/>
    <w:rsid w:val="00DC63A4"/>
    <w:rsid w:val="00DC7B6C"/>
    <w:rsid w:val="00DD161C"/>
    <w:rsid w:val="00DD1BAF"/>
    <w:rsid w:val="00DD1BB0"/>
    <w:rsid w:val="00DD5BA5"/>
    <w:rsid w:val="00DD72A9"/>
    <w:rsid w:val="00DE039D"/>
    <w:rsid w:val="00DE1179"/>
    <w:rsid w:val="00DE1672"/>
    <w:rsid w:val="00DE2D68"/>
    <w:rsid w:val="00DE2F98"/>
    <w:rsid w:val="00DE3A5B"/>
    <w:rsid w:val="00DE4361"/>
    <w:rsid w:val="00DE537E"/>
    <w:rsid w:val="00DE6C6E"/>
    <w:rsid w:val="00DF039D"/>
    <w:rsid w:val="00DF0ED4"/>
    <w:rsid w:val="00DF2A04"/>
    <w:rsid w:val="00DF2C06"/>
    <w:rsid w:val="00DF362C"/>
    <w:rsid w:val="00DF3A44"/>
    <w:rsid w:val="00DF412D"/>
    <w:rsid w:val="00DF44DF"/>
    <w:rsid w:val="00DF5A78"/>
    <w:rsid w:val="00DF721D"/>
    <w:rsid w:val="00DF7C6D"/>
    <w:rsid w:val="00E00FAC"/>
    <w:rsid w:val="00E01A06"/>
    <w:rsid w:val="00E0347D"/>
    <w:rsid w:val="00E03D1F"/>
    <w:rsid w:val="00E045BF"/>
    <w:rsid w:val="00E047FF"/>
    <w:rsid w:val="00E062DD"/>
    <w:rsid w:val="00E065C0"/>
    <w:rsid w:val="00E06B71"/>
    <w:rsid w:val="00E07701"/>
    <w:rsid w:val="00E10561"/>
    <w:rsid w:val="00E10B99"/>
    <w:rsid w:val="00E10E93"/>
    <w:rsid w:val="00E12AA7"/>
    <w:rsid w:val="00E13512"/>
    <w:rsid w:val="00E160EF"/>
    <w:rsid w:val="00E1649C"/>
    <w:rsid w:val="00E17BA9"/>
    <w:rsid w:val="00E17E3B"/>
    <w:rsid w:val="00E20A1B"/>
    <w:rsid w:val="00E20AE5"/>
    <w:rsid w:val="00E2162F"/>
    <w:rsid w:val="00E235C9"/>
    <w:rsid w:val="00E24F57"/>
    <w:rsid w:val="00E260B6"/>
    <w:rsid w:val="00E261B3"/>
    <w:rsid w:val="00E278F0"/>
    <w:rsid w:val="00E2793C"/>
    <w:rsid w:val="00E27EC2"/>
    <w:rsid w:val="00E3007A"/>
    <w:rsid w:val="00E313B0"/>
    <w:rsid w:val="00E364CB"/>
    <w:rsid w:val="00E36A12"/>
    <w:rsid w:val="00E36BB3"/>
    <w:rsid w:val="00E371CA"/>
    <w:rsid w:val="00E3786B"/>
    <w:rsid w:val="00E40AD9"/>
    <w:rsid w:val="00E40DBC"/>
    <w:rsid w:val="00E42598"/>
    <w:rsid w:val="00E4435A"/>
    <w:rsid w:val="00E44713"/>
    <w:rsid w:val="00E4569E"/>
    <w:rsid w:val="00E46447"/>
    <w:rsid w:val="00E466CC"/>
    <w:rsid w:val="00E46EA2"/>
    <w:rsid w:val="00E51804"/>
    <w:rsid w:val="00E51ADE"/>
    <w:rsid w:val="00E51C48"/>
    <w:rsid w:val="00E538F3"/>
    <w:rsid w:val="00E5452A"/>
    <w:rsid w:val="00E54EE6"/>
    <w:rsid w:val="00E55313"/>
    <w:rsid w:val="00E55F19"/>
    <w:rsid w:val="00E56482"/>
    <w:rsid w:val="00E566EF"/>
    <w:rsid w:val="00E5766B"/>
    <w:rsid w:val="00E57F24"/>
    <w:rsid w:val="00E6280A"/>
    <w:rsid w:val="00E62C2B"/>
    <w:rsid w:val="00E62E19"/>
    <w:rsid w:val="00E64A01"/>
    <w:rsid w:val="00E64B76"/>
    <w:rsid w:val="00E66189"/>
    <w:rsid w:val="00E665EE"/>
    <w:rsid w:val="00E6665D"/>
    <w:rsid w:val="00E668B3"/>
    <w:rsid w:val="00E66A73"/>
    <w:rsid w:val="00E66CC6"/>
    <w:rsid w:val="00E66F9F"/>
    <w:rsid w:val="00E67448"/>
    <w:rsid w:val="00E75A76"/>
    <w:rsid w:val="00E7655C"/>
    <w:rsid w:val="00E77381"/>
    <w:rsid w:val="00E800AF"/>
    <w:rsid w:val="00E80562"/>
    <w:rsid w:val="00E805C5"/>
    <w:rsid w:val="00E80C7A"/>
    <w:rsid w:val="00E810FD"/>
    <w:rsid w:val="00E81ED0"/>
    <w:rsid w:val="00E82817"/>
    <w:rsid w:val="00E83654"/>
    <w:rsid w:val="00E842D0"/>
    <w:rsid w:val="00E84919"/>
    <w:rsid w:val="00E8516C"/>
    <w:rsid w:val="00E852A6"/>
    <w:rsid w:val="00E90829"/>
    <w:rsid w:val="00E90845"/>
    <w:rsid w:val="00E9096D"/>
    <w:rsid w:val="00E91026"/>
    <w:rsid w:val="00E9168E"/>
    <w:rsid w:val="00E92234"/>
    <w:rsid w:val="00E930C3"/>
    <w:rsid w:val="00E946F1"/>
    <w:rsid w:val="00E971F5"/>
    <w:rsid w:val="00E973C6"/>
    <w:rsid w:val="00EA1ADC"/>
    <w:rsid w:val="00EA1FB2"/>
    <w:rsid w:val="00EA2A0A"/>
    <w:rsid w:val="00EA5502"/>
    <w:rsid w:val="00EA67B3"/>
    <w:rsid w:val="00EA788A"/>
    <w:rsid w:val="00EB06C2"/>
    <w:rsid w:val="00EB0C70"/>
    <w:rsid w:val="00EB13BE"/>
    <w:rsid w:val="00EB156B"/>
    <w:rsid w:val="00EB32D4"/>
    <w:rsid w:val="00EB440C"/>
    <w:rsid w:val="00EB4A33"/>
    <w:rsid w:val="00EB4CA3"/>
    <w:rsid w:val="00EB4EF2"/>
    <w:rsid w:val="00EB5316"/>
    <w:rsid w:val="00EB58E1"/>
    <w:rsid w:val="00EB68FD"/>
    <w:rsid w:val="00EC0DFE"/>
    <w:rsid w:val="00EC0FB8"/>
    <w:rsid w:val="00EC1564"/>
    <w:rsid w:val="00EC22A4"/>
    <w:rsid w:val="00EC39F9"/>
    <w:rsid w:val="00EC3BD5"/>
    <w:rsid w:val="00EC41C1"/>
    <w:rsid w:val="00EC431E"/>
    <w:rsid w:val="00EC4973"/>
    <w:rsid w:val="00EC6CE8"/>
    <w:rsid w:val="00EC7486"/>
    <w:rsid w:val="00EC7958"/>
    <w:rsid w:val="00EC7D69"/>
    <w:rsid w:val="00ED0E96"/>
    <w:rsid w:val="00ED1782"/>
    <w:rsid w:val="00ED17E0"/>
    <w:rsid w:val="00ED2E89"/>
    <w:rsid w:val="00ED4735"/>
    <w:rsid w:val="00ED49D2"/>
    <w:rsid w:val="00ED5C8C"/>
    <w:rsid w:val="00ED5F65"/>
    <w:rsid w:val="00ED6D5F"/>
    <w:rsid w:val="00EE0072"/>
    <w:rsid w:val="00EE59F5"/>
    <w:rsid w:val="00EE6445"/>
    <w:rsid w:val="00EE6E4F"/>
    <w:rsid w:val="00EE70E9"/>
    <w:rsid w:val="00EF0838"/>
    <w:rsid w:val="00EF0AE7"/>
    <w:rsid w:val="00EF0C09"/>
    <w:rsid w:val="00EF1ECB"/>
    <w:rsid w:val="00EF326C"/>
    <w:rsid w:val="00EF373E"/>
    <w:rsid w:val="00EF4131"/>
    <w:rsid w:val="00EF4CA4"/>
    <w:rsid w:val="00EF5299"/>
    <w:rsid w:val="00EF54CC"/>
    <w:rsid w:val="00EF6A14"/>
    <w:rsid w:val="00EF733E"/>
    <w:rsid w:val="00F02204"/>
    <w:rsid w:val="00F0292F"/>
    <w:rsid w:val="00F02D61"/>
    <w:rsid w:val="00F03695"/>
    <w:rsid w:val="00F05BAE"/>
    <w:rsid w:val="00F12050"/>
    <w:rsid w:val="00F121E6"/>
    <w:rsid w:val="00F12C81"/>
    <w:rsid w:val="00F12D02"/>
    <w:rsid w:val="00F14DC0"/>
    <w:rsid w:val="00F1518D"/>
    <w:rsid w:val="00F16303"/>
    <w:rsid w:val="00F1631C"/>
    <w:rsid w:val="00F16FEB"/>
    <w:rsid w:val="00F1715C"/>
    <w:rsid w:val="00F17575"/>
    <w:rsid w:val="00F17BAB"/>
    <w:rsid w:val="00F202C0"/>
    <w:rsid w:val="00F20975"/>
    <w:rsid w:val="00F21155"/>
    <w:rsid w:val="00F237EB"/>
    <w:rsid w:val="00F23FF7"/>
    <w:rsid w:val="00F243A7"/>
    <w:rsid w:val="00F24662"/>
    <w:rsid w:val="00F249E6"/>
    <w:rsid w:val="00F25467"/>
    <w:rsid w:val="00F25568"/>
    <w:rsid w:val="00F257C4"/>
    <w:rsid w:val="00F261ED"/>
    <w:rsid w:val="00F304CC"/>
    <w:rsid w:val="00F30CD4"/>
    <w:rsid w:val="00F30CF2"/>
    <w:rsid w:val="00F31817"/>
    <w:rsid w:val="00F32117"/>
    <w:rsid w:val="00F327CF"/>
    <w:rsid w:val="00F32811"/>
    <w:rsid w:val="00F32FE5"/>
    <w:rsid w:val="00F35F6D"/>
    <w:rsid w:val="00F361A6"/>
    <w:rsid w:val="00F3668E"/>
    <w:rsid w:val="00F40E28"/>
    <w:rsid w:val="00F41590"/>
    <w:rsid w:val="00F41B2C"/>
    <w:rsid w:val="00F41B2D"/>
    <w:rsid w:val="00F422BB"/>
    <w:rsid w:val="00F425DF"/>
    <w:rsid w:val="00F43560"/>
    <w:rsid w:val="00F439F4"/>
    <w:rsid w:val="00F43D2B"/>
    <w:rsid w:val="00F44013"/>
    <w:rsid w:val="00F445F9"/>
    <w:rsid w:val="00F448C4"/>
    <w:rsid w:val="00F47E87"/>
    <w:rsid w:val="00F50E07"/>
    <w:rsid w:val="00F51B36"/>
    <w:rsid w:val="00F52057"/>
    <w:rsid w:val="00F536AB"/>
    <w:rsid w:val="00F53915"/>
    <w:rsid w:val="00F53BB5"/>
    <w:rsid w:val="00F53F74"/>
    <w:rsid w:val="00F570ED"/>
    <w:rsid w:val="00F60D16"/>
    <w:rsid w:val="00F61093"/>
    <w:rsid w:val="00F612E1"/>
    <w:rsid w:val="00F62B82"/>
    <w:rsid w:val="00F63368"/>
    <w:rsid w:val="00F63D39"/>
    <w:rsid w:val="00F660BC"/>
    <w:rsid w:val="00F73E66"/>
    <w:rsid w:val="00F74F3E"/>
    <w:rsid w:val="00F75202"/>
    <w:rsid w:val="00F7527C"/>
    <w:rsid w:val="00F7584A"/>
    <w:rsid w:val="00F75F0A"/>
    <w:rsid w:val="00F76060"/>
    <w:rsid w:val="00F760F7"/>
    <w:rsid w:val="00F76236"/>
    <w:rsid w:val="00F8021C"/>
    <w:rsid w:val="00F8081E"/>
    <w:rsid w:val="00F80EB9"/>
    <w:rsid w:val="00F811DE"/>
    <w:rsid w:val="00F812B5"/>
    <w:rsid w:val="00F814D4"/>
    <w:rsid w:val="00F82350"/>
    <w:rsid w:val="00F825FB"/>
    <w:rsid w:val="00F833B7"/>
    <w:rsid w:val="00F842D6"/>
    <w:rsid w:val="00F84BEB"/>
    <w:rsid w:val="00F86F28"/>
    <w:rsid w:val="00F87B42"/>
    <w:rsid w:val="00F90920"/>
    <w:rsid w:val="00F90D6A"/>
    <w:rsid w:val="00F91B69"/>
    <w:rsid w:val="00F91E54"/>
    <w:rsid w:val="00F922D1"/>
    <w:rsid w:val="00F92AEB"/>
    <w:rsid w:val="00F92EE7"/>
    <w:rsid w:val="00F932D4"/>
    <w:rsid w:val="00F942F9"/>
    <w:rsid w:val="00F943E5"/>
    <w:rsid w:val="00F95AD8"/>
    <w:rsid w:val="00F96655"/>
    <w:rsid w:val="00F974F1"/>
    <w:rsid w:val="00FA1BA0"/>
    <w:rsid w:val="00FA4431"/>
    <w:rsid w:val="00FA598E"/>
    <w:rsid w:val="00FA5C5B"/>
    <w:rsid w:val="00FA6025"/>
    <w:rsid w:val="00FA6046"/>
    <w:rsid w:val="00FA6C68"/>
    <w:rsid w:val="00FA6E1F"/>
    <w:rsid w:val="00FA736C"/>
    <w:rsid w:val="00FB032D"/>
    <w:rsid w:val="00FB2339"/>
    <w:rsid w:val="00FB2515"/>
    <w:rsid w:val="00FB2755"/>
    <w:rsid w:val="00FB2964"/>
    <w:rsid w:val="00FB313E"/>
    <w:rsid w:val="00FB38BE"/>
    <w:rsid w:val="00FB3AEB"/>
    <w:rsid w:val="00FB5BAB"/>
    <w:rsid w:val="00FB6061"/>
    <w:rsid w:val="00FB6BDA"/>
    <w:rsid w:val="00FB6CFF"/>
    <w:rsid w:val="00FC02D2"/>
    <w:rsid w:val="00FC1546"/>
    <w:rsid w:val="00FC1EDF"/>
    <w:rsid w:val="00FC29E9"/>
    <w:rsid w:val="00FC2ADB"/>
    <w:rsid w:val="00FC662F"/>
    <w:rsid w:val="00FC698F"/>
    <w:rsid w:val="00FC777C"/>
    <w:rsid w:val="00FC7B07"/>
    <w:rsid w:val="00FD01B2"/>
    <w:rsid w:val="00FD0200"/>
    <w:rsid w:val="00FD0600"/>
    <w:rsid w:val="00FD0ED7"/>
    <w:rsid w:val="00FD10D3"/>
    <w:rsid w:val="00FD1E0F"/>
    <w:rsid w:val="00FD2C23"/>
    <w:rsid w:val="00FD42F1"/>
    <w:rsid w:val="00FD51CC"/>
    <w:rsid w:val="00FD681C"/>
    <w:rsid w:val="00FD717E"/>
    <w:rsid w:val="00FE0006"/>
    <w:rsid w:val="00FE0B7C"/>
    <w:rsid w:val="00FE4501"/>
    <w:rsid w:val="00FE4DEF"/>
    <w:rsid w:val="00FE5113"/>
    <w:rsid w:val="00FE5275"/>
    <w:rsid w:val="00FE5524"/>
    <w:rsid w:val="00FE5987"/>
    <w:rsid w:val="00FE5C25"/>
    <w:rsid w:val="00FE6059"/>
    <w:rsid w:val="00FE6787"/>
    <w:rsid w:val="00FE6B3D"/>
    <w:rsid w:val="00FE75FA"/>
    <w:rsid w:val="00FF12C5"/>
    <w:rsid w:val="00FF3248"/>
    <w:rsid w:val="00FF34FB"/>
    <w:rsid w:val="00FF3EC7"/>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7C94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style>
  <w:style w:type="character" w:styleId="FootnoteReference">
    <w:name w:val="footnote reference"/>
    <w:aliases w:val="Style 12,(NECG) Footnote Reference,o,fr,Style 3,Appel note de bas de p,Style 124,Style 13"/>
    <w:uiPriority w:val="99"/>
    <w:semiHidden/>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f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displayhltext">
    <w:name w:val="display_hl_text"/>
    <w:rsid w:val="009264F8"/>
  </w:style>
  <w:style w:type="character" w:styleId="Strong">
    <w:name w:val="Strong"/>
    <w:qFormat/>
    <w:rsid w:val="00A246F8"/>
    <w:rPr>
      <w:b/>
      <w:bCs/>
    </w:rPr>
  </w:style>
  <w:style w:type="character" w:customStyle="1" w:styleId="emphi">
    <w:name w:val="emphi"/>
    <w:rsid w:val="00F63D39"/>
  </w:style>
  <w:style w:type="character" w:customStyle="1" w:styleId="cohovertext">
    <w:name w:val="co_hovertext"/>
    <w:rsid w:val="001A1653"/>
  </w:style>
  <w:style w:type="character" w:customStyle="1" w:styleId="counderline">
    <w:name w:val="co_underline"/>
    <w:rsid w:val="00AA4D77"/>
  </w:style>
  <w:style w:type="character" w:customStyle="1" w:styleId="costarpage">
    <w:name w:val="co_starpage"/>
    <w:rsid w:val="00EC41C1"/>
  </w:style>
  <w:style w:type="character" w:customStyle="1" w:styleId="term1">
    <w:name w:val="term1"/>
    <w:rsid w:val="00690F17"/>
    <w:rPr>
      <w:b/>
      <w:bCs/>
    </w:rPr>
  </w:style>
  <w:style w:type="character" w:customStyle="1" w:styleId="displayhltextactive">
    <w:name w:val="display_hl_text_active"/>
    <w:basedOn w:val="DefaultParagraphFont"/>
    <w:rsid w:val="003F0E4A"/>
  </w:style>
  <w:style w:type="paragraph" w:styleId="EndnoteText">
    <w:name w:val="endnote text"/>
    <w:basedOn w:val="Normal"/>
    <w:link w:val="EndnoteTextChar"/>
    <w:rsid w:val="001D0D4D"/>
  </w:style>
  <w:style w:type="character" w:customStyle="1" w:styleId="EndnoteTextChar">
    <w:name w:val="Endnote Text Char"/>
    <w:basedOn w:val="DefaultParagraphFont"/>
    <w:link w:val="EndnoteText"/>
    <w:rsid w:val="001D0D4D"/>
  </w:style>
  <w:style w:type="character" w:styleId="EndnoteReference">
    <w:name w:val="endnote reference"/>
    <w:basedOn w:val="DefaultParagraphFont"/>
    <w:rsid w:val="001D0D4D"/>
    <w:rPr>
      <w:vertAlign w:val="superscript"/>
    </w:rPr>
  </w:style>
  <w:style w:type="paragraph" w:styleId="Revision">
    <w:name w:val="Revision"/>
    <w:hidden/>
    <w:uiPriority w:val="99"/>
    <w:semiHidden/>
    <w:rsid w:val="00A97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basedOn w:val="Normal"/>
    <w:link w:val="FootnoteTextChar2"/>
    <w:semiHidden/>
  </w:style>
  <w:style w:type="character" w:styleId="FootnoteReference">
    <w:name w:val="footnote reference"/>
    <w:aliases w:val="Style 12,(NECG) Footnote Reference,o,fr,Style 3,Appel note de bas de p,Style 124,Style 13"/>
    <w:uiPriority w:val="99"/>
    <w:semiHidden/>
    <w:rPr>
      <w:vertAlign w:val="superscript"/>
    </w:rPr>
  </w:style>
  <w:style w:type="character" w:styleId="PageNumber">
    <w:name w:val="page number"/>
    <w:basedOn w:val="DefaultParagraphFont"/>
  </w:style>
  <w:style w:type="character" w:customStyle="1" w:styleId="FootnoteTextChar1Char">
    <w:name w:val="Footnote Text Char1 Char"/>
    <w:aliases w:val="Footnote Text Char7 Char Char,Footnote Text Char4 Char1 Char Char,Footnote Text Char Char Char4 Char Char,Footnote Text Char7 Char Char Char Char Char,Footnote Text Char4 Char1 Char Char Char Char Char,rrfootnote Char,f Char"/>
    <w:rPr>
      <w:noProof w:val="0"/>
      <w:lang w:val="en-US"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Lucida Grande"/>
    </w:rPr>
  </w:style>
  <w:style w:type="character" w:customStyle="1" w:styleId="documentbody">
    <w:name w:val="documentbody"/>
    <w:basedOn w:val="DefaultParagraphFont"/>
  </w:style>
  <w:style w:type="paragraph" w:styleId="DocumentMap">
    <w:name w:val="Document Map"/>
    <w:basedOn w:val="Normal"/>
    <w:semiHidden/>
    <w:pPr>
      <w:shd w:val="clear" w:color="auto" w:fill="000080"/>
    </w:pPr>
    <w:rPr>
      <w:rFonts w:ascii="Tahoma" w:hAnsi="Tahoma" w:cs="Courier New"/>
    </w:rPr>
  </w:style>
  <w:style w:type="paragraph" w:styleId="BodyText">
    <w:name w:val="Body Text"/>
    <w:basedOn w:val="Normal"/>
    <w:pPr>
      <w:tabs>
        <w:tab w:val="left" w:pos="720"/>
        <w:tab w:val="left" w:pos="8460"/>
      </w:tabs>
      <w:ind w:right="900"/>
    </w:pPr>
    <w:rPr>
      <w:color w:val="000000"/>
      <w:spacing w:val="-1"/>
      <w:sz w:val="22"/>
    </w:rPr>
  </w:style>
  <w:style w:type="character" w:styleId="Hyperlink">
    <w:name w:val="Hyperlink"/>
    <w:rPr>
      <w:color w:val="0000FF"/>
      <w:u w:val="single"/>
    </w:rPr>
  </w:style>
  <w:style w:type="paragraph" w:customStyle="1" w:styleId="Blockquote">
    <w:name w:val="Blockquote"/>
    <w:basedOn w:val="Normal"/>
    <w:pPr>
      <w:autoSpaceDE w:val="0"/>
      <w:autoSpaceDN w:val="0"/>
      <w:adjustRightInd w:val="0"/>
      <w:spacing w:before="100" w:after="100"/>
      <w:ind w:left="360" w:right="360"/>
    </w:pPr>
    <w:rPr>
      <w:sz w:val="24"/>
      <w:szCs w:val="24"/>
    </w:rPr>
  </w:style>
  <w:style w:type="paragraph" w:styleId="BalloonText">
    <w:name w:val="Balloon Text"/>
    <w:basedOn w:val="Normal"/>
    <w:semiHidden/>
    <w:rPr>
      <w:rFonts w:ascii="Tahoma" w:hAnsi="Tahoma" w:cs="Tahoma"/>
      <w:sz w:val="16"/>
      <w:szCs w:val="16"/>
    </w:rPr>
  </w:style>
  <w:style w:type="character" w:customStyle="1" w:styleId="bestsection">
    <w:name w:val="bestsection"/>
    <w:basedOn w:val="DefaultParagraphFont"/>
  </w:style>
  <w:style w:type="character" w:customStyle="1" w:styleId="searchterm">
    <w:name w:val="searchterm"/>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customStyle="1" w:styleId="FootnoteTextChar2">
    <w:name w:val="Footnote Text Char2"/>
    <w:aliases w:val="Footnote Text Char1 Char1,Footnote Text Char7 Char Char1,Footnote Text Char4 Char1 Char Char1,Footnote Text Char Char Char4 Char Char1,Footnote Text Char7 Char Char Char Char Char1,Footnote Text Char4 Char1 Char Char Char Char Char1"/>
    <w:link w:val="FootnoteText"/>
    <w:locked/>
    <w:rsid w:val="00986855"/>
    <w:rPr>
      <w:lang w:val="en-US" w:eastAsia="en-US" w:bidi="ar-SA"/>
    </w:rPr>
  </w:style>
  <w:style w:type="character" w:customStyle="1" w:styleId="documentbody1">
    <w:name w:val="documentbody1"/>
    <w:rsid w:val="002024D2"/>
    <w:rPr>
      <w:rFonts w:ascii="Verdana" w:hAnsi="Verdana" w:hint="default"/>
      <w:sz w:val="19"/>
      <w:szCs w:val="19"/>
    </w:rPr>
  </w:style>
  <w:style w:type="character" w:customStyle="1" w:styleId="FootnoteTextChar2Char">
    <w:name w:val="Footnote Text Char2 Char"/>
    <w:aliases w:val="Footnote Text Char1 Char Char,Footnote Text Char Char Char Char,Footnote Text Char2 Char Char1 Char Char,Footnote Text Char1 Char1 Char Char1 Char Char,Footnote Text Char Char Char Char Char Char Char Char,Footnote Text Char Cha"/>
    <w:rsid w:val="00D54C63"/>
    <w:rPr>
      <w:lang w:val="en-US" w:eastAsia="en-US" w:bidi="ar-SA"/>
    </w:rPr>
  </w:style>
  <w:style w:type="character" w:customStyle="1" w:styleId="documentbody5">
    <w:name w:val="documentbody5"/>
    <w:rsid w:val="00CB22B5"/>
    <w:rPr>
      <w:rFonts w:ascii="Verdana" w:hAnsi="Verdana" w:hint="default"/>
      <w:sz w:val="19"/>
      <w:szCs w:val="19"/>
    </w:rPr>
  </w:style>
  <w:style w:type="character" w:customStyle="1" w:styleId="italics1">
    <w:name w:val="italics1"/>
    <w:rsid w:val="005654F9"/>
    <w:rPr>
      <w:i/>
      <w:iCs/>
    </w:rPr>
  </w:style>
  <w:style w:type="paragraph" w:customStyle="1" w:styleId="ParaNum">
    <w:name w:val="ParaNum"/>
    <w:basedOn w:val="Normal"/>
    <w:rsid w:val="003C67E9"/>
    <w:pPr>
      <w:widowControl w:val="0"/>
      <w:numPr>
        <w:numId w:val="3"/>
      </w:numPr>
      <w:tabs>
        <w:tab w:val="left" w:pos="1440"/>
      </w:tabs>
      <w:spacing w:after="220"/>
      <w:jc w:val="both"/>
    </w:pPr>
    <w:rPr>
      <w:snapToGrid w:val="0"/>
      <w:kern w:val="28"/>
      <w:sz w:val="22"/>
    </w:rPr>
  </w:style>
  <w:style w:type="character" w:styleId="FollowedHyperlink">
    <w:name w:val="FollowedHyperlink"/>
    <w:rsid w:val="005F4879"/>
    <w:rPr>
      <w:color w:val="800080"/>
      <w:u w:val="single"/>
    </w:rPr>
  </w:style>
  <w:style w:type="character" w:styleId="Emphasis">
    <w:name w:val="Emphasis"/>
    <w:uiPriority w:val="20"/>
    <w:qFormat/>
    <w:rsid w:val="00881C79"/>
    <w:rPr>
      <w:i/>
      <w:iCs/>
    </w:rPr>
  </w:style>
  <w:style w:type="character" w:customStyle="1" w:styleId="displayhltext">
    <w:name w:val="display_hl_text"/>
    <w:rsid w:val="009264F8"/>
  </w:style>
  <w:style w:type="character" w:styleId="Strong">
    <w:name w:val="Strong"/>
    <w:qFormat/>
    <w:rsid w:val="00A246F8"/>
    <w:rPr>
      <w:b/>
      <w:bCs/>
    </w:rPr>
  </w:style>
  <w:style w:type="character" w:customStyle="1" w:styleId="emphi">
    <w:name w:val="emphi"/>
    <w:rsid w:val="00F63D39"/>
  </w:style>
  <w:style w:type="character" w:customStyle="1" w:styleId="cohovertext">
    <w:name w:val="co_hovertext"/>
    <w:rsid w:val="001A1653"/>
  </w:style>
  <w:style w:type="character" w:customStyle="1" w:styleId="counderline">
    <w:name w:val="co_underline"/>
    <w:rsid w:val="00AA4D77"/>
  </w:style>
  <w:style w:type="character" w:customStyle="1" w:styleId="costarpage">
    <w:name w:val="co_starpage"/>
    <w:rsid w:val="00EC41C1"/>
  </w:style>
  <w:style w:type="character" w:customStyle="1" w:styleId="term1">
    <w:name w:val="term1"/>
    <w:rsid w:val="00690F17"/>
    <w:rPr>
      <w:b/>
      <w:bCs/>
    </w:rPr>
  </w:style>
  <w:style w:type="character" w:customStyle="1" w:styleId="displayhltextactive">
    <w:name w:val="display_hl_text_active"/>
    <w:basedOn w:val="DefaultParagraphFont"/>
    <w:rsid w:val="003F0E4A"/>
  </w:style>
  <w:style w:type="paragraph" w:styleId="EndnoteText">
    <w:name w:val="endnote text"/>
    <w:basedOn w:val="Normal"/>
    <w:link w:val="EndnoteTextChar"/>
    <w:rsid w:val="001D0D4D"/>
  </w:style>
  <w:style w:type="character" w:customStyle="1" w:styleId="EndnoteTextChar">
    <w:name w:val="Endnote Text Char"/>
    <w:basedOn w:val="DefaultParagraphFont"/>
    <w:link w:val="EndnoteText"/>
    <w:rsid w:val="001D0D4D"/>
  </w:style>
  <w:style w:type="character" w:styleId="EndnoteReference">
    <w:name w:val="endnote reference"/>
    <w:basedOn w:val="DefaultParagraphFont"/>
    <w:rsid w:val="001D0D4D"/>
    <w:rPr>
      <w:vertAlign w:val="superscript"/>
    </w:rPr>
  </w:style>
  <w:style w:type="paragraph" w:styleId="Revision">
    <w:name w:val="Revision"/>
    <w:hidden/>
    <w:uiPriority w:val="99"/>
    <w:semiHidden/>
    <w:rsid w:val="00A97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1815">
      <w:bodyDiv w:val="1"/>
      <w:marLeft w:val="0"/>
      <w:marRight w:val="0"/>
      <w:marTop w:val="0"/>
      <w:marBottom w:val="0"/>
      <w:divBdr>
        <w:top w:val="none" w:sz="0" w:space="0" w:color="auto"/>
        <w:left w:val="none" w:sz="0" w:space="0" w:color="auto"/>
        <w:bottom w:val="none" w:sz="0" w:space="0" w:color="auto"/>
        <w:right w:val="none" w:sz="0" w:space="0" w:color="auto"/>
      </w:divBdr>
      <w:divsChild>
        <w:div w:id="177698507">
          <w:marLeft w:val="0"/>
          <w:marRight w:val="0"/>
          <w:marTop w:val="0"/>
          <w:marBottom w:val="0"/>
          <w:divBdr>
            <w:top w:val="none" w:sz="0" w:space="0" w:color="auto"/>
            <w:left w:val="none" w:sz="0" w:space="0" w:color="auto"/>
            <w:bottom w:val="none" w:sz="0" w:space="0" w:color="auto"/>
            <w:right w:val="none" w:sz="0" w:space="0" w:color="auto"/>
          </w:divBdr>
        </w:div>
        <w:div w:id="211233986">
          <w:marLeft w:val="0"/>
          <w:marRight w:val="0"/>
          <w:marTop w:val="0"/>
          <w:marBottom w:val="0"/>
          <w:divBdr>
            <w:top w:val="none" w:sz="0" w:space="0" w:color="auto"/>
            <w:left w:val="none" w:sz="0" w:space="0" w:color="auto"/>
            <w:bottom w:val="none" w:sz="0" w:space="0" w:color="auto"/>
            <w:right w:val="none" w:sz="0" w:space="0" w:color="auto"/>
          </w:divBdr>
        </w:div>
        <w:div w:id="314920387">
          <w:marLeft w:val="0"/>
          <w:marRight w:val="0"/>
          <w:marTop w:val="0"/>
          <w:marBottom w:val="0"/>
          <w:divBdr>
            <w:top w:val="none" w:sz="0" w:space="0" w:color="auto"/>
            <w:left w:val="none" w:sz="0" w:space="0" w:color="auto"/>
            <w:bottom w:val="none" w:sz="0" w:space="0" w:color="auto"/>
            <w:right w:val="none" w:sz="0" w:space="0" w:color="auto"/>
          </w:divBdr>
        </w:div>
        <w:div w:id="663705844">
          <w:marLeft w:val="0"/>
          <w:marRight w:val="0"/>
          <w:marTop w:val="0"/>
          <w:marBottom w:val="0"/>
          <w:divBdr>
            <w:top w:val="none" w:sz="0" w:space="0" w:color="auto"/>
            <w:left w:val="none" w:sz="0" w:space="0" w:color="auto"/>
            <w:bottom w:val="none" w:sz="0" w:space="0" w:color="auto"/>
            <w:right w:val="none" w:sz="0" w:space="0" w:color="auto"/>
          </w:divBdr>
        </w:div>
        <w:div w:id="876236899">
          <w:marLeft w:val="0"/>
          <w:marRight w:val="0"/>
          <w:marTop w:val="0"/>
          <w:marBottom w:val="0"/>
          <w:divBdr>
            <w:top w:val="none" w:sz="0" w:space="0" w:color="auto"/>
            <w:left w:val="none" w:sz="0" w:space="0" w:color="auto"/>
            <w:bottom w:val="none" w:sz="0" w:space="0" w:color="auto"/>
            <w:right w:val="none" w:sz="0" w:space="0" w:color="auto"/>
          </w:divBdr>
        </w:div>
        <w:div w:id="890504599">
          <w:marLeft w:val="0"/>
          <w:marRight w:val="0"/>
          <w:marTop w:val="0"/>
          <w:marBottom w:val="0"/>
          <w:divBdr>
            <w:top w:val="none" w:sz="0" w:space="0" w:color="auto"/>
            <w:left w:val="none" w:sz="0" w:space="0" w:color="auto"/>
            <w:bottom w:val="none" w:sz="0" w:space="0" w:color="auto"/>
            <w:right w:val="none" w:sz="0" w:space="0" w:color="auto"/>
          </w:divBdr>
        </w:div>
        <w:div w:id="986130173">
          <w:marLeft w:val="0"/>
          <w:marRight w:val="0"/>
          <w:marTop w:val="0"/>
          <w:marBottom w:val="0"/>
          <w:divBdr>
            <w:top w:val="none" w:sz="0" w:space="0" w:color="auto"/>
            <w:left w:val="none" w:sz="0" w:space="0" w:color="auto"/>
            <w:bottom w:val="none" w:sz="0" w:space="0" w:color="auto"/>
            <w:right w:val="none" w:sz="0" w:space="0" w:color="auto"/>
          </w:divBdr>
        </w:div>
        <w:div w:id="1066031510">
          <w:marLeft w:val="0"/>
          <w:marRight w:val="0"/>
          <w:marTop w:val="0"/>
          <w:marBottom w:val="0"/>
          <w:divBdr>
            <w:top w:val="none" w:sz="0" w:space="0" w:color="auto"/>
            <w:left w:val="none" w:sz="0" w:space="0" w:color="auto"/>
            <w:bottom w:val="none" w:sz="0" w:space="0" w:color="auto"/>
            <w:right w:val="none" w:sz="0" w:space="0" w:color="auto"/>
          </w:divBdr>
        </w:div>
        <w:div w:id="1196772979">
          <w:marLeft w:val="0"/>
          <w:marRight w:val="0"/>
          <w:marTop w:val="0"/>
          <w:marBottom w:val="0"/>
          <w:divBdr>
            <w:top w:val="none" w:sz="0" w:space="0" w:color="auto"/>
            <w:left w:val="none" w:sz="0" w:space="0" w:color="auto"/>
            <w:bottom w:val="none" w:sz="0" w:space="0" w:color="auto"/>
            <w:right w:val="none" w:sz="0" w:space="0" w:color="auto"/>
          </w:divBdr>
        </w:div>
        <w:div w:id="1924023848">
          <w:marLeft w:val="0"/>
          <w:marRight w:val="0"/>
          <w:marTop w:val="0"/>
          <w:marBottom w:val="0"/>
          <w:divBdr>
            <w:top w:val="none" w:sz="0" w:space="0" w:color="auto"/>
            <w:left w:val="none" w:sz="0" w:space="0" w:color="auto"/>
            <w:bottom w:val="none" w:sz="0" w:space="0" w:color="auto"/>
            <w:right w:val="none" w:sz="0" w:space="0" w:color="auto"/>
          </w:divBdr>
        </w:div>
        <w:div w:id="1925912772">
          <w:marLeft w:val="0"/>
          <w:marRight w:val="0"/>
          <w:marTop w:val="0"/>
          <w:marBottom w:val="0"/>
          <w:divBdr>
            <w:top w:val="none" w:sz="0" w:space="0" w:color="auto"/>
            <w:left w:val="none" w:sz="0" w:space="0" w:color="auto"/>
            <w:bottom w:val="none" w:sz="0" w:space="0" w:color="auto"/>
            <w:right w:val="none" w:sz="0" w:space="0" w:color="auto"/>
          </w:divBdr>
        </w:div>
        <w:div w:id="2043046246">
          <w:marLeft w:val="0"/>
          <w:marRight w:val="0"/>
          <w:marTop w:val="0"/>
          <w:marBottom w:val="0"/>
          <w:divBdr>
            <w:top w:val="none" w:sz="0" w:space="0" w:color="auto"/>
            <w:left w:val="none" w:sz="0" w:space="0" w:color="auto"/>
            <w:bottom w:val="none" w:sz="0" w:space="0" w:color="auto"/>
            <w:right w:val="none" w:sz="0" w:space="0" w:color="auto"/>
          </w:divBdr>
        </w:div>
      </w:divsChild>
    </w:div>
    <w:div w:id="147745482">
      <w:bodyDiv w:val="1"/>
      <w:marLeft w:val="0"/>
      <w:marRight w:val="0"/>
      <w:marTop w:val="0"/>
      <w:marBottom w:val="0"/>
      <w:divBdr>
        <w:top w:val="none" w:sz="0" w:space="0" w:color="auto"/>
        <w:left w:val="none" w:sz="0" w:space="0" w:color="auto"/>
        <w:bottom w:val="none" w:sz="0" w:space="0" w:color="auto"/>
        <w:right w:val="none" w:sz="0" w:space="0" w:color="auto"/>
      </w:divBdr>
      <w:divsChild>
        <w:div w:id="1688478596">
          <w:marLeft w:val="0"/>
          <w:marRight w:val="0"/>
          <w:marTop w:val="0"/>
          <w:marBottom w:val="0"/>
          <w:divBdr>
            <w:top w:val="none" w:sz="0" w:space="0" w:color="auto"/>
            <w:left w:val="none" w:sz="0" w:space="0" w:color="auto"/>
            <w:bottom w:val="none" w:sz="0" w:space="0" w:color="auto"/>
            <w:right w:val="none" w:sz="0" w:space="0" w:color="auto"/>
          </w:divBdr>
          <w:divsChild>
            <w:div w:id="58703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550">
      <w:bodyDiv w:val="1"/>
      <w:marLeft w:val="0"/>
      <w:marRight w:val="0"/>
      <w:marTop w:val="0"/>
      <w:marBottom w:val="0"/>
      <w:divBdr>
        <w:top w:val="none" w:sz="0" w:space="0" w:color="auto"/>
        <w:left w:val="none" w:sz="0" w:space="0" w:color="auto"/>
        <w:bottom w:val="none" w:sz="0" w:space="0" w:color="auto"/>
        <w:right w:val="none" w:sz="0" w:space="0" w:color="auto"/>
      </w:divBdr>
      <w:divsChild>
        <w:div w:id="34165192">
          <w:marLeft w:val="0"/>
          <w:marRight w:val="0"/>
          <w:marTop w:val="0"/>
          <w:marBottom w:val="0"/>
          <w:divBdr>
            <w:top w:val="none" w:sz="0" w:space="0" w:color="auto"/>
            <w:left w:val="none" w:sz="0" w:space="0" w:color="auto"/>
            <w:bottom w:val="none" w:sz="0" w:space="0" w:color="auto"/>
            <w:right w:val="none" w:sz="0" w:space="0" w:color="auto"/>
          </w:divBdr>
          <w:divsChild>
            <w:div w:id="334966183">
              <w:marLeft w:val="0"/>
              <w:marRight w:val="0"/>
              <w:marTop w:val="0"/>
              <w:marBottom w:val="0"/>
              <w:divBdr>
                <w:top w:val="none" w:sz="0" w:space="0" w:color="auto"/>
                <w:left w:val="none" w:sz="0" w:space="0" w:color="auto"/>
                <w:bottom w:val="none" w:sz="0" w:space="0" w:color="auto"/>
                <w:right w:val="none" w:sz="0" w:space="0" w:color="auto"/>
              </w:divBdr>
            </w:div>
            <w:div w:id="523134679">
              <w:marLeft w:val="0"/>
              <w:marRight w:val="0"/>
              <w:marTop w:val="0"/>
              <w:marBottom w:val="0"/>
              <w:divBdr>
                <w:top w:val="none" w:sz="0" w:space="0" w:color="auto"/>
                <w:left w:val="none" w:sz="0" w:space="0" w:color="auto"/>
                <w:bottom w:val="none" w:sz="0" w:space="0" w:color="auto"/>
                <w:right w:val="none" w:sz="0" w:space="0" w:color="auto"/>
              </w:divBdr>
            </w:div>
            <w:div w:id="738601687">
              <w:marLeft w:val="0"/>
              <w:marRight w:val="0"/>
              <w:marTop w:val="0"/>
              <w:marBottom w:val="0"/>
              <w:divBdr>
                <w:top w:val="none" w:sz="0" w:space="0" w:color="auto"/>
                <w:left w:val="none" w:sz="0" w:space="0" w:color="auto"/>
                <w:bottom w:val="none" w:sz="0" w:space="0" w:color="auto"/>
                <w:right w:val="none" w:sz="0" w:space="0" w:color="auto"/>
              </w:divBdr>
            </w:div>
            <w:div w:id="1765567522">
              <w:marLeft w:val="0"/>
              <w:marRight w:val="0"/>
              <w:marTop w:val="0"/>
              <w:marBottom w:val="0"/>
              <w:divBdr>
                <w:top w:val="none" w:sz="0" w:space="0" w:color="auto"/>
                <w:left w:val="none" w:sz="0" w:space="0" w:color="auto"/>
                <w:bottom w:val="none" w:sz="0" w:space="0" w:color="auto"/>
                <w:right w:val="none" w:sz="0" w:space="0" w:color="auto"/>
              </w:divBdr>
            </w:div>
            <w:div w:id="18993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054049">
      <w:bodyDiv w:val="1"/>
      <w:marLeft w:val="0"/>
      <w:marRight w:val="0"/>
      <w:marTop w:val="0"/>
      <w:marBottom w:val="0"/>
      <w:divBdr>
        <w:top w:val="none" w:sz="0" w:space="0" w:color="auto"/>
        <w:left w:val="none" w:sz="0" w:space="0" w:color="auto"/>
        <w:bottom w:val="none" w:sz="0" w:space="0" w:color="auto"/>
        <w:right w:val="none" w:sz="0" w:space="0" w:color="auto"/>
      </w:divBdr>
      <w:divsChild>
        <w:div w:id="473641017">
          <w:marLeft w:val="0"/>
          <w:marRight w:val="0"/>
          <w:marTop w:val="0"/>
          <w:marBottom w:val="0"/>
          <w:divBdr>
            <w:top w:val="none" w:sz="0" w:space="0" w:color="auto"/>
            <w:left w:val="none" w:sz="0" w:space="0" w:color="auto"/>
            <w:bottom w:val="none" w:sz="0" w:space="0" w:color="auto"/>
            <w:right w:val="none" w:sz="0" w:space="0" w:color="auto"/>
          </w:divBdr>
        </w:div>
        <w:div w:id="648091073">
          <w:marLeft w:val="0"/>
          <w:marRight w:val="0"/>
          <w:marTop w:val="0"/>
          <w:marBottom w:val="0"/>
          <w:divBdr>
            <w:top w:val="none" w:sz="0" w:space="0" w:color="auto"/>
            <w:left w:val="none" w:sz="0" w:space="0" w:color="auto"/>
            <w:bottom w:val="none" w:sz="0" w:space="0" w:color="auto"/>
            <w:right w:val="none" w:sz="0" w:space="0" w:color="auto"/>
          </w:divBdr>
        </w:div>
      </w:divsChild>
    </w:div>
    <w:div w:id="319963104">
      <w:bodyDiv w:val="1"/>
      <w:marLeft w:val="0"/>
      <w:marRight w:val="0"/>
      <w:marTop w:val="0"/>
      <w:marBottom w:val="0"/>
      <w:divBdr>
        <w:top w:val="none" w:sz="0" w:space="0" w:color="auto"/>
        <w:left w:val="none" w:sz="0" w:space="0" w:color="auto"/>
        <w:bottom w:val="none" w:sz="0" w:space="0" w:color="auto"/>
        <w:right w:val="none" w:sz="0" w:space="0" w:color="auto"/>
      </w:divBdr>
    </w:div>
    <w:div w:id="399866236">
      <w:bodyDiv w:val="1"/>
      <w:marLeft w:val="0"/>
      <w:marRight w:val="0"/>
      <w:marTop w:val="0"/>
      <w:marBottom w:val="0"/>
      <w:divBdr>
        <w:top w:val="none" w:sz="0" w:space="0" w:color="auto"/>
        <w:left w:val="none" w:sz="0" w:space="0" w:color="auto"/>
        <w:bottom w:val="none" w:sz="0" w:space="0" w:color="auto"/>
        <w:right w:val="none" w:sz="0" w:space="0" w:color="auto"/>
      </w:divBdr>
      <w:divsChild>
        <w:div w:id="961570944">
          <w:marLeft w:val="0"/>
          <w:marRight w:val="0"/>
          <w:marTop w:val="0"/>
          <w:marBottom w:val="0"/>
          <w:divBdr>
            <w:top w:val="none" w:sz="0" w:space="0" w:color="auto"/>
            <w:left w:val="none" w:sz="0" w:space="0" w:color="auto"/>
            <w:bottom w:val="none" w:sz="0" w:space="0" w:color="auto"/>
            <w:right w:val="none" w:sz="0" w:space="0" w:color="auto"/>
          </w:divBdr>
        </w:div>
        <w:div w:id="1671518259">
          <w:marLeft w:val="0"/>
          <w:marRight w:val="0"/>
          <w:marTop w:val="0"/>
          <w:marBottom w:val="0"/>
          <w:divBdr>
            <w:top w:val="none" w:sz="0" w:space="0" w:color="auto"/>
            <w:left w:val="none" w:sz="0" w:space="0" w:color="auto"/>
            <w:bottom w:val="none" w:sz="0" w:space="0" w:color="auto"/>
            <w:right w:val="none" w:sz="0" w:space="0" w:color="auto"/>
          </w:divBdr>
        </w:div>
      </w:divsChild>
    </w:div>
    <w:div w:id="457845625">
      <w:bodyDiv w:val="1"/>
      <w:marLeft w:val="0"/>
      <w:marRight w:val="0"/>
      <w:marTop w:val="0"/>
      <w:marBottom w:val="0"/>
      <w:divBdr>
        <w:top w:val="none" w:sz="0" w:space="0" w:color="auto"/>
        <w:left w:val="none" w:sz="0" w:space="0" w:color="auto"/>
        <w:bottom w:val="none" w:sz="0" w:space="0" w:color="auto"/>
        <w:right w:val="none" w:sz="0" w:space="0" w:color="auto"/>
      </w:divBdr>
      <w:divsChild>
        <w:div w:id="1864980854">
          <w:marLeft w:val="0"/>
          <w:marRight w:val="0"/>
          <w:marTop w:val="0"/>
          <w:marBottom w:val="0"/>
          <w:divBdr>
            <w:top w:val="none" w:sz="0" w:space="0" w:color="auto"/>
            <w:left w:val="none" w:sz="0" w:space="0" w:color="auto"/>
            <w:bottom w:val="none" w:sz="0" w:space="0" w:color="auto"/>
            <w:right w:val="none" w:sz="0" w:space="0" w:color="auto"/>
          </w:divBdr>
          <w:divsChild>
            <w:div w:id="859123945">
              <w:marLeft w:val="0"/>
              <w:marRight w:val="0"/>
              <w:marTop w:val="0"/>
              <w:marBottom w:val="0"/>
              <w:divBdr>
                <w:top w:val="none" w:sz="0" w:space="0" w:color="auto"/>
                <w:left w:val="none" w:sz="0" w:space="0" w:color="auto"/>
                <w:bottom w:val="none" w:sz="0" w:space="0" w:color="auto"/>
                <w:right w:val="none" w:sz="0" w:space="0" w:color="auto"/>
              </w:divBdr>
              <w:divsChild>
                <w:div w:id="12700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54757">
      <w:bodyDiv w:val="1"/>
      <w:marLeft w:val="0"/>
      <w:marRight w:val="0"/>
      <w:marTop w:val="0"/>
      <w:marBottom w:val="0"/>
      <w:divBdr>
        <w:top w:val="none" w:sz="0" w:space="0" w:color="auto"/>
        <w:left w:val="none" w:sz="0" w:space="0" w:color="auto"/>
        <w:bottom w:val="none" w:sz="0" w:space="0" w:color="auto"/>
        <w:right w:val="none" w:sz="0" w:space="0" w:color="auto"/>
      </w:divBdr>
    </w:div>
    <w:div w:id="526407505">
      <w:bodyDiv w:val="1"/>
      <w:marLeft w:val="0"/>
      <w:marRight w:val="0"/>
      <w:marTop w:val="0"/>
      <w:marBottom w:val="0"/>
      <w:divBdr>
        <w:top w:val="none" w:sz="0" w:space="0" w:color="auto"/>
        <w:left w:val="none" w:sz="0" w:space="0" w:color="auto"/>
        <w:bottom w:val="none" w:sz="0" w:space="0" w:color="auto"/>
        <w:right w:val="none" w:sz="0" w:space="0" w:color="auto"/>
      </w:divBdr>
      <w:divsChild>
        <w:div w:id="242882204">
          <w:marLeft w:val="0"/>
          <w:marRight w:val="0"/>
          <w:marTop w:val="0"/>
          <w:marBottom w:val="0"/>
          <w:divBdr>
            <w:top w:val="none" w:sz="0" w:space="0" w:color="auto"/>
            <w:left w:val="none" w:sz="0" w:space="0" w:color="auto"/>
            <w:bottom w:val="none" w:sz="0" w:space="0" w:color="auto"/>
            <w:right w:val="none" w:sz="0" w:space="0" w:color="auto"/>
          </w:divBdr>
          <w:divsChild>
            <w:div w:id="763377732">
              <w:marLeft w:val="0"/>
              <w:marRight w:val="0"/>
              <w:marTop w:val="0"/>
              <w:marBottom w:val="0"/>
              <w:divBdr>
                <w:top w:val="none" w:sz="0" w:space="0" w:color="auto"/>
                <w:left w:val="none" w:sz="0" w:space="0" w:color="auto"/>
                <w:bottom w:val="none" w:sz="0" w:space="0" w:color="auto"/>
                <w:right w:val="none" w:sz="0" w:space="0" w:color="auto"/>
              </w:divBdr>
            </w:div>
          </w:divsChild>
        </w:div>
        <w:div w:id="622884933">
          <w:marLeft w:val="0"/>
          <w:marRight w:val="0"/>
          <w:marTop w:val="0"/>
          <w:marBottom w:val="0"/>
          <w:divBdr>
            <w:top w:val="none" w:sz="0" w:space="0" w:color="auto"/>
            <w:left w:val="none" w:sz="0" w:space="0" w:color="auto"/>
            <w:bottom w:val="none" w:sz="0" w:space="0" w:color="auto"/>
            <w:right w:val="none" w:sz="0" w:space="0" w:color="auto"/>
          </w:divBdr>
          <w:divsChild>
            <w:div w:id="195119700">
              <w:marLeft w:val="0"/>
              <w:marRight w:val="0"/>
              <w:marTop w:val="0"/>
              <w:marBottom w:val="0"/>
              <w:divBdr>
                <w:top w:val="none" w:sz="0" w:space="0" w:color="auto"/>
                <w:left w:val="none" w:sz="0" w:space="0" w:color="auto"/>
                <w:bottom w:val="none" w:sz="0" w:space="0" w:color="auto"/>
                <w:right w:val="none" w:sz="0" w:space="0" w:color="auto"/>
              </w:divBdr>
            </w:div>
          </w:divsChild>
        </w:div>
        <w:div w:id="967710671">
          <w:marLeft w:val="0"/>
          <w:marRight w:val="0"/>
          <w:marTop w:val="0"/>
          <w:marBottom w:val="0"/>
          <w:divBdr>
            <w:top w:val="none" w:sz="0" w:space="0" w:color="auto"/>
            <w:left w:val="none" w:sz="0" w:space="0" w:color="auto"/>
            <w:bottom w:val="none" w:sz="0" w:space="0" w:color="auto"/>
            <w:right w:val="none" w:sz="0" w:space="0" w:color="auto"/>
          </w:divBdr>
          <w:divsChild>
            <w:div w:id="1668169607">
              <w:marLeft w:val="0"/>
              <w:marRight w:val="0"/>
              <w:marTop w:val="0"/>
              <w:marBottom w:val="0"/>
              <w:divBdr>
                <w:top w:val="none" w:sz="0" w:space="0" w:color="auto"/>
                <w:left w:val="none" w:sz="0" w:space="0" w:color="auto"/>
                <w:bottom w:val="none" w:sz="0" w:space="0" w:color="auto"/>
                <w:right w:val="none" w:sz="0" w:space="0" w:color="auto"/>
              </w:divBdr>
            </w:div>
          </w:divsChild>
        </w:div>
        <w:div w:id="1080910535">
          <w:marLeft w:val="0"/>
          <w:marRight w:val="0"/>
          <w:marTop w:val="0"/>
          <w:marBottom w:val="0"/>
          <w:divBdr>
            <w:top w:val="none" w:sz="0" w:space="0" w:color="auto"/>
            <w:left w:val="none" w:sz="0" w:space="0" w:color="auto"/>
            <w:bottom w:val="none" w:sz="0" w:space="0" w:color="auto"/>
            <w:right w:val="none" w:sz="0" w:space="0" w:color="auto"/>
          </w:divBdr>
          <w:divsChild>
            <w:div w:id="17294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15642">
      <w:bodyDiv w:val="1"/>
      <w:marLeft w:val="0"/>
      <w:marRight w:val="0"/>
      <w:marTop w:val="0"/>
      <w:marBottom w:val="0"/>
      <w:divBdr>
        <w:top w:val="none" w:sz="0" w:space="0" w:color="auto"/>
        <w:left w:val="none" w:sz="0" w:space="0" w:color="auto"/>
        <w:bottom w:val="none" w:sz="0" w:space="0" w:color="auto"/>
        <w:right w:val="none" w:sz="0" w:space="0" w:color="auto"/>
      </w:divBdr>
      <w:divsChild>
        <w:div w:id="799108535">
          <w:marLeft w:val="0"/>
          <w:marRight w:val="0"/>
          <w:marTop w:val="0"/>
          <w:marBottom w:val="0"/>
          <w:divBdr>
            <w:top w:val="none" w:sz="0" w:space="0" w:color="auto"/>
            <w:left w:val="none" w:sz="0" w:space="0" w:color="auto"/>
            <w:bottom w:val="none" w:sz="0" w:space="0" w:color="auto"/>
            <w:right w:val="none" w:sz="0" w:space="0" w:color="auto"/>
          </w:divBdr>
        </w:div>
        <w:div w:id="1780680752">
          <w:marLeft w:val="0"/>
          <w:marRight w:val="0"/>
          <w:marTop w:val="0"/>
          <w:marBottom w:val="0"/>
          <w:divBdr>
            <w:top w:val="none" w:sz="0" w:space="0" w:color="auto"/>
            <w:left w:val="none" w:sz="0" w:space="0" w:color="auto"/>
            <w:bottom w:val="none" w:sz="0" w:space="0" w:color="auto"/>
            <w:right w:val="none" w:sz="0" w:space="0" w:color="auto"/>
          </w:divBdr>
        </w:div>
      </w:divsChild>
    </w:div>
    <w:div w:id="563294485">
      <w:bodyDiv w:val="1"/>
      <w:marLeft w:val="0"/>
      <w:marRight w:val="0"/>
      <w:marTop w:val="0"/>
      <w:marBottom w:val="0"/>
      <w:divBdr>
        <w:top w:val="none" w:sz="0" w:space="0" w:color="auto"/>
        <w:left w:val="none" w:sz="0" w:space="0" w:color="auto"/>
        <w:bottom w:val="none" w:sz="0" w:space="0" w:color="auto"/>
        <w:right w:val="none" w:sz="0" w:space="0" w:color="auto"/>
      </w:divBdr>
    </w:div>
    <w:div w:id="730078988">
      <w:bodyDiv w:val="1"/>
      <w:marLeft w:val="0"/>
      <w:marRight w:val="0"/>
      <w:marTop w:val="0"/>
      <w:marBottom w:val="0"/>
      <w:divBdr>
        <w:top w:val="none" w:sz="0" w:space="0" w:color="auto"/>
        <w:left w:val="none" w:sz="0" w:space="0" w:color="auto"/>
        <w:bottom w:val="none" w:sz="0" w:space="0" w:color="auto"/>
        <w:right w:val="none" w:sz="0" w:space="0" w:color="auto"/>
      </w:divBdr>
      <w:divsChild>
        <w:div w:id="1396078531">
          <w:marLeft w:val="0"/>
          <w:marRight w:val="0"/>
          <w:marTop w:val="0"/>
          <w:marBottom w:val="0"/>
          <w:divBdr>
            <w:top w:val="none" w:sz="0" w:space="0" w:color="auto"/>
            <w:left w:val="none" w:sz="0" w:space="0" w:color="auto"/>
            <w:bottom w:val="none" w:sz="0" w:space="0" w:color="auto"/>
            <w:right w:val="none" w:sz="0" w:space="0" w:color="auto"/>
          </w:divBdr>
          <w:divsChild>
            <w:div w:id="696472180">
              <w:marLeft w:val="0"/>
              <w:marRight w:val="0"/>
              <w:marTop w:val="0"/>
              <w:marBottom w:val="0"/>
              <w:divBdr>
                <w:top w:val="none" w:sz="0" w:space="0" w:color="auto"/>
                <w:left w:val="none" w:sz="0" w:space="0" w:color="auto"/>
                <w:bottom w:val="none" w:sz="0" w:space="0" w:color="auto"/>
                <w:right w:val="none" w:sz="0" w:space="0" w:color="auto"/>
              </w:divBdr>
              <w:divsChild>
                <w:div w:id="8625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386975">
      <w:bodyDiv w:val="1"/>
      <w:marLeft w:val="0"/>
      <w:marRight w:val="0"/>
      <w:marTop w:val="0"/>
      <w:marBottom w:val="0"/>
      <w:divBdr>
        <w:top w:val="none" w:sz="0" w:space="0" w:color="auto"/>
        <w:left w:val="none" w:sz="0" w:space="0" w:color="auto"/>
        <w:bottom w:val="none" w:sz="0" w:space="0" w:color="auto"/>
        <w:right w:val="none" w:sz="0" w:space="0" w:color="auto"/>
      </w:divBdr>
    </w:div>
    <w:div w:id="991564601">
      <w:bodyDiv w:val="1"/>
      <w:marLeft w:val="0"/>
      <w:marRight w:val="0"/>
      <w:marTop w:val="0"/>
      <w:marBottom w:val="0"/>
      <w:divBdr>
        <w:top w:val="none" w:sz="0" w:space="0" w:color="auto"/>
        <w:left w:val="none" w:sz="0" w:space="0" w:color="auto"/>
        <w:bottom w:val="none" w:sz="0" w:space="0" w:color="auto"/>
        <w:right w:val="none" w:sz="0" w:space="0" w:color="auto"/>
      </w:divBdr>
      <w:divsChild>
        <w:div w:id="2038508695">
          <w:marLeft w:val="0"/>
          <w:marRight w:val="0"/>
          <w:marTop w:val="0"/>
          <w:marBottom w:val="0"/>
          <w:divBdr>
            <w:top w:val="none" w:sz="0" w:space="0" w:color="auto"/>
            <w:left w:val="none" w:sz="0" w:space="0" w:color="auto"/>
            <w:bottom w:val="none" w:sz="0" w:space="0" w:color="auto"/>
            <w:right w:val="none" w:sz="0" w:space="0" w:color="auto"/>
          </w:divBdr>
          <w:divsChild>
            <w:div w:id="17498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5887">
      <w:bodyDiv w:val="1"/>
      <w:marLeft w:val="0"/>
      <w:marRight w:val="0"/>
      <w:marTop w:val="0"/>
      <w:marBottom w:val="0"/>
      <w:divBdr>
        <w:top w:val="none" w:sz="0" w:space="0" w:color="auto"/>
        <w:left w:val="none" w:sz="0" w:space="0" w:color="auto"/>
        <w:bottom w:val="none" w:sz="0" w:space="0" w:color="auto"/>
        <w:right w:val="none" w:sz="0" w:space="0" w:color="auto"/>
      </w:divBdr>
    </w:div>
    <w:div w:id="1143618556">
      <w:bodyDiv w:val="1"/>
      <w:marLeft w:val="0"/>
      <w:marRight w:val="0"/>
      <w:marTop w:val="0"/>
      <w:marBottom w:val="0"/>
      <w:divBdr>
        <w:top w:val="none" w:sz="0" w:space="0" w:color="auto"/>
        <w:left w:val="none" w:sz="0" w:space="0" w:color="auto"/>
        <w:bottom w:val="none" w:sz="0" w:space="0" w:color="auto"/>
        <w:right w:val="none" w:sz="0" w:space="0" w:color="auto"/>
      </w:divBdr>
    </w:div>
    <w:div w:id="1217812443">
      <w:bodyDiv w:val="1"/>
      <w:marLeft w:val="0"/>
      <w:marRight w:val="0"/>
      <w:marTop w:val="0"/>
      <w:marBottom w:val="0"/>
      <w:divBdr>
        <w:top w:val="none" w:sz="0" w:space="0" w:color="auto"/>
        <w:left w:val="none" w:sz="0" w:space="0" w:color="auto"/>
        <w:bottom w:val="none" w:sz="0" w:space="0" w:color="auto"/>
        <w:right w:val="none" w:sz="0" w:space="0" w:color="auto"/>
      </w:divBdr>
      <w:divsChild>
        <w:div w:id="632712218">
          <w:marLeft w:val="0"/>
          <w:marRight w:val="0"/>
          <w:marTop w:val="0"/>
          <w:marBottom w:val="0"/>
          <w:divBdr>
            <w:top w:val="none" w:sz="0" w:space="0" w:color="auto"/>
            <w:left w:val="none" w:sz="0" w:space="0" w:color="auto"/>
            <w:bottom w:val="none" w:sz="0" w:space="0" w:color="auto"/>
            <w:right w:val="none" w:sz="0" w:space="0" w:color="auto"/>
          </w:divBdr>
        </w:div>
        <w:div w:id="1402218336">
          <w:marLeft w:val="0"/>
          <w:marRight w:val="0"/>
          <w:marTop w:val="0"/>
          <w:marBottom w:val="0"/>
          <w:divBdr>
            <w:top w:val="none" w:sz="0" w:space="0" w:color="auto"/>
            <w:left w:val="none" w:sz="0" w:space="0" w:color="auto"/>
            <w:bottom w:val="none" w:sz="0" w:space="0" w:color="auto"/>
            <w:right w:val="none" w:sz="0" w:space="0" w:color="auto"/>
          </w:divBdr>
        </w:div>
      </w:divsChild>
    </w:div>
    <w:div w:id="1302878793">
      <w:bodyDiv w:val="1"/>
      <w:marLeft w:val="0"/>
      <w:marRight w:val="0"/>
      <w:marTop w:val="0"/>
      <w:marBottom w:val="0"/>
      <w:divBdr>
        <w:top w:val="none" w:sz="0" w:space="0" w:color="auto"/>
        <w:left w:val="none" w:sz="0" w:space="0" w:color="auto"/>
        <w:bottom w:val="none" w:sz="0" w:space="0" w:color="auto"/>
        <w:right w:val="none" w:sz="0" w:space="0" w:color="auto"/>
      </w:divBdr>
      <w:divsChild>
        <w:div w:id="307366491">
          <w:marLeft w:val="0"/>
          <w:marRight w:val="0"/>
          <w:marTop w:val="0"/>
          <w:marBottom w:val="0"/>
          <w:divBdr>
            <w:top w:val="none" w:sz="0" w:space="0" w:color="auto"/>
            <w:left w:val="none" w:sz="0" w:space="0" w:color="auto"/>
            <w:bottom w:val="none" w:sz="0" w:space="0" w:color="auto"/>
            <w:right w:val="none" w:sz="0" w:space="0" w:color="auto"/>
          </w:divBdr>
          <w:divsChild>
            <w:div w:id="1375933181">
              <w:marLeft w:val="0"/>
              <w:marRight w:val="0"/>
              <w:marTop w:val="0"/>
              <w:marBottom w:val="0"/>
              <w:divBdr>
                <w:top w:val="none" w:sz="0" w:space="0" w:color="auto"/>
                <w:left w:val="none" w:sz="0" w:space="0" w:color="auto"/>
                <w:bottom w:val="none" w:sz="0" w:space="0" w:color="auto"/>
                <w:right w:val="none" w:sz="0" w:space="0" w:color="auto"/>
              </w:divBdr>
            </w:div>
          </w:divsChild>
        </w:div>
        <w:div w:id="1270041511">
          <w:marLeft w:val="0"/>
          <w:marRight w:val="0"/>
          <w:marTop w:val="0"/>
          <w:marBottom w:val="0"/>
          <w:divBdr>
            <w:top w:val="none" w:sz="0" w:space="0" w:color="auto"/>
            <w:left w:val="none" w:sz="0" w:space="0" w:color="auto"/>
            <w:bottom w:val="none" w:sz="0" w:space="0" w:color="auto"/>
            <w:right w:val="none" w:sz="0" w:space="0" w:color="auto"/>
          </w:divBdr>
        </w:div>
      </w:divsChild>
    </w:div>
    <w:div w:id="1468208207">
      <w:bodyDiv w:val="1"/>
      <w:marLeft w:val="0"/>
      <w:marRight w:val="0"/>
      <w:marTop w:val="0"/>
      <w:marBottom w:val="0"/>
      <w:divBdr>
        <w:top w:val="none" w:sz="0" w:space="0" w:color="auto"/>
        <w:left w:val="none" w:sz="0" w:space="0" w:color="auto"/>
        <w:bottom w:val="none" w:sz="0" w:space="0" w:color="auto"/>
        <w:right w:val="none" w:sz="0" w:space="0" w:color="auto"/>
      </w:divBdr>
    </w:div>
    <w:div w:id="1609658621">
      <w:bodyDiv w:val="1"/>
      <w:marLeft w:val="0"/>
      <w:marRight w:val="0"/>
      <w:marTop w:val="0"/>
      <w:marBottom w:val="0"/>
      <w:divBdr>
        <w:top w:val="none" w:sz="0" w:space="0" w:color="auto"/>
        <w:left w:val="none" w:sz="0" w:space="0" w:color="auto"/>
        <w:bottom w:val="none" w:sz="0" w:space="0" w:color="auto"/>
        <w:right w:val="none" w:sz="0" w:space="0" w:color="auto"/>
      </w:divBdr>
      <w:divsChild>
        <w:div w:id="546070467">
          <w:marLeft w:val="0"/>
          <w:marRight w:val="0"/>
          <w:marTop w:val="0"/>
          <w:marBottom w:val="0"/>
          <w:divBdr>
            <w:top w:val="none" w:sz="0" w:space="0" w:color="auto"/>
            <w:left w:val="none" w:sz="0" w:space="0" w:color="auto"/>
            <w:bottom w:val="none" w:sz="0" w:space="0" w:color="auto"/>
            <w:right w:val="none" w:sz="0" w:space="0" w:color="auto"/>
          </w:divBdr>
          <w:divsChild>
            <w:div w:id="982005578">
              <w:marLeft w:val="0"/>
              <w:marRight w:val="0"/>
              <w:marTop w:val="0"/>
              <w:marBottom w:val="0"/>
              <w:divBdr>
                <w:top w:val="none" w:sz="0" w:space="0" w:color="auto"/>
                <w:left w:val="none" w:sz="0" w:space="0" w:color="auto"/>
                <w:bottom w:val="none" w:sz="0" w:space="0" w:color="auto"/>
                <w:right w:val="none" w:sz="0" w:space="0" w:color="auto"/>
              </w:divBdr>
              <w:divsChild>
                <w:div w:id="129482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467608">
      <w:bodyDiv w:val="1"/>
      <w:marLeft w:val="0"/>
      <w:marRight w:val="0"/>
      <w:marTop w:val="0"/>
      <w:marBottom w:val="0"/>
      <w:divBdr>
        <w:top w:val="none" w:sz="0" w:space="0" w:color="auto"/>
        <w:left w:val="none" w:sz="0" w:space="0" w:color="auto"/>
        <w:bottom w:val="none" w:sz="0" w:space="0" w:color="auto"/>
        <w:right w:val="none" w:sz="0" w:space="0" w:color="auto"/>
      </w:divBdr>
    </w:div>
    <w:div w:id="1830366094">
      <w:bodyDiv w:val="1"/>
      <w:marLeft w:val="30"/>
      <w:marRight w:val="30"/>
      <w:marTop w:val="30"/>
      <w:marBottom w:val="30"/>
      <w:divBdr>
        <w:top w:val="none" w:sz="0" w:space="0" w:color="auto"/>
        <w:left w:val="none" w:sz="0" w:space="0" w:color="auto"/>
        <w:bottom w:val="none" w:sz="0" w:space="0" w:color="auto"/>
        <w:right w:val="none" w:sz="0" w:space="0" w:color="auto"/>
      </w:divBdr>
      <w:divsChild>
        <w:div w:id="1516724787">
          <w:marLeft w:val="0"/>
          <w:marRight w:val="0"/>
          <w:marTop w:val="0"/>
          <w:marBottom w:val="0"/>
          <w:divBdr>
            <w:top w:val="none" w:sz="0" w:space="0" w:color="auto"/>
            <w:left w:val="none" w:sz="0" w:space="0" w:color="auto"/>
            <w:bottom w:val="none" w:sz="0" w:space="0" w:color="auto"/>
            <w:right w:val="none" w:sz="0" w:space="0" w:color="auto"/>
          </w:divBdr>
          <w:divsChild>
            <w:div w:id="1911184850">
              <w:marLeft w:val="45"/>
              <w:marRight w:val="45"/>
              <w:marTop w:val="45"/>
              <w:marBottom w:val="45"/>
              <w:divBdr>
                <w:top w:val="none" w:sz="0" w:space="0" w:color="auto"/>
                <w:left w:val="none" w:sz="0" w:space="0" w:color="auto"/>
                <w:bottom w:val="none" w:sz="0" w:space="0" w:color="auto"/>
                <w:right w:val="none" w:sz="0" w:space="0" w:color="auto"/>
              </w:divBdr>
              <w:divsChild>
                <w:div w:id="1940723189">
                  <w:marLeft w:val="0"/>
                  <w:marRight w:val="0"/>
                  <w:marTop w:val="0"/>
                  <w:marBottom w:val="0"/>
                  <w:divBdr>
                    <w:top w:val="none" w:sz="0" w:space="0" w:color="auto"/>
                    <w:left w:val="none" w:sz="0" w:space="0" w:color="auto"/>
                    <w:bottom w:val="none" w:sz="0" w:space="0" w:color="auto"/>
                    <w:right w:val="none" w:sz="0" w:space="0" w:color="auto"/>
                  </w:divBdr>
                  <w:divsChild>
                    <w:div w:id="2035225564">
                      <w:marLeft w:val="0"/>
                      <w:marRight w:val="0"/>
                      <w:marTop w:val="0"/>
                      <w:marBottom w:val="0"/>
                      <w:divBdr>
                        <w:top w:val="none" w:sz="0" w:space="0" w:color="auto"/>
                        <w:left w:val="none" w:sz="0" w:space="0" w:color="auto"/>
                        <w:bottom w:val="none" w:sz="0" w:space="0" w:color="auto"/>
                        <w:right w:val="none" w:sz="0" w:space="0" w:color="auto"/>
                      </w:divBdr>
                      <w:divsChild>
                        <w:div w:id="596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626758">
      <w:bodyDiv w:val="1"/>
      <w:marLeft w:val="0"/>
      <w:marRight w:val="0"/>
      <w:marTop w:val="0"/>
      <w:marBottom w:val="0"/>
      <w:divBdr>
        <w:top w:val="none" w:sz="0" w:space="0" w:color="auto"/>
        <w:left w:val="none" w:sz="0" w:space="0" w:color="auto"/>
        <w:bottom w:val="none" w:sz="0" w:space="0" w:color="auto"/>
        <w:right w:val="none" w:sz="0" w:space="0" w:color="auto"/>
      </w:divBdr>
      <w:divsChild>
        <w:div w:id="996306338">
          <w:marLeft w:val="0"/>
          <w:marRight w:val="0"/>
          <w:marTop w:val="0"/>
          <w:marBottom w:val="0"/>
          <w:divBdr>
            <w:top w:val="none" w:sz="0" w:space="0" w:color="auto"/>
            <w:left w:val="none" w:sz="0" w:space="0" w:color="auto"/>
            <w:bottom w:val="none" w:sz="0" w:space="0" w:color="auto"/>
            <w:right w:val="none" w:sz="0" w:space="0" w:color="auto"/>
          </w:divBdr>
          <w:divsChild>
            <w:div w:id="1832715589">
              <w:marLeft w:val="0"/>
              <w:marRight w:val="0"/>
              <w:marTop w:val="0"/>
              <w:marBottom w:val="0"/>
              <w:divBdr>
                <w:top w:val="none" w:sz="0" w:space="0" w:color="auto"/>
                <w:left w:val="none" w:sz="0" w:space="0" w:color="auto"/>
                <w:bottom w:val="none" w:sz="0" w:space="0" w:color="auto"/>
                <w:right w:val="none" w:sz="0" w:space="0" w:color="auto"/>
              </w:divBdr>
              <w:divsChild>
                <w:div w:id="753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6190">
      <w:bodyDiv w:val="1"/>
      <w:marLeft w:val="0"/>
      <w:marRight w:val="0"/>
      <w:marTop w:val="0"/>
      <w:marBottom w:val="0"/>
      <w:divBdr>
        <w:top w:val="none" w:sz="0" w:space="0" w:color="auto"/>
        <w:left w:val="none" w:sz="0" w:space="0" w:color="auto"/>
        <w:bottom w:val="none" w:sz="0" w:space="0" w:color="auto"/>
        <w:right w:val="none" w:sz="0" w:space="0" w:color="auto"/>
      </w:divBdr>
      <w:divsChild>
        <w:div w:id="1285502629">
          <w:marLeft w:val="0"/>
          <w:marRight w:val="0"/>
          <w:marTop w:val="0"/>
          <w:marBottom w:val="0"/>
          <w:divBdr>
            <w:top w:val="none" w:sz="0" w:space="0" w:color="auto"/>
            <w:left w:val="none" w:sz="0" w:space="0" w:color="auto"/>
            <w:bottom w:val="none" w:sz="0" w:space="0" w:color="auto"/>
            <w:right w:val="none" w:sz="0" w:space="0" w:color="auto"/>
          </w:divBdr>
        </w:div>
        <w:div w:id="2145466302">
          <w:marLeft w:val="0"/>
          <w:marRight w:val="0"/>
          <w:marTop w:val="0"/>
          <w:marBottom w:val="0"/>
          <w:divBdr>
            <w:top w:val="none" w:sz="0" w:space="0" w:color="auto"/>
            <w:left w:val="none" w:sz="0" w:space="0" w:color="auto"/>
            <w:bottom w:val="none" w:sz="0" w:space="0" w:color="auto"/>
            <w:right w:val="none" w:sz="0" w:space="0" w:color="auto"/>
          </w:divBdr>
          <w:divsChild>
            <w:div w:id="17688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02514">
      <w:bodyDiv w:val="1"/>
      <w:marLeft w:val="0"/>
      <w:marRight w:val="0"/>
      <w:marTop w:val="0"/>
      <w:marBottom w:val="0"/>
      <w:divBdr>
        <w:top w:val="none" w:sz="0" w:space="0" w:color="auto"/>
        <w:left w:val="none" w:sz="0" w:space="0" w:color="auto"/>
        <w:bottom w:val="none" w:sz="0" w:space="0" w:color="auto"/>
        <w:right w:val="none" w:sz="0" w:space="0" w:color="auto"/>
      </w:divBdr>
      <w:divsChild>
        <w:div w:id="1644895868">
          <w:marLeft w:val="0"/>
          <w:marRight w:val="0"/>
          <w:marTop w:val="0"/>
          <w:marBottom w:val="0"/>
          <w:divBdr>
            <w:top w:val="none" w:sz="0" w:space="0" w:color="auto"/>
            <w:left w:val="none" w:sz="0" w:space="0" w:color="auto"/>
            <w:bottom w:val="none" w:sz="0" w:space="0" w:color="auto"/>
            <w:right w:val="none" w:sz="0" w:space="0" w:color="auto"/>
          </w:divBdr>
          <w:divsChild>
            <w:div w:id="145558288">
              <w:marLeft w:val="0"/>
              <w:marRight w:val="0"/>
              <w:marTop w:val="0"/>
              <w:marBottom w:val="0"/>
              <w:divBdr>
                <w:top w:val="none" w:sz="0" w:space="0" w:color="auto"/>
                <w:left w:val="none" w:sz="0" w:space="0" w:color="auto"/>
                <w:bottom w:val="none" w:sz="0" w:space="0" w:color="auto"/>
                <w:right w:val="none" w:sz="0" w:space="0" w:color="auto"/>
              </w:divBdr>
              <w:divsChild>
                <w:div w:id="18938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716316">
      <w:bodyDiv w:val="1"/>
      <w:marLeft w:val="0"/>
      <w:marRight w:val="0"/>
      <w:marTop w:val="0"/>
      <w:marBottom w:val="0"/>
      <w:divBdr>
        <w:top w:val="none" w:sz="0" w:space="0" w:color="auto"/>
        <w:left w:val="none" w:sz="0" w:space="0" w:color="auto"/>
        <w:bottom w:val="none" w:sz="0" w:space="0" w:color="auto"/>
        <w:right w:val="none" w:sz="0" w:space="0" w:color="auto"/>
      </w:divBdr>
      <w:divsChild>
        <w:div w:id="15817515">
          <w:marLeft w:val="0"/>
          <w:marRight w:val="0"/>
          <w:marTop w:val="0"/>
          <w:marBottom w:val="0"/>
          <w:divBdr>
            <w:top w:val="none" w:sz="0" w:space="0" w:color="auto"/>
            <w:left w:val="none" w:sz="0" w:space="0" w:color="auto"/>
            <w:bottom w:val="none" w:sz="0" w:space="0" w:color="auto"/>
            <w:right w:val="none" w:sz="0" w:space="0" w:color="auto"/>
          </w:divBdr>
        </w:div>
        <w:div w:id="112865156">
          <w:marLeft w:val="0"/>
          <w:marRight w:val="0"/>
          <w:marTop w:val="0"/>
          <w:marBottom w:val="0"/>
          <w:divBdr>
            <w:top w:val="none" w:sz="0" w:space="0" w:color="auto"/>
            <w:left w:val="none" w:sz="0" w:space="0" w:color="auto"/>
            <w:bottom w:val="none" w:sz="0" w:space="0" w:color="auto"/>
            <w:right w:val="none" w:sz="0" w:space="0" w:color="auto"/>
          </w:divBdr>
        </w:div>
        <w:div w:id="201292209">
          <w:marLeft w:val="0"/>
          <w:marRight w:val="0"/>
          <w:marTop w:val="0"/>
          <w:marBottom w:val="0"/>
          <w:divBdr>
            <w:top w:val="none" w:sz="0" w:space="0" w:color="auto"/>
            <w:left w:val="none" w:sz="0" w:space="0" w:color="auto"/>
            <w:bottom w:val="none" w:sz="0" w:space="0" w:color="auto"/>
            <w:right w:val="none" w:sz="0" w:space="0" w:color="auto"/>
          </w:divBdr>
        </w:div>
        <w:div w:id="435635568">
          <w:marLeft w:val="0"/>
          <w:marRight w:val="0"/>
          <w:marTop w:val="0"/>
          <w:marBottom w:val="0"/>
          <w:divBdr>
            <w:top w:val="none" w:sz="0" w:space="0" w:color="auto"/>
            <w:left w:val="none" w:sz="0" w:space="0" w:color="auto"/>
            <w:bottom w:val="none" w:sz="0" w:space="0" w:color="auto"/>
            <w:right w:val="none" w:sz="0" w:space="0" w:color="auto"/>
          </w:divBdr>
        </w:div>
        <w:div w:id="496042199">
          <w:marLeft w:val="0"/>
          <w:marRight w:val="0"/>
          <w:marTop w:val="0"/>
          <w:marBottom w:val="0"/>
          <w:divBdr>
            <w:top w:val="none" w:sz="0" w:space="0" w:color="auto"/>
            <w:left w:val="none" w:sz="0" w:space="0" w:color="auto"/>
            <w:bottom w:val="none" w:sz="0" w:space="0" w:color="auto"/>
            <w:right w:val="none" w:sz="0" w:space="0" w:color="auto"/>
          </w:divBdr>
        </w:div>
        <w:div w:id="538662464">
          <w:marLeft w:val="0"/>
          <w:marRight w:val="0"/>
          <w:marTop w:val="0"/>
          <w:marBottom w:val="0"/>
          <w:divBdr>
            <w:top w:val="none" w:sz="0" w:space="0" w:color="auto"/>
            <w:left w:val="none" w:sz="0" w:space="0" w:color="auto"/>
            <w:bottom w:val="none" w:sz="0" w:space="0" w:color="auto"/>
            <w:right w:val="none" w:sz="0" w:space="0" w:color="auto"/>
          </w:divBdr>
        </w:div>
        <w:div w:id="727611750">
          <w:marLeft w:val="0"/>
          <w:marRight w:val="0"/>
          <w:marTop w:val="0"/>
          <w:marBottom w:val="0"/>
          <w:divBdr>
            <w:top w:val="none" w:sz="0" w:space="0" w:color="auto"/>
            <w:left w:val="none" w:sz="0" w:space="0" w:color="auto"/>
            <w:bottom w:val="none" w:sz="0" w:space="0" w:color="auto"/>
            <w:right w:val="none" w:sz="0" w:space="0" w:color="auto"/>
          </w:divBdr>
        </w:div>
        <w:div w:id="905458468">
          <w:marLeft w:val="0"/>
          <w:marRight w:val="0"/>
          <w:marTop w:val="0"/>
          <w:marBottom w:val="0"/>
          <w:divBdr>
            <w:top w:val="none" w:sz="0" w:space="0" w:color="auto"/>
            <w:left w:val="none" w:sz="0" w:space="0" w:color="auto"/>
            <w:bottom w:val="none" w:sz="0" w:space="0" w:color="auto"/>
            <w:right w:val="none" w:sz="0" w:space="0" w:color="auto"/>
          </w:divBdr>
        </w:div>
        <w:div w:id="1099452335">
          <w:marLeft w:val="0"/>
          <w:marRight w:val="0"/>
          <w:marTop w:val="0"/>
          <w:marBottom w:val="0"/>
          <w:divBdr>
            <w:top w:val="none" w:sz="0" w:space="0" w:color="auto"/>
            <w:left w:val="none" w:sz="0" w:space="0" w:color="auto"/>
            <w:bottom w:val="none" w:sz="0" w:space="0" w:color="auto"/>
            <w:right w:val="none" w:sz="0" w:space="0" w:color="auto"/>
          </w:divBdr>
        </w:div>
        <w:div w:id="1713994230">
          <w:marLeft w:val="0"/>
          <w:marRight w:val="0"/>
          <w:marTop w:val="0"/>
          <w:marBottom w:val="0"/>
          <w:divBdr>
            <w:top w:val="none" w:sz="0" w:space="0" w:color="auto"/>
            <w:left w:val="none" w:sz="0" w:space="0" w:color="auto"/>
            <w:bottom w:val="none" w:sz="0" w:space="0" w:color="auto"/>
            <w:right w:val="none" w:sz="0" w:space="0" w:color="auto"/>
          </w:divBdr>
        </w:div>
        <w:div w:id="2040354829">
          <w:marLeft w:val="0"/>
          <w:marRight w:val="0"/>
          <w:marTop w:val="0"/>
          <w:marBottom w:val="0"/>
          <w:divBdr>
            <w:top w:val="none" w:sz="0" w:space="0" w:color="auto"/>
            <w:left w:val="none" w:sz="0" w:space="0" w:color="auto"/>
            <w:bottom w:val="none" w:sz="0" w:space="0" w:color="auto"/>
            <w:right w:val="none" w:sz="0" w:space="0" w:color="auto"/>
          </w:divBdr>
        </w:div>
        <w:div w:id="206112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top.docjs.no_prev_doc_in_search_results()" TargetMode="External"/><Relationship Id="rId13" Type="http://schemas.openxmlformats.org/officeDocument/2006/relationships/hyperlink" Target="javascript:top.docjs.next_hit(2)"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javascript:top.docjs.prev_hit(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elecomlaw.bna.com/terc/display/split_display.adp?fedfid=85994540&amp;wsn=523278000&amp;vname=comrgdec&amp;searchid=27965144&amp;doctypeid=1&amp;type=court&amp;scm=1502&amp;pg=0" TargetMode="External"/><Relationship Id="rId5" Type="http://schemas.openxmlformats.org/officeDocument/2006/relationships/webSettings" Target="webSettings.xml"/><Relationship Id="rId15" Type="http://schemas.openxmlformats.org/officeDocument/2006/relationships/hyperlink" Target="javascript:top.docjs.next_hit(3)" TargetMode="External"/><Relationship Id="rId23" Type="http://schemas.openxmlformats.org/officeDocument/2006/relationships/theme" Target="theme/theme1.xml"/><Relationship Id="rId10" Type="http://schemas.openxmlformats.org/officeDocument/2006/relationships/hyperlink" Target="javascript:top.docjs.next_hit(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javascript:top.docjs.prev_hit(3)"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2758</Words>
  <Characters>15581</Characters>
  <Application>Microsoft Office Word</Application>
  <DocSecurity>0</DocSecurity>
  <Lines>216</Lines>
  <Paragraphs>50</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18568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2012-10-24T11:49:00Z</cp:lastPrinted>
  <dcterms:created xsi:type="dcterms:W3CDTF">2016-08-12T12:14:00Z</dcterms:created>
  <dcterms:modified xsi:type="dcterms:W3CDTF">2016-08-12T12:14:00Z</dcterms:modified>
  <cp:category> </cp:category>
  <cp:contentStatus> </cp:contentStatus>
</cp:coreProperties>
</file>