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E150" w14:textId="77777777" w:rsidR="0070043E" w:rsidRDefault="0070043E" w:rsidP="0070043E">
      <w:pPr>
        <w:widowControl/>
        <w:jc w:val="center"/>
        <w:rPr>
          <w:b/>
          <w:kern w:val="0"/>
          <w:szCs w:val="22"/>
        </w:rPr>
      </w:pPr>
      <w:bookmarkStart w:id="0" w:name="_GoBack"/>
      <w:bookmarkEnd w:id="0"/>
    </w:p>
    <w:p w14:paraId="66ADA7E8" w14:textId="77777777" w:rsidR="0070043E" w:rsidRPr="00790B4B" w:rsidRDefault="0070043E" w:rsidP="0070043E">
      <w:pPr>
        <w:widowControl/>
        <w:jc w:val="center"/>
        <w:rPr>
          <w:b/>
        </w:rPr>
      </w:pPr>
      <w:r w:rsidRPr="00790B4B">
        <w:rPr>
          <w:b/>
          <w:kern w:val="0"/>
          <w:szCs w:val="22"/>
        </w:rPr>
        <w:t>Before</w:t>
      </w:r>
      <w:r w:rsidRPr="00790B4B">
        <w:rPr>
          <w:b/>
        </w:rPr>
        <w:t xml:space="preserve"> the</w:t>
      </w:r>
    </w:p>
    <w:p w14:paraId="2F0F5410" w14:textId="77777777" w:rsidR="0070043E" w:rsidRPr="00790B4B" w:rsidRDefault="0070043E" w:rsidP="0070043E">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7A18A90C" w14:textId="77777777" w:rsidR="0070043E" w:rsidRPr="00790B4B" w:rsidRDefault="0070043E" w:rsidP="0070043E">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1F1A3D41" w14:textId="77777777" w:rsidR="0070043E" w:rsidRPr="00790B4B" w:rsidRDefault="0070043E" w:rsidP="0070043E">
      <w:pPr>
        <w:widowControl/>
      </w:pPr>
    </w:p>
    <w:tbl>
      <w:tblPr>
        <w:tblW w:w="0" w:type="auto"/>
        <w:tblLayout w:type="fixed"/>
        <w:tblLook w:val="0000" w:firstRow="0" w:lastRow="0" w:firstColumn="0" w:lastColumn="0" w:noHBand="0" w:noVBand="0"/>
      </w:tblPr>
      <w:tblGrid>
        <w:gridCol w:w="4698"/>
        <w:gridCol w:w="630"/>
        <w:gridCol w:w="4248"/>
      </w:tblGrid>
      <w:tr w:rsidR="0070043E" w:rsidRPr="00344C0B" w14:paraId="412CB38A" w14:textId="77777777" w:rsidTr="00FF67D7">
        <w:tc>
          <w:tcPr>
            <w:tcW w:w="4698" w:type="dxa"/>
          </w:tcPr>
          <w:p w14:paraId="4CAC9EE2" w14:textId="77777777" w:rsidR="0070043E" w:rsidRPr="00790B4B" w:rsidRDefault="0070043E" w:rsidP="00FF67D7">
            <w:pPr>
              <w:widowControl/>
              <w:suppressAutoHyphens/>
              <w:rPr>
                <w:spacing w:val="-2"/>
              </w:rPr>
            </w:pPr>
            <w:r w:rsidRPr="00790B4B">
              <w:rPr>
                <w:spacing w:val="-2"/>
              </w:rPr>
              <w:t>In the Matter of</w:t>
            </w:r>
          </w:p>
          <w:p w14:paraId="15582DC1" w14:textId="77777777" w:rsidR="0070043E" w:rsidRPr="00790B4B" w:rsidRDefault="0070043E" w:rsidP="00FF67D7">
            <w:pPr>
              <w:widowControl/>
              <w:suppressAutoHyphens/>
              <w:rPr>
                <w:spacing w:val="-2"/>
              </w:rPr>
            </w:pPr>
          </w:p>
          <w:p w14:paraId="72DFFCEF" w14:textId="77777777" w:rsidR="0070043E" w:rsidRDefault="0070043E" w:rsidP="00FF67D7">
            <w:pPr>
              <w:widowControl/>
              <w:suppressAutoHyphens/>
              <w:rPr>
                <w:spacing w:val="-2"/>
              </w:rPr>
            </w:pPr>
            <w:r>
              <w:rPr>
                <w:spacing w:val="-2"/>
              </w:rPr>
              <w:t>D.T.V., LLC</w:t>
            </w:r>
            <w:r w:rsidRPr="00344C0B">
              <w:rPr>
                <w:spacing w:val="-2"/>
              </w:rPr>
              <w:t xml:space="preserve"> </w:t>
            </w:r>
          </w:p>
          <w:p w14:paraId="15F74308" w14:textId="77777777" w:rsidR="0070043E" w:rsidRDefault="0070043E" w:rsidP="00FF67D7">
            <w:pPr>
              <w:widowControl/>
              <w:suppressAutoHyphens/>
              <w:rPr>
                <w:spacing w:val="-2"/>
              </w:rPr>
            </w:pPr>
          </w:p>
          <w:p w14:paraId="49D33417" w14:textId="77777777" w:rsidR="0070043E" w:rsidRPr="002A4C9C" w:rsidRDefault="0070043E" w:rsidP="00FF67D7">
            <w:pPr>
              <w:widowControl/>
              <w:suppressAutoHyphens/>
              <w:rPr>
                <w:spacing w:val="-2"/>
              </w:rPr>
            </w:pPr>
            <w:r w:rsidRPr="002A4C9C">
              <w:rPr>
                <w:spacing w:val="-2"/>
              </w:rPr>
              <w:t>Licensee of Station WPHA-CD</w:t>
            </w:r>
          </w:p>
          <w:p w14:paraId="46823A4F" w14:textId="77777777" w:rsidR="0070043E" w:rsidRPr="00344C0B" w:rsidRDefault="0070043E" w:rsidP="00FF67D7">
            <w:pPr>
              <w:widowControl/>
              <w:suppressAutoHyphens/>
              <w:rPr>
                <w:spacing w:val="-2"/>
              </w:rPr>
            </w:pPr>
            <w:r w:rsidRPr="002A4C9C">
              <w:rPr>
                <w:spacing w:val="-2"/>
              </w:rPr>
              <w:t>Philadelphia, Pennsylvania</w:t>
            </w:r>
          </w:p>
        </w:tc>
        <w:tc>
          <w:tcPr>
            <w:tcW w:w="630" w:type="dxa"/>
          </w:tcPr>
          <w:p w14:paraId="0D03CE61" w14:textId="77777777" w:rsidR="0070043E" w:rsidRPr="00344C0B" w:rsidRDefault="0070043E" w:rsidP="00FF67D7">
            <w:pPr>
              <w:widowControl/>
              <w:suppressAutoHyphens/>
              <w:rPr>
                <w:spacing w:val="-2"/>
              </w:rPr>
            </w:pPr>
            <w:r w:rsidRPr="00344C0B">
              <w:rPr>
                <w:spacing w:val="-2"/>
              </w:rPr>
              <w:t>)</w:t>
            </w:r>
          </w:p>
          <w:p w14:paraId="6611255F" w14:textId="77777777" w:rsidR="0070043E" w:rsidRPr="00344C0B" w:rsidRDefault="0070043E" w:rsidP="00FF67D7">
            <w:pPr>
              <w:widowControl/>
              <w:suppressAutoHyphens/>
              <w:rPr>
                <w:spacing w:val="-2"/>
              </w:rPr>
            </w:pPr>
            <w:r w:rsidRPr="00344C0B">
              <w:rPr>
                <w:spacing w:val="-2"/>
              </w:rPr>
              <w:t>)</w:t>
            </w:r>
          </w:p>
          <w:p w14:paraId="3AD387F3" w14:textId="77777777" w:rsidR="0070043E" w:rsidRPr="00344C0B" w:rsidRDefault="0070043E" w:rsidP="00FF67D7">
            <w:pPr>
              <w:widowControl/>
              <w:suppressAutoHyphens/>
              <w:rPr>
                <w:spacing w:val="-2"/>
              </w:rPr>
            </w:pPr>
            <w:r w:rsidRPr="00344C0B">
              <w:rPr>
                <w:spacing w:val="-2"/>
              </w:rPr>
              <w:t>)</w:t>
            </w:r>
          </w:p>
          <w:p w14:paraId="60135855" w14:textId="77777777" w:rsidR="0070043E" w:rsidRDefault="0070043E" w:rsidP="00FF67D7">
            <w:pPr>
              <w:widowControl/>
              <w:suppressAutoHyphens/>
              <w:rPr>
                <w:spacing w:val="-2"/>
              </w:rPr>
            </w:pPr>
            <w:r w:rsidRPr="00344C0B">
              <w:rPr>
                <w:spacing w:val="-2"/>
              </w:rPr>
              <w:t>)</w:t>
            </w:r>
          </w:p>
          <w:p w14:paraId="613093A9" w14:textId="77777777" w:rsidR="0070043E" w:rsidRPr="00344C0B" w:rsidRDefault="0070043E" w:rsidP="00FF67D7">
            <w:pPr>
              <w:widowControl/>
              <w:suppressAutoHyphens/>
              <w:rPr>
                <w:spacing w:val="-2"/>
              </w:rPr>
            </w:pPr>
            <w:r>
              <w:rPr>
                <w:spacing w:val="-2"/>
              </w:rPr>
              <w:t>)</w:t>
            </w:r>
          </w:p>
          <w:p w14:paraId="1F9DB1FB" w14:textId="77777777" w:rsidR="0070043E" w:rsidRPr="00344C0B" w:rsidRDefault="0070043E" w:rsidP="00FF67D7">
            <w:pPr>
              <w:widowControl/>
              <w:suppressAutoHyphens/>
              <w:rPr>
                <w:spacing w:val="-2"/>
              </w:rPr>
            </w:pPr>
            <w:r w:rsidRPr="00344C0B">
              <w:rPr>
                <w:spacing w:val="-2"/>
              </w:rPr>
              <w:t>)</w:t>
            </w:r>
          </w:p>
        </w:tc>
        <w:tc>
          <w:tcPr>
            <w:tcW w:w="4248" w:type="dxa"/>
          </w:tcPr>
          <w:p w14:paraId="7FC1C01F" w14:textId="77777777" w:rsidR="0070043E" w:rsidRPr="00344C0B" w:rsidRDefault="0070043E" w:rsidP="00FF67D7">
            <w:pPr>
              <w:widowControl/>
              <w:suppressAutoHyphens/>
              <w:rPr>
                <w:spacing w:val="-2"/>
              </w:rPr>
            </w:pPr>
          </w:p>
          <w:p w14:paraId="46F47294" w14:textId="77777777" w:rsidR="0070043E" w:rsidRPr="00344C0B" w:rsidRDefault="0070043E" w:rsidP="00FF67D7">
            <w:pPr>
              <w:widowControl/>
              <w:suppressAutoHyphens/>
              <w:rPr>
                <w:spacing w:val="-2"/>
              </w:rPr>
            </w:pPr>
          </w:p>
          <w:p w14:paraId="2ADC616C" w14:textId="77777777" w:rsidR="0070043E" w:rsidRPr="002A4C9C" w:rsidRDefault="0070043E" w:rsidP="00FF67D7">
            <w:pPr>
              <w:widowControl/>
              <w:suppressAutoHyphens/>
              <w:ind w:left="432"/>
              <w:rPr>
                <w:spacing w:val="-2"/>
              </w:rPr>
            </w:pPr>
            <w:r w:rsidRPr="002A4C9C">
              <w:rPr>
                <w:spacing w:val="-2"/>
              </w:rPr>
              <w:t>File No.:  EB-FIELDNER-13-00006557</w:t>
            </w:r>
          </w:p>
          <w:p w14:paraId="639234EA" w14:textId="77777777" w:rsidR="0070043E" w:rsidRPr="002A4C9C" w:rsidRDefault="0070043E" w:rsidP="00FF67D7">
            <w:pPr>
              <w:widowControl/>
              <w:suppressAutoHyphens/>
              <w:ind w:left="432"/>
              <w:rPr>
                <w:spacing w:val="-2"/>
              </w:rPr>
            </w:pPr>
            <w:r w:rsidRPr="002A4C9C">
              <w:rPr>
                <w:spacing w:val="-2"/>
              </w:rPr>
              <w:t>NAL/Acct. No.:  201432400003</w:t>
            </w:r>
          </w:p>
          <w:p w14:paraId="7B04D630" w14:textId="77777777" w:rsidR="0070043E" w:rsidRPr="002A4C9C" w:rsidRDefault="0070043E" w:rsidP="00FF67D7">
            <w:pPr>
              <w:widowControl/>
              <w:suppressAutoHyphens/>
              <w:ind w:left="432"/>
              <w:rPr>
                <w:spacing w:val="-2"/>
              </w:rPr>
            </w:pPr>
            <w:r w:rsidRPr="002A4C9C">
              <w:rPr>
                <w:spacing w:val="-2"/>
              </w:rPr>
              <w:t>FRN:  0013224662</w:t>
            </w:r>
          </w:p>
          <w:p w14:paraId="0399DFD5" w14:textId="77777777" w:rsidR="0070043E" w:rsidRPr="0007571D" w:rsidRDefault="0070043E" w:rsidP="00FF67D7">
            <w:pPr>
              <w:widowControl/>
              <w:suppressAutoHyphens/>
              <w:ind w:left="432"/>
              <w:rPr>
                <w:spacing w:val="-2"/>
              </w:rPr>
            </w:pPr>
            <w:r w:rsidRPr="002A4C9C">
              <w:rPr>
                <w:spacing w:val="-2"/>
              </w:rPr>
              <w:t>Facility ID No.:  72278</w:t>
            </w:r>
          </w:p>
        </w:tc>
      </w:tr>
    </w:tbl>
    <w:p w14:paraId="6AF081B5" w14:textId="77777777" w:rsidR="0070043E" w:rsidRPr="00344C0B" w:rsidRDefault="0070043E" w:rsidP="0070043E">
      <w:pPr>
        <w:widowControl/>
      </w:pPr>
    </w:p>
    <w:p w14:paraId="27ACEF05" w14:textId="77777777" w:rsidR="0070043E" w:rsidRPr="00344C0B" w:rsidRDefault="0070043E" w:rsidP="0070043E">
      <w:pPr>
        <w:pStyle w:val="StyleBoldCentered"/>
        <w:widowControl/>
        <w:spacing w:after="220"/>
      </w:pPr>
      <w:r>
        <w:t>MEMORANDUM OPINION AND ORDER</w:t>
      </w:r>
    </w:p>
    <w:p w14:paraId="305A6CCE" w14:textId="5F63CB4D" w:rsidR="0070043E" w:rsidRPr="0007571D" w:rsidRDefault="0070043E" w:rsidP="0070043E">
      <w:pPr>
        <w:widowControl/>
        <w:tabs>
          <w:tab w:val="right" w:pos="9360"/>
        </w:tabs>
        <w:suppressAutoHyphens/>
        <w:rPr>
          <w:spacing w:val="-2"/>
        </w:rPr>
      </w:pPr>
      <w:r w:rsidRPr="00344C0B">
        <w:rPr>
          <w:b/>
          <w:spacing w:val="-2"/>
        </w:rPr>
        <w:t xml:space="preserve">Adopted:  </w:t>
      </w:r>
      <w:r w:rsidR="00A8126C">
        <w:rPr>
          <w:b/>
          <w:spacing w:val="-2"/>
        </w:rPr>
        <w:t>August 1</w:t>
      </w:r>
      <w:r w:rsidR="00466585">
        <w:rPr>
          <w:b/>
          <w:spacing w:val="-2"/>
        </w:rPr>
        <w:t>6</w:t>
      </w:r>
      <w:r w:rsidR="00A8126C">
        <w:rPr>
          <w:b/>
          <w:spacing w:val="-2"/>
        </w:rPr>
        <w:t>, 2016</w:t>
      </w:r>
      <w:r w:rsidRPr="0007571D">
        <w:rPr>
          <w:b/>
          <w:spacing w:val="-2"/>
        </w:rPr>
        <w:tab/>
        <w:t xml:space="preserve">Released:  </w:t>
      </w:r>
      <w:r w:rsidR="00A8126C">
        <w:rPr>
          <w:b/>
          <w:spacing w:val="-2"/>
        </w:rPr>
        <w:t>August 1</w:t>
      </w:r>
      <w:r w:rsidR="00466585">
        <w:rPr>
          <w:b/>
          <w:spacing w:val="-2"/>
        </w:rPr>
        <w:t>6</w:t>
      </w:r>
      <w:r w:rsidR="00A8126C">
        <w:rPr>
          <w:b/>
          <w:spacing w:val="-2"/>
        </w:rPr>
        <w:t>, 2016</w:t>
      </w:r>
    </w:p>
    <w:p w14:paraId="180CFA72" w14:textId="77777777" w:rsidR="0070043E" w:rsidRPr="00344C0B" w:rsidRDefault="0070043E" w:rsidP="0070043E">
      <w:pPr>
        <w:widowControl/>
        <w:jc w:val="center"/>
      </w:pPr>
    </w:p>
    <w:p w14:paraId="44F0B890" w14:textId="7F943B61" w:rsidR="0070043E" w:rsidRPr="00344C0B" w:rsidRDefault="0070043E" w:rsidP="0070043E">
      <w:pPr>
        <w:widowControl/>
        <w:rPr>
          <w:spacing w:val="-2"/>
        </w:rPr>
      </w:pPr>
      <w:r w:rsidRPr="00344C0B">
        <w:t xml:space="preserve">By the </w:t>
      </w:r>
      <w:r w:rsidR="00C17A00">
        <w:rPr>
          <w:spacing w:val="-2"/>
        </w:rPr>
        <w:t xml:space="preserve">Chief, Enforcement Bureau: </w:t>
      </w:r>
    </w:p>
    <w:p w14:paraId="61E53B49" w14:textId="77777777" w:rsidR="0070043E" w:rsidRPr="00344C0B" w:rsidRDefault="0070043E" w:rsidP="0070043E">
      <w:pPr>
        <w:widowControl/>
        <w:rPr>
          <w:spacing w:val="-2"/>
        </w:rPr>
      </w:pPr>
    </w:p>
    <w:p w14:paraId="32204A98" w14:textId="77777777" w:rsidR="0070043E" w:rsidRPr="0070043E" w:rsidRDefault="0070043E" w:rsidP="0070043E">
      <w:pPr>
        <w:pStyle w:val="Heading1"/>
      </w:pPr>
      <w:bookmarkStart w:id="1" w:name="_Toc379288998"/>
      <w:bookmarkStart w:id="2" w:name="_Toc379365499"/>
      <w:r w:rsidRPr="00344C0B">
        <w:t>INTRODUCTION</w:t>
      </w:r>
      <w:bookmarkEnd w:id="1"/>
      <w:bookmarkEnd w:id="2"/>
    </w:p>
    <w:p w14:paraId="1BDA725A" w14:textId="71031C6A" w:rsidR="0070043E" w:rsidRPr="0070043E" w:rsidRDefault="0070043E" w:rsidP="003A7D6A">
      <w:pPr>
        <w:pStyle w:val="ParaNum"/>
        <w:numPr>
          <w:ilvl w:val="0"/>
          <w:numId w:val="4"/>
        </w:numPr>
        <w:tabs>
          <w:tab w:val="clear" w:pos="1710"/>
        </w:tabs>
        <w:ind w:left="0"/>
        <w:rPr>
          <w:szCs w:val="22"/>
        </w:rPr>
      </w:pPr>
      <w:r w:rsidRPr="007A15F5">
        <w:rPr>
          <w:szCs w:val="22"/>
        </w:rPr>
        <w:t xml:space="preserve">We </w:t>
      </w:r>
      <w:r w:rsidR="00C17A00">
        <w:rPr>
          <w:szCs w:val="22"/>
        </w:rPr>
        <w:t xml:space="preserve">dismiss </w:t>
      </w:r>
      <w:r w:rsidRPr="007A15F5">
        <w:rPr>
          <w:szCs w:val="22"/>
        </w:rPr>
        <w:t xml:space="preserve">the Petition for Reconsideration filed by D.T.V., LLC (D.T.V.), licensee of Class A Television Station WPHA-CD (Station WPHA or the Station) in Philadelphia, Pennsylvania, seeking reconsideration of the </w:t>
      </w:r>
      <w:r w:rsidRPr="0086185E">
        <w:rPr>
          <w:i/>
          <w:szCs w:val="22"/>
        </w:rPr>
        <w:t>Forfeiture Order</w:t>
      </w:r>
      <w:r w:rsidRPr="007A15F5">
        <w:rPr>
          <w:szCs w:val="22"/>
        </w:rPr>
        <w:t xml:space="preserve"> issued by the Commission</w:t>
      </w:r>
      <w:r w:rsidR="00D1081A" w:rsidRPr="007A15F5">
        <w:rPr>
          <w:szCs w:val="22"/>
        </w:rPr>
        <w:t>.</w:t>
      </w:r>
      <w:r w:rsidR="00D1081A" w:rsidRPr="006A1C48">
        <w:rPr>
          <w:rStyle w:val="FootnoteReference"/>
        </w:rPr>
        <w:footnoteReference w:id="1"/>
      </w:r>
      <w:r w:rsidR="00D1081A" w:rsidRPr="006A1C48">
        <w:rPr>
          <w:rStyle w:val="FootnoteReference"/>
        </w:rPr>
        <w:t xml:space="preserve"> </w:t>
      </w:r>
      <w:r w:rsidRPr="007A15F5">
        <w:rPr>
          <w:szCs w:val="22"/>
        </w:rPr>
        <w:t xml:space="preserve"> </w:t>
      </w:r>
      <w:r w:rsidR="00D1081A" w:rsidRPr="007A15F5">
        <w:rPr>
          <w:szCs w:val="22"/>
        </w:rPr>
        <w:t xml:space="preserve">Among other things, </w:t>
      </w:r>
      <w:r w:rsidR="00C17A00">
        <w:rPr>
          <w:szCs w:val="22"/>
        </w:rPr>
        <w:t>the Commission</w:t>
      </w:r>
      <w:r w:rsidR="00D1081A" w:rsidRPr="007A15F5">
        <w:rPr>
          <w:szCs w:val="22"/>
        </w:rPr>
        <w:t xml:space="preserve"> concluded in the </w:t>
      </w:r>
      <w:r w:rsidR="00D1081A" w:rsidRPr="0086185E">
        <w:rPr>
          <w:i/>
          <w:szCs w:val="22"/>
        </w:rPr>
        <w:t>Forfeiture</w:t>
      </w:r>
      <w:r w:rsidR="00D1081A" w:rsidRPr="007A15F5">
        <w:rPr>
          <w:szCs w:val="22"/>
        </w:rPr>
        <w:t xml:space="preserve"> </w:t>
      </w:r>
      <w:r w:rsidR="00D1081A" w:rsidRPr="0086185E">
        <w:rPr>
          <w:i/>
          <w:szCs w:val="22"/>
        </w:rPr>
        <w:t>Order</w:t>
      </w:r>
      <w:r w:rsidR="00D1081A" w:rsidRPr="007A15F5">
        <w:rPr>
          <w:szCs w:val="22"/>
        </w:rPr>
        <w:t xml:space="preserve"> that </w:t>
      </w:r>
      <w:r w:rsidRPr="007A15F5">
        <w:rPr>
          <w:szCs w:val="22"/>
        </w:rPr>
        <w:t xml:space="preserve">D.T.V. </w:t>
      </w:r>
      <w:r w:rsidR="00D1081A" w:rsidRPr="007A15F5">
        <w:rPr>
          <w:szCs w:val="22"/>
        </w:rPr>
        <w:t xml:space="preserve">did not provide adequate justification </w:t>
      </w:r>
      <w:r w:rsidR="00D24BDD">
        <w:rPr>
          <w:szCs w:val="22"/>
        </w:rPr>
        <w:t xml:space="preserve">that </w:t>
      </w:r>
      <w:r w:rsidRPr="007A15F5">
        <w:rPr>
          <w:szCs w:val="22"/>
        </w:rPr>
        <w:t xml:space="preserve">a downward adjustment to the forfeiture amount was warranted based on </w:t>
      </w:r>
      <w:r w:rsidR="00D1081A" w:rsidRPr="007A15F5">
        <w:rPr>
          <w:szCs w:val="22"/>
        </w:rPr>
        <w:t xml:space="preserve">an </w:t>
      </w:r>
      <w:r w:rsidRPr="007A15F5">
        <w:rPr>
          <w:szCs w:val="22"/>
        </w:rPr>
        <w:t>inability to pay.</w:t>
      </w:r>
      <w:r w:rsidRPr="006A1C48">
        <w:rPr>
          <w:rStyle w:val="FootnoteReference"/>
        </w:rPr>
        <w:footnoteReference w:id="2"/>
      </w:r>
      <w:r w:rsidR="00C17A00">
        <w:rPr>
          <w:szCs w:val="22"/>
        </w:rPr>
        <w:t xml:space="preserve">  The Commission also found that, even if D.T.V. had </w:t>
      </w:r>
      <w:r w:rsidR="0004542D">
        <w:rPr>
          <w:szCs w:val="22"/>
        </w:rPr>
        <w:t xml:space="preserve">demonstrated </w:t>
      </w:r>
      <w:r w:rsidR="00C17A00">
        <w:rPr>
          <w:szCs w:val="22"/>
        </w:rPr>
        <w:t xml:space="preserve">its </w:t>
      </w:r>
      <w:r w:rsidR="0004542D">
        <w:rPr>
          <w:szCs w:val="22"/>
        </w:rPr>
        <w:t>in</w:t>
      </w:r>
      <w:r w:rsidR="00C17A00">
        <w:rPr>
          <w:szCs w:val="22"/>
        </w:rPr>
        <w:t xml:space="preserve">ability to pay the forfeiture amount, </w:t>
      </w:r>
      <w:r w:rsidR="00C75284">
        <w:rPr>
          <w:szCs w:val="22"/>
        </w:rPr>
        <w:t>the gravity of D.T.V.’s violations would militate against any reduction of the forfeiture.</w:t>
      </w:r>
      <w:r w:rsidR="00C75284">
        <w:rPr>
          <w:rStyle w:val="FootnoteReference"/>
          <w:szCs w:val="22"/>
        </w:rPr>
        <w:footnoteReference w:id="3"/>
      </w:r>
      <w:r w:rsidRPr="006A1C48">
        <w:rPr>
          <w:rStyle w:val="FootnoteReference"/>
        </w:rPr>
        <w:t xml:space="preserve"> </w:t>
      </w:r>
      <w:r w:rsidRPr="007A15F5">
        <w:rPr>
          <w:szCs w:val="22"/>
        </w:rPr>
        <w:t xml:space="preserve"> </w:t>
      </w:r>
      <w:r w:rsidR="00D24BDD">
        <w:rPr>
          <w:szCs w:val="22"/>
        </w:rPr>
        <w:t xml:space="preserve"> </w:t>
      </w:r>
      <w:r w:rsidRPr="007A15F5">
        <w:rPr>
          <w:szCs w:val="22"/>
        </w:rPr>
        <w:t xml:space="preserve">D.T.V. now seeks reconsideration of the decision </w:t>
      </w:r>
      <w:r w:rsidR="00D1081A" w:rsidRPr="007A15F5">
        <w:rPr>
          <w:szCs w:val="22"/>
        </w:rPr>
        <w:t xml:space="preserve">in the </w:t>
      </w:r>
      <w:r w:rsidR="00D1081A" w:rsidRPr="0086185E">
        <w:rPr>
          <w:i/>
          <w:szCs w:val="22"/>
        </w:rPr>
        <w:t>Forfeiture Order</w:t>
      </w:r>
      <w:r w:rsidR="00D1081A" w:rsidRPr="007A15F5">
        <w:rPr>
          <w:szCs w:val="22"/>
        </w:rPr>
        <w:t xml:space="preserve"> </w:t>
      </w:r>
      <w:r w:rsidRPr="007A15F5">
        <w:rPr>
          <w:szCs w:val="22"/>
        </w:rPr>
        <w:t xml:space="preserve">not to reduce the forfeiture amount. </w:t>
      </w:r>
      <w:r w:rsidR="00D1081A" w:rsidRPr="007A15F5">
        <w:rPr>
          <w:szCs w:val="22"/>
        </w:rPr>
        <w:t xml:space="preserve"> </w:t>
      </w:r>
      <w:r w:rsidR="0037131C" w:rsidRPr="007A15F5">
        <w:rPr>
          <w:szCs w:val="22"/>
        </w:rPr>
        <w:t xml:space="preserve"> </w:t>
      </w:r>
    </w:p>
    <w:p w14:paraId="2661A4F6" w14:textId="77777777" w:rsidR="0070043E" w:rsidRDefault="0070043E" w:rsidP="003A7D6A">
      <w:pPr>
        <w:pStyle w:val="Heading1"/>
        <w:tabs>
          <w:tab w:val="clear" w:pos="720"/>
        </w:tabs>
      </w:pPr>
      <w:bookmarkStart w:id="3" w:name="_Toc379288999"/>
      <w:bookmarkStart w:id="4" w:name="_Toc379365500"/>
      <w:r w:rsidRPr="00344C0B">
        <w:t>BACKGROUND</w:t>
      </w:r>
      <w:bookmarkEnd w:id="3"/>
      <w:bookmarkEnd w:id="4"/>
    </w:p>
    <w:p w14:paraId="525E593F" w14:textId="0DF20092" w:rsidR="00740C20" w:rsidRDefault="00E97CFA" w:rsidP="005704C6">
      <w:pPr>
        <w:pStyle w:val="ParaNum"/>
        <w:numPr>
          <w:ilvl w:val="0"/>
          <w:numId w:val="4"/>
        </w:numPr>
        <w:tabs>
          <w:tab w:val="clear" w:pos="1710"/>
        </w:tabs>
        <w:ind w:left="0"/>
      </w:pPr>
      <w:r w:rsidRPr="00753F63">
        <w:rPr>
          <w:szCs w:val="22"/>
        </w:rPr>
        <w:t>I</w:t>
      </w:r>
      <w:r w:rsidR="0037131C" w:rsidRPr="00753F63">
        <w:rPr>
          <w:szCs w:val="22"/>
        </w:rPr>
        <w:t xml:space="preserve">n April 2014, the Commission issued the </w:t>
      </w:r>
      <w:r w:rsidR="00D24BDD" w:rsidRPr="00753F63">
        <w:rPr>
          <w:szCs w:val="22"/>
        </w:rPr>
        <w:t xml:space="preserve">Notice of Apparent Liability for Forfeiture </w:t>
      </w:r>
      <w:r w:rsidR="0037131C" w:rsidRPr="00753F63">
        <w:rPr>
          <w:szCs w:val="22"/>
        </w:rPr>
        <w:t xml:space="preserve">in this proceeding, proposing an $89,200 forfeiture against D.T.V. for </w:t>
      </w:r>
      <w:r w:rsidR="0022488D" w:rsidRPr="00753F63">
        <w:rPr>
          <w:szCs w:val="22"/>
        </w:rPr>
        <w:t xml:space="preserve">apparently </w:t>
      </w:r>
      <w:r w:rsidR="0037131C" w:rsidRPr="00753F63">
        <w:rPr>
          <w:szCs w:val="22"/>
        </w:rPr>
        <w:t>fail</w:t>
      </w:r>
      <w:r w:rsidR="0004542D" w:rsidRPr="00753F63">
        <w:rPr>
          <w:szCs w:val="22"/>
        </w:rPr>
        <w:t>ing</w:t>
      </w:r>
      <w:r w:rsidR="0037131C" w:rsidRPr="00753F63">
        <w:rPr>
          <w:szCs w:val="22"/>
        </w:rPr>
        <w:t xml:space="preserve"> to make the Station available for inspection by </w:t>
      </w:r>
      <w:r w:rsidR="00ED38A3" w:rsidRPr="00753F63">
        <w:rPr>
          <w:szCs w:val="22"/>
        </w:rPr>
        <w:t xml:space="preserve">Commission </w:t>
      </w:r>
      <w:r w:rsidR="0037131C" w:rsidRPr="00753F63">
        <w:rPr>
          <w:szCs w:val="22"/>
        </w:rPr>
        <w:t>agents on multiple occasions, maintain a fully staffed main studio for the Station, and operate the Station’s transmitter from its authorized location.</w:t>
      </w:r>
      <w:r w:rsidR="0037131C" w:rsidRPr="00753F63">
        <w:rPr>
          <w:rStyle w:val="FootnoteReference"/>
          <w:szCs w:val="22"/>
        </w:rPr>
        <w:footnoteReference w:id="4"/>
      </w:r>
      <w:r w:rsidR="0037131C" w:rsidRPr="00753F63">
        <w:rPr>
          <w:rStyle w:val="FootnoteReference"/>
          <w:szCs w:val="22"/>
        </w:rPr>
        <w:t xml:space="preserve"> </w:t>
      </w:r>
      <w:r w:rsidR="0037131C" w:rsidRPr="00753F63">
        <w:rPr>
          <w:szCs w:val="22"/>
        </w:rPr>
        <w:t xml:space="preserve"> </w:t>
      </w:r>
      <w:r w:rsidR="00E61E2C" w:rsidRPr="00753F63">
        <w:rPr>
          <w:szCs w:val="22"/>
        </w:rPr>
        <w:t xml:space="preserve"> On August 17, 2011, and again on September 30, 2011, agents from the Philadelphia Office attempted to inspect the Station during normal business hours.  Despite repeated contacts with the Station Manager as well as multiple attempts to contact D.T.V.’s sole principal for assistance in obtaining access to his Station’s main studio, the agents were refused entry to the main studio to conduct an inspection.</w:t>
      </w:r>
      <w:r w:rsidR="00E61E2C" w:rsidRPr="00753F63">
        <w:rPr>
          <w:rStyle w:val="FootnoteReference"/>
        </w:rPr>
        <w:footnoteReference w:id="5"/>
      </w:r>
      <w:r w:rsidR="00E61E2C" w:rsidRPr="005704C6">
        <w:rPr>
          <w:rStyle w:val="FootnoteReference"/>
          <w:szCs w:val="22"/>
        </w:rPr>
        <w:t xml:space="preserve"> </w:t>
      </w:r>
      <w:r w:rsidR="00E61E2C" w:rsidRPr="00E61E2C">
        <w:t xml:space="preserve"> </w:t>
      </w:r>
    </w:p>
    <w:p w14:paraId="722C65ED" w14:textId="7D35C6F3" w:rsidR="00CA4D7C" w:rsidRPr="00132D22" w:rsidRDefault="007C4238" w:rsidP="005704C6">
      <w:pPr>
        <w:pStyle w:val="ParaNum"/>
        <w:numPr>
          <w:ilvl w:val="0"/>
          <w:numId w:val="4"/>
        </w:numPr>
        <w:tabs>
          <w:tab w:val="clear" w:pos="1710"/>
        </w:tabs>
        <w:ind w:left="0"/>
        <w:rPr>
          <w:szCs w:val="22"/>
        </w:rPr>
      </w:pPr>
      <w:r w:rsidRPr="00132D22">
        <w:rPr>
          <w:szCs w:val="22"/>
        </w:rPr>
        <w:t>T</w:t>
      </w:r>
      <w:r w:rsidR="000017E3" w:rsidRPr="00132D22">
        <w:rPr>
          <w:szCs w:val="22"/>
        </w:rPr>
        <w:t xml:space="preserve">he </w:t>
      </w:r>
      <w:r w:rsidR="00BD74E9" w:rsidRPr="00132D22">
        <w:rPr>
          <w:szCs w:val="22"/>
        </w:rPr>
        <w:t>Commission</w:t>
      </w:r>
      <w:r w:rsidRPr="00132D22">
        <w:rPr>
          <w:szCs w:val="22"/>
        </w:rPr>
        <w:t xml:space="preserve"> noted in the </w:t>
      </w:r>
      <w:r w:rsidRPr="004C0939">
        <w:rPr>
          <w:i/>
          <w:szCs w:val="22"/>
        </w:rPr>
        <w:t>Forfeiture Order</w:t>
      </w:r>
      <w:r w:rsidRPr="005704C6">
        <w:rPr>
          <w:szCs w:val="22"/>
        </w:rPr>
        <w:t xml:space="preserve"> </w:t>
      </w:r>
      <w:r w:rsidRPr="00132D22">
        <w:rPr>
          <w:szCs w:val="22"/>
        </w:rPr>
        <w:t xml:space="preserve">that </w:t>
      </w:r>
      <w:r w:rsidR="003575DD">
        <w:rPr>
          <w:szCs w:val="22"/>
        </w:rPr>
        <w:t>“</w:t>
      </w:r>
      <w:r w:rsidR="00132D22" w:rsidRPr="00132D22">
        <w:rPr>
          <w:szCs w:val="22"/>
        </w:rPr>
        <w:t xml:space="preserve">D.T.V.’s repeated refusals to make the Station available for inspection </w:t>
      </w:r>
      <w:r w:rsidR="003575DD">
        <w:rPr>
          <w:szCs w:val="22"/>
        </w:rPr>
        <w:t>‘</w:t>
      </w:r>
      <w:r w:rsidR="00132D22" w:rsidRPr="00132D22">
        <w:rPr>
          <w:szCs w:val="22"/>
        </w:rPr>
        <w:t xml:space="preserve">threaten[ed] to compromise the Commission’s ability to fully investigate potential violations of its rules . . . . [and] prevented the agents from conducting a </w:t>
      </w:r>
      <w:r w:rsidR="00132D22" w:rsidRPr="00132D22">
        <w:rPr>
          <w:szCs w:val="22"/>
        </w:rPr>
        <w:lastRenderedPageBreak/>
        <w:t>comprehensive inspection of the Station’s facilities and filings.</w:t>
      </w:r>
      <w:r w:rsidR="003575DD">
        <w:rPr>
          <w:szCs w:val="22"/>
        </w:rPr>
        <w:t>’</w:t>
      </w:r>
      <w:r w:rsidR="00132D22" w:rsidRPr="00132D22">
        <w:rPr>
          <w:szCs w:val="22"/>
        </w:rPr>
        <w:t>”</w:t>
      </w:r>
      <w:r w:rsidR="000555F6">
        <w:rPr>
          <w:rStyle w:val="FootnoteReference"/>
          <w:szCs w:val="22"/>
        </w:rPr>
        <w:footnoteReference w:id="6"/>
      </w:r>
      <w:r w:rsidR="00132D22" w:rsidRPr="00132D22">
        <w:rPr>
          <w:szCs w:val="22"/>
        </w:rPr>
        <w:t xml:space="preserve"> </w:t>
      </w:r>
      <w:r w:rsidR="00132D22">
        <w:rPr>
          <w:szCs w:val="22"/>
        </w:rPr>
        <w:t xml:space="preserve">  </w:t>
      </w:r>
      <w:r w:rsidR="003575DD">
        <w:rPr>
          <w:szCs w:val="22"/>
        </w:rPr>
        <w:t>T</w:t>
      </w:r>
      <w:r w:rsidR="00132D22" w:rsidRPr="00132D22">
        <w:rPr>
          <w:szCs w:val="22"/>
        </w:rPr>
        <w:t>he agents could not assess whether D.T.V. had met its obligations as a broadcast licensee, including its compliance with Rules aimed at protecting public safety like the Emergency Alert System</w:t>
      </w:r>
      <w:r w:rsidR="003575DD">
        <w:rPr>
          <w:szCs w:val="22"/>
        </w:rPr>
        <w:t>, because they were denied access to the Station</w:t>
      </w:r>
      <w:r w:rsidR="00132D22" w:rsidRPr="00132D22">
        <w:rPr>
          <w:szCs w:val="22"/>
        </w:rPr>
        <w:t>.</w:t>
      </w:r>
      <w:r w:rsidR="00BD74E9" w:rsidRPr="000555F6">
        <w:rPr>
          <w:rStyle w:val="FootnoteReference"/>
        </w:rPr>
        <w:footnoteReference w:id="7"/>
      </w:r>
      <w:r w:rsidR="000017E3" w:rsidRPr="005704C6">
        <w:rPr>
          <w:rStyle w:val="FootnoteReference"/>
        </w:rPr>
        <w:t xml:space="preserve"> </w:t>
      </w:r>
      <w:r w:rsidR="00753F63" w:rsidRPr="00132D22">
        <w:rPr>
          <w:szCs w:val="22"/>
        </w:rPr>
        <w:t xml:space="preserve"> </w:t>
      </w:r>
      <w:r w:rsidR="000017E3" w:rsidRPr="00132D22">
        <w:rPr>
          <w:szCs w:val="22"/>
        </w:rPr>
        <w:t xml:space="preserve"> </w:t>
      </w:r>
      <w:r w:rsidR="009D29A5" w:rsidRPr="00132D22">
        <w:rPr>
          <w:szCs w:val="22"/>
        </w:rPr>
        <w:t>The Commission noted that</w:t>
      </w:r>
      <w:r w:rsidR="000555F6">
        <w:rPr>
          <w:szCs w:val="22"/>
        </w:rPr>
        <w:t xml:space="preserve"> D</w:t>
      </w:r>
      <w:r w:rsidR="00DB74FC">
        <w:rPr>
          <w:szCs w:val="22"/>
        </w:rPr>
        <w:t>.</w:t>
      </w:r>
      <w:r w:rsidR="000555F6">
        <w:rPr>
          <w:szCs w:val="22"/>
        </w:rPr>
        <w:t>T</w:t>
      </w:r>
      <w:r w:rsidR="00DB74FC">
        <w:rPr>
          <w:szCs w:val="22"/>
        </w:rPr>
        <w:t>.</w:t>
      </w:r>
      <w:r w:rsidR="000555F6">
        <w:rPr>
          <w:szCs w:val="22"/>
        </w:rPr>
        <w:t>V</w:t>
      </w:r>
      <w:r w:rsidR="00DB74FC">
        <w:rPr>
          <w:szCs w:val="22"/>
        </w:rPr>
        <w:t>.</w:t>
      </w:r>
      <w:r w:rsidR="000555F6">
        <w:rPr>
          <w:szCs w:val="22"/>
        </w:rPr>
        <w:t xml:space="preserve"> </w:t>
      </w:r>
      <w:r w:rsidR="003575DD">
        <w:rPr>
          <w:szCs w:val="22"/>
        </w:rPr>
        <w:t>“’</w:t>
      </w:r>
      <w:r w:rsidR="000555F6">
        <w:rPr>
          <w:szCs w:val="22"/>
        </w:rPr>
        <w:t>exhibited a blatant disregard of, and contempt for, the Commission’s authority.</w:t>
      </w:r>
      <w:r w:rsidR="003575DD">
        <w:rPr>
          <w:szCs w:val="22"/>
        </w:rPr>
        <w:t>’</w:t>
      </w:r>
      <w:r w:rsidR="009D29A5" w:rsidRPr="00132D22">
        <w:rPr>
          <w:szCs w:val="22"/>
        </w:rPr>
        <w:t>”</w:t>
      </w:r>
      <w:r w:rsidR="000017E3" w:rsidRPr="000555F6">
        <w:rPr>
          <w:rStyle w:val="FootnoteReference"/>
        </w:rPr>
        <w:footnoteReference w:id="8"/>
      </w:r>
      <w:r w:rsidR="000017E3" w:rsidRPr="000555F6">
        <w:rPr>
          <w:rStyle w:val="FootnoteReference"/>
        </w:rPr>
        <w:t xml:space="preserve"> </w:t>
      </w:r>
      <w:r w:rsidR="000017E3" w:rsidRPr="00132D22">
        <w:rPr>
          <w:szCs w:val="22"/>
        </w:rPr>
        <w:t xml:space="preserve"> </w:t>
      </w:r>
      <w:r w:rsidR="000555F6">
        <w:rPr>
          <w:szCs w:val="22"/>
        </w:rPr>
        <w:t xml:space="preserve"> </w:t>
      </w:r>
      <w:r w:rsidR="009C38ED" w:rsidRPr="00132D22">
        <w:rPr>
          <w:szCs w:val="22"/>
        </w:rPr>
        <w:t>The Commission concluded further that D.T.V.’s repeated failure to</w:t>
      </w:r>
      <w:r w:rsidR="003575DD">
        <w:rPr>
          <w:szCs w:val="22"/>
        </w:rPr>
        <w:t xml:space="preserve"> allow inspection, </w:t>
      </w:r>
      <w:r w:rsidR="009C38ED" w:rsidRPr="00132D22">
        <w:rPr>
          <w:szCs w:val="22"/>
        </w:rPr>
        <w:t xml:space="preserve">after being reminded of </w:t>
      </w:r>
      <w:r w:rsidR="003575DD">
        <w:rPr>
          <w:szCs w:val="22"/>
        </w:rPr>
        <w:t xml:space="preserve">that obligation </w:t>
      </w:r>
      <w:r w:rsidR="009C38ED" w:rsidRPr="00132D22">
        <w:rPr>
          <w:szCs w:val="22"/>
        </w:rPr>
        <w:t>by the agents, was</w:t>
      </w:r>
      <w:r w:rsidR="00AF2DFA">
        <w:rPr>
          <w:szCs w:val="22"/>
        </w:rPr>
        <w:t xml:space="preserve"> </w:t>
      </w:r>
      <w:r w:rsidR="009C38ED" w:rsidRPr="00132D22">
        <w:rPr>
          <w:szCs w:val="22"/>
        </w:rPr>
        <w:t>egregious.</w:t>
      </w:r>
      <w:r w:rsidR="009C38ED" w:rsidRPr="00AF2DFA">
        <w:rPr>
          <w:rStyle w:val="FootnoteReference"/>
        </w:rPr>
        <w:footnoteReference w:id="9"/>
      </w:r>
      <w:r w:rsidR="009C38ED" w:rsidRPr="005704C6">
        <w:rPr>
          <w:rStyle w:val="FootnoteReference"/>
        </w:rPr>
        <w:t xml:space="preserve"> </w:t>
      </w:r>
      <w:r w:rsidR="00104B2E" w:rsidRPr="00132D22">
        <w:rPr>
          <w:szCs w:val="22"/>
        </w:rPr>
        <w:t xml:space="preserve"> </w:t>
      </w:r>
    </w:p>
    <w:p w14:paraId="4FA2BF09" w14:textId="32C90656" w:rsidR="00D1081A" w:rsidRPr="00753F63" w:rsidRDefault="00D1081A" w:rsidP="005704C6">
      <w:pPr>
        <w:pStyle w:val="ParaNum"/>
        <w:numPr>
          <w:ilvl w:val="0"/>
          <w:numId w:val="4"/>
        </w:numPr>
        <w:tabs>
          <w:tab w:val="clear" w:pos="1710"/>
        </w:tabs>
        <w:ind w:left="0"/>
        <w:rPr>
          <w:szCs w:val="22"/>
        </w:rPr>
      </w:pPr>
      <w:r w:rsidRPr="00753F63">
        <w:rPr>
          <w:szCs w:val="22"/>
        </w:rPr>
        <w:t xml:space="preserve">In </w:t>
      </w:r>
      <w:r w:rsidR="00E97CFA" w:rsidRPr="00753F63">
        <w:rPr>
          <w:szCs w:val="22"/>
        </w:rPr>
        <w:t xml:space="preserve">March 2016, </w:t>
      </w:r>
      <w:r w:rsidR="00CA4D7C" w:rsidRPr="00753F63">
        <w:rPr>
          <w:szCs w:val="22"/>
        </w:rPr>
        <w:t xml:space="preserve">the Commission </w:t>
      </w:r>
      <w:r w:rsidR="00E97CFA" w:rsidRPr="00753F63">
        <w:rPr>
          <w:szCs w:val="22"/>
        </w:rPr>
        <w:t xml:space="preserve">adopted </w:t>
      </w:r>
      <w:r w:rsidRPr="00753F63">
        <w:rPr>
          <w:szCs w:val="22"/>
        </w:rPr>
        <w:t xml:space="preserve">the </w:t>
      </w:r>
      <w:r w:rsidRPr="004C0939">
        <w:rPr>
          <w:i/>
          <w:szCs w:val="22"/>
        </w:rPr>
        <w:t>Forfeiture Order</w:t>
      </w:r>
      <w:r w:rsidRPr="00753F63">
        <w:rPr>
          <w:szCs w:val="22"/>
        </w:rPr>
        <w:t xml:space="preserve">, </w:t>
      </w:r>
      <w:r w:rsidR="00E97CFA" w:rsidRPr="00753F63">
        <w:rPr>
          <w:szCs w:val="22"/>
        </w:rPr>
        <w:t xml:space="preserve">finding that </w:t>
      </w:r>
      <w:r w:rsidR="0037131C" w:rsidRPr="00753F63">
        <w:rPr>
          <w:szCs w:val="22"/>
        </w:rPr>
        <w:t xml:space="preserve">the full </w:t>
      </w:r>
      <w:r w:rsidRPr="00753F63">
        <w:rPr>
          <w:szCs w:val="22"/>
        </w:rPr>
        <w:t xml:space="preserve">forfeiture </w:t>
      </w:r>
      <w:r w:rsidR="0037131C" w:rsidRPr="00753F63">
        <w:rPr>
          <w:szCs w:val="22"/>
        </w:rPr>
        <w:t xml:space="preserve">amount </w:t>
      </w:r>
      <w:r w:rsidRPr="00753F63">
        <w:rPr>
          <w:szCs w:val="22"/>
        </w:rPr>
        <w:t xml:space="preserve">of $89,200 </w:t>
      </w:r>
      <w:r w:rsidR="0037131C" w:rsidRPr="00753F63">
        <w:rPr>
          <w:szCs w:val="22"/>
        </w:rPr>
        <w:t xml:space="preserve">proposed in the </w:t>
      </w:r>
      <w:r w:rsidR="0037131C" w:rsidRPr="004C0939">
        <w:rPr>
          <w:i/>
          <w:szCs w:val="22"/>
        </w:rPr>
        <w:t>NAL</w:t>
      </w:r>
      <w:r w:rsidR="0037131C" w:rsidRPr="00753F63">
        <w:rPr>
          <w:szCs w:val="22"/>
        </w:rPr>
        <w:t xml:space="preserve"> </w:t>
      </w:r>
      <w:r w:rsidRPr="00753F63">
        <w:rPr>
          <w:szCs w:val="22"/>
        </w:rPr>
        <w:t xml:space="preserve">against D.T.V. </w:t>
      </w:r>
      <w:r w:rsidR="00E97CFA" w:rsidRPr="00753F63">
        <w:rPr>
          <w:szCs w:val="22"/>
        </w:rPr>
        <w:t>is warranted</w:t>
      </w:r>
      <w:r w:rsidRPr="00753F63">
        <w:rPr>
          <w:szCs w:val="22"/>
        </w:rPr>
        <w:t>.</w:t>
      </w:r>
      <w:r w:rsidR="00D01AAB" w:rsidRPr="004A1FB1">
        <w:rPr>
          <w:rStyle w:val="FootnoteReference"/>
        </w:rPr>
        <w:footnoteReference w:id="10"/>
      </w:r>
      <w:r w:rsidR="00D01AAB" w:rsidRPr="004A1FB1">
        <w:rPr>
          <w:rStyle w:val="FootnoteReference"/>
        </w:rPr>
        <w:t xml:space="preserve"> </w:t>
      </w:r>
      <w:r w:rsidR="00D01AAB" w:rsidRPr="00753F63">
        <w:rPr>
          <w:szCs w:val="22"/>
        </w:rPr>
        <w:t xml:space="preserve"> </w:t>
      </w:r>
      <w:r w:rsidR="00A3735C" w:rsidRPr="00753F63">
        <w:rPr>
          <w:szCs w:val="22"/>
        </w:rPr>
        <w:t xml:space="preserve"> </w:t>
      </w:r>
      <w:r w:rsidR="0057532A" w:rsidRPr="00753F63">
        <w:rPr>
          <w:szCs w:val="22"/>
        </w:rPr>
        <w:t xml:space="preserve">Specifically, the Commission </w:t>
      </w:r>
      <w:r w:rsidR="00D01AAB" w:rsidRPr="00753F63">
        <w:rPr>
          <w:szCs w:val="22"/>
        </w:rPr>
        <w:t xml:space="preserve">considered and rejected D.T.V.’s argument that the forfeiture amount should be adjusted downward based on </w:t>
      </w:r>
      <w:r w:rsidR="0052043A" w:rsidRPr="00753F63">
        <w:rPr>
          <w:szCs w:val="22"/>
        </w:rPr>
        <w:t xml:space="preserve">its claims of </w:t>
      </w:r>
      <w:r w:rsidR="00D01AAB" w:rsidRPr="00753F63">
        <w:rPr>
          <w:szCs w:val="22"/>
        </w:rPr>
        <w:t>its inability to pay.</w:t>
      </w:r>
      <w:r w:rsidR="00D01AAB" w:rsidRPr="004A1FB1">
        <w:rPr>
          <w:rStyle w:val="FootnoteReference"/>
        </w:rPr>
        <w:footnoteReference w:id="11"/>
      </w:r>
      <w:r w:rsidR="00D01AAB" w:rsidRPr="004A1FB1">
        <w:rPr>
          <w:rStyle w:val="FootnoteReference"/>
        </w:rPr>
        <w:t xml:space="preserve"> </w:t>
      </w:r>
      <w:r w:rsidRPr="00753F63">
        <w:rPr>
          <w:szCs w:val="22"/>
        </w:rPr>
        <w:t xml:space="preserve"> </w:t>
      </w:r>
      <w:r w:rsidR="00A025B1" w:rsidRPr="00753F63">
        <w:rPr>
          <w:szCs w:val="22"/>
        </w:rPr>
        <w:t xml:space="preserve"> Moreover</w:t>
      </w:r>
      <w:r w:rsidR="0057532A" w:rsidRPr="00753F63">
        <w:rPr>
          <w:szCs w:val="22"/>
        </w:rPr>
        <w:t>, the Commission also concluded that,</w:t>
      </w:r>
      <w:r w:rsidRPr="00753F63">
        <w:rPr>
          <w:szCs w:val="22"/>
        </w:rPr>
        <w:t xml:space="preserve"> </w:t>
      </w:r>
      <w:r w:rsidR="00C77933" w:rsidRPr="00753F63">
        <w:rPr>
          <w:szCs w:val="22"/>
        </w:rPr>
        <w:t>even if D.T.V. had adequately demonstrated an inability to pay the forfeiture amount, the repeated and egregious nature of D.T.V.’s rule violations would weigh against any downward adjustment</w:t>
      </w:r>
      <w:r w:rsidR="00A025B1" w:rsidRPr="00753F63">
        <w:rPr>
          <w:szCs w:val="22"/>
        </w:rPr>
        <w:t>, including an adjustment based on a claim of inability to pay</w:t>
      </w:r>
      <w:r w:rsidR="00C77933" w:rsidRPr="00753F63">
        <w:rPr>
          <w:szCs w:val="22"/>
        </w:rPr>
        <w:t>.</w:t>
      </w:r>
      <w:r w:rsidR="00C77933" w:rsidRPr="004A1FB1">
        <w:rPr>
          <w:rStyle w:val="FootnoteReference"/>
        </w:rPr>
        <w:footnoteReference w:id="12"/>
      </w:r>
      <w:r w:rsidRPr="004A1FB1">
        <w:rPr>
          <w:rStyle w:val="FootnoteReference"/>
        </w:rPr>
        <w:t xml:space="preserve"> </w:t>
      </w:r>
      <w:r w:rsidRPr="00753F63">
        <w:rPr>
          <w:szCs w:val="22"/>
        </w:rPr>
        <w:t xml:space="preserve">   </w:t>
      </w:r>
    </w:p>
    <w:p w14:paraId="3187A552" w14:textId="11418F81" w:rsidR="00D1081A" w:rsidRPr="00D1081A" w:rsidRDefault="00715A30" w:rsidP="003A7D6A">
      <w:pPr>
        <w:pStyle w:val="ParaNum"/>
        <w:numPr>
          <w:ilvl w:val="0"/>
          <w:numId w:val="4"/>
        </w:numPr>
        <w:tabs>
          <w:tab w:val="clear" w:pos="1710"/>
        </w:tabs>
        <w:ind w:left="0"/>
        <w:rPr>
          <w:szCs w:val="22"/>
        </w:rPr>
      </w:pPr>
      <w:r w:rsidRPr="00221DBE">
        <w:rPr>
          <w:szCs w:val="22"/>
        </w:rPr>
        <w:t>On April 28, 2016, D.T.V. filed a Petition for Reconsideration</w:t>
      </w:r>
      <w:r>
        <w:rPr>
          <w:szCs w:val="22"/>
        </w:rPr>
        <w:t xml:space="preserve"> of the </w:t>
      </w:r>
      <w:r w:rsidRPr="0086185E">
        <w:rPr>
          <w:i/>
          <w:szCs w:val="22"/>
        </w:rPr>
        <w:t>Forfeiture Order</w:t>
      </w:r>
      <w:r w:rsidR="00AF1996">
        <w:rPr>
          <w:szCs w:val="22"/>
        </w:rPr>
        <w:t>.</w:t>
      </w:r>
      <w:r w:rsidRPr="00895D35">
        <w:rPr>
          <w:rStyle w:val="FootnoteReference"/>
        </w:rPr>
        <w:footnoteReference w:id="13"/>
      </w:r>
      <w:r w:rsidR="00AF1996">
        <w:rPr>
          <w:szCs w:val="22"/>
        </w:rPr>
        <w:t xml:space="preserve">  </w:t>
      </w:r>
      <w:r w:rsidR="000B0551">
        <w:rPr>
          <w:szCs w:val="22"/>
        </w:rPr>
        <w:t xml:space="preserve">For purposes of </w:t>
      </w:r>
      <w:r w:rsidR="00AF1996">
        <w:rPr>
          <w:szCs w:val="22"/>
        </w:rPr>
        <w:t xml:space="preserve">its </w:t>
      </w:r>
      <w:r w:rsidR="000B0551">
        <w:rPr>
          <w:szCs w:val="22"/>
        </w:rPr>
        <w:t>P</w:t>
      </w:r>
      <w:r w:rsidR="00AF1996">
        <w:rPr>
          <w:szCs w:val="22"/>
        </w:rPr>
        <w:t xml:space="preserve">etition, D.T.V. does not contest </w:t>
      </w:r>
      <w:r w:rsidR="000B0551">
        <w:rPr>
          <w:szCs w:val="22"/>
        </w:rPr>
        <w:t xml:space="preserve">the conclusions in the </w:t>
      </w:r>
      <w:r w:rsidR="000B0551">
        <w:rPr>
          <w:i/>
          <w:szCs w:val="22"/>
        </w:rPr>
        <w:t xml:space="preserve">Forfeiture Order </w:t>
      </w:r>
      <w:r w:rsidR="000B0551">
        <w:rPr>
          <w:szCs w:val="22"/>
        </w:rPr>
        <w:t>that it violated the Commission’s rules, and that those violations were egregious.</w:t>
      </w:r>
      <w:r w:rsidR="000B0551">
        <w:rPr>
          <w:rStyle w:val="FootnoteReference"/>
          <w:szCs w:val="22"/>
        </w:rPr>
        <w:footnoteReference w:id="14"/>
      </w:r>
      <w:r w:rsidR="000B0551">
        <w:rPr>
          <w:szCs w:val="22"/>
        </w:rPr>
        <w:t xml:space="preserve">  Rather, D.T.V.</w:t>
      </w:r>
      <w:r w:rsidR="000B0551">
        <w:t xml:space="preserve"> argues </w:t>
      </w:r>
      <w:r w:rsidR="001B2350">
        <w:t xml:space="preserve">that the </w:t>
      </w:r>
      <w:r w:rsidRPr="00221DBE">
        <w:rPr>
          <w:szCs w:val="22"/>
        </w:rPr>
        <w:t xml:space="preserve">penalty assessed in the </w:t>
      </w:r>
      <w:r w:rsidRPr="00110F85">
        <w:rPr>
          <w:i/>
          <w:szCs w:val="22"/>
        </w:rPr>
        <w:t>Forfeiture Order</w:t>
      </w:r>
      <w:r w:rsidRPr="00221DBE">
        <w:rPr>
          <w:szCs w:val="22"/>
        </w:rPr>
        <w:t xml:space="preserve"> should be reduced</w:t>
      </w:r>
      <w:r>
        <w:rPr>
          <w:szCs w:val="22"/>
        </w:rPr>
        <w:t xml:space="preserve"> based on its inability to pay</w:t>
      </w:r>
      <w:r w:rsidRPr="00221DBE">
        <w:rPr>
          <w:szCs w:val="22"/>
        </w:rPr>
        <w:t xml:space="preserve">.  </w:t>
      </w:r>
      <w:r w:rsidR="000B0551">
        <w:rPr>
          <w:szCs w:val="22"/>
        </w:rPr>
        <w:t>For reasons discussed below, we dismiss D.T.V.’s Petition.</w:t>
      </w:r>
    </w:p>
    <w:p w14:paraId="3BDE0797" w14:textId="0BDC1C5A" w:rsidR="00D1081A" w:rsidRPr="00E70C27" w:rsidRDefault="00E70C27" w:rsidP="003A7D6A">
      <w:pPr>
        <w:pStyle w:val="Heading1"/>
        <w:tabs>
          <w:tab w:val="clear" w:pos="720"/>
        </w:tabs>
      </w:pPr>
      <w:r>
        <w:t xml:space="preserve">DISCUSSION  </w:t>
      </w:r>
    </w:p>
    <w:p w14:paraId="2B76BBAB" w14:textId="51388682" w:rsidR="00A6599C" w:rsidRDefault="00261FEB" w:rsidP="003A7D6A">
      <w:pPr>
        <w:pStyle w:val="ParaNum"/>
        <w:numPr>
          <w:ilvl w:val="0"/>
          <w:numId w:val="4"/>
        </w:numPr>
        <w:tabs>
          <w:tab w:val="clear" w:pos="1710"/>
        </w:tabs>
        <w:ind w:left="0"/>
        <w:rPr>
          <w:szCs w:val="22"/>
        </w:rPr>
      </w:pPr>
      <w:r>
        <w:rPr>
          <w:szCs w:val="22"/>
        </w:rPr>
        <w:t>Section 1.106(p) of the Commission’s rules delegates authority to the Bureaus to act on petitions for reconsideration that “plainly do not warrant consideration by the Commission.”</w:t>
      </w:r>
      <w:r>
        <w:rPr>
          <w:rStyle w:val="FootnoteReference"/>
          <w:szCs w:val="22"/>
        </w:rPr>
        <w:footnoteReference w:id="15"/>
      </w:r>
      <w:r>
        <w:rPr>
          <w:szCs w:val="22"/>
        </w:rPr>
        <w:t xml:space="preserve">  In particular, </w:t>
      </w:r>
      <w:r w:rsidR="005B16A9">
        <w:rPr>
          <w:szCs w:val="22"/>
        </w:rPr>
        <w:t xml:space="preserve">Section 1.106(p)(1) authorizes the Enforcement Bureau (Bureau) to dismiss petitions for reconsideration that “[f]ail to identify any material error, omission, or reason warranting </w:t>
      </w:r>
      <w:r w:rsidR="00CE7DE5">
        <w:rPr>
          <w:szCs w:val="22"/>
        </w:rPr>
        <w:t>r</w:t>
      </w:r>
      <w:r w:rsidR="005B16A9">
        <w:rPr>
          <w:szCs w:val="22"/>
        </w:rPr>
        <w:t>econside</w:t>
      </w:r>
      <w:r w:rsidR="00FD36D7">
        <w:rPr>
          <w:szCs w:val="22"/>
        </w:rPr>
        <w:t>r</w:t>
      </w:r>
      <w:r w:rsidR="005B16A9">
        <w:rPr>
          <w:szCs w:val="22"/>
        </w:rPr>
        <w:t>ation.”</w:t>
      </w:r>
      <w:r w:rsidR="005B16A9">
        <w:rPr>
          <w:rStyle w:val="FootnoteReference"/>
          <w:szCs w:val="22"/>
        </w:rPr>
        <w:footnoteReference w:id="16"/>
      </w:r>
      <w:r w:rsidR="005B16A9">
        <w:rPr>
          <w:szCs w:val="22"/>
        </w:rPr>
        <w:t xml:space="preserve">  </w:t>
      </w:r>
    </w:p>
    <w:p w14:paraId="3E76B4FA" w14:textId="3C0C1CBD" w:rsidR="007C1713" w:rsidRDefault="00FD36D7" w:rsidP="003A7D6A">
      <w:pPr>
        <w:pStyle w:val="ParaNum"/>
        <w:numPr>
          <w:ilvl w:val="0"/>
          <w:numId w:val="4"/>
        </w:numPr>
        <w:tabs>
          <w:tab w:val="clear" w:pos="1710"/>
        </w:tabs>
        <w:ind w:left="0"/>
        <w:rPr>
          <w:szCs w:val="22"/>
        </w:rPr>
      </w:pPr>
      <w:r w:rsidRPr="00A6599C">
        <w:rPr>
          <w:szCs w:val="22"/>
        </w:rPr>
        <w:t>We dismiss D.T.V.’s Petition pursuant to Section 1.106(p)(1) of the Commission’s rules.</w:t>
      </w:r>
      <w:r w:rsidRPr="00A6599C">
        <w:rPr>
          <w:rStyle w:val="FootnoteReference"/>
          <w:sz w:val="22"/>
          <w:szCs w:val="22"/>
        </w:rPr>
        <w:footnoteReference w:id="17"/>
      </w:r>
      <w:r w:rsidRPr="00A6599C">
        <w:rPr>
          <w:szCs w:val="22"/>
        </w:rPr>
        <w:t xml:space="preserve">  The</w:t>
      </w:r>
      <w:r w:rsidR="00CE7DE5">
        <w:rPr>
          <w:szCs w:val="22"/>
        </w:rPr>
        <w:t xml:space="preserve"> </w:t>
      </w:r>
      <w:r w:rsidR="00CE7DE5">
        <w:rPr>
          <w:i/>
          <w:szCs w:val="22"/>
        </w:rPr>
        <w:t>Forfeiture Order</w:t>
      </w:r>
      <w:r w:rsidRPr="00A6599C">
        <w:rPr>
          <w:szCs w:val="22"/>
        </w:rPr>
        <w:t xml:space="preserve"> </w:t>
      </w:r>
      <w:r w:rsidR="00A6599C" w:rsidRPr="00A6599C">
        <w:rPr>
          <w:szCs w:val="22"/>
        </w:rPr>
        <w:t xml:space="preserve">noted the extensive precedent in which it had rejected claims of </w:t>
      </w:r>
      <w:r w:rsidR="00A6599C" w:rsidRPr="00A6599C">
        <w:rPr>
          <w:rFonts w:eastAsiaTheme="minorHAnsi"/>
          <w:snapToGrid/>
          <w:kern w:val="0"/>
          <w:szCs w:val="22"/>
        </w:rPr>
        <w:t>inability to pay in cases of repeated</w:t>
      </w:r>
      <w:r w:rsidR="00A6599C" w:rsidRPr="00A6599C">
        <w:rPr>
          <w:szCs w:val="22"/>
        </w:rPr>
        <w:t xml:space="preserve"> </w:t>
      </w:r>
      <w:r w:rsidR="00A6599C" w:rsidRPr="00A6599C">
        <w:rPr>
          <w:rFonts w:eastAsiaTheme="minorHAnsi"/>
          <w:snapToGrid/>
          <w:kern w:val="0"/>
          <w:szCs w:val="22"/>
        </w:rPr>
        <w:t>or otherwise egregious violations.</w:t>
      </w:r>
      <w:r w:rsidR="00A6599C">
        <w:rPr>
          <w:rStyle w:val="FootnoteReference"/>
          <w:rFonts w:eastAsiaTheme="minorHAnsi"/>
          <w:snapToGrid/>
          <w:kern w:val="0"/>
          <w:szCs w:val="22"/>
        </w:rPr>
        <w:footnoteReference w:id="18"/>
      </w:r>
      <w:r w:rsidR="00A6599C">
        <w:rPr>
          <w:rFonts w:eastAsiaTheme="minorHAnsi"/>
          <w:snapToGrid/>
          <w:kern w:val="0"/>
          <w:szCs w:val="22"/>
        </w:rPr>
        <w:t xml:space="preserve">  The Commission also </w:t>
      </w:r>
      <w:r w:rsidRPr="00A6599C">
        <w:rPr>
          <w:szCs w:val="22"/>
        </w:rPr>
        <w:t xml:space="preserve">emphasized in the </w:t>
      </w:r>
      <w:r w:rsidRPr="00A6599C">
        <w:rPr>
          <w:i/>
          <w:szCs w:val="22"/>
        </w:rPr>
        <w:t>Forfeiture Order</w:t>
      </w:r>
      <w:r w:rsidRPr="00A6599C">
        <w:rPr>
          <w:szCs w:val="22"/>
        </w:rPr>
        <w:t xml:space="preserve"> that </w:t>
      </w:r>
      <w:r w:rsidR="00921F02">
        <w:rPr>
          <w:szCs w:val="22"/>
        </w:rPr>
        <w:t xml:space="preserve">D.T.V.’s violations were </w:t>
      </w:r>
      <w:r w:rsidR="00CE7DE5">
        <w:rPr>
          <w:szCs w:val="22"/>
        </w:rPr>
        <w:t xml:space="preserve">repeated and </w:t>
      </w:r>
      <w:r w:rsidR="00921F02">
        <w:rPr>
          <w:szCs w:val="22"/>
        </w:rPr>
        <w:t>egregious</w:t>
      </w:r>
      <w:r w:rsidR="00CE7DE5">
        <w:rPr>
          <w:szCs w:val="22"/>
        </w:rPr>
        <w:t>, and that nothing in the record in that proceeding warranted any leniency or mitigation of the forfeiture amount</w:t>
      </w:r>
      <w:r w:rsidR="00921F02">
        <w:rPr>
          <w:szCs w:val="22"/>
        </w:rPr>
        <w:t>.</w:t>
      </w:r>
      <w:r w:rsidR="00921F02">
        <w:rPr>
          <w:rStyle w:val="FootnoteReference"/>
          <w:szCs w:val="22"/>
        </w:rPr>
        <w:footnoteReference w:id="19"/>
      </w:r>
      <w:r w:rsidR="00921F02">
        <w:rPr>
          <w:szCs w:val="22"/>
        </w:rPr>
        <w:t xml:space="preserve">  </w:t>
      </w:r>
    </w:p>
    <w:p w14:paraId="08A4222A" w14:textId="2D341770" w:rsidR="006548EF" w:rsidRPr="00B812BD" w:rsidRDefault="00921F02" w:rsidP="003A7D6A">
      <w:pPr>
        <w:pStyle w:val="ParaNum"/>
        <w:numPr>
          <w:ilvl w:val="0"/>
          <w:numId w:val="4"/>
        </w:numPr>
        <w:tabs>
          <w:tab w:val="clear" w:pos="1710"/>
        </w:tabs>
        <w:ind w:left="0"/>
        <w:rPr>
          <w:szCs w:val="22"/>
        </w:rPr>
      </w:pPr>
      <w:r w:rsidRPr="00B812BD">
        <w:rPr>
          <w:szCs w:val="22"/>
        </w:rPr>
        <w:t>Thus,</w:t>
      </w:r>
      <w:r w:rsidR="00CE7DE5" w:rsidRPr="00B812BD">
        <w:rPr>
          <w:szCs w:val="22"/>
        </w:rPr>
        <w:t xml:space="preserve"> regardless of whether D.T.V. ha</w:t>
      </w:r>
      <w:r w:rsidR="007C1713" w:rsidRPr="00B812BD">
        <w:rPr>
          <w:szCs w:val="22"/>
        </w:rPr>
        <w:t xml:space="preserve">s shown that </w:t>
      </w:r>
      <w:r w:rsidRPr="00B812BD">
        <w:rPr>
          <w:szCs w:val="22"/>
        </w:rPr>
        <w:t xml:space="preserve">the Commission </w:t>
      </w:r>
      <w:r w:rsidR="007C1713" w:rsidRPr="00B812BD">
        <w:rPr>
          <w:szCs w:val="22"/>
        </w:rPr>
        <w:t xml:space="preserve">erred in the </w:t>
      </w:r>
      <w:r w:rsidR="0004542D">
        <w:rPr>
          <w:szCs w:val="22"/>
        </w:rPr>
        <w:t>in</w:t>
      </w:r>
      <w:r w:rsidR="007C1713" w:rsidRPr="00B812BD">
        <w:rPr>
          <w:szCs w:val="22"/>
        </w:rPr>
        <w:t xml:space="preserve">ability-to-pay determination in the </w:t>
      </w:r>
      <w:r w:rsidR="007C1713" w:rsidRPr="00B812BD">
        <w:rPr>
          <w:i/>
          <w:szCs w:val="22"/>
        </w:rPr>
        <w:t>Forfeiture Order</w:t>
      </w:r>
      <w:r w:rsidR="007C1713" w:rsidRPr="00B812BD">
        <w:rPr>
          <w:szCs w:val="22"/>
        </w:rPr>
        <w:t xml:space="preserve">, D.T.V. has not shown that correcting any such error would affect the forfeiture amount adopted in that </w:t>
      </w:r>
      <w:r w:rsidR="007C1713" w:rsidRPr="00B812BD">
        <w:rPr>
          <w:i/>
          <w:szCs w:val="22"/>
        </w:rPr>
        <w:t>Order</w:t>
      </w:r>
      <w:r w:rsidR="007C1713" w:rsidRPr="00B812BD">
        <w:rPr>
          <w:szCs w:val="22"/>
        </w:rPr>
        <w:t xml:space="preserve">.  </w:t>
      </w:r>
      <w:r w:rsidR="0050772C">
        <w:rPr>
          <w:szCs w:val="22"/>
        </w:rPr>
        <w:t>Consequently</w:t>
      </w:r>
      <w:r w:rsidR="007C1713" w:rsidRPr="00B812BD">
        <w:rPr>
          <w:szCs w:val="22"/>
        </w:rPr>
        <w:t xml:space="preserve">, D.T.V. has not shown that any such </w:t>
      </w:r>
      <w:r w:rsidRPr="00B812BD">
        <w:rPr>
          <w:szCs w:val="22"/>
        </w:rPr>
        <w:t>e</w:t>
      </w:r>
      <w:r w:rsidR="007C1713" w:rsidRPr="00B812BD">
        <w:rPr>
          <w:szCs w:val="22"/>
        </w:rPr>
        <w:t xml:space="preserve">rror is “material” within the meaning of Section 1.106(p)(1).  </w:t>
      </w:r>
    </w:p>
    <w:p w14:paraId="0A96BE6B" w14:textId="580295DD" w:rsidR="0081490D" w:rsidRDefault="0081490D" w:rsidP="003A7D6A">
      <w:pPr>
        <w:pStyle w:val="Heading1"/>
        <w:tabs>
          <w:tab w:val="clear" w:pos="720"/>
        </w:tabs>
      </w:pPr>
      <w:r>
        <w:t xml:space="preserve">ORDERING CLAUSES </w:t>
      </w:r>
    </w:p>
    <w:p w14:paraId="2C048E7B" w14:textId="09BF08F2" w:rsidR="00F458AD" w:rsidRPr="00193A4F" w:rsidRDefault="00F458AD" w:rsidP="003A7D6A">
      <w:pPr>
        <w:pStyle w:val="ParaNum"/>
        <w:numPr>
          <w:ilvl w:val="0"/>
          <w:numId w:val="4"/>
        </w:numPr>
        <w:tabs>
          <w:tab w:val="clear" w:pos="1710"/>
        </w:tabs>
        <w:ind w:left="0"/>
      </w:pPr>
      <w:r w:rsidRPr="00193A4F">
        <w:t xml:space="preserve">Accordingly, </w:t>
      </w:r>
      <w:r w:rsidRPr="00221DBE">
        <w:t xml:space="preserve">IT IS ORDERED </w:t>
      </w:r>
      <w:r w:rsidRPr="00193A4F">
        <w:t>that, pursuan</w:t>
      </w:r>
      <w:r>
        <w:t>t to Section 405 of the</w:t>
      </w:r>
      <w:r w:rsidR="00A3735C">
        <w:t xml:space="preserve"> Communications</w:t>
      </w:r>
      <w:r>
        <w:t xml:space="preserve"> Act</w:t>
      </w:r>
      <w:r w:rsidR="00A3735C">
        <w:t xml:space="preserve"> of 1934, as amended (Act)</w:t>
      </w:r>
      <w:r w:rsidRPr="00193A4F">
        <w:t xml:space="preserve"> and Section 1.106</w:t>
      </w:r>
      <w:r w:rsidR="00615D16">
        <w:t xml:space="preserve">(p)(1) </w:t>
      </w:r>
      <w:r w:rsidRPr="00193A4F">
        <w:t xml:space="preserve">of the </w:t>
      </w:r>
      <w:r w:rsidR="005E36F1">
        <w:t>Commission’s r</w:t>
      </w:r>
      <w:r w:rsidRPr="00193A4F">
        <w:t xml:space="preserve">ules, the Petition for Reconsideration filed by </w:t>
      </w:r>
      <w:r w:rsidRPr="00221DBE">
        <w:t>D.T.V.</w:t>
      </w:r>
      <w:r w:rsidR="00692C79">
        <w:t>, LLC</w:t>
      </w:r>
      <w:r w:rsidRPr="00221DBE">
        <w:t xml:space="preserve"> is hereby </w:t>
      </w:r>
      <w:r w:rsidR="0004542D">
        <w:t>DISMISSED</w:t>
      </w:r>
      <w:r w:rsidRPr="00193A4F">
        <w:t>.</w:t>
      </w:r>
      <w:r w:rsidRPr="002E164C">
        <w:rPr>
          <w:rStyle w:val="FootnoteReference"/>
        </w:rPr>
        <w:footnoteReference w:id="20"/>
      </w:r>
    </w:p>
    <w:p w14:paraId="45DAC9FE" w14:textId="00C6D521" w:rsidR="00F458AD" w:rsidRPr="00193A4F" w:rsidRDefault="00F458AD" w:rsidP="003A7D6A">
      <w:pPr>
        <w:pStyle w:val="ParaNum"/>
        <w:numPr>
          <w:ilvl w:val="0"/>
          <w:numId w:val="4"/>
        </w:numPr>
        <w:tabs>
          <w:tab w:val="clear" w:pos="1710"/>
        </w:tabs>
        <w:ind w:left="0"/>
      </w:pPr>
      <w:r w:rsidRPr="00221DBE">
        <w:t>IT IS FURTHER ORDERED</w:t>
      </w:r>
      <w:r w:rsidRPr="00193A4F">
        <w:t xml:space="preserve"> that, pursuant to Section 503(b) of the Act and Sections 1.80 of the </w:t>
      </w:r>
      <w:r w:rsidR="005E36F1">
        <w:t>Commission’s r</w:t>
      </w:r>
      <w:r w:rsidRPr="00193A4F">
        <w:t>ules,</w:t>
      </w:r>
      <w:r>
        <w:rPr>
          <w:rStyle w:val="FootnoteReference"/>
        </w:rPr>
        <w:footnoteReference w:id="21"/>
      </w:r>
      <w:r w:rsidRPr="005A6CE7">
        <w:t xml:space="preserve"> </w:t>
      </w:r>
      <w:r w:rsidRPr="00221DBE">
        <w:t>D.T.V.</w:t>
      </w:r>
      <w:r w:rsidR="00692C79">
        <w:t>, LLC</w:t>
      </w:r>
      <w:r w:rsidRPr="00221DBE">
        <w:t xml:space="preserve"> IS LIABLE FOR A MONETARY FORFEITURE</w:t>
      </w:r>
      <w:r w:rsidRPr="00193A4F">
        <w:t xml:space="preserve"> of </w:t>
      </w:r>
      <w:r>
        <w:t xml:space="preserve">$89,200 </w:t>
      </w:r>
      <w:r w:rsidRPr="00193A4F">
        <w:t>for willfully</w:t>
      </w:r>
      <w:r>
        <w:t xml:space="preserve"> and repeatedly violating </w:t>
      </w:r>
      <w:r w:rsidR="00615D16">
        <w:t xml:space="preserve">Section </w:t>
      </w:r>
      <w:r>
        <w:t xml:space="preserve">73.1225(a) </w:t>
      </w:r>
      <w:r w:rsidR="000D5468">
        <w:t xml:space="preserve">and 73.1350(a) </w:t>
      </w:r>
      <w:r w:rsidR="00615D16">
        <w:t xml:space="preserve">of the Commission’s </w:t>
      </w:r>
      <w:r w:rsidR="005E36F1">
        <w:t>r</w:t>
      </w:r>
      <w:r w:rsidR="00615D16">
        <w:t xml:space="preserve">ules </w:t>
      </w:r>
      <w:r>
        <w:t>and willfully violating Sections 73.112</w:t>
      </w:r>
      <w:r w:rsidR="00615D16">
        <w:t>5</w:t>
      </w:r>
      <w:r>
        <w:t xml:space="preserve">(a) of the Commission’s </w:t>
      </w:r>
      <w:r w:rsidR="005E36F1">
        <w:t>r</w:t>
      </w:r>
      <w:r>
        <w:t>ules.</w:t>
      </w:r>
      <w:r w:rsidRPr="002E164C">
        <w:rPr>
          <w:rStyle w:val="FootnoteReference"/>
        </w:rPr>
        <w:footnoteReference w:id="22"/>
      </w:r>
      <w:r w:rsidR="00615D16">
        <w:t xml:space="preserve"> </w:t>
      </w:r>
    </w:p>
    <w:p w14:paraId="7583EFC9" w14:textId="49ED899A" w:rsidR="00F458AD" w:rsidRPr="00DB74FC" w:rsidRDefault="00F458AD" w:rsidP="003A7D6A">
      <w:pPr>
        <w:pStyle w:val="ParaNum"/>
        <w:numPr>
          <w:ilvl w:val="0"/>
          <w:numId w:val="4"/>
        </w:numPr>
        <w:tabs>
          <w:tab w:val="clear" w:pos="1710"/>
        </w:tabs>
        <w:ind w:left="0"/>
      </w:pPr>
      <w:r w:rsidRPr="00DB74FC">
        <w:t xml:space="preserve">Payment of the forfeiture shall be made in the manner provided for in Section 1.80 of the </w:t>
      </w:r>
      <w:r w:rsidR="005E36F1" w:rsidRPr="00DB74FC">
        <w:t>Commission’s r</w:t>
      </w:r>
      <w:r w:rsidRPr="00DB74FC">
        <w:t xml:space="preserve">ules within </w:t>
      </w:r>
      <w:r w:rsidR="009D29A5" w:rsidRPr="00DB74FC">
        <w:t xml:space="preserve">fifteen </w:t>
      </w:r>
      <w:r w:rsidRPr="00DB74FC">
        <w:t>(</w:t>
      </w:r>
      <w:r w:rsidR="009D29A5" w:rsidRPr="00DB74FC">
        <w:t>15</w:t>
      </w:r>
      <w:r w:rsidRPr="00DB74FC">
        <w:t>) calendar days after the release date of this Memorandum Opinion and Order.</w:t>
      </w:r>
      <w:r w:rsidRPr="00DB74FC">
        <w:rPr>
          <w:rStyle w:val="FootnoteReference"/>
        </w:rPr>
        <w:footnoteReference w:id="23"/>
      </w:r>
      <w:r w:rsidRPr="00DB74FC">
        <w:t xml:space="preserve">  </w:t>
      </w:r>
      <w:r w:rsidR="00132D22">
        <w:t>This matter</w:t>
      </w:r>
      <w:r w:rsidRPr="00DB74FC">
        <w:t xml:space="preserve"> </w:t>
      </w:r>
      <w:r w:rsidR="005E36F1" w:rsidRPr="00DB74FC">
        <w:t xml:space="preserve">has been </w:t>
      </w:r>
      <w:r w:rsidRPr="00DB74FC">
        <w:t>referred to the U.S. Department of Justice for enforcement of the forfeiture pursuant to Section 504(a) of the Act</w:t>
      </w:r>
      <w:r w:rsidR="00132D22">
        <w:t>.</w:t>
      </w:r>
      <w:r w:rsidRPr="00DB74FC">
        <w:rPr>
          <w:rStyle w:val="FootnoteReference"/>
        </w:rPr>
        <w:footnoteReference w:id="24"/>
      </w:r>
      <w:r w:rsidRPr="00DB74FC">
        <w:t xml:space="preserve">  </w:t>
      </w:r>
      <w:r w:rsidR="00692C79" w:rsidRPr="00DB74FC">
        <w:t>D.T.V.</w:t>
      </w:r>
      <w:r w:rsidR="00692C79" w:rsidRPr="00132D22">
        <w:t>, LLC</w:t>
      </w:r>
      <w:r w:rsidR="00692C79" w:rsidRPr="00DB74FC">
        <w:t xml:space="preserve"> </w:t>
      </w:r>
      <w:r w:rsidR="00692C79" w:rsidRPr="00132D22">
        <w:rPr>
          <w:rFonts w:eastAsia="MS Mincho" w:cs="Arial"/>
        </w:rPr>
        <w:t xml:space="preserve">shall send electronic notification of payment to NER-Response@fcc.gov on the date said payment is made. </w:t>
      </w:r>
      <w:r w:rsidR="00692C79" w:rsidRPr="00DB74FC">
        <w:t xml:space="preserve"> </w:t>
      </w:r>
    </w:p>
    <w:p w14:paraId="680995DB" w14:textId="77777777" w:rsidR="00DA6153" w:rsidRDefault="00F458AD" w:rsidP="003A7D6A">
      <w:pPr>
        <w:pStyle w:val="ParaNum"/>
        <w:numPr>
          <w:ilvl w:val="0"/>
          <w:numId w:val="4"/>
        </w:numPr>
        <w:tabs>
          <w:tab w:val="clear" w:pos="1710"/>
        </w:tabs>
        <w:ind w:left="0"/>
        <w:sectPr w:rsidR="00DA61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221DBE">
        <w:t>Payment of the forfeiture must be made by check or similar instrument, wire transfer, or credit card, and must include the NAL/Account Number and FRN referenced above.  D.T.V.</w:t>
      </w:r>
      <w:r w:rsidR="007102F8">
        <w:t>, LLC</w:t>
      </w:r>
      <w:r w:rsidRPr="00221DBE">
        <w:t xml:space="preserve"> shall send electronic notification of payment to </w:t>
      </w:r>
      <w:r w:rsidR="0004542D" w:rsidRPr="00044631">
        <w:t>Janet.Moran</w:t>
      </w:r>
      <w:r w:rsidRPr="00044631">
        <w:t>@fcc.gov</w:t>
      </w:r>
      <w:r w:rsidRPr="00221DBE">
        <w:t xml:space="preserve"> on the date said payment is made.  Regardless of the form of payment, a completed FCC Form 159 (Remittance Advice) must be submitted.</w:t>
      </w:r>
      <w:r w:rsidRPr="002E164C">
        <w:rPr>
          <w:rStyle w:val="FootnoteReference"/>
        </w:rPr>
        <w:footnoteReference w:id="25"/>
      </w:r>
      <w:r w:rsidRPr="002E164C">
        <w:rPr>
          <w:rStyle w:val="FootnoteReference"/>
        </w:rPr>
        <w:t xml:space="preserve"> </w:t>
      </w:r>
      <w:r w:rsidRPr="00221DBE">
        <w:t xml:space="preserve"> When completing the FCC Form 159, enter the Account Number in block number 23A (call </w:t>
      </w:r>
    </w:p>
    <w:p w14:paraId="6192DC0B" w14:textId="1710513F" w:rsidR="00F458AD" w:rsidRPr="00221DBE" w:rsidRDefault="00F458AD" w:rsidP="00DA6153">
      <w:pPr>
        <w:pStyle w:val="ParaNum"/>
      </w:pPr>
      <w:r w:rsidRPr="00221DBE">
        <w:t xml:space="preserve">sign/other ID) and enter the letters “FORF” in block number 24A (payment type code).  Below are additional instructions that should be followed based on the form of payment selected:  </w:t>
      </w:r>
    </w:p>
    <w:p w14:paraId="5A106CBC" w14:textId="77777777" w:rsidR="00F458AD" w:rsidRPr="00221DBE" w:rsidRDefault="00F458AD" w:rsidP="00044631">
      <w:pPr>
        <w:pStyle w:val="ParaNum"/>
        <w:numPr>
          <w:ilvl w:val="0"/>
          <w:numId w:val="7"/>
        </w:numPr>
      </w:pPr>
      <w:r w:rsidRPr="00221DBE">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32840DD" w14:textId="77777777" w:rsidR="00F458AD" w:rsidRPr="00221DBE" w:rsidRDefault="00F458AD">
      <w:pPr>
        <w:pStyle w:val="ParaNum"/>
        <w:numPr>
          <w:ilvl w:val="0"/>
          <w:numId w:val="7"/>
        </w:numPr>
      </w:pPr>
      <w:r w:rsidRPr="00221DBE">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A4D2C95" w14:textId="77777777" w:rsidR="00F458AD" w:rsidRPr="00221DBE" w:rsidRDefault="00F458AD">
      <w:pPr>
        <w:pStyle w:val="ParaNum"/>
        <w:numPr>
          <w:ilvl w:val="0"/>
          <w:numId w:val="7"/>
        </w:numPr>
      </w:pPr>
      <w:r w:rsidRPr="00221DBE">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DB44936" w14:textId="77777777" w:rsidR="00F458AD" w:rsidRPr="00221DBE" w:rsidRDefault="00F458AD" w:rsidP="003A7D6A">
      <w:pPr>
        <w:pStyle w:val="ParaNum"/>
        <w:numPr>
          <w:ilvl w:val="0"/>
          <w:numId w:val="4"/>
        </w:numPr>
        <w:tabs>
          <w:tab w:val="clear" w:pos="1710"/>
        </w:tabs>
        <w:ind w:left="0"/>
      </w:pPr>
      <w:r w:rsidRPr="00221DBE">
        <w:t>Any request for making full payment over time under an installment plan should be sent to:  Chief Financial Officer—Financial Operations, Federal Communications Commission, 445 12th Street, S.W., Room 1-A625, Washington, D.C. 20554.</w:t>
      </w:r>
      <w:r w:rsidRPr="002E164C">
        <w:rPr>
          <w:rStyle w:val="FootnoteReference"/>
        </w:rPr>
        <w:footnoteReference w:id="26"/>
      </w:r>
      <w:r w:rsidRPr="00221DBE">
        <w:t xml:space="preserve">  Questions regarding payment procedures should be directed to the Financial Operations Group Help Desk by phone, 1-877-480-3201, or by e</w:t>
      </w:r>
      <w:r w:rsidRPr="00221DBE">
        <w:noBreakHyphen/>
        <w:t>mail, ARINQUIRIES@fcc.gov. </w:t>
      </w:r>
    </w:p>
    <w:p w14:paraId="08698AD7" w14:textId="77777777" w:rsidR="00F458AD" w:rsidRPr="00193A4F" w:rsidRDefault="00F458AD" w:rsidP="003A7D6A">
      <w:pPr>
        <w:pStyle w:val="ParaNum"/>
        <w:numPr>
          <w:ilvl w:val="0"/>
          <w:numId w:val="4"/>
        </w:numPr>
        <w:tabs>
          <w:tab w:val="clear" w:pos="1710"/>
        </w:tabs>
        <w:ind w:left="0"/>
        <w:rPr>
          <w:b/>
        </w:rPr>
      </w:pPr>
      <w:r w:rsidRPr="00221DBE">
        <w:t>IT IS FURTHER ORDERED</w:t>
      </w:r>
      <w:r w:rsidRPr="00193A4F">
        <w:t xml:space="preserve"> that a copy of this Memorandum Opinion and Order </w:t>
      </w:r>
      <w:r w:rsidRPr="004749BE">
        <w:t xml:space="preserve">shall be sent by first class mail and certified mail, return receipt requested, to </w:t>
      </w:r>
      <w:r w:rsidRPr="00233C59">
        <w:t xml:space="preserve">D.T.V., LLC, 1903 South Greeley Highway #127, Cheyenne, Wyoming 82007, </w:t>
      </w:r>
      <w:r w:rsidRPr="004749BE">
        <w:t xml:space="preserve">and to </w:t>
      </w:r>
      <w:r w:rsidRPr="00221DBE">
        <w:t>Peter Tannenwald, counsel for D.T.V., LLC, at Fletcher, Heald, &amp; Hildreth, P.L.C., 1300 North 17th Street, 11th Floor, Arlington, Virginia 22209.</w:t>
      </w:r>
      <w:r w:rsidRPr="00D20ED9">
        <w:rPr>
          <w:color w:val="000000" w:themeColor="text1"/>
          <w:szCs w:val="22"/>
        </w:rPr>
        <w:t xml:space="preserve"> </w:t>
      </w:r>
    </w:p>
    <w:p w14:paraId="6CDC3C4F" w14:textId="77777777" w:rsidR="00F458AD" w:rsidRDefault="00F458AD" w:rsidP="00044631">
      <w:pPr>
        <w:pStyle w:val="ParaNum"/>
        <w:rPr>
          <w:szCs w:val="22"/>
        </w:rPr>
      </w:pPr>
    </w:p>
    <w:p w14:paraId="3896670F" w14:textId="5488C3A7" w:rsidR="0014774E" w:rsidRDefault="0014774E">
      <w:pPr>
        <w:pStyle w:val="ParaNum"/>
        <w:rPr>
          <w:szCs w:val="22"/>
        </w:rPr>
      </w:pPr>
      <w:r>
        <w:rPr>
          <w:szCs w:val="22"/>
        </w:rPr>
        <w:tab/>
      </w:r>
      <w:r>
        <w:rPr>
          <w:szCs w:val="22"/>
        </w:rPr>
        <w:tab/>
      </w:r>
      <w:r>
        <w:rPr>
          <w:szCs w:val="22"/>
        </w:rPr>
        <w:tab/>
      </w:r>
      <w:r>
        <w:rPr>
          <w:szCs w:val="22"/>
        </w:rPr>
        <w:tab/>
      </w:r>
      <w:r>
        <w:rPr>
          <w:szCs w:val="22"/>
        </w:rPr>
        <w:tab/>
      </w:r>
      <w:r>
        <w:rPr>
          <w:szCs w:val="22"/>
        </w:rPr>
        <w:tab/>
      </w:r>
      <w:r w:rsidRPr="0014774E">
        <w:rPr>
          <w:szCs w:val="22"/>
        </w:rPr>
        <w:t>FEDERAL COMMUNICATIONS COMMISSION</w:t>
      </w:r>
    </w:p>
    <w:p w14:paraId="52C6E6B2" w14:textId="77777777" w:rsidR="00DA6153" w:rsidRDefault="00DA6153">
      <w:pPr>
        <w:pStyle w:val="ParaNum"/>
        <w:rPr>
          <w:szCs w:val="22"/>
        </w:rPr>
      </w:pPr>
    </w:p>
    <w:p w14:paraId="6C13210B" w14:textId="77777777" w:rsidR="0014774E" w:rsidRDefault="0014774E">
      <w:pPr>
        <w:pStyle w:val="ParaNum"/>
        <w:rPr>
          <w:szCs w:val="22"/>
        </w:rPr>
      </w:pPr>
    </w:p>
    <w:p w14:paraId="34E78826" w14:textId="388C265F" w:rsidR="0014774E" w:rsidRDefault="0014774E">
      <w:pPr>
        <w:pStyle w:val="ParaNum"/>
        <w:spacing w:after="0"/>
        <w:rPr>
          <w:szCs w:val="22"/>
        </w:rPr>
      </w:pPr>
      <w:r>
        <w:rPr>
          <w:szCs w:val="22"/>
        </w:rPr>
        <w:tab/>
      </w:r>
      <w:r>
        <w:rPr>
          <w:szCs w:val="22"/>
        </w:rPr>
        <w:tab/>
      </w:r>
      <w:r>
        <w:rPr>
          <w:szCs w:val="22"/>
        </w:rPr>
        <w:tab/>
      </w:r>
      <w:r>
        <w:rPr>
          <w:szCs w:val="22"/>
        </w:rPr>
        <w:tab/>
      </w:r>
      <w:r>
        <w:rPr>
          <w:szCs w:val="22"/>
        </w:rPr>
        <w:tab/>
      </w:r>
      <w:r>
        <w:rPr>
          <w:szCs w:val="22"/>
        </w:rPr>
        <w:tab/>
        <w:t>Travis LeBlanc</w:t>
      </w:r>
    </w:p>
    <w:p w14:paraId="0DDED488" w14:textId="6AEF3301" w:rsidR="0014774E" w:rsidRDefault="0014774E">
      <w:pPr>
        <w:pStyle w:val="ParaNum"/>
        <w:spacing w:after="0"/>
        <w:rPr>
          <w:szCs w:val="22"/>
        </w:rPr>
      </w:pPr>
      <w:r>
        <w:rPr>
          <w:szCs w:val="22"/>
        </w:rPr>
        <w:tab/>
      </w:r>
      <w:r>
        <w:rPr>
          <w:szCs w:val="22"/>
        </w:rPr>
        <w:tab/>
      </w:r>
      <w:r>
        <w:rPr>
          <w:szCs w:val="22"/>
        </w:rPr>
        <w:tab/>
      </w:r>
      <w:r>
        <w:rPr>
          <w:szCs w:val="22"/>
        </w:rPr>
        <w:tab/>
      </w:r>
      <w:r>
        <w:rPr>
          <w:szCs w:val="22"/>
        </w:rPr>
        <w:tab/>
      </w:r>
      <w:r>
        <w:rPr>
          <w:szCs w:val="22"/>
        </w:rPr>
        <w:tab/>
        <w:t xml:space="preserve">Chief </w:t>
      </w:r>
    </w:p>
    <w:p w14:paraId="29C26379" w14:textId="288E82E9" w:rsidR="0014774E" w:rsidRDefault="0014774E">
      <w:pPr>
        <w:pStyle w:val="ParaNum"/>
        <w:spacing w:after="0"/>
        <w:rPr>
          <w:szCs w:val="22"/>
        </w:rPr>
      </w:pPr>
      <w:r>
        <w:rPr>
          <w:szCs w:val="22"/>
        </w:rPr>
        <w:tab/>
      </w:r>
      <w:r>
        <w:rPr>
          <w:szCs w:val="22"/>
        </w:rPr>
        <w:tab/>
      </w:r>
      <w:r>
        <w:rPr>
          <w:szCs w:val="22"/>
        </w:rPr>
        <w:tab/>
      </w:r>
      <w:r>
        <w:rPr>
          <w:szCs w:val="22"/>
        </w:rPr>
        <w:tab/>
      </w:r>
      <w:r>
        <w:rPr>
          <w:szCs w:val="22"/>
        </w:rPr>
        <w:tab/>
      </w:r>
      <w:r>
        <w:rPr>
          <w:szCs w:val="22"/>
        </w:rPr>
        <w:tab/>
        <w:t>Enforcement Bureau</w:t>
      </w:r>
    </w:p>
    <w:sectPr w:rsidR="00147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2904" w14:textId="77777777" w:rsidR="0011236F" w:rsidRDefault="0011236F" w:rsidP="0070043E">
      <w:r>
        <w:separator/>
      </w:r>
    </w:p>
  </w:endnote>
  <w:endnote w:type="continuationSeparator" w:id="0">
    <w:p w14:paraId="30064F66" w14:textId="77777777" w:rsidR="0011236F" w:rsidRDefault="0011236F" w:rsidP="0070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403F" w14:textId="77777777" w:rsidR="001C5E42" w:rsidRDefault="001C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21ED" w14:textId="77777777" w:rsidR="001C5E42" w:rsidRDefault="001C5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A1FA" w14:textId="77777777" w:rsidR="001C5E42" w:rsidRDefault="001C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47553" w14:textId="77777777" w:rsidR="0011236F" w:rsidRDefault="0011236F" w:rsidP="0070043E">
      <w:r>
        <w:separator/>
      </w:r>
    </w:p>
  </w:footnote>
  <w:footnote w:type="continuationSeparator" w:id="0">
    <w:p w14:paraId="7632BD1B" w14:textId="77777777" w:rsidR="0011236F" w:rsidRDefault="0011236F" w:rsidP="0070043E">
      <w:r>
        <w:continuationSeparator/>
      </w:r>
    </w:p>
  </w:footnote>
  <w:footnote w:id="1">
    <w:p w14:paraId="7E4F7412" w14:textId="6966A322" w:rsidR="00D1081A" w:rsidRPr="00054584" w:rsidRDefault="00D1081A" w:rsidP="00D1081A">
      <w:pPr>
        <w:pStyle w:val="FootnoteText"/>
      </w:pPr>
      <w:r w:rsidRPr="006A1C48">
        <w:rPr>
          <w:rStyle w:val="FootnoteReference"/>
        </w:rPr>
        <w:footnoteRef/>
      </w:r>
      <w:r>
        <w:t xml:space="preserve"> </w:t>
      </w:r>
      <w:r>
        <w:rPr>
          <w:i/>
        </w:rPr>
        <w:t>D.T.V., LLC</w:t>
      </w:r>
      <w:r w:rsidRPr="00344C0B">
        <w:t xml:space="preserve">, </w:t>
      </w:r>
      <w:r>
        <w:t xml:space="preserve">Forfeiture Order, 31 FCC Rcd </w:t>
      </w:r>
      <w:r w:rsidR="00B037B1">
        <w:t>2650</w:t>
      </w:r>
      <w:r>
        <w:t xml:space="preserve"> </w:t>
      </w:r>
      <w:r w:rsidR="009240DE">
        <w:t xml:space="preserve">(2016) </w:t>
      </w:r>
      <w:r>
        <w:t>(</w:t>
      </w:r>
      <w:r w:rsidRPr="004B4666">
        <w:rPr>
          <w:i/>
        </w:rPr>
        <w:t>Forfeiture Order</w:t>
      </w:r>
      <w:r>
        <w:t xml:space="preserve">). </w:t>
      </w:r>
    </w:p>
  </w:footnote>
  <w:footnote w:id="2">
    <w:p w14:paraId="634AEF63" w14:textId="1CA5328C" w:rsidR="0070043E" w:rsidRPr="00FF67D7" w:rsidRDefault="0070043E" w:rsidP="0070043E">
      <w:pPr>
        <w:pStyle w:val="FootnoteText"/>
        <w:rPr>
          <w:i/>
        </w:rPr>
      </w:pPr>
      <w:r w:rsidRPr="006A1C48">
        <w:rPr>
          <w:rStyle w:val="FootnoteReference"/>
        </w:rPr>
        <w:footnoteRef/>
      </w:r>
      <w:r>
        <w:t xml:space="preserve"> </w:t>
      </w:r>
      <w:r>
        <w:rPr>
          <w:i/>
        </w:rPr>
        <w:t>Forfeiture Order</w:t>
      </w:r>
      <w:r>
        <w:t>, 31 FCC Rcd at 2657-5</w:t>
      </w:r>
      <w:r w:rsidR="00C75284">
        <w:t>8</w:t>
      </w:r>
      <w:r>
        <w:t>, paras. 19-2</w:t>
      </w:r>
      <w:r w:rsidR="00C17A00">
        <w:t>1</w:t>
      </w:r>
      <w:r>
        <w:t>.</w:t>
      </w:r>
      <w:r>
        <w:rPr>
          <w:i/>
        </w:rPr>
        <w:t xml:space="preserve"> </w:t>
      </w:r>
    </w:p>
  </w:footnote>
  <w:footnote w:id="3">
    <w:p w14:paraId="18626144" w14:textId="5C18CA55" w:rsidR="00C75284" w:rsidRDefault="00C75284">
      <w:pPr>
        <w:pStyle w:val="FootnoteText"/>
      </w:pPr>
      <w:r>
        <w:rPr>
          <w:rStyle w:val="FootnoteReference"/>
        </w:rPr>
        <w:footnoteRef/>
      </w:r>
      <w:r>
        <w:t xml:space="preserve"> </w:t>
      </w:r>
      <w:r>
        <w:rPr>
          <w:i/>
        </w:rPr>
        <w:t>Forfeiture Order</w:t>
      </w:r>
      <w:r>
        <w:t>, 31 FCC Rcd at 2658-59, para. 22.</w:t>
      </w:r>
      <w:r>
        <w:rPr>
          <w:i/>
        </w:rPr>
        <w:t xml:space="preserve"> </w:t>
      </w:r>
      <w:r>
        <w:t xml:space="preserve"> </w:t>
      </w:r>
    </w:p>
  </w:footnote>
  <w:footnote w:id="4">
    <w:p w14:paraId="6626DE66" w14:textId="6BDA05EA" w:rsidR="0037131C" w:rsidRPr="0037131C" w:rsidRDefault="0037131C">
      <w:pPr>
        <w:pStyle w:val="FootnoteText"/>
        <w:rPr>
          <w:b/>
        </w:rPr>
      </w:pPr>
      <w:r>
        <w:rPr>
          <w:rStyle w:val="FootnoteReference"/>
        </w:rPr>
        <w:footnoteRef/>
      </w:r>
      <w:r>
        <w:t xml:space="preserve"> </w:t>
      </w:r>
      <w:r w:rsidR="00B037B1" w:rsidRPr="00B037B1">
        <w:rPr>
          <w:i/>
        </w:rPr>
        <w:t>D.T.V., LLC</w:t>
      </w:r>
      <w:r w:rsidR="00B037B1">
        <w:rPr>
          <w:b/>
        </w:rPr>
        <w:t xml:space="preserve">, </w:t>
      </w:r>
      <w:r w:rsidR="001A4471">
        <w:t>Notice o</w:t>
      </w:r>
      <w:r w:rsidR="00B037B1" w:rsidRPr="00B037B1">
        <w:t>f Apparent Liability for Forfeiture, 29 FCC Rcd 5483 (2014</w:t>
      </w:r>
      <w:r w:rsidR="00D24BDD">
        <w:t>)(</w:t>
      </w:r>
      <w:r w:rsidR="00D24BDD" w:rsidRPr="00B24237">
        <w:rPr>
          <w:i/>
        </w:rPr>
        <w:t>NAL</w:t>
      </w:r>
      <w:r w:rsidR="00D24BDD">
        <w:t>)</w:t>
      </w:r>
      <w:r w:rsidR="00B037B1" w:rsidRPr="00B037B1">
        <w:t>.</w:t>
      </w:r>
    </w:p>
  </w:footnote>
  <w:footnote w:id="5">
    <w:p w14:paraId="27603063" w14:textId="1D8452C0" w:rsidR="00E61E2C" w:rsidRDefault="00E61E2C">
      <w:pPr>
        <w:pStyle w:val="FootnoteText"/>
      </w:pPr>
      <w:r>
        <w:rPr>
          <w:rStyle w:val="FootnoteReference"/>
        </w:rPr>
        <w:footnoteRef/>
      </w:r>
      <w:r>
        <w:t xml:space="preserve"> </w:t>
      </w:r>
      <w:r w:rsidRPr="009660D6">
        <w:rPr>
          <w:i/>
        </w:rPr>
        <w:t>NAL</w:t>
      </w:r>
      <w:r>
        <w:t>, 29 FCC Rcd at 5486, para. 11.</w:t>
      </w:r>
    </w:p>
  </w:footnote>
  <w:footnote w:id="6">
    <w:p w14:paraId="53B5164A" w14:textId="75487B7C" w:rsidR="000555F6" w:rsidRDefault="000555F6">
      <w:pPr>
        <w:pStyle w:val="FootnoteText"/>
      </w:pPr>
      <w:r>
        <w:rPr>
          <w:rStyle w:val="FootnoteReference"/>
        </w:rPr>
        <w:footnoteRef/>
      </w:r>
      <w:r>
        <w:t xml:space="preserve"> </w:t>
      </w:r>
      <w:r w:rsidRPr="00ED48F0">
        <w:rPr>
          <w:i/>
        </w:rPr>
        <w:t>Forfeiture Order</w:t>
      </w:r>
      <w:r>
        <w:t>, 31 FCC Rcd at 2655, para. 14.</w:t>
      </w:r>
    </w:p>
  </w:footnote>
  <w:footnote w:id="7">
    <w:p w14:paraId="13FE33E0" w14:textId="38078168" w:rsidR="00BD74E9" w:rsidRDefault="00BD74E9">
      <w:pPr>
        <w:pStyle w:val="FootnoteText"/>
      </w:pPr>
      <w:r>
        <w:rPr>
          <w:rStyle w:val="FootnoteReference"/>
        </w:rPr>
        <w:footnoteRef/>
      </w:r>
      <w:r w:rsidR="00132D22">
        <w:t xml:space="preserve"> </w:t>
      </w:r>
      <w:r w:rsidR="00132D22" w:rsidRPr="005704C6">
        <w:rPr>
          <w:i/>
        </w:rPr>
        <w:t>Forfeiture Order</w:t>
      </w:r>
      <w:r w:rsidR="00132D22">
        <w:t>, 31 FCC Rcd at 2655-2656, para. 14.</w:t>
      </w:r>
    </w:p>
  </w:footnote>
  <w:footnote w:id="8">
    <w:p w14:paraId="3AB15313" w14:textId="02693C0C" w:rsidR="000017E3" w:rsidRDefault="000017E3">
      <w:pPr>
        <w:pStyle w:val="FootnoteText"/>
      </w:pPr>
      <w:r>
        <w:rPr>
          <w:rStyle w:val="FootnoteReference"/>
        </w:rPr>
        <w:footnoteRef/>
      </w:r>
      <w:r w:rsidR="00BD74E9">
        <w:t xml:space="preserve"> </w:t>
      </w:r>
      <w:r w:rsidR="000714F6" w:rsidRPr="005704C6">
        <w:rPr>
          <w:i/>
        </w:rPr>
        <w:t>Forfeiture Order</w:t>
      </w:r>
      <w:r w:rsidR="000714F6" w:rsidRPr="000714F6">
        <w:t xml:space="preserve">, 31 FCC Rcd at </w:t>
      </w:r>
      <w:r w:rsidR="000555F6">
        <w:t>2656</w:t>
      </w:r>
      <w:r w:rsidR="000714F6" w:rsidRPr="000714F6">
        <w:t>, para.</w:t>
      </w:r>
      <w:r w:rsidR="000555F6">
        <w:t xml:space="preserve"> 14</w:t>
      </w:r>
      <w:r w:rsidR="003575DD">
        <w:t xml:space="preserve">, </w:t>
      </w:r>
      <w:r w:rsidR="005704C6">
        <w:t xml:space="preserve">quoting </w:t>
      </w:r>
      <w:r w:rsidR="003575DD" w:rsidRPr="005704C6">
        <w:rPr>
          <w:i/>
        </w:rPr>
        <w:t>NAL</w:t>
      </w:r>
      <w:r w:rsidR="003575DD">
        <w:t xml:space="preserve"> at </w:t>
      </w:r>
      <w:r w:rsidR="003575DD" w:rsidRPr="003575DD">
        <w:t xml:space="preserve">29 FCC Rcd at 5488, para. 18. </w:t>
      </w:r>
      <w:r w:rsidR="000714F6" w:rsidRPr="000714F6">
        <w:t xml:space="preserve"> </w:t>
      </w:r>
    </w:p>
  </w:footnote>
  <w:footnote w:id="9">
    <w:p w14:paraId="5882AD6B" w14:textId="2028BE32" w:rsidR="009C38ED" w:rsidRDefault="009C38ED">
      <w:pPr>
        <w:pStyle w:val="FootnoteText"/>
      </w:pPr>
      <w:r>
        <w:rPr>
          <w:rStyle w:val="FootnoteReference"/>
        </w:rPr>
        <w:footnoteRef/>
      </w:r>
      <w:r>
        <w:t xml:space="preserve"> </w:t>
      </w:r>
      <w:r w:rsidRPr="00E767A8">
        <w:rPr>
          <w:i/>
        </w:rPr>
        <w:t>Forfeiture Order</w:t>
      </w:r>
      <w:r>
        <w:t xml:space="preserve">, 31 FCC Rcd at </w:t>
      </w:r>
      <w:r w:rsidR="005152F4">
        <w:t>2656</w:t>
      </w:r>
      <w:r>
        <w:t xml:space="preserve">, para. </w:t>
      </w:r>
      <w:r w:rsidR="005152F4">
        <w:t>14</w:t>
      </w:r>
      <w:r>
        <w:t xml:space="preserve">.   </w:t>
      </w:r>
    </w:p>
  </w:footnote>
  <w:footnote w:id="10">
    <w:p w14:paraId="4BFF15F4" w14:textId="31A8052F" w:rsidR="00D01AAB" w:rsidRPr="00D01AAB" w:rsidRDefault="00D01AAB">
      <w:pPr>
        <w:pStyle w:val="FootnoteText"/>
        <w:rPr>
          <w:b/>
        </w:rPr>
      </w:pPr>
      <w:r>
        <w:rPr>
          <w:rStyle w:val="FootnoteReference"/>
        </w:rPr>
        <w:footnoteRef/>
      </w:r>
      <w:r>
        <w:t xml:space="preserve"> </w:t>
      </w:r>
      <w:r w:rsidR="00B037B1" w:rsidRPr="00E767A8">
        <w:rPr>
          <w:i/>
        </w:rPr>
        <w:t>Forfeiture Order</w:t>
      </w:r>
      <w:r w:rsidR="00600446">
        <w:t>, 31 FCC Rcd</w:t>
      </w:r>
      <w:r w:rsidR="00B037B1">
        <w:t xml:space="preserve"> at </w:t>
      </w:r>
      <w:r w:rsidR="00E767A8">
        <w:t>2659</w:t>
      </w:r>
      <w:r w:rsidR="00600446">
        <w:t>, para. 23</w:t>
      </w:r>
      <w:r w:rsidR="00E767A8">
        <w:t xml:space="preserve">.  </w:t>
      </w:r>
      <w:r w:rsidR="00600446">
        <w:t xml:space="preserve"> </w:t>
      </w:r>
    </w:p>
  </w:footnote>
  <w:footnote w:id="11">
    <w:p w14:paraId="5A23D156" w14:textId="5822E71E" w:rsidR="00D01AAB" w:rsidRPr="00D01AAB" w:rsidRDefault="00D01AAB" w:rsidP="00AE0A55">
      <w:pPr>
        <w:pStyle w:val="FootnoteText"/>
        <w:rPr>
          <w:b/>
        </w:rPr>
      </w:pPr>
      <w:r>
        <w:rPr>
          <w:rStyle w:val="FootnoteReference"/>
        </w:rPr>
        <w:footnoteRef/>
      </w:r>
      <w:r>
        <w:t xml:space="preserve"> </w:t>
      </w:r>
      <w:r>
        <w:rPr>
          <w:i/>
        </w:rPr>
        <w:t>Forfeiture Order</w:t>
      </w:r>
      <w:r>
        <w:t>, 31 FCC Rcd at 2657-5</w:t>
      </w:r>
      <w:r w:rsidR="0057532A">
        <w:t>8</w:t>
      </w:r>
      <w:r>
        <w:t>, paras. 19-2</w:t>
      </w:r>
      <w:r w:rsidR="0057532A">
        <w:t>1</w:t>
      </w:r>
      <w:r>
        <w:t xml:space="preserve">. </w:t>
      </w:r>
      <w:r w:rsidR="00490474">
        <w:t xml:space="preserve">In the </w:t>
      </w:r>
      <w:r w:rsidR="00490474">
        <w:rPr>
          <w:i/>
        </w:rPr>
        <w:t xml:space="preserve">Forfeiture Policy </w:t>
      </w:r>
      <w:r w:rsidR="00490474" w:rsidRPr="00490474">
        <w:rPr>
          <w:i/>
        </w:rPr>
        <w:t>Statement</w:t>
      </w:r>
      <w:r w:rsidR="00490474">
        <w:t xml:space="preserve">, the Commission set forth guidelines for forfeiture amounts in enforcement proceedings.  </w:t>
      </w:r>
      <w:r w:rsidR="00490474" w:rsidRPr="00344C0B">
        <w:rPr>
          <w:i/>
        </w:rPr>
        <w:t>The Commission’s Forfeiture Policy Statement and Amendment of Section 1.80 of the Rules to Incorporate the Forfeiture Guidelines</w:t>
      </w:r>
      <w:r w:rsidR="00490474" w:rsidRPr="00344C0B">
        <w:t>, Report and Order, 12 FCC Rcd 17087</w:t>
      </w:r>
      <w:r w:rsidR="002D005D">
        <w:t xml:space="preserve"> </w:t>
      </w:r>
      <w:r w:rsidR="00490474" w:rsidRPr="00344C0B">
        <w:t>(1997) (</w:t>
      </w:r>
      <w:r w:rsidR="00490474" w:rsidRPr="00344C0B">
        <w:rPr>
          <w:i/>
        </w:rPr>
        <w:t>Forfeiture Policy Statement</w:t>
      </w:r>
      <w:r w:rsidR="00490474" w:rsidRPr="00344C0B">
        <w:t xml:space="preserve">), </w:t>
      </w:r>
      <w:r w:rsidR="00490474" w:rsidRPr="00344C0B">
        <w:rPr>
          <w:i/>
        </w:rPr>
        <w:t>recons. denied</w:t>
      </w:r>
      <w:r w:rsidR="00490474" w:rsidRPr="00344C0B">
        <w:t>, Memorandum Opinion an</w:t>
      </w:r>
      <w:r w:rsidR="002D005D">
        <w:t>d Order, 15 FCC Rcd 303 (1999).</w:t>
      </w:r>
      <w:r w:rsidR="00490474">
        <w:t xml:space="preserve"> </w:t>
      </w:r>
      <w:r w:rsidR="002D005D">
        <w:t xml:space="preserve"> </w:t>
      </w:r>
      <w:r w:rsidR="00AE0A55" w:rsidRPr="00490474">
        <w:t>The</w:t>
      </w:r>
      <w:r w:rsidR="00AE0A55">
        <w:t xml:space="preserve"> Commission retains the discretion</w:t>
      </w:r>
      <w:r w:rsidR="009E72D8">
        <w:t xml:space="preserve"> </w:t>
      </w:r>
      <w:r w:rsidR="00AE0A55">
        <w:t xml:space="preserve">to issue a higher or lower forfeiture than provided in the </w:t>
      </w:r>
      <w:r w:rsidR="00AE0A55" w:rsidRPr="00110F85">
        <w:rPr>
          <w:i/>
        </w:rPr>
        <w:t>Forfeiture Policy Statement</w:t>
      </w:r>
      <w:r w:rsidR="00AE0A55">
        <w:t xml:space="preserve"> based on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009E72D8">
        <w:t xml:space="preserve">. </w:t>
      </w:r>
      <w:r w:rsidR="00ED38A3">
        <w:t xml:space="preserve"> </w:t>
      </w:r>
      <w:r w:rsidR="00ED38A3" w:rsidRPr="009E72D8">
        <w:t>47 C</w:t>
      </w:r>
      <w:r w:rsidR="00490474">
        <w:t>.</w:t>
      </w:r>
      <w:r w:rsidR="00ED38A3" w:rsidRPr="009E72D8">
        <w:t>F</w:t>
      </w:r>
      <w:r w:rsidR="00490474">
        <w:t>.</w:t>
      </w:r>
      <w:r w:rsidR="00ED38A3" w:rsidRPr="009E72D8">
        <w:t>R</w:t>
      </w:r>
      <w:r w:rsidR="00490474">
        <w:t>.</w:t>
      </w:r>
      <w:r w:rsidR="00ED38A3" w:rsidRPr="009E72D8">
        <w:t xml:space="preserve"> § 1.80</w:t>
      </w:r>
      <w:r w:rsidR="00ED38A3">
        <w:t xml:space="preserve">; </w:t>
      </w:r>
      <w:r w:rsidR="009E72D8" w:rsidRPr="00344C0B">
        <w:rPr>
          <w:i/>
        </w:rPr>
        <w:t>Forfeiture Policy Statement</w:t>
      </w:r>
      <w:r w:rsidR="009E72D8" w:rsidRPr="00344C0B">
        <w:t xml:space="preserve">, 12 FCC Rcd </w:t>
      </w:r>
      <w:r w:rsidR="002D005D">
        <w:t xml:space="preserve">at </w:t>
      </w:r>
      <w:r w:rsidR="0052043A">
        <w:t xml:space="preserve">17100-01, </w:t>
      </w:r>
      <w:r w:rsidR="009E72D8">
        <w:t>para. 27</w:t>
      </w:r>
      <w:r w:rsidR="002D005D">
        <w:t>.</w:t>
      </w:r>
      <w:r w:rsidR="009E72D8" w:rsidRPr="00344C0B">
        <w:t xml:space="preserve"> </w:t>
      </w:r>
      <w:r w:rsidR="009E72D8">
        <w:t xml:space="preserve"> </w:t>
      </w:r>
    </w:p>
  </w:footnote>
  <w:footnote w:id="12">
    <w:p w14:paraId="77E1B44F" w14:textId="0C0238C2" w:rsidR="00C77933" w:rsidRDefault="00C77933">
      <w:pPr>
        <w:pStyle w:val="FootnoteText"/>
      </w:pPr>
      <w:r>
        <w:rPr>
          <w:rStyle w:val="FootnoteReference"/>
        </w:rPr>
        <w:footnoteRef/>
      </w:r>
      <w:r>
        <w:t xml:space="preserve"> </w:t>
      </w:r>
      <w:r>
        <w:rPr>
          <w:i/>
        </w:rPr>
        <w:t>Forfeiture Order</w:t>
      </w:r>
      <w:r>
        <w:t>, 31 FCC Rcd at 2658-59, para. 22.</w:t>
      </w:r>
      <w:r>
        <w:rPr>
          <w:i/>
        </w:rPr>
        <w:t xml:space="preserve"> </w:t>
      </w:r>
      <w:r>
        <w:t xml:space="preserve">  </w:t>
      </w:r>
    </w:p>
  </w:footnote>
  <w:footnote w:id="13">
    <w:p w14:paraId="4DD6FE8E" w14:textId="54C907D7" w:rsidR="00715A30" w:rsidRPr="00344C0B" w:rsidRDefault="00715A30" w:rsidP="00715A30">
      <w:pPr>
        <w:pStyle w:val="FootnoteText"/>
      </w:pPr>
      <w:r w:rsidRPr="00344C0B">
        <w:rPr>
          <w:rStyle w:val="FootnoteReference"/>
        </w:rPr>
        <w:footnoteRef/>
      </w:r>
      <w:r>
        <w:t xml:space="preserve"> </w:t>
      </w:r>
      <w:r w:rsidRPr="00B24237">
        <w:rPr>
          <w:i/>
        </w:rPr>
        <w:t>D.T.V., LLC</w:t>
      </w:r>
      <w:r w:rsidRPr="0007571D">
        <w:t xml:space="preserve">, </w:t>
      </w:r>
      <w:r>
        <w:t xml:space="preserve">Petition for Reconsideration </w:t>
      </w:r>
      <w:r w:rsidRPr="0007571D">
        <w:t>(</w:t>
      </w:r>
      <w:r>
        <w:t>April 28, 2016</w:t>
      </w:r>
      <w:r w:rsidRPr="0007571D">
        <w:t xml:space="preserve">) (on file in </w:t>
      </w:r>
      <w:r w:rsidRPr="00344C0B">
        <w:rPr>
          <w:spacing w:val="-2"/>
        </w:rPr>
        <w:t>EB-</w:t>
      </w:r>
      <w:r w:rsidRPr="00CA1DDE">
        <w:t xml:space="preserve"> </w:t>
      </w:r>
      <w:r w:rsidRPr="00CA1DDE">
        <w:rPr>
          <w:spacing w:val="-2"/>
        </w:rPr>
        <w:t xml:space="preserve">FIELDNER-13-00006557 </w:t>
      </w:r>
      <w:r w:rsidRPr="0007571D">
        <w:t>(</w:t>
      </w:r>
      <w:r>
        <w:t>Petition</w:t>
      </w:r>
      <w:r w:rsidRPr="0007571D">
        <w:t>)</w:t>
      </w:r>
      <w:r w:rsidR="00383D60">
        <w:t>)</w:t>
      </w:r>
      <w:r w:rsidRPr="0007571D">
        <w:t xml:space="preserve">.    </w:t>
      </w:r>
    </w:p>
  </w:footnote>
  <w:footnote w:id="14">
    <w:p w14:paraId="37B3DAC6" w14:textId="372B1408" w:rsidR="000B0551" w:rsidRDefault="000B0551">
      <w:pPr>
        <w:pStyle w:val="FootnoteText"/>
      </w:pPr>
      <w:r>
        <w:rPr>
          <w:rStyle w:val="FootnoteReference"/>
        </w:rPr>
        <w:footnoteRef/>
      </w:r>
      <w:r>
        <w:t xml:space="preserve"> Petition at 1.</w:t>
      </w:r>
    </w:p>
  </w:footnote>
  <w:footnote w:id="15">
    <w:p w14:paraId="38BB5AAC" w14:textId="71486F1D" w:rsidR="00261FEB" w:rsidRDefault="00261FEB">
      <w:pPr>
        <w:pStyle w:val="FootnoteText"/>
      </w:pPr>
      <w:r>
        <w:rPr>
          <w:rStyle w:val="FootnoteReference"/>
        </w:rPr>
        <w:footnoteRef/>
      </w:r>
      <w:r>
        <w:t xml:space="preserve"> 47 C.F.R. § 1.106(p).  </w:t>
      </w:r>
    </w:p>
  </w:footnote>
  <w:footnote w:id="16">
    <w:p w14:paraId="3D7BA71C" w14:textId="7EC9C184" w:rsidR="005B16A9" w:rsidRDefault="005B16A9">
      <w:pPr>
        <w:pStyle w:val="FootnoteText"/>
      </w:pPr>
      <w:r>
        <w:rPr>
          <w:rStyle w:val="FootnoteReference"/>
        </w:rPr>
        <w:footnoteRef/>
      </w:r>
      <w:r>
        <w:t xml:space="preserve"> </w:t>
      </w:r>
      <w:r w:rsidR="00433E65">
        <w:t xml:space="preserve">47 C.F.R. § </w:t>
      </w:r>
      <w:r w:rsidR="00433E65">
        <w:rPr>
          <w:szCs w:val="22"/>
        </w:rPr>
        <w:t xml:space="preserve">1.106(p)(1).  </w:t>
      </w:r>
    </w:p>
  </w:footnote>
  <w:footnote w:id="17">
    <w:p w14:paraId="4AEBC332" w14:textId="703108D6" w:rsidR="00FD36D7" w:rsidRDefault="00FD36D7">
      <w:pPr>
        <w:pStyle w:val="FootnoteText"/>
      </w:pPr>
      <w:r>
        <w:rPr>
          <w:rStyle w:val="FootnoteReference"/>
        </w:rPr>
        <w:footnoteRef/>
      </w:r>
      <w:r>
        <w:t xml:space="preserve"> 47 C.F.R. § 1.106(p)(1).  </w:t>
      </w:r>
    </w:p>
  </w:footnote>
  <w:footnote w:id="18">
    <w:p w14:paraId="2C37FD07" w14:textId="69D10B9E" w:rsidR="00A6599C" w:rsidRPr="00A6599C" w:rsidRDefault="00A6599C">
      <w:pPr>
        <w:pStyle w:val="FootnoteText"/>
      </w:pPr>
      <w:r>
        <w:rPr>
          <w:rStyle w:val="FootnoteReference"/>
        </w:rPr>
        <w:footnoteRef/>
      </w:r>
      <w:r>
        <w:t xml:space="preserve"> </w:t>
      </w:r>
      <w:r>
        <w:rPr>
          <w:i/>
        </w:rPr>
        <w:t>Forfeiture Order</w:t>
      </w:r>
      <w:r>
        <w:t xml:space="preserve">, 31 FCC Rcd at 2658, para. 22, </w:t>
      </w:r>
      <w:r>
        <w:rPr>
          <w:i/>
          <w:iCs/>
        </w:rPr>
        <w:t xml:space="preserve">citing </w:t>
      </w:r>
      <w:r w:rsidRPr="00A97803">
        <w:rPr>
          <w:i/>
          <w:iCs/>
        </w:rPr>
        <w:t>TV Max, Inc., et al</w:t>
      </w:r>
      <w:r w:rsidRPr="00A97803">
        <w:t>., Forfeiture Order, 29 FCC Rcd 8648, 8661, para. 25 (2014) (noting that the</w:t>
      </w:r>
      <w:r>
        <w:t xml:space="preserve"> </w:t>
      </w:r>
      <w:r w:rsidRPr="00A97803">
        <w:t>Commission “has previously rejected inability to pay claims in cases of repeated or otherwise egregious</w:t>
      </w:r>
      <w:r>
        <w:t xml:space="preserve"> </w:t>
      </w:r>
      <w:r w:rsidRPr="00A97803">
        <w:t xml:space="preserve">violations”); </w:t>
      </w:r>
      <w:r w:rsidRPr="00A97803">
        <w:rPr>
          <w:i/>
          <w:iCs/>
        </w:rPr>
        <w:t>Kevin W. Bondy</w:t>
      </w:r>
      <w:r w:rsidRPr="00A97803">
        <w:t>, Forfeiture Order, 26 FCC Rcd 7840 (Enf. Bur. 2011) (holding that violator’s repeated</w:t>
      </w:r>
      <w:r>
        <w:t xml:space="preserve"> </w:t>
      </w:r>
      <w:r w:rsidRPr="00A97803">
        <w:t xml:space="preserve">acts of malicious and intentional interference outweighed evidence concerning his ability to pay), </w:t>
      </w:r>
      <w:r w:rsidRPr="00A97803">
        <w:rPr>
          <w:i/>
          <w:iCs/>
        </w:rPr>
        <w:t>aff’d</w:t>
      </w:r>
      <w:r w:rsidRPr="00A97803">
        <w:t>,</w:t>
      </w:r>
      <w:r>
        <w:t xml:space="preserve"> </w:t>
      </w:r>
      <w:r w:rsidRPr="00A97803">
        <w:t xml:space="preserve">Memorandum Opinion and Order, 28 FCC Rcd 1170 (Enf. Bur. 2013), </w:t>
      </w:r>
      <w:r w:rsidRPr="00A97803">
        <w:rPr>
          <w:i/>
          <w:iCs/>
        </w:rPr>
        <w:t>aff’d</w:t>
      </w:r>
      <w:r w:rsidRPr="00A97803">
        <w:t>, Memorandum Opinion and Order, 28</w:t>
      </w:r>
      <w:r>
        <w:t xml:space="preserve"> </w:t>
      </w:r>
      <w:r w:rsidRPr="00A97803">
        <w:t>FCC Rcd 16815 (Enf. Bur. 2013).</w:t>
      </w:r>
      <w:r>
        <w:t xml:space="preserve">  </w:t>
      </w:r>
    </w:p>
  </w:footnote>
  <w:footnote w:id="19">
    <w:p w14:paraId="1CA63AC9" w14:textId="7A49BE10" w:rsidR="00921F02" w:rsidRDefault="00921F02">
      <w:pPr>
        <w:pStyle w:val="FootnoteText"/>
      </w:pPr>
      <w:r>
        <w:rPr>
          <w:rStyle w:val="FootnoteReference"/>
        </w:rPr>
        <w:footnoteRef/>
      </w:r>
      <w:r>
        <w:t xml:space="preserve"> </w:t>
      </w:r>
      <w:r>
        <w:rPr>
          <w:i/>
        </w:rPr>
        <w:t>Forfeiture Order</w:t>
      </w:r>
      <w:r>
        <w:t>, 31 FCC Rcd at 2658-59, para. 22.</w:t>
      </w:r>
    </w:p>
  </w:footnote>
  <w:footnote w:id="20">
    <w:p w14:paraId="223551DF" w14:textId="35742F36" w:rsidR="00F458AD" w:rsidRPr="00193A4F" w:rsidRDefault="00F458AD" w:rsidP="00F458AD">
      <w:pPr>
        <w:pStyle w:val="FootnoteText"/>
      </w:pPr>
      <w:r w:rsidRPr="00193A4F">
        <w:rPr>
          <w:rStyle w:val="FootnoteReference"/>
        </w:rPr>
        <w:footnoteRef/>
      </w:r>
      <w:r w:rsidRPr="00193A4F">
        <w:t xml:space="preserve"> 47 U.S.C. § 405; 47 C</w:t>
      </w:r>
      <w:r w:rsidR="00261FEB">
        <w:t>.</w:t>
      </w:r>
      <w:r w:rsidRPr="00193A4F">
        <w:t>F</w:t>
      </w:r>
      <w:r w:rsidR="00261FEB">
        <w:t>.</w:t>
      </w:r>
      <w:r w:rsidRPr="00193A4F">
        <w:t>R</w:t>
      </w:r>
      <w:r w:rsidR="00261FEB">
        <w:t>.</w:t>
      </w:r>
      <w:r w:rsidRPr="00193A4F">
        <w:t xml:space="preserve"> § 1.106</w:t>
      </w:r>
      <w:r w:rsidR="0004542D">
        <w:t>(p)(1)</w:t>
      </w:r>
      <w:r w:rsidRPr="00193A4F">
        <w:t>.</w:t>
      </w:r>
      <w:r w:rsidR="00044631">
        <w:t xml:space="preserve"> </w:t>
      </w:r>
      <w:r w:rsidR="003A7D6A">
        <w:t xml:space="preserve">  </w:t>
      </w:r>
    </w:p>
  </w:footnote>
  <w:footnote w:id="21">
    <w:p w14:paraId="729294ED" w14:textId="16B4A1C6" w:rsidR="00F458AD" w:rsidRDefault="00F458AD" w:rsidP="00F458AD">
      <w:pPr>
        <w:pStyle w:val="FootnoteText"/>
      </w:pPr>
      <w:r>
        <w:rPr>
          <w:rStyle w:val="FootnoteReference"/>
        </w:rPr>
        <w:footnoteRef/>
      </w:r>
      <w:r>
        <w:t xml:space="preserve"> 47 U.S.C. § 503(b); 47 C</w:t>
      </w:r>
      <w:r w:rsidR="00615D16">
        <w:t>.</w:t>
      </w:r>
      <w:r>
        <w:t>F</w:t>
      </w:r>
      <w:r w:rsidR="00615D16">
        <w:t>.</w:t>
      </w:r>
      <w:r>
        <w:t>R</w:t>
      </w:r>
      <w:r w:rsidR="00615D16">
        <w:t>.</w:t>
      </w:r>
      <w:r>
        <w:t xml:space="preserve"> § 1.80.</w:t>
      </w:r>
    </w:p>
  </w:footnote>
  <w:footnote w:id="22">
    <w:p w14:paraId="7C683BC9" w14:textId="4E094D07" w:rsidR="00F458AD" w:rsidRPr="00193A4F" w:rsidRDefault="00F458AD" w:rsidP="00F458AD">
      <w:pPr>
        <w:pStyle w:val="FootnoteText"/>
      </w:pPr>
      <w:r w:rsidRPr="00193A4F">
        <w:rPr>
          <w:rStyle w:val="FootnoteReference"/>
        </w:rPr>
        <w:footnoteRef/>
      </w:r>
      <w:r>
        <w:t xml:space="preserve"> 47 C</w:t>
      </w:r>
      <w:r w:rsidR="00615D16">
        <w:t>.</w:t>
      </w:r>
      <w:r>
        <w:t>F</w:t>
      </w:r>
      <w:r w:rsidR="00615D16">
        <w:t>.</w:t>
      </w:r>
      <w:r>
        <w:t>R</w:t>
      </w:r>
      <w:r w:rsidR="00615D16">
        <w:t>.</w:t>
      </w:r>
      <w:r>
        <w:t xml:space="preserve"> </w:t>
      </w:r>
      <w:r w:rsidRPr="00707CE7">
        <w:t>§§ 73.</w:t>
      </w:r>
      <w:r>
        <w:t>1125(a), 73.1225(a), 73.1350(a)</w:t>
      </w:r>
      <w:r w:rsidRPr="00193A4F">
        <w:t>.</w:t>
      </w:r>
    </w:p>
  </w:footnote>
  <w:footnote w:id="23">
    <w:p w14:paraId="45CA793E" w14:textId="439242EB" w:rsidR="00F458AD" w:rsidRPr="00193A4F" w:rsidRDefault="00F458AD" w:rsidP="00F458AD">
      <w:pPr>
        <w:pStyle w:val="FootnoteText"/>
      </w:pPr>
      <w:r w:rsidRPr="00193A4F">
        <w:rPr>
          <w:rStyle w:val="FootnoteReference"/>
        </w:rPr>
        <w:footnoteRef/>
      </w:r>
      <w:r w:rsidRPr="00193A4F">
        <w:t xml:space="preserve"> 47 C</w:t>
      </w:r>
      <w:r w:rsidR="00615D16">
        <w:t>.</w:t>
      </w:r>
      <w:r w:rsidRPr="00193A4F">
        <w:t>F</w:t>
      </w:r>
      <w:r w:rsidR="00615D16">
        <w:t>.</w:t>
      </w:r>
      <w:r w:rsidRPr="00193A4F">
        <w:t>R</w:t>
      </w:r>
      <w:r w:rsidR="00615D16">
        <w:t>.</w:t>
      </w:r>
      <w:r w:rsidRPr="00193A4F">
        <w:t xml:space="preserve"> § 1.80.</w:t>
      </w:r>
    </w:p>
  </w:footnote>
  <w:footnote w:id="24">
    <w:p w14:paraId="039A16AB" w14:textId="77777777" w:rsidR="00F458AD" w:rsidRPr="00193A4F" w:rsidRDefault="00F458AD" w:rsidP="00F458AD">
      <w:pPr>
        <w:pStyle w:val="FootnoteText"/>
      </w:pPr>
      <w:r w:rsidRPr="00193A4F">
        <w:rPr>
          <w:rStyle w:val="FootnoteReference"/>
        </w:rPr>
        <w:footnoteRef/>
      </w:r>
      <w:r w:rsidRPr="00193A4F">
        <w:t xml:space="preserve"> 47 U.S.C. § 504(a).</w:t>
      </w:r>
    </w:p>
  </w:footnote>
  <w:footnote w:id="25">
    <w:p w14:paraId="49645B1D" w14:textId="77777777" w:rsidR="00F458AD" w:rsidRPr="00193A4F" w:rsidRDefault="00F458AD" w:rsidP="00F458AD">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26">
    <w:p w14:paraId="2A083BD5" w14:textId="77777777" w:rsidR="00F458AD" w:rsidRDefault="00F458AD" w:rsidP="00F458AD">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86C2" w14:textId="77777777" w:rsidR="001C5E42" w:rsidRDefault="001C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7041" w14:textId="44339551" w:rsidR="00F25FBF" w:rsidRDefault="00F25FBF" w:rsidP="00F25FBF">
    <w:pPr>
      <w:pStyle w:val="Header"/>
    </w:pPr>
  </w:p>
  <w:p w14:paraId="732211A7" w14:textId="7481EBA5" w:rsidR="00F25FBF" w:rsidRDefault="00F25FBF" w:rsidP="00F25FBF">
    <w:pPr>
      <w:pStyle w:val="Header"/>
    </w:pPr>
  </w:p>
  <w:p w14:paraId="7D0C1BAA" w14:textId="171E20F3" w:rsidR="00F25FBF" w:rsidRPr="001B048F" w:rsidRDefault="00F25FBF" w:rsidP="00F25FBF">
    <w:pPr>
      <w:pStyle w:val="Header"/>
      <w:rPr>
        <w:b/>
      </w:rPr>
    </w:pPr>
    <w:r>
      <w:rPr>
        <w:noProof/>
      </w:rPr>
      <mc:AlternateContent>
        <mc:Choice Requires="wps">
          <w:drawing>
            <wp:anchor distT="0" distB="0" distL="114300" distR="114300" simplePos="0" relativeHeight="251659264" behindDoc="1" locked="0" layoutInCell="0" allowOverlap="1" wp14:anchorId="548E4D74" wp14:editId="723E4F5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237B5D"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r>
    <w:r w:rsidRPr="00232FB1">
      <w:rPr>
        <w:b/>
      </w:rPr>
      <w:t>Federal Communications Commission</w:t>
    </w:r>
    <w:r>
      <w:tab/>
    </w:r>
    <w:r w:rsidR="00C17A00">
      <w:t xml:space="preserve">DA </w:t>
    </w:r>
    <w:r w:rsidRPr="00110F85">
      <w:t>16</w:t>
    </w:r>
    <w:r w:rsidRPr="00CE57A9">
      <w:rPr>
        <w:spacing w:val="-2"/>
      </w:rPr>
      <w:t>-</w:t>
    </w:r>
    <w:r w:rsidR="00232FB1">
      <w:rPr>
        <w:spacing w:val="-2"/>
      </w:rPr>
      <w:t>923</w:t>
    </w:r>
  </w:p>
  <w:p w14:paraId="36948746" w14:textId="77777777" w:rsidR="00F25FBF" w:rsidRDefault="00F25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2809" w14:textId="77777777" w:rsidR="001C5E42" w:rsidRDefault="001C5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FE9"/>
    <w:multiLevelType w:val="hybridMultilevel"/>
    <w:tmpl w:val="E3B6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C190D74"/>
    <w:multiLevelType w:val="hybridMultilevel"/>
    <w:tmpl w:val="BFEE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82925"/>
    <w:multiLevelType w:val="singleLevel"/>
    <w:tmpl w:val="176AC74C"/>
    <w:lvl w:ilvl="0">
      <w:start w:val="1"/>
      <w:numFmt w:val="decimal"/>
      <w:lvlText w:val="%1."/>
      <w:lvlJc w:val="left"/>
      <w:pPr>
        <w:tabs>
          <w:tab w:val="num" w:pos="1710"/>
        </w:tabs>
        <w:ind w:left="630" w:firstLine="720"/>
      </w:pPr>
      <w:rPr>
        <w:rFonts w:hint="default"/>
        <w:b w:val="0"/>
      </w:rPr>
    </w:lvl>
  </w:abstractNum>
  <w:abstractNum w:abstractNumId="5">
    <w:nsid w:val="6BCD5D4A"/>
    <w:multiLevelType w:val="singleLevel"/>
    <w:tmpl w:val="A9EE9842"/>
    <w:lvl w:ilvl="0">
      <w:start w:val="1"/>
      <w:numFmt w:val="decimal"/>
      <w:lvlText w:val="%1."/>
      <w:lvlJc w:val="left"/>
      <w:pPr>
        <w:tabs>
          <w:tab w:val="num" w:pos="1530"/>
        </w:tabs>
        <w:ind w:left="450" w:firstLine="720"/>
      </w:pPr>
    </w:lvl>
  </w:abstractNum>
  <w:abstractNum w:abstractNumId="6">
    <w:nsid w:val="74FE179F"/>
    <w:multiLevelType w:val="hybridMultilevel"/>
    <w:tmpl w:val="DABE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4"/>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8"/>
    <w:rsid w:val="000017E3"/>
    <w:rsid w:val="00012C32"/>
    <w:rsid w:val="000163D6"/>
    <w:rsid w:val="000405D8"/>
    <w:rsid w:val="00044631"/>
    <w:rsid w:val="0004542D"/>
    <w:rsid w:val="000555F6"/>
    <w:rsid w:val="000618E7"/>
    <w:rsid w:val="000656E1"/>
    <w:rsid w:val="000661F1"/>
    <w:rsid w:val="00070F75"/>
    <w:rsid w:val="000714F6"/>
    <w:rsid w:val="000778B9"/>
    <w:rsid w:val="00091E11"/>
    <w:rsid w:val="000A73A3"/>
    <w:rsid w:val="000B0551"/>
    <w:rsid w:val="000B3493"/>
    <w:rsid w:val="000D2F1F"/>
    <w:rsid w:val="000D5468"/>
    <w:rsid w:val="000F69B1"/>
    <w:rsid w:val="00103E86"/>
    <w:rsid w:val="00104B2E"/>
    <w:rsid w:val="001077EF"/>
    <w:rsid w:val="00110F85"/>
    <w:rsid w:val="0011236F"/>
    <w:rsid w:val="00132D22"/>
    <w:rsid w:val="00140DD1"/>
    <w:rsid w:val="0014774E"/>
    <w:rsid w:val="00160BE3"/>
    <w:rsid w:val="001738FE"/>
    <w:rsid w:val="001A4471"/>
    <w:rsid w:val="001B2350"/>
    <w:rsid w:val="001C5E42"/>
    <w:rsid w:val="001D08EA"/>
    <w:rsid w:val="001E4181"/>
    <w:rsid w:val="0022488D"/>
    <w:rsid w:val="00232FB1"/>
    <w:rsid w:val="002443E3"/>
    <w:rsid w:val="00261FEB"/>
    <w:rsid w:val="002D005D"/>
    <w:rsid w:val="002E0FA9"/>
    <w:rsid w:val="003132F6"/>
    <w:rsid w:val="00351F0C"/>
    <w:rsid w:val="003575DD"/>
    <w:rsid w:val="003612B0"/>
    <w:rsid w:val="00362555"/>
    <w:rsid w:val="00365275"/>
    <w:rsid w:val="0037131C"/>
    <w:rsid w:val="00383D60"/>
    <w:rsid w:val="003A7D6A"/>
    <w:rsid w:val="003E35E0"/>
    <w:rsid w:val="003E3F65"/>
    <w:rsid w:val="00433E65"/>
    <w:rsid w:val="0045408D"/>
    <w:rsid w:val="00460691"/>
    <w:rsid w:val="00466585"/>
    <w:rsid w:val="00490474"/>
    <w:rsid w:val="004A1FB1"/>
    <w:rsid w:val="004B4F94"/>
    <w:rsid w:val="004B5A12"/>
    <w:rsid w:val="004C0939"/>
    <w:rsid w:val="0050772C"/>
    <w:rsid w:val="00510E54"/>
    <w:rsid w:val="005152F4"/>
    <w:rsid w:val="0052043A"/>
    <w:rsid w:val="005368F1"/>
    <w:rsid w:val="00560D88"/>
    <w:rsid w:val="005704C6"/>
    <w:rsid w:val="0057532A"/>
    <w:rsid w:val="00582C0D"/>
    <w:rsid w:val="005A733E"/>
    <w:rsid w:val="005B16A9"/>
    <w:rsid w:val="005E36F1"/>
    <w:rsid w:val="00600446"/>
    <w:rsid w:val="00615D16"/>
    <w:rsid w:val="00621189"/>
    <w:rsid w:val="00631EEA"/>
    <w:rsid w:val="006548EF"/>
    <w:rsid w:val="00656C10"/>
    <w:rsid w:val="00657E8E"/>
    <w:rsid w:val="00671A0F"/>
    <w:rsid w:val="00680FF6"/>
    <w:rsid w:val="00692C79"/>
    <w:rsid w:val="006965C5"/>
    <w:rsid w:val="0069697F"/>
    <w:rsid w:val="006A1C48"/>
    <w:rsid w:val="006D6003"/>
    <w:rsid w:val="006E26F6"/>
    <w:rsid w:val="006E2AC9"/>
    <w:rsid w:val="0070043E"/>
    <w:rsid w:val="00705861"/>
    <w:rsid w:val="007102F8"/>
    <w:rsid w:val="00715A30"/>
    <w:rsid w:val="00740C20"/>
    <w:rsid w:val="00753F63"/>
    <w:rsid w:val="007902F2"/>
    <w:rsid w:val="007A15F5"/>
    <w:rsid w:val="007A6CCF"/>
    <w:rsid w:val="007C1713"/>
    <w:rsid w:val="007C4238"/>
    <w:rsid w:val="008079E1"/>
    <w:rsid w:val="00813CEC"/>
    <w:rsid w:val="0081490D"/>
    <w:rsid w:val="00815ED5"/>
    <w:rsid w:val="00836384"/>
    <w:rsid w:val="0086136F"/>
    <w:rsid w:val="0086185E"/>
    <w:rsid w:val="00875EE4"/>
    <w:rsid w:val="00895D35"/>
    <w:rsid w:val="008A73BA"/>
    <w:rsid w:val="008B094F"/>
    <w:rsid w:val="008C34C7"/>
    <w:rsid w:val="008C776A"/>
    <w:rsid w:val="008E6F85"/>
    <w:rsid w:val="00921F02"/>
    <w:rsid w:val="009240DE"/>
    <w:rsid w:val="009429EA"/>
    <w:rsid w:val="00944A51"/>
    <w:rsid w:val="00960A81"/>
    <w:rsid w:val="009660D6"/>
    <w:rsid w:val="009705E9"/>
    <w:rsid w:val="00976599"/>
    <w:rsid w:val="009819AE"/>
    <w:rsid w:val="009B431A"/>
    <w:rsid w:val="009C38ED"/>
    <w:rsid w:val="009C6349"/>
    <w:rsid w:val="009D29A5"/>
    <w:rsid w:val="009E72D8"/>
    <w:rsid w:val="00A025B1"/>
    <w:rsid w:val="00A317BB"/>
    <w:rsid w:val="00A36D7B"/>
    <w:rsid w:val="00A3735C"/>
    <w:rsid w:val="00A6599C"/>
    <w:rsid w:val="00A73C9B"/>
    <w:rsid w:val="00A8126C"/>
    <w:rsid w:val="00AB6D37"/>
    <w:rsid w:val="00AD765D"/>
    <w:rsid w:val="00AE0A55"/>
    <w:rsid w:val="00AF1996"/>
    <w:rsid w:val="00AF2DFA"/>
    <w:rsid w:val="00B0003E"/>
    <w:rsid w:val="00B037B1"/>
    <w:rsid w:val="00B24237"/>
    <w:rsid w:val="00B401B7"/>
    <w:rsid w:val="00B45A79"/>
    <w:rsid w:val="00B473EF"/>
    <w:rsid w:val="00B60342"/>
    <w:rsid w:val="00B62DEE"/>
    <w:rsid w:val="00B812BD"/>
    <w:rsid w:val="00B92B29"/>
    <w:rsid w:val="00BD74E9"/>
    <w:rsid w:val="00BF032F"/>
    <w:rsid w:val="00C17A00"/>
    <w:rsid w:val="00C26C72"/>
    <w:rsid w:val="00C40741"/>
    <w:rsid w:val="00C53873"/>
    <w:rsid w:val="00C61189"/>
    <w:rsid w:val="00C75284"/>
    <w:rsid w:val="00C77933"/>
    <w:rsid w:val="00CA4D7C"/>
    <w:rsid w:val="00CB06ED"/>
    <w:rsid w:val="00CE7DE5"/>
    <w:rsid w:val="00D01AAB"/>
    <w:rsid w:val="00D1081A"/>
    <w:rsid w:val="00D24BDD"/>
    <w:rsid w:val="00D40B73"/>
    <w:rsid w:val="00D76B6C"/>
    <w:rsid w:val="00D911F8"/>
    <w:rsid w:val="00DA0ABE"/>
    <w:rsid w:val="00DA6153"/>
    <w:rsid w:val="00DB74FC"/>
    <w:rsid w:val="00DC3C9E"/>
    <w:rsid w:val="00DD3FA2"/>
    <w:rsid w:val="00DF37F0"/>
    <w:rsid w:val="00DF403F"/>
    <w:rsid w:val="00E55C16"/>
    <w:rsid w:val="00E61E2C"/>
    <w:rsid w:val="00E70C27"/>
    <w:rsid w:val="00E767A8"/>
    <w:rsid w:val="00E94C19"/>
    <w:rsid w:val="00E97CFA"/>
    <w:rsid w:val="00ED38A3"/>
    <w:rsid w:val="00EF3F28"/>
    <w:rsid w:val="00F05C5D"/>
    <w:rsid w:val="00F25FBF"/>
    <w:rsid w:val="00F25FCF"/>
    <w:rsid w:val="00F458AD"/>
    <w:rsid w:val="00F72607"/>
    <w:rsid w:val="00F86411"/>
    <w:rsid w:val="00FA3C94"/>
    <w:rsid w:val="00FD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9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3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70043E"/>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70043E"/>
    <w:pPr>
      <w:keepNext/>
      <w:numPr>
        <w:ilvl w:val="1"/>
        <w:numId w:val="1"/>
      </w:numPr>
      <w:spacing w:after="120"/>
      <w:outlineLvl w:val="1"/>
    </w:pPr>
    <w:rPr>
      <w:b/>
    </w:rPr>
  </w:style>
  <w:style w:type="paragraph" w:styleId="Heading3">
    <w:name w:val="heading 3"/>
    <w:basedOn w:val="Normal"/>
    <w:next w:val="Normal"/>
    <w:link w:val="Heading3Char"/>
    <w:qFormat/>
    <w:rsid w:val="0070043E"/>
    <w:pPr>
      <w:keepNext/>
      <w:numPr>
        <w:ilvl w:val="2"/>
        <w:numId w:val="1"/>
      </w:numPr>
      <w:tabs>
        <w:tab w:val="left" w:pos="2160"/>
      </w:tabs>
      <w:spacing w:after="120"/>
      <w:outlineLvl w:val="2"/>
    </w:pPr>
    <w:rPr>
      <w:b/>
    </w:rPr>
  </w:style>
  <w:style w:type="paragraph" w:styleId="Heading4">
    <w:name w:val="heading 4"/>
    <w:basedOn w:val="Normal"/>
    <w:next w:val="Normal"/>
    <w:link w:val="Heading4Char"/>
    <w:qFormat/>
    <w:rsid w:val="0070043E"/>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70043E"/>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70043E"/>
    <w:pPr>
      <w:numPr>
        <w:ilvl w:val="5"/>
        <w:numId w:val="1"/>
      </w:numPr>
      <w:tabs>
        <w:tab w:val="left" w:pos="4320"/>
      </w:tabs>
      <w:spacing w:after="120"/>
      <w:outlineLvl w:val="5"/>
    </w:pPr>
    <w:rPr>
      <w:b/>
    </w:rPr>
  </w:style>
  <w:style w:type="paragraph" w:styleId="Heading7">
    <w:name w:val="heading 7"/>
    <w:basedOn w:val="Normal"/>
    <w:next w:val="Normal"/>
    <w:link w:val="Heading7Char"/>
    <w:qFormat/>
    <w:rsid w:val="0070043E"/>
    <w:pPr>
      <w:numPr>
        <w:ilvl w:val="6"/>
        <w:numId w:val="1"/>
      </w:numPr>
      <w:tabs>
        <w:tab w:val="left" w:pos="5040"/>
      </w:tabs>
      <w:spacing w:after="120"/>
      <w:outlineLvl w:val="6"/>
    </w:pPr>
    <w:rPr>
      <w:b/>
    </w:rPr>
  </w:style>
  <w:style w:type="paragraph" w:styleId="Heading8">
    <w:name w:val="heading 8"/>
    <w:basedOn w:val="Normal"/>
    <w:next w:val="Normal"/>
    <w:link w:val="Heading8Char"/>
    <w:qFormat/>
    <w:rsid w:val="0070043E"/>
    <w:pPr>
      <w:numPr>
        <w:ilvl w:val="7"/>
        <w:numId w:val="1"/>
      </w:numPr>
      <w:tabs>
        <w:tab w:val="left" w:pos="5760"/>
      </w:tabs>
      <w:spacing w:after="120"/>
      <w:outlineLvl w:val="7"/>
    </w:pPr>
    <w:rPr>
      <w:b/>
    </w:rPr>
  </w:style>
  <w:style w:type="paragraph" w:styleId="Heading9">
    <w:name w:val="heading 9"/>
    <w:basedOn w:val="Normal"/>
    <w:next w:val="Normal"/>
    <w:link w:val="Heading9Char"/>
    <w:qFormat/>
    <w:rsid w:val="0070043E"/>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3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0043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0043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0043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0043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0043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0043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0043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0043E"/>
    <w:rPr>
      <w:rFonts w:ascii="Times New Roman" w:eastAsia="Times New Roman" w:hAnsi="Times New Roman" w:cs="Times New Roman"/>
      <w:b/>
      <w:snapToGrid w:val="0"/>
      <w:kern w:val="28"/>
      <w:szCs w:val="20"/>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2"/>
    <w:rsid w:val="0070043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0043E"/>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70043E"/>
    <w:rPr>
      <w:rFonts w:ascii="Times New Roman" w:eastAsia="Times New Roman" w:hAnsi="Times New Roman" w:cs="Times New Roman"/>
      <w:sz w:val="20"/>
      <w:szCs w:val="20"/>
    </w:rPr>
  </w:style>
  <w:style w:type="character" w:styleId="FootnoteReference">
    <w:name w:val="footnote reference"/>
    <w:aliases w:val="Style 4,Appel note de bas de p,Style 12,(NECG) Footnote Reference,Style 124,Style 13,o,fr,Style 3,FR,Style 17,Style 6,Footnote Reference/"/>
    <w:rsid w:val="0070043E"/>
    <w:rPr>
      <w:rFonts w:ascii="Times New Roman" w:hAnsi="Times New Roman"/>
      <w:dstrike w:val="0"/>
      <w:color w:val="auto"/>
      <w:sz w:val="20"/>
      <w:vertAlign w:val="superscript"/>
    </w:rPr>
  </w:style>
  <w:style w:type="paragraph" w:customStyle="1" w:styleId="StyleBoldCentered">
    <w:name w:val="Style Bold Centered"/>
    <w:basedOn w:val="Normal"/>
    <w:rsid w:val="0070043E"/>
    <w:pPr>
      <w:jc w:val="center"/>
    </w:pPr>
    <w:rPr>
      <w:rFonts w:ascii="Times New Roman Bold" w:hAnsi="Times New Roman Bold"/>
      <w:b/>
      <w:bCs/>
      <w:caps/>
      <w:szCs w:val="22"/>
    </w:rPr>
  </w:style>
  <w:style w:type="character" w:styleId="CommentReference">
    <w:name w:val="annotation reference"/>
    <w:basedOn w:val="DefaultParagraphFont"/>
    <w:uiPriority w:val="99"/>
    <w:rsid w:val="0070043E"/>
    <w:rPr>
      <w:rFonts w:cs="Times New Roman"/>
      <w:sz w:val="16"/>
    </w:rPr>
  </w:style>
  <w:style w:type="paragraph" w:styleId="CommentText">
    <w:name w:val="annotation text"/>
    <w:basedOn w:val="Normal"/>
    <w:link w:val="CommentTextChar"/>
    <w:uiPriority w:val="99"/>
    <w:rsid w:val="0070043E"/>
    <w:rPr>
      <w:sz w:val="20"/>
    </w:rPr>
  </w:style>
  <w:style w:type="character" w:customStyle="1" w:styleId="CommentTextChar">
    <w:name w:val="Comment Text Char"/>
    <w:basedOn w:val="DefaultParagraphFont"/>
    <w:link w:val="CommentText"/>
    <w:uiPriority w:val="99"/>
    <w:rsid w:val="0070043E"/>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700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3E"/>
    <w:rPr>
      <w:rFonts w:ascii="Segoe UI" w:eastAsia="Times New Roman" w:hAnsi="Segoe UI" w:cs="Segoe UI"/>
      <w:snapToGrid w:val="0"/>
      <w:kern w:val="28"/>
      <w:sz w:val="18"/>
      <w:szCs w:val="18"/>
    </w:rPr>
  </w:style>
  <w:style w:type="paragraph" w:customStyle="1" w:styleId="ParaNum">
    <w:name w:val="ParaNum"/>
    <w:basedOn w:val="Normal"/>
    <w:link w:val="ParaNumChar"/>
    <w:rsid w:val="0070043E"/>
    <w:pPr>
      <w:spacing w:after="120"/>
    </w:pPr>
  </w:style>
  <w:style w:type="character" w:customStyle="1" w:styleId="ParaNumChar">
    <w:name w:val="ParaNum Char"/>
    <w:link w:val="ParaNum"/>
    <w:locked/>
    <w:rsid w:val="0070043E"/>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70043E"/>
    <w:rPr>
      <w:b/>
      <w:bCs/>
    </w:rPr>
  </w:style>
  <w:style w:type="character" w:customStyle="1" w:styleId="CommentSubjectChar">
    <w:name w:val="Comment Subject Char"/>
    <w:basedOn w:val="CommentTextChar"/>
    <w:link w:val="CommentSubject"/>
    <w:uiPriority w:val="99"/>
    <w:semiHidden/>
    <w:rsid w:val="0070043E"/>
    <w:rPr>
      <w:rFonts w:ascii="Times New Roman" w:eastAsia="Times New Roman" w:hAnsi="Times New Roman" w:cs="Times New Roman"/>
      <w:b/>
      <w:bCs/>
      <w:snapToGrid w:val="0"/>
      <w:kern w:val="28"/>
      <w:sz w:val="20"/>
      <w:szCs w:val="20"/>
    </w:rPr>
  </w:style>
  <w:style w:type="character" w:customStyle="1" w:styleId="StyleFootnoteReferenceStyle4AppelnotedebasdepStyle12N">
    <w:name w:val="Style Footnote ReferenceStyle 4Appel note de bas de pStyle 12(N..."/>
    <w:basedOn w:val="FootnoteReference"/>
    <w:rsid w:val="00B60342"/>
    <w:rPr>
      <w:rFonts w:ascii="Times New Roman" w:hAnsi="Times New Roman"/>
      <w:dstrike w:val="0"/>
      <w:color w:val="auto"/>
      <w:kern w:val="0"/>
      <w:sz w:val="20"/>
      <w:vertAlign w:val="superscript"/>
    </w:rPr>
  </w:style>
  <w:style w:type="paragraph" w:styleId="Header">
    <w:name w:val="header"/>
    <w:basedOn w:val="Normal"/>
    <w:link w:val="HeaderChar"/>
    <w:unhideWhenUsed/>
    <w:rsid w:val="00F25FBF"/>
    <w:pPr>
      <w:tabs>
        <w:tab w:val="center" w:pos="4680"/>
        <w:tab w:val="right" w:pos="9360"/>
      </w:tabs>
    </w:pPr>
  </w:style>
  <w:style w:type="character" w:customStyle="1" w:styleId="HeaderChar">
    <w:name w:val="Header Char"/>
    <w:basedOn w:val="DefaultParagraphFont"/>
    <w:link w:val="Header"/>
    <w:rsid w:val="00F25FB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25FBF"/>
    <w:pPr>
      <w:tabs>
        <w:tab w:val="center" w:pos="4680"/>
        <w:tab w:val="right" w:pos="9360"/>
      </w:tabs>
    </w:pPr>
  </w:style>
  <w:style w:type="character" w:customStyle="1" w:styleId="FooterChar">
    <w:name w:val="Footer Char"/>
    <w:basedOn w:val="DefaultParagraphFont"/>
    <w:link w:val="Footer"/>
    <w:uiPriority w:val="99"/>
    <w:rsid w:val="00F25FB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3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70043E"/>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70043E"/>
    <w:pPr>
      <w:keepNext/>
      <w:numPr>
        <w:ilvl w:val="1"/>
        <w:numId w:val="1"/>
      </w:numPr>
      <w:spacing w:after="120"/>
      <w:outlineLvl w:val="1"/>
    </w:pPr>
    <w:rPr>
      <w:b/>
    </w:rPr>
  </w:style>
  <w:style w:type="paragraph" w:styleId="Heading3">
    <w:name w:val="heading 3"/>
    <w:basedOn w:val="Normal"/>
    <w:next w:val="Normal"/>
    <w:link w:val="Heading3Char"/>
    <w:qFormat/>
    <w:rsid w:val="0070043E"/>
    <w:pPr>
      <w:keepNext/>
      <w:numPr>
        <w:ilvl w:val="2"/>
        <w:numId w:val="1"/>
      </w:numPr>
      <w:tabs>
        <w:tab w:val="left" w:pos="2160"/>
      </w:tabs>
      <w:spacing w:after="120"/>
      <w:outlineLvl w:val="2"/>
    </w:pPr>
    <w:rPr>
      <w:b/>
    </w:rPr>
  </w:style>
  <w:style w:type="paragraph" w:styleId="Heading4">
    <w:name w:val="heading 4"/>
    <w:basedOn w:val="Normal"/>
    <w:next w:val="Normal"/>
    <w:link w:val="Heading4Char"/>
    <w:qFormat/>
    <w:rsid w:val="0070043E"/>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70043E"/>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70043E"/>
    <w:pPr>
      <w:numPr>
        <w:ilvl w:val="5"/>
        <w:numId w:val="1"/>
      </w:numPr>
      <w:tabs>
        <w:tab w:val="left" w:pos="4320"/>
      </w:tabs>
      <w:spacing w:after="120"/>
      <w:outlineLvl w:val="5"/>
    </w:pPr>
    <w:rPr>
      <w:b/>
    </w:rPr>
  </w:style>
  <w:style w:type="paragraph" w:styleId="Heading7">
    <w:name w:val="heading 7"/>
    <w:basedOn w:val="Normal"/>
    <w:next w:val="Normal"/>
    <w:link w:val="Heading7Char"/>
    <w:qFormat/>
    <w:rsid w:val="0070043E"/>
    <w:pPr>
      <w:numPr>
        <w:ilvl w:val="6"/>
        <w:numId w:val="1"/>
      </w:numPr>
      <w:tabs>
        <w:tab w:val="left" w:pos="5040"/>
      </w:tabs>
      <w:spacing w:after="120"/>
      <w:outlineLvl w:val="6"/>
    </w:pPr>
    <w:rPr>
      <w:b/>
    </w:rPr>
  </w:style>
  <w:style w:type="paragraph" w:styleId="Heading8">
    <w:name w:val="heading 8"/>
    <w:basedOn w:val="Normal"/>
    <w:next w:val="Normal"/>
    <w:link w:val="Heading8Char"/>
    <w:qFormat/>
    <w:rsid w:val="0070043E"/>
    <w:pPr>
      <w:numPr>
        <w:ilvl w:val="7"/>
        <w:numId w:val="1"/>
      </w:numPr>
      <w:tabs>
        <w:tab w:val="left" w:pos="5760"/>
      </w:tabs>
      <w:spacing w:after="120"/>
      <w:outlineLvl w:val="7"/>
    </w:pPr>
    <w:rPr>
      <w:b/>
    </w:rPr>
  </w:style>
  <w:style w:type="paragraph" w:styleId="Heading9">
    <w:name w:val="heading 9"/>
    <w:basedOn w:val="Normal"/>
    <w:next w:val="Normal"/>
    <w:link w:val="Heading9Char"/>
    <w:qFormat/>
    <w:rsid w:val="0070043E"/>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43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0043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0043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0043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0043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0043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0043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0043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0043E"/>
    <w:rPr>
      <w:rFonts w:ascii="Times New Roman" w:eastAsia="Times New Roman" w:hAnsi="Times New Roman" w:cs="Times New Roman"/>
      <w:b/>
      <w:snapToGrid w:val="0"/>
      <w:kern w:val="28"/>
      <w:szCs w:val="20"/>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link w:val="FootnoteTextChar2"/>
    <w:rsid w:val="0070043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0043E"/>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70043E"/>
    <w:rPr>
      <w:rFonts w:ascii="Times New Roman" w:eastAsia="Times New Roman" w:hAnsi="Times New Roman" w:cs="Times New Roman"/>
      <w:sz w:val="20"/>
      <w:szCs w:val="20"/>
    </w:rPr>
  </w:style>
  <w:style w:type="character" w:styleId="FootnoteReference">
    <w:name w:val="footnote reference"/>
    <w:aliases w:val="Style 4,Appel note de bas de p,Style 12,(NECG) Footnote Reference,Style 124,Style 13,o,fr,Style 3,FR,Style 17,Style 6,Footnote Reference/"/>
    <w:rsid w:val="0070043E"/>
    <w:rPr>
      <w:rFonts w:ascii="Times New Roman" w:hAnsi="Times New Roman"/>
      <w:dstrike w:val="0"/>
      <w:color w:val="auto"/>
      <w:sz w:val="20"/>
      <w:vertAlign w:val="superscript"/>
    </w:rPr>
  </w:style>
  <w:style w:type="paragraph" w:customStyle="1" w:styleId="StyleBoldCentered">
    <w:name w:val="Style Bold Centered"/>
    <w:basedOn w:val="Normal"/>
    <w:rsid w:val="0070043E"/>
    <w:pPr>
      <w:jc w:val="center"/>
    </w:pPr>
    <w:rPr>
      <w:rFonts w:ascii="Times New Roman Bold" w:hAnsi="Times New Roman Bold"/>
      <w:b/>
      <w:bCs/>
      <w:caps/>
      <w:szCs w:val="22"/>
    </w:rPr>
  </w:style>
  <w:style w:type="character" w:styleId="CommentReference">
    <w:name w:val="annotation reference"/>
    <w:basedOn w:val="DefaultParagraphFont"/>
    <w:uiPriority w:val="99"/>
    <w:rsid w:val="0070043E"/>
    <w:rPr>
      <w:rFonts w:cs="Times New Roman"/>
      <w:sz w:val="16"/>
    </w:rPr>
  </w:style>
  <w:style w:type="paragraph" w:styleId="CommentText">
    <w:name w:val="annotation text"/>
    <w:basedOn w:val="Normal"/>
    <w:link w:val="CommentTextChar"/>
    <w:uiPriority w:val="99"/>
    <w:rsid w:val="0070043E"/>
    <w:rPr>
      <w:sz w:val="20"/>
    </w:rPr>
  </w:style>
  <w:style w:type="character" w:customStyle="1" w:styleId="CommentTextChar">
    <w:name w:val="Comment Text Char"/>
    <w:basedOn w:val="DefaultParagraphFont"/>
    <w:link w:val="CommentText"/>
    <w:uiPriority w:val="99"/>
    <w:rsid w:val="0070043E"/>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700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3E"/>
    <w:rPr>
      <w:rFonts w:ascii="Segoe UI" w:eastAsia="Times New Roman" w:hAnsi="Segoe UI" w:cs="Segoe UI"/>
      <w:snapToGrid w:val="0"/>
      <w:kern w:val="28"/>
      <w:sz w:val="18"/>
      <w:szCs w:val="18"/>
    </w:rPr>
  </w:style>
  <w:style w:type="paragraph" w:customStyle="1" w:styleId="ParaNum">
    <w:name w:val="ParaNum"/>
    <w:basedOn w:val="Normal"/>
    <w:link w:val="ParaNumChar"/>
    <w:rsid w:val="0070043E"/>
    <w:pPr>
      <w:spacing w:after="120"/>
    </w:pPr>
  </w:style>
  <w:style w:type="character" w:customStyle="1" w:styleId="ParaNumChar">
    <w:name w:val="ParaNum Char"/>
    <w:link w:val="ParaNum"/>
    <w:locked/>
    <w:rsid w:val="0070043E"/>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70043E"/>
    <w:rPr>
      <w:b/>
      <w:bCs/>
    </w:rPr>
  </w:style>
  <w:style w:type="character" w:customStyle="1" w:styleId="CommentSubjectChar">
    <w:name w:val="Comment Subject Char"/>
    <w:basedOn w:val="CommentTextChar"/>
    <w:link w:val="CommentSubject"/>
    <w:uiPriority w:val="99"/>
    <w:semiHidden/>
    <w:rsid w:val="0070043E"/>
    <w:rPr>
      <w:rFonts w:ascii="Times New Roman" w:eastAsia="Times New Roman" w:hAnsi="Times New Roman" w:cs="Times New Roman"/>
      <w:b/>
      <w:bCs/>
      <w:snapToGrid w:val="0"/>
      <w:kern w:val="28"/>
      <w:sz w:val="20"/>
      <w:szCs w:val="20"/>
    </w:rPr>
  </w:style>
  <w:style w:type="character" w:customStyle="1" w:styleId="StyleFootnoteReferenceStyle4AppelnotedebasdepStyle12N">
    <w:name w:val="Style Footnote ReferenceStyle 4Appel note de bas de pStyle 12(N..."/>
    <w:basedOn w:val="FootnoteReference"/>
    <w:rsid w:val="00B60342"/>
    <w:rPr>
      <w:rFonts w:ascii="Times New Roman" w:hAnsi="Times New Roman"/>
      <w:dstrike w:val="0"/>
      <w:color w:val="auto"/>
      <w:kern w:val="0"/>
      <w:sz w:val="20"/>
      <w:vertAlign w:val="superscript"/>
    </w:rPr>
  </w:style>
  <w:style w:type="paragraph" w:styleId="Header">
    <w:name w:val="header"/>
    <w:basedOn w:val="Normal"/>
    <w:link w:val="HeaderChar"/>
    <w:unhideWhenUsed/>
    <w:rsid w:val="00F25FBF"/>
    <w:pPr>
      <w:tabs>
        <w:tab w:val="center" w:pos="4680"/>
        <w:tab w:val="right" w:pos="9360"/>
      </w:tabs>
    </w:pPr>
  </w:style>
  <w:style w:type="character" w:customStyle="1" w:styleId="HeaderChar">
    <w:name w:val="Header Char"/>
    <w:basedOn w:val="DefaultParagraphFont"/>
    <w:link w:val="Header"/>
    <w:rsid w:val="00F25FB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25FBF"/>
    <w:pPr>
      <w:tabs>
        <w:tab w:val="center" w:pos="4680"/>
        <w:tab w:val="right" w:pos="9360"/>
      </w:tabs>
    </w:pPr>
  </w:style>
  <w:style w:type="character" w:customStyle="1" w:styleId="FooterChar">
    <w:name w:val="Footer Char"/>
    <w:basedOn w:val="DefaultParagraphFont"/>
    <w:link w:val="Footer"/>
    <w:uiPriority w:val="99"/>
    <w:rsid w:val="00F25FB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7568</Characters>
  <Application>Microsoft Office Word</Application>
  <DocSecurity>0</DocSecurity>
  <Lines>135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2016-08-12T19:03:00Z</cp:lastPrinted>
  <dcterms:created xsi:type="dcterms:W3CDTF">2016-08-15T16:13:00Z</dcterms:created>
  <dcterms:modified xsi:type="dcterms:W3CDTF">2016-08-15T16:13:00Z</dcterms:modified>
  <cp:category> </cp:category>
  <cp:contentStatus> </cp:contentStatus>
</cp:coreProperties>
</file>