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C56EE" w14:textId="77777777" w:rsidR="001F75B6" w:rsidRDefault="001F75B6" w:rsidP="00D47505">
      <w:pPr>
        <w:jc w:val="right"/>
        <w:rPr>
          <w:b/>
          <w:sz w:val="24"/>
        </w:rPr>
      </w:pPr>
      <w:bookmarkStart w:id="0" w:name="_GoBack"/>
      <w:bookmarkEnd w:id="0"/>
    </w:p>
    <w:p w14:paraId="068526B5" w14:textId="5BA32C05" w:rsidR="00D47505" w:rsidRPr="00B12B1F" w:rsidRDefault="001F75B6" w:rsidP="00D47505">
      <w:pPr>
        <w:jc w:val="right"/>
        <w:rPr>
          <w:b/>
          <w:szCs w:val="22"/>
        </w:rPr>
      </w:pPr>
      <w:r w:rsidRPr="00B12B1F">
        <w:rPr>
          <w:b/>
          <w:szCs w:val="22"/>
        </w:rPr>
        <w:t>DA 16-937</w:t>
      </w:r>
    </w:p>
    <w:p w14:paraId="3D2A9BC3" w14:textId="0F0D4DA8" w:rsidR="00D47505" w:rsidRPr="00B12B1F" w:rsidRDefault="00B338A9" w:rsidP="00D47505">
      <w:pPr>
        <w:spacing w:before="60"/>
        <w:jc w:val="right"/>
        <w:rPr>
          <w:b/>
          <w:szCs w:val="22"/>
        </w:rPr>
      </w:pPr>
      <w:r w:rsidRPr="00B12B1F">
        <w:rPr>
          <w:b/>
          <w:szCs w:val="22"/>
        </w:rPr>
        <w:t xml:space="preserve">Released: </w:t>
      </w:r>
      <w:r w:rsidR="001F75B6" w:rsidRPr="00B12B1F">
        <w:rPr>
          <w:b/>
          <w:szCs w:val="22"/>
        </w:rPr>
        <w:t>August 17, 2016</w:t>
      </w:r>
    </w:p>
    <w:p w14:paraId="26A64F8C" w14:textId="77777777" w:rsidR="00D47505" w:rsidRDefault="00D47505" w:rsidP="00D47505">
      <w:pPr>
        <w:jc w:val="right"/>
        <w:rPr>
          <w:sz w:val="24"/>
        </w:rPr>
      </w:pPr>
    </w:p>
    <w:p w14:paraId="5546812E" w14:textId="77777777" w:rsidR="00C35F9C" w:rsidRDefault="00C35F9C" w:rsidP="00E22DC0">
      <w:pPr>
        <w:jc w:val="center"/>
        <w:rPr>
          <w:rFonts w:ascii="Times New Roman Bold" w:hAnsi="Times New Roman Bold"/>
          <w:b/>
          <w:caps/>
          <w:sz w:val="24"/>
        </w:rPr>
      </w:pPr>
      <w:r>
        <w:rPr>
          <w:rFonts w:ascii="Times New Roman Bold" w:hAnsi="Times New Roman Bold"/>
          <w:b/>
          <w:caps/>
          <w:sz w:val="24"/>
        </w:rPr>
        <w:t xml:space="preserve">Revised Construction Deadline Approved For </w:t>
      </w:r>
    </w:p>
    <w:p w14:paraId="0CD69AF4" w14:textId="77777777" w:rsidR="00D47505" w:rsidRPr="00B20363" w:rsidRDefault="00C35F9C" w:rsidP="00E22DC0">
      <w:pPr>
        <w:jc w:val="center"/>
        <w:rPr>
          <w:rFonts w:ascii="Times New Roman Bold" w:hAnsi="Times New Roman Bold"/>
          <w:b/>
          <w:caps/>
          <w:sz w:val="24"/>
        </w:rPr>
      </w:pPr>
      <w:r>
        <w:rPr>
          <w:rFonts w:ascii="Times New Roman Bold" w:hAnsi="Times New Roman Bold"/>
          <w:b/>
          <w:caps/>
          <w:sz w:val="24"/>
        </w:rPr>
        <w:t>Recipient</w:t>
      </w:r>
      <w:r w:rsidR="00290B7D">
        <w:rPr>
          <w:rFonts w:ascii="Times New Roman Bold" w:hAnsi="Times New Roman Bold"/>
          <w:b/>
          <w:caps/>
          <w:sz w:val="24"/>
        </w:rPr>
        <w:t>s</w:t>
      </w:r>
      <w:r>
        <w:rPr>
          <w:rFonts w:ascii="Times New Roman Bold" w:hAnsi="Times New Roman Bold"/>
          <w:b/>
          <w:caps/>
          <w:sz w:val="24"/>
        </w:rPr>
        <w:t xml:space="preserve"> of Mobility Fund Phase I Support</w:t>
      </w:r>
    </w:p>
    <w:p w14:paraId="200342EE" w14:textId="77777777" w:rsidR="00D47505" w:rsidRDefault="00D47505" w:rsidP="00D47505">
      <w:pPr>
        <w:jc w:val="center"/>
        <w:rPr>
          <w:sz w:val="24"/>
        </w:rPr>
      </w:pPr>
    </w:p>
    <w:p w14:paraId="382B7875" w14:textId="77777777" w:rsidR="005D6340" w:rsidRDefault="005D6340" w:rsidP="00A97A0E">
      <w:pPr>
        <w:ind w:firstLine="720"/>
      </w:pPr>
      <w:r w:rsidRPr="005D6340">
        <w:t>By this Public Notice, the Wireless Telecommunications Bureau and Wireline Competition Bureau (“Bureaus”) announce that they have approved the request</w:t>
      </w:r>
      <w:r w:rsidR="00980082">
        <w:t>s</w:t>
      </w:r>
      <w:r w:rsidRPr="005D6340">
        <w:t xml:space="preserve"> of the Mobility Fund Phase I support recipient</w:t>
      </w:r>
      <w:r>
        <w:t>s</w:t>
      </w:r>
      <w:r w:rsidRPr="005D6340">
        <w:t xml:space="preserve"> identified in </w:t>
      </w:r>
      <w:r w:rsidRPr="00996417">
        <w:t xml:space="preserve">Attachment </w:t>
      </w:r>
      <w:r w:rsidR="00302CBE" w:rsidRPr="00996417">
        <w:t>A</w:t>
      </w:r>
      <w:r w:rsidRPr="005D6340">
        <w:t xml:space="preserve"> of this Public Notice to revise the construction deadline for </w:t>
      </w:r>
      <w:r w:rsidR="0028064B" w:rsidRPr="00996417">
        <w:t>the</w:t>
      </w:r>
      <w:r w:rsidRPr="00996417">
        <w:t xml:space="preserve"> M</w:t>
      </w:r>
      <w:r w:rsidR="00980082" w:rsidRPr="00996417">
        <w:t>obility Fund Phase I</w:t>
      </w:r>
      <w:r w:rsidR="0028064B" w:rsidRPr="00996417">
        <w:t xml:space="preserve"> </w:t>
      </w:r>
      <w:r w:rsidR="00980082" w:rsidRPr="00996417">
        <w:t>study areas</w:t>
      </w:r>
      <w:r w:rsidR="0028064B" w:rsidRPr="00996417">
        <w:t xml:space="preserve"> provided herein</w:t>
      </w:r>
      <w:r w:rsidRPr="005D6340">
        <w:t xml:space="preserve"> in accordance with section 54.100</w:t>
      </w:r>
      <w:r>
        <w:t>6(b) of the Commission’s rules.</w:t>
      </w:r>
      <w:r>
        <w:rPr>
          <w:rStyle w:val="FootnoteReference"/>
        </w:rPr>
        <w:footnoteReference w:id="2"/>
      </w:r>
    </w:p>
    <w:p w14:paraId="76B8EBBB" w14:textId="77777777" w:rsidR="00A97A0E" w:rsidRDefault="00A97A0E" w:rsidP="00A97A0E">
      <w:pPr>
        <w:ind w:firstLine="720"/>
      </w:pPr>
    </w:p>
    <w:p w14:paraId="2BEF7D41" w14:textId="326887F8" w:rsidR="00866579" w:rsidRPr="00866579" w:rsidRDefault="005D6340" w:rsidP="00E22DC0">
      <w:pPr>
        <w:pStyle w:val="ParaNum"/>
        <w:widowControl/>
        <w:numPr>
          <w:ilvl w:val="0"/>
          <w:numId w:val="0"/>
        </w:numPr>
        <w:ind w:firstLine="720"/>
        <w:rPr>
          <w:szCs w:val="22"/>
        </w:rPr>
      </w:pPr>
      <w:r w:rsidRPr="005D6340">
        <w:t>On October 3, 2012, the Federal Communications Commission (Commission) announced the 795 winning bids and associated winning bidders for Mobility Fund</w:t>
      </w:r>
      <w:r>
        <w:t xml:space="preserve"> Phase </w:t>
      </w:r>
      <w:r w:rsidR="00400D3E">
        <w:t xml:space="preserve">I </w:t>
      </w:r>
      <w:r>
        <w:t>support in Auction 901</w:t>
      </w:r>
      <w:r w:rsidRPr="005D6340">
        <w:t xml:space="preserve"> and established the deadline for winning bidders to submit</w:t>
      </w:r>
      <w:r>
        <w:t xml:space="preserve"> their long-form applications.</w:t>
      </w:r>
      <w:r>
        <w:rPr>
          <w:rStyle w:val="FootnoteReference"/>
        </w:rPr>
        <w:footnoteReference w:id="3"/>
      </w:r>
      <w:r w:rsidRPr="005D6340">
        <w:t xml:space="preserve"> </w:t>
      </w:r>
      <w:r w:rsidR="00E05F65" w:rsidRPr="005D6340">
        <w:t xml:space="preserve">In </w:t>
      </w:r>
      <w:r w:rsidR="00E05F65">
        <w:t>their</w:t>
      </w:r>
      <w:r w:rsidR="00E05F65" w:rsidRPr="005D6340">
        <w:t xml:space="preserve"> long</w:t>
      </w:r>
      <w:r w:rsidR="00E05F65">
        <w:t>-</w:t>
      </w:r>
      <w:r w:rsidR="00E05F65" w:rsidRPr="005D6340">
        <w:t>form application</w:t>
      </w:r>
      <w:r w:rsidR="00E05F65">
        <w:t>s</w:t>
      </w:r>
      <w:r w:rsidR="00E05F65" w:rsidRPr="005D6340">
        <w:t>, the recipient</w:t>
      </w:r>
      <w:r w:rsidR="00E05F65">
        <w:t>s</w:t>
      </w:r>
      <w:r w:rsidR="00E05F65" w:rsidRPr="005D6340">
        <w:t xml:space="preserve"> </w:t>
      </w:r>
      <w:r w:rsidR="00E05F65" w:rsidRPr="007F0CA1">
        <w:t xml:space="preserve">identified in Attachment A </w:t>
      </w:r>
      <w:r w:rsidR="00E05F65" w:rsidRPr="005D6340">
        <w:t xml:space="preserve">sought Mobility Fund Phase I support to deploy 3G service in </w:t>
      </w:r>
      <w:r w:rsidR="00E05F65">
        <w:t>their</w:t>
      </w:r>
      <w:r w:rsidR="00E05F65" w:rsidRPr="005D6340">
        <w:t xml:space="preserve"> supported areas.</w:t>
      </w:r>
      <w:r w:rsidR="00E05F65">
        <w:rPr>
          <w:rStyle w:val="FootnoteReference"/>
        </w:rPr>
        <w:footnoteReference w:id="4"/>
      </w:r>
      <w:r w:rsidR="00511AAF">
        <w:t xml:space="preserve"> </w:t>
      </w:r>
      <w:r w:rsidRPr="005D6340">
        <w:t xml:space="preserve"> </w:t>
      </w:r>
      <w:r w:rsidR="00866579">
        <w:rPr>
          <w:szCs w:val="22"/>
        </w:rPr>
        <w:t xml:space="preserve">In accordance with Mobility Fund I rules, </w:t>
      </w:r>
      <w:r w:rsidR="00866579">
        <w:t>winning bidders were required to provide service to at least seventy-five percent (75%) or more of the designated eligible road miles within the relevant area. Winning bidders committing to provide service over a 3G network were required to do so within two (2) years of being authorized to receive support.</w:t>
      </w:r>
      <w:r w:rsidR="00866579">
        <w:rPr>
          <w:rStyle w:val="FootnoteReference"/>
        </w:rPr>
        <w:footnoteReference w:id="5"/>
      </w:r>
      <w:r w:rsidR="00866579">
        <w:t xml:space="preserve">  Winning bidders committing to provide service over a 4G network were required to do so within three (3) years of being authorized to receive support.</w:t>
      </w:r>
      <w:r w:rsidR="00866579">
        <w:rPr>
          <w:rStyle w:val="FootnoteReference"/>
        </w:rPr>
        <w:footnoteReference w:id="6"/>
      </w:r>
      <w:r w:rsidR="00866579">
        <w:t xml:space="preserve">  </w:t>
      </w:r>
    </w:p>
    <w:p w14:paraId="1DE96B5E" w14:textId="77777777" w:rsidR="006537F8" w:rsidRDefault="006537F8" w:rsidP="00A97A0E">
      <w:pPr>
        <w:ind w:firstLine="720"/>
      </w:pPr>
    </w:p>
    <w:p w14:paraId="7BABB1EB" w14:textId="45049BB1" w:rsidR="005D6340" w:rsidRDefault="00414D8E" w:rsidP="00866579">
      <w:pPr>
        <w:ind w:firstLine="720"/>
      </w:pPr>
      <w:r>
        <w:t xml:space="preserve">Commnet </w:t>
      </w:r>
      <w:r w:rsidR="005F2CC7">
        <w:t>of Nevada, LLC,</w:t>
      </w:r>
      <w:r w:rsidR="005F2CC7" w:rsidRPr="00594F85">
        <w:rPr>
          <w:rStyle w:val="FootnoteReference"/>
        </w:rPr>
        <w:t xml:space="preserve"> </w:t>
      </w:r>
      <w:r w:rsidR="005F2CC7">
        <w:rPr>
          <w:rStyle w:val="FootnoteReference"/>
        </w:rPr>
        <w:footnoteReference w:id="7"/>
      </w:r>
      <w:r w:rsidR="005F2CC7">
        <w:t xml:space="preserve"> Standing Rock Telecommunication</w:t>
      </w:r>
      <w:r w:rsidR="00AD5CAB">
        <w:t>s</w:t>
      </w:r>
      <w:r w:rsidR="005F2CC7">
        <w:t>,</w:t>
      </w:r>
      <w:r w:rsidR="005F2CC7">
        <w:rPr>
          <w:rStyle w:val="FootnoteReference"/>
        </w:rPr>
        <w:footnoteReference w:id="8"/>
      </w:r>
      <w:r w:rsidR="005F2CC7">
        <w:t xml:space="preserve"> and T-Mobile USA</w:t>
      </w:r>
      <w:r w:rsidR="005F2CC7">
        <w:rPr>
          <w:rStyle w:val="FootnoteReference"/>
        </w:rPr>
        <w:footnoteReference w:id="9"/>
      </w:r>
      <w:r w:rsidR="005F2CC7">
        <w:t xml:space="preserve"> have </w:t>
      </w:r>
      <w:r w:rsidR="005F2CC7">
        <w:lastRenderedPageBreak/>
        <w:t xml:space="preserve">each </w:t>
      </w:r>
      <w:r>
        <w:t xml:space="preserve">submitted a request seeking to update </w:t>
      </w:r>
      <w:r w:rsidRPr="005D6340">
        <w:t xml:space="preserve">and modify </w:t>
      </w:r>
      <w:r w:rsidR="00AD5CAB">
        <w:t>the</w:t>
      </w:r>
      <w:r w:rsidRPr="005D6340">
        <w:t xml:space="preserve"> project descriptions and timetable submitted with </w:t>
      </w:r>
      <w:r w:rsidR="00AD5CAB">
        <w:t>their</w:t>
      </w:r>
      <w:r w:rsidRPr="005D6340">
        <w:t xml:space="preserve"> long-form application</w:t>
      </w:r>
      <w:r w:rsidR="00AD5CAB">
        <w:t>s</w:t>
      </w:r>
      <w:r w:rsidRPr="005D6340">
        <w:t xml:space="preserve"> to</w:t>
      </w:r>
      <w:r>
        <w:t xml:space="preserve"> </w:t>
      </w:r>
      <w:r w:rsidRPr="00F572F8">
        <w:t>deploy a 4G network instead of a 3G net</w:t>
      </w:r>
      <w:r>
        <w:t xml:space="preserve">work in </w:t>
      </w:r>
      <w:r w:rsidR="005F2CC7">
        <w:t xml:space="preserve">certain </w:t>
      </w:r>
      <w:r>
        <w:t>study areas</w:t>
      </w:r>
      <w:r w:rsidR="00400D3E">
        <w:t>, and</w:t>
      </w:r>
      <w:r w:rsidR="00E3301D">
        <w:t xml:space="preserve">, </w:t>
      </w:r>
      <w:r w:rsidR="00C12722">
        <w:t>in the pertinent study areas</w:t>
      </w:r>
      <w:r w:rsidR="00E3301D">
        <w:t xml:space="preserve">, </w:t>
      </w:r>
      <w:r w:rsidR="00400D3E">
        <w:t xml:space="preserve">to </w:t>
      </w:r>
      <w:r w:rsidR="00E3301D">
        <w:t>be subject to the three-year construction</w:t>
      </w:r>
      <w:r w:rsidR="00EA7935">
        <w:t xml:space="preserve"> </w:t>
      </w:r>
      <w:r w:rsidR="00E3301D">
        <w:t>deadline provided for buildout of 4G networks in Section 54.100</w:t>
      </w:r>
      <w:r w:rsidR="00511AAF">
        <w:t xml:space="preserve">6(b) of the Commission’s rules.  </w:t>
      </w:r>
      <w:r w:rsidR="00E3301D">
        <w:t>After reviewing the recipient</w:t>
      </w:r>
      <w:r w:rsidR="00C12722">
        <w:t>s</w:t>
      </w:r>
      <w:r w:rsidR="00E3301D">
        <w:t>’ revised project description</w:t>
      </w:r>
      <w:r w:rsidR="00C12722">
        <w:t>s</w:t>
      </w:r>
      <w:r w:rsidR="00E3301D">
        <w:t xml:space="preserve"> and timetable</w:t>
      </w:r>
      <w:r w:rsidR="00C12722">
        <w:t>s</w:t>
      </w:r>
      <w:r w:rsidR="00E3301D">
        <w:t xml:space="preserve">, the Bureaus revised </w:t>
      </w:r>
      <w:r w:rsidR="00C12722">
        <w:t xml:space="preserve">the deadlines for construction to three years for each area covered by the study areas listed in </w:t>
      </w:r>
      <w:r w:rsidR="00C12722" w:rsidRPr="00996417">
        <w:t xml:space="preserve">Attachment </w:t>
      </w:r>
      <w:r w:rsidR="00302CBE" w:rsidRPr="00996417">
        <w:t>A</w:t>
      </w:r>
      <w:r w:rsidR="00C12722">
        <w:t xml:space="preserve"> in accordance with section 54.1006(b) of the Commission’s rules.</w:t>
      </w:r>
      <w:r w:rsidR="00C85D80">
        <w:rPr>
          <w:rStyle w:val="FootnoteReference"/>
        </w:rPr>
        <w:footnoteReference w:id="10"/>
      </w:r>
    </w:p>
    <w:p w14:paraId="04D57418" w14:textId="77777777" w:rsidR="00A97A0E" w:rsidRDefault="00A97A0E" w:rsidP="00A97A0E">
      <w:pPr>
        <w:ind w:firstLine="720"/>
      </w:pPr>
    </w:p>
    <w:p w14:paraId="0BD3699B" w14:textId="211B2A37" w:rsidR="0000691A" w:rsidRDefault="00C12722" w:rsidP="00A97A0E">
      <w:pPr>
        <w:ind w:firstLine="720"/>
      </w:pPr>
      <w:r>
        <w:t xml:space="preserve">We remind recipients </w:t>
      </w:r>
      <w:r w:rsidR="00866579">
        <w:t>a winning bidder that has been authorized to receive Mobility Fund I support will be subject to a performance default payment if it fails or is unable to meet its minimum coverage requirement, other service requirements, or fails to fulfill any other term or condition of Mobility Fund Phase I support.</w:t>
      </w:r>
      <w:r w:rsidR="00866579">
        <w:rPr>
          <w:rStyle w:val="FootnoteReference"/>
        </w:rPr>
        <w:footnoteReference w:id="11"/>
      </w:r>
      <w:r w:rsidR="00866579">
        <w:t xml:space="preserve"> </w:t>
      </w:r>
      <w:r w:rsidR="00116DEE">
        <w:t xml:space="preserve"> </w:t>
      </w:r>
      <w:r w:rsidR="00866579">
        <w:t>For each performance default, a winning bidder must repay all disbursements received for the area covered by that winning bid together with an additional default payment of ten percent of the total amount of support for which it is eligible in the area covered by the defaulted winning bid</w:t>
      </w:r>
      <w:r w:rsidR="00495169">
        <w:t>.</w:t>
      </w:r>
      <w:r w:rsidR="00866579">
        <w:rPr>
          <w:rStyle w:val="FootnoteReference"/>
        </w:rPr>
        <w:footnoteReference w:id="12"/>
      </w:r>
    </w:p>
    <w:p w14:paraId="2A2F4990" w14:textId="77777777" w:rsidR="0000691A" w:rsidRDefault="0000691A">
      <w:pPr>
        <w:widowControl/>
      </w:pPr>
      <w:r>
        <w:br w:type="page"/>
      </w:r>
    </w:p>
    <w:p w14:paraId="15C4270F" w14:textId="77777777" w:rsidR="00F95F85" w:rsidRDefault="00F95F85" w:rsidP="00A97A0E">
      <w:pPr>
        <w:ind w:firstLine="720"/>
      </w:pPr>
    </w:p>
    <w:p w14:paraId="48870B37" w14:textId="77777777" w:rsidR="00A97A0E" w:rsidRDefault="00A97A0E" w:rsidP="00A97A0E">
      <w:pPr>
        <w:ind w:firstLine="720"/>
        <w:rPr>
          <w:b/>
        </w:rPr>
      </w:pPr>
    </w:p>
    <w:p w14:paraId="7FC627C0" w14:textId="77777777" w:rsidR="009173E3" w:rsidRPr="00A97A0E" w:rsidRDefault="009173E3" w:rsidP="00A97A0E">
      <w:pPr>
        <w:rPr>
          <w:b/>
        </w:rPr>
      </w:pPr>
      <w:r w:rsidRPr="00A97A0E">
        <w:rPr>
          <w:b/>
        </w:rPr>
        <w:t>Further Information Contact:</w:t>
      </w:r>
    </w:p>
    <w:tbl>
      <w:tblPr>
        <w:tblW w:w="9828" w:type="dxa"/>
        <w:tblLayout w:type="fixed"/>
        <w:tblLook w:val="0000" w:firstRow="0" w:lastRow="0" w:firstColumn="0" w:lastColumn="0" w:noHBand="0" w:noVBand="0"/>
      </w:tblPr>
      <w:tblGrid>
        <w:gridCol w:w="4968"/>
        <w:gridCol w:w="4860"/>
      </w:tblGrid>
      <w:tr w:rsidR="009173E3" w:rsidRPr="00C86BD8" w14:paraId="4DCAC82A" w14:textId="77777777" w:rsidTr="004E484C">
        <w:trPr>
          <w:cantSplit/>
          <w:trHeight w:val="791"/>
        </w:trPr>
        <w:tc>
          <w:tcPr>
            <w:tcW w:w="4968" w:type="dxa"/>
          </w:tcPr>
          <w:p w14:paraId="6FEFEABB" w14:textId="77777777" w:rsidR="009173E3" w:rsidRPr="00C86BD8" w:rsidRDefault="009173E3" w:rsidP="004E484C">
            <w:pPr>
              <w:rPr>
                <w:b/>
              </w:rPr>
            </w:pPr>
          </w:p>
          <w:p w14:paraId="620CFD0B" w14:textId="77777777" w:rsidR="009173E3" w:rsidRPr="00C86BD8" w:rsidRDefault="009173E3" w:rsidP="004E484C">
            <w:pPr>
              <w:rPr>
                <w:b/>
              </w:rPr>
            </w:pPr>
            <w:r w:rsidRPr="00C86BD8">
              <w:rPr>
                <w:b/>
              </w:rPr>
              <w:t>Universal Service Administrative Company (USAC) - Disbursement Procedures</w:t>
            </w:r>
          </w:p>
        </w:tc>
        <w:tc>
          <w:tcPr>
            <w:tcW w:w="4860" w:type="dxa"/>
          </w:tcPr>
          <w:p w14:paraId="27548B9B" w14:textId="77777777" w:rsidR="009173E3" w:rsidRPr="00C86BD8" w:rsidRDefault="009173E3" w:rsidP="004E484C"/>
          <w:p w14:paraId="717C6F67" w14:textId="77777777" w:rsidR="009173E3" w:rsidRPr="00C86BD8" w:rsidRDefault="009173E3" w:rsidP="004E484C">
            <w:pPr>
              <w:rPr>
                <w:b/>
              </w:rPr>
            </w:pPr>
            <w:r w:rsidRPr="00C86BD8">
              <w:rPr>
                <w:b/>
              </w:rPr>
              <w:t>hcinfo@usac.org</w:t>
            </w:r>
          </w:p>
        </w:tc>
      </w:tr>
      <w:tr w:rsidR="009173E3" w:rsidRPr="00C86BD8" w14:paraId="2FC21F1D" w14:textId="77777777" w:rsidTr="004E484C">
        <w:trPr>
          <w:cantSplit/>
          <w:trHeight w:val="791"/>
        </w:trPr>
        <w:tc>
          <w:tcPr>
            <w:tcW w:w="4968" w:type="dxa"/>
          </w:tcPr>
          <w:p w14:paraId="776DD5EF" w14:textId="77777777" w:rsidR="009173E3" w:rsidRPr="00C86BD8" w:rsidRDefault="009173E3" w:rsidP="004E484C">
            <w:pPr>
              <w:rPr>
                <w:b/>
              </w:rPr>
            </w:pPr>
          </w:p>
          <w:p w14:paraId="4BB53A7E" w14:textId="77777777" w:rsidR="009173E3" w:rsidRPr="00C86BD8" w:rsidRDefault="009173E3" w:rsidP="004E484C">
            <w:pPr>
              <w:rPr>
                <w:b/>
              </w:rPr>
            </w:pPr>
            <w:r w:rsidRPr="00C86BD8">
              <w:rPr>
                <w:b/>
              </w:rPr>
              <w:t>News Media</w:t>
            </w:r>
          </w:p>
        </w:tc>
        <w:tc>
          <w:tcPr>
            <w:tcW w:w="4860" w:type="dxa"/>
          </w:tcPr>
          <w:p w14:paraId="0291D99B" w14:textId="77777777" w:rsidR="009173E3" w:rsidRPr="00C86BD8" w:rsidRDefault="009173E3" w:rsidP="004E484C">
            <w:pPr>
              <w:rPr>
                <w:b/>
              </w:rPr>
            </w:pPr>
          </w:p>
          <w:p w14:paraId="3055BD04" w14:textId="77777777" w:rsidR="009173E3" w:rsidRPr="00C86BD8" w:rsidRDefault="009173E3" w:rsidP="004E484C">
            <w:pPr>
              <w:rPr>
                <w:b/>
              </w:rPr>
            </w:pPr>
            <w:r w:rsidRPr="00C86BD8">
              <w:rPr>
                <w:b/>
              </w:rPr>
              <w:t xml:space="preserve">Wireless Telecommunications Bureau </w:t>
            </w:r>
          </w:p>
          <w:p w14:paraId="644114A6" w14:textId="77777777" w:rsidR="009173E3" w:rsidRPr="00C86BD8" w:rsidRDefault="009173E3" w:rsidP="004E484C">
            <w:pPr>
              <w:rPr>
                <w:b/>
              </w:rPr>
            </w:pPr>
            <w:r w:rsidRPr="00C86BD8">
              <w:t>Cecilia Sulhoff at (202) 418-0587</w:t>
            </w:r>
          </w:p>
        </w:tc>
      </w:tr>
      <w:tr w:rsidR="009173E3" w:rsidRPr="00C86BD8" w14:paraId="24B8A79C" w14:textId="77777777" w:rsidTr="004E484C">
        <w:trPr>
          <w:cantSplit/>
          <w:trHeight w:val="1152"/>
        </w:trPr>
        <w:tc>
          <w:tcPr>
            <w:tcW w:w="4968" w:type="dxa"/>
          </w:tcPr>
          <w:p w14:paraId="45306A36" w14:textId="77777777" w:rsidR="009173E3" w:rsidRPr="00C86BD8" w:rsidRDefault="009173E3" w:rsidP="004E484C">
            <w:pPr>
              <w:rPr>
                <w:b/>
              </w:rPr>
            </w:pPr>
          </w:p>
          <w:p w14:paraId="6D6768D0" w14:textId="77777777" w:rsidR="009173E3" w:rsidRPr="00C86BD8" w:rsidRDefault="009173E3" w:rsidP="004E484C">
            <w:pPr>
              <w:rPr>
                <w:b/>
                <w:i/>
              </w:rPr>
            </w:pPr>
            <w:r w:rsidRPr="00C86BD8">
              <w:rPr>
                <w:b/>
              </w:rPr>
              <w:t>General Universal Service Information</w:t>
            </w:r>
          </w:p>
        </w:tc>
        <w:tc>
          <w:tcPr>
            <w:tcW w:w="4860" w:type="dxa"/>
          </w:tcPr>
          <w:p w14:paraId="332CF38B" w14:textId="77777777" w:rsidR="009173E3" w:rsidRPr="00C86BD8" w:rsidRDefault="009173E3" w:rsidP="004E484C">
            <w:pPr>
              <w:rPr>
                <w:b/>
              </w:rPr>
            </w:pPr>
          </w:p>
          <w:p w14:paraId="5E87D843" w14:textId="77777777" w:rsidR="009173E3" w:rsidRPr="00C86BD8" w:rsidRDefault="009173E3" w:rsidP="004E484C">
            <w:pPr>
              <w:rPr>
                <w:b/>
              </w:rPr>
            </w:pPr>
            <w:r w:rsidRPr="00C86BD8">
              <w:rPr>
                <w:b/>
              </w:rPr>
              <w:t>Wireline Competition Bureau,</w:t>
            </w:r>
          </w:p>
          <w:p w14:paraId="1C806818" w14:textId="77777777" w:rsidR="009173E3" w:rsidRPr="00C86BD8" w:rsidRDefault="009173E3" w:rsidP="004E484C">
            <w:pPr>
              <w:rPr>
                <w:b/>
              </w:rPr>
            </w:pPr>
            <w:r w:rsidRPr="00C86BD8">
              <w:rPr>
                <w:b/>
              </w:rPr>
              <w:t>Telecommunications Access Policy Division</w:t>
            </w:r>
          </w:p>
          <w:p w14:paraId="05262DD3" w14:textId="77777777" w:rsidR="009173E3" w:rsidRPr="00C86BD8" w:rsidRDefault="009173E3" w:rsidP="004E484C">
            <w:pPr>
              <w:rPr>
                <w:b/>
              </w:rPr>
            </w:pPr>
            <w:r w:rsidRPr="00C86BD8">
              <w:t>Alexander Minard at (202) 418-7400</w:t>
            </w:r>
          </w:p>
        </w:tc>
      </w:tr>
      <w:tr w:rsidR="009173E3" w:rsidRPr="00C86BD8" w14:paraId="2A528E74" w14:textId="77777777" w:rsidTr="004E484C">
        <w:trPr>
          <w:cantSplit/>
          <w:trHeight w:val="1512"/>
        </w:trPr>
        <w:tc>
          <w:tcPr>
            <w:tcW w:w="4968" w:type="dxa"/>
          </w:tcPr>
          <w:p w14:paraId="5B02C8BD" w14:textId="77777777" w:rsidR="009173E3" w:rsidRPr="00C86BD8" w:rsidRDefault="009173E3" w:rsidP="004E484C">
            <w:pPr>
              <w:rPr>
                <w:b/>
              </w:rPr>
            </w:pPr>
          </w:p>
          <w:p w14:paraId="14DBD5ED" w14:textId="77777777" w:rsidR="009173E3" w:rsidRPr="00C86BD8" w:rsidRDefault="009173E3" w:rsidP="004E484C">
            <w:r w:rsidRPr="00C86BD8">
              <w:rPr>
                <w:b/>
              </w:rPr>
              <w:t>Auction 901 Information</w:t>
            </w:r>
          </w:p>
          <w:p w14:paraId="50AAA1B7" w14:textId="77777777" w:rsidR="009173E3" w:rsidRPr="00C86BD8" w:rsidRDefault="009173E3" w:rsidP="004E484C">
            <w:pPr>
              <w:ind w:left="360"/>
            </w:pPr>
            <w:r w:rsidRPr="00C86BD8">
              <w:t>General Auction Information, Process, and Procedures</w:t>
            </w:r>
          </w:p>
          <w:p w14:paraId="3D0AC14C" w14:textId="77777777" w:rsidR="009173E3" w:rsidRPr="00C86BD8" w:rsidRDefault="009173E3" w:rsidP="004E484C"/>
          <w:p w14:paraId="60A655F3" w14:textId="77777777" w:rsidR="009173E3" w:rsidRPr="00C86BD8" w:rsidRDefault="009173E3" w:rsidP="004E484C">
            <w:pPr>
              <w:ind w:left="360"/>
              <w:rPr>
                <w:b/>
              </w:rPr>
            </w:pPr>
            <w:r w:rsidRPr="00C86BD8">
              <w:t>Post-Auction Rules, Policies, and Regulations</w:t>
            </w:r>
          </w:p>
        </w:tc>
        <w:tc>
          <w:tcPr>
            <w:tcW w:w="4860" w:type="dxa"/>
          </w:tcPr>
          <w:p w14:paraId="683C4735" w14:textId="77777777" w:rsidR="009173E3" w:rsidRPr="00C86BD8" w:rsidRDefault="009173E3" w:rsidP="004E484C">
            <w:pPr>
              <w:rPr>
                <w:b/>
              </w:rPr>
            </w:pPr>
          </w:p>
          <w:p w14:paraId="6B84A6BA" w14:textId="77777777" w:rsidR="009173E3" w:rsidRPr="00C86BD8" w:rsidRDefault="009173E3" w:rsidP="004E484C">
            <w:pPr>
              <w:rPr>
                <w:b/>
              </w:rPr>
            </w:pPr>
            <w:r w:rsidRPr="00C86BD8">
              <w:rPr>
                <w:b/>
              </w:rPr>
              <w:t xml:space="preserve">Auctions and Spectrum Access Division </w:t>
            </w:r>
          </w:p>
          <w:p w14:paraId="5AFD0BAE" w14:textId="47E85CDB" w:rsidR="009173E3" w:rsidRPr="00C86BD8" w:rsidRDefault="009173E3" w:rsidP="004E484C">
            <w:r w:rsidRPr="00C86BD8">
              <w:t>Debbie Smith at (717) 338-2868</w:t>
            </w:r>
          </w:p>
          <w:p w14:paraId="38B5F172" w14:textId="77777777" w:rsidR="009173E3" w:rsidRPr="00C86BD8" w:rsidRDefault="009173E3" w:rsidP="004E484C"/>
          <w:p w14:paraId="36FC7715" w14:textId="77777777" w:rsidR="009173E3" w:rsidRPr="00C86BD8" w:rsidRDefault="009173E3" w:rsidP="004E484C"/>
          <w:p w14:paraId="0E714436" w14:textId="77777777" w:rsidR="009173E3" w:rsidRPr="00C86BD8" w:rsidRDefault="009173E3" w:rsidP="004E484C">
            <w:pPr>
              <w:rPr>
                <w:b/>
              </w:rPr>
            </w:pPr>
            <w:r>
              <w:t>Audra Hale-Maddox</w:t>
            </w:r>
            <w:r w:rsidRPr="00C86BD8">
              <w:t xml:space="preserve"> at (202) 418-0660</w:t>
            </w:r>
          </w:p>
        </w:tc>
      </w:tr>
      <w:tr w:rsidR="009173E3" w:rsidRPr="00C86BD8" w14:paraId="2AE760DB" w14:textId="77777777" w:rsidTr="004E484C">
        <w:trPr>
          <w:cantSplit/>
          <w:trHeight w:val="1105"/>
        </w:trPr>
        <w:tc>
          <w:tcPr>
            <w:tcW w:w="4968" w:type="dxa"/>
          </w:tcPr>
          <w:p w14:paraId="3C2FD2E1" w14:textId="77777777" w:rsidR="009173E3" w:rsidRPr="00C86BD8" w:rsidRDefault="009173E3" w:rsidP="004E484C">
            <w:pPr>
              <w:autoSpaceDE w:val="0"/>
              <w:autoSpaceDN w:val="0"/>
              <w:adjustRightInd w:val="0"/>
              <w:rPr>
                <w:b/>
                <w:bCs/>
              </w:rPr>
            </w:pPr>
          </w:p>
          <w:p w14:paraId="11B9DA4F" w14:textId="77777777" w:rsidR="009173E3" w:rsidRPr="00C86BD8" w:rsidRDefault="009173E3" w:rsidP="004E484C">
            <w:pPr>
              <w:autoSpaceDE w:val="0"/>
              <w:autoSpaceDN w:val="0"/>
              <w:adjustRightInd w:val="0"/>
              <w:rPr>
                <w:b/>
                <w:bCs/>
              </w:rPr>
            </w:pPr>
            <w:r w:rsidRPr="00C86BD8">
              <w:rPr>
                <w:b/>
                <w:bCs/>
              </w:rPr>
              <w:t>Tribal Issues</w:t>
            </w:r>
          </w:p>
          <w:p w14:paraId="21F8B0A3" w14:textId="77777777" w:rsidR="009173E3" w:rsidRDefault="009173E3" w:rsidP="004E484C">
            <w:pPr>
              <w:ind w:left="360"/>
              <w:rPr>
                <w:bCs/>
              </w:rPr>
            </w:pPr>
            <w:r w:rsidRPr="00C86BD8">
              <w:rPr>
                <w:bCs/>
              </w:rPr>
              <w:t>Additional information for entities seeking to provide service to Tribal lands and Tribal governments</w:t>
            </w:r>
          </w:p>
          <w:p w14:paraId="5C9D2FEF" w14:textId="77777777" w:rsidR="00750830" w:rsidRPr="00C86BD8" w:rsidRDefault="00750830" w:rsidP="004E484C">
            <w:pPr>
              <w:ind w:left="360"/>
              <w:rPr>
                <w:b/>
              </w:rPr>
            </w:pPr>
          </w:p>
        </w:tc>
        <w:tc>
          <w:tcPr>
            <w:tcW w:w="4860" w:type="dxa"/>
          </w:tcPr>
          <w:p w14:paraId="1544D20C" w14:textId="77777777" w:rsidR="009173E3" w:rsidRPr="00C86BD8" w:rsidRDefault="009173E3" w:rsidP="004E484C">
            <w:pPr>
              <w:autoSpaceDE w:val="0"/>
              <w:autoSpaceDN w:val="0"/>
              <w:adjustRightInd w:val="0"/>
              <w:rPr>
                <w:b/>
                <w:bCs/>
              </w:rPr>
            </w:pPr>
          </w:p>
          <w:p w14:paraId="0C3AD142" w14:textId="77777777" w:rsidR="009173E3" w:rsidRPr="00C86BD8" w:rsidRDefault="009173E3" w:rsidP="004E484C">
            <w:pPr>
              <w:autoSpaceDE w:val="0"/>
              <w:autoSpaceDN w:val="0"/>
              <w:adjustRightInd w:val="0"/>
              <w:rPr>
                <w:bCs/>
              </w:rPr>
            </w:pPr>
            <w:r w:rsidRPr="00C86BD8">
              <w:rPr>
                <w:b/>
                <w:bCs/>
              </w:rPr>
              <w:t>Office of Native Affairs and Policy</w:t>
            </w:r>
          </w:p>
          <w:p w14:paraId="477A7B9C" w14:textId="77777777" w:rsidR="009173E3" w:rsidRPr="00C86BD8" w:rsidRDefault="009173E3" w:rsidP="004E484C">
            <w:pPr>
              <w:autoSpaceDE w:val="0"/>
              <w:autoSpaceDN w:val="0"/>
              <w:adjustRightInd w:val="0"/>
              <w:rPr>
                <w:bCs/>
              </w:rPr>
            </w:pPr>
            <w:r w:rsidRPr="00C86BD8">
              <w:rPr>
                <w:bCs/>
              </w:rPr>
              <w:t>(202) 418-2930</w:t>
            </w:r>
          </w:p>
          <w:p w14:paraId="40E4F713" w14:textId="77777777" w:rsidR="009173E3" w:rsidRPr="00C86BD8" w:rsidRDefault="009173E3" w:rsidP="004E484C">
            <w:pPr>
              <w:rPr>
                <w:b/>
              </w:rPr>
            </w:pPr>
            <w:r w:rsidRPr="00C86BD8">
              <w:rPr>
                <w:bCs/>
              </w:rPr>
              <w:t>native@fcc.gov</w:t>
            </w:r>
          </w:p>
        </w:tc>
      </w:tr>
      <w:tr w:rsidR="009173E3" w:rsidRPr="00C86BD8" w14:paraId="2841A138" w14:textId="77777777" w:rsidTr="004E484C">
        <w:trPr>
          <w:cantSplit/>
          <w:trHeight w:val="1105"/>
        </w:trPr>
        <w:tc>
          <w:tcPr>
            <w:tcW w:w="4968" w:type="dxa"/>
          </w:tcPr>
          <w:p w14:paraId="097B79F1" w14:textId="77777777" w:rsidR="009173E3" w:rsidRPr="00C86BD8" w:rsidRDefault="009173E3" w:rsidP="004E484C">
            <w:pPr>
              <w:rPr>
                <w:b/>
              </w:rPr>
            </w:pPr>
            <w:r w:rsidRPr="00C86BD8">
              <w:rPr>
                <w:b/>
              </w:rPr>
              <w:t>Accessible Formats</w:t>
            </w:r>
          </w:p>
          <w:p w14:paraId="6101D7DC" w14:textId="77777777" w:rsidR="009173E3" w:rsidRPr="00C86BD8" w:rsidRDefault="009173E3" w:rsidP="004E484C">
            <w:pPr>
              <w:ind w:left="360"/>
            </w:pPr>
            <w:r w:rsidRPr="00C86BD8">
              <w:t xml:space="preserve">Braille, large print, electronic files, or </w:t>
            </w:r>
          </w:p>
          <w:p w14:paraId="1EC2ED70" w14:textId="77777777" w:rsidR="009173E3" w:rsidRPr="00C86BD8" w:rsidRDefault="009173E3" w:rsidP="004E484C">
            <w:pPr>
              <w:ind w:left="360"/>
              <w:rPr>
                <w:b/>
              </w:rPr>
            </w:pPr>
            <w:r w:rsidRPr="00C86BD8">
              <w:t>audio format for people with disabilities</w:t>
            </w:r>
          </w:p>
        </w:tc>
        <w:tc>
          <w:tcPr>
            <w:tcW w:w="4860" w:type="dxa"/>
          </w:tcPr>
          <w:p w14:paraId="371BA559" w14:textId="77777777" w:rsidR="009173E3" w:rsidRPr="00C86BD8" w:rsidRDefault="009173E3" w:rsidP="004E484C">
            <w:pPr>
              <w:rPr>
                <w:b/>
              </w:rPr>
            </w:pPr>
            <w:r w:rsidRPr="00C86BD8">
              <w:rPr>
                <w:b/>
              </w:rPr>
              <w:t>Consumer and Governmental Affairs Bureau</w:t>
            </w:r>
          </w:p>
          <w:p w14:paraId="3AA321FF" w14:textId="77777777" w:rsidR="009173E3" w:rsidRPr="00C86BD8" w:rsidRDefault="009173E3" w:rsidP="004E484C">
            <w:r w:rsidRPr="00C86BD8">
              <w:t>(202) 418-0530 or (202) 418-0432 (TTY)</w:t>
            </w:r>
          </w:p>
          <w:p w14:paraId="1F5C053C" w14:textId="0DF13B46" w:rsidR="009173E3" w:rsidRPr="00C86BD8" w:rsidRDefault="008440BF" w:rsidP="004E484C">
            <w:pPr>
              <w:rPr>
                <w:b/>
              </w:rPr>
            </w:pPr>
            <w:hyperlink r:id="rId8" w:history="1">
              <w:r w:rsidR="009173E3" w:rsidRPr="00C86BD8">
                <w:rPr>
                  <w:rStyle w:val="Hyperlink"/>
                </w:rPr>
                <w:t>fcc504@fcc.gov</w:t>
              </w:r>
            </w:hyperlink>
          </w:p>
        </w:tc>
      </w:tr>
    </w:tbl>
    <w:p w14:paraId="78D2B3B0" w14:textId="77777777" w:rsidR="00A57F08" w:rsidRDefault="00A04A36" w:rsidP="009173E3">
      <w:pPr>
        <w:spacing w:before="120" w:after="240"/>
        <w:rPr>
          <w:szCs w:val="22"/>
        </w:rPr>
      </w:pPr>
      <w:r w:rsidRPr="00621D73">
        <w:rPr>
          <w:szCs w:val="22"/>
        </w:rPr>
        <w:t>This public notice contains the following attachment:</w:t>
      </w:r>
    </w:p>
    <w:p w14:paraId="464458AE" w14:textId="77777777" w:rsidR="00777A34" w:rsidRPr="008C3BA5" w:rsidRDefault="00777A34" w:rsidP="009173E3">
      <w:pPr>
        <w:spacing w:before="120" w:after="240"/>
        <w:rPr>
          <w:szCs w:val="22"/>
        </w:rPr>
      </w:pPr>
      <w:r>
        <w:rPr>
          <w:szCs w:val="22"/>
        </w:rPr>
        <w:t>ATTACHMENT A</w:t>
      </w:r>
    </w:p>
    <w:p w14:paraId="470ADADC" w14:textId="77777777" w:rsidR="00A57F08" w:rsidRPr="008C3BA5" w:rsidRDefault="00A57F08" w:rsidP="009173E3">
      <w:pPr>
        <w:spacing w:before="120" w:after="240"/>
        <w:rPr>
          <w:szCs w:val="22"/>
        </w:rPr>
      </w:pPr>
    </w:p>
    <w:p w14:paraId="067B06FD" w14:textId="77777777" w:rsidR="00A57F08" w:rsidRPr="008C3BA5" w:rsidRDefault="00A57F08" w:rsidP="00A57F08">
      <w:pPr>
        <w:spacing w:before="120" w:after="240"/>
        <w:jc w:val="center"/>
        <w:rPr>
          <w:b/>
          <w:szCs w:val="22"/>
        </w:rPr>
      </w:pPr>
      <w:r w:rsidRPr="008C3BA5">
        <w:rPr>
          <w:b/>
          <w:szCs w:val="22"/>
        </w:rPr>
        <w:t>- FCC -</w:t>
      </w:r>
    </w:p>
    <w:sectPr w:rsidR="00A57F08" w:rsidRPr="008C3BA5"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757F" w14:textId="77777777" w:rsidR="00DC2A22" w:rsidRDefault="00DC2A22">
      <w:pPr>
        <w:spacing w:line="20" w:lineRule="exact"/>
      </w:pPr>
    </w:p>
  </w:endnote>
  <w:endnote w:type="continuationSeparator" w:id="0">
    <w:p w14:paraId="1F161475" w14:textId="77777777" w:rsidR="00DC2A22" w:rsidRDefault="00DC2A22">
      <w:r>
        <w:t xml:space="preserve"> </w:t>
      </w:r>
    </w:p>
  </w:endnote>
  <w:endnote w:type="continuationNotice" w:id="1">
    <w:p w14:paraId="14B01ED9" w14:textId="77777777" w:rsidR="00DC2A22" w:rsidRDefault="00DC2A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094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A1E29" w14:textId="77777777" w:rsidR="00D25FB5" w:rsidRDefault="00D25FB5">
    <w:pPr>
      <w:pStyle w:val="Footer"/>
    </w:pPr>
  </w:p>
  <w:p w14:paraId="1C840E65"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CB8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440BF">
      <w:rPr>
        <w:noProof/>
      </w:rPr>
      <w:t>2</w:t>
    </w:r>
    <w:r>
      <w:fldChar w:fldCharType="end"/>
    </w:r>
  </w:p>
  <w:p w14:paraId="5E6C2DE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DA8C"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8E08" w14:textId="77777777" w:rsidR="00DC2A22" w:rsidRDefault="00DC2A22">
      <w:r>
        <w:separator/>
      </w:r>
    </w:p>
  </w:footnote>
  <w:footnote w:type="continuationSeparator" w:id="0">
    <w:p w14:paraId="3DB195AA" w14:textId="77777777" w:rsidR="00DC2A22" w:rsidRDefault="00DC2A22" w:rsidP="00C721AC">
      <w:pPr>
        <w:spacing w:before="120"/>
        <w:rPr>
          <w:sz w:val="20"/>
        </w:rPr>
      </w:pPr>
      <w:r>
        <w:rPr>
          <w:sz w:val="20"/>
        </w:rPr>
        <w:t xml:space="preserve">(Continued from previous page)  </w:t>
      </w:r>
      <w:r>
        <w:rPr>
          <w:sz w:val="20"/>
        </w:rPr>
        <w:separator/>
      </w:r>
    </w:p>
  </w:footnote>
  <w:footnote w:type="continuationNotice" w:id="1">
    <w:p w14:paraId="5DA5F0B4" w14:textId="77777777" w:rsidR="00DC2A22" w:rsidRDefault="00DC2A22" w:rsidP="00C721AC">
      <w:pPr>
        <w:jc w:val="right"/>
        <w:rPr>
          <w:sz w:val="20"/>
        </w:rPr>
      </w:pPr>
      <w:r>
        <w:rPr>
          <w:sz w:val="20"/>
        </w:rPr>
        <w:t>(continued….)</w:t>
      </w:r>
    </w:p>
  </w:footnote>
  <w:footnote w:id="2">
    <w:p w14:paraId="2ADAED89" w14:textId="77777777" w:rsidR="00D75441" w:rsidRDefault="005D6340">
      <w:pPr>
        <w:pStyle w:val="FootnoteText"/>
      </w:pPr>
      <w:r>
        <w:rPr>
          <w:rStyle w:val="FootnoteReference"/>
        </w:rPr>
        <w:footnoteRef/>
      </w:r>
      <w:r>
        <w:t xml:space="preserve"> </w:t>
      </w:r>
      <w:r w:rsidR="00A05A05" w:rsidRPr="00A05A05">
        <w:rPr>
          <w:i/>
        </w:rPr>
        <w:t>See</w:t>
      </w:r>
      <w:r w:rsidR="00A05A05">
        <w:t xml:space="preserve"> </w:t>
      </w:r>
      <w:r>
        <w:t>47 CFR § 54.1006(b)</w:t>
      </w:r>
      <w:r w:rsidR="00716C33">
        <w:t>.</w:t>
      </w:r>
    </w:p>
  </w:footnote>
  <w:footnote w:id="3">
    <w:p w14:paraId="2BD76CD3" w14:textId="77777777" w:rsidR="007F2C25" w:rsidRPr="00716C33" w:rsidRDefault="005D6340">
      <w:pPr>
        <w:pStyle w:val="FootnoteText"/>
      </w:pPr>
      <w:r>
        <w:rPr>
          <w:rStyle w:val="FootnoteReference"/>
        </w:rPr>
        <w:footnoteRef/>
      </w:r>
      <w:r>
        <w:t xml:space="preserve"> </w:t>
      </w:r>
      <w:r w:rsidR="00716C33">
        <w:rPr>
          <w:i/>
        </w:rPr>
        <w:t>Mobility Fund Phase I Auction Closes; Winning Bidders Announced for Auction 901</w:t>
      </w:r>
      <w:r w:rsidR="00716C33">
        <w:t>, Public Notice, DA 12-1566, 27 FCC Rcd 12031</w:t>
      </w:r>
      <w:r w:rsidR="00D75441">
        <w:t xml:space="preserve"> (2012)</w:t>
      </w:r>
      <w:r w:rsidR="00716C33">
        <w:t>.</w:t>
      </w:r>
    </w:p>
  </w:footnote>
  <w:footnote w:id="4">
    <w:p w14:paraId="5C3F0D08" w14:textId="77777777" w:rsidR="00E05F65" w:rsidRDefault="00E05F65" w:rsidP="00E05F65">
      <w:pPr>
        <w:pStyle w:val="FootnoteText"/>
      </w:pPr>
      <w:r>
        <w:rPr>
          <w:rStyle w:val="FootnoteReference"/>
        </w:rPr>
        <w:footnoteRef/>
      </w:r>
      <w:r>
        <w:t xml:space="preserve"> </w:t>
      </w:r>
      <w:r>
        <w:rPr>
          <w:i/>
        </w:rPr>
        <w:t>See Mobility Fund Phase I Support Authorized for 42 Winning Bids</w:t>
      </w:r>
      <w:r>
        <w:t>, Public Notice, DA 13-1429, 28 FCC Rcd 9001 (WCB/WTB 2013);</w:t>
      </w:r>
      <w:r>
        <w:rPr>
          <w:i/>
        </w:rPr>
        <w:t xml:space="preserve"> Mobility Fund Phase I Support Authorized for 50 Winning Bids</w:t>
      </w:r>
      <w:r>
        <w:t xml:space="preserve">, Public Notice, DA 13-1769, 28 FCC Rcd 12284 (WCB/WTB 2013); </w:t>
      </w:r>
      <w:r w:rsidRPr="00EE1AD3">
        <w:t>and</w:t>
      </w:r>
      <w:r>
        <w:rPr>
          <w:i/>
        </w:rPr>
        <w:t xml:space="preserve"> Mobility Fund Phase I Support Authorized for 222 Winning Bids</w:t>
      </w:r>
      <w:r>
        <w:t>, Public Notice, DA 13-2464, 28 FCC Rcd 17062 (WCB/WTB 2013).</w:t>
      </w:r>
    </w:p>
  </w:footnote>
  <w:footnote w:id="5">
    <w:p w14:paraId="1DA4EBC6" w14:textId="77777777" w:rsidR="00866579" w:rsidRDefault="00866579" w:rsidP="00866579">
      <w:pPr>
        <w:pStyle w:val="FootnoteText"/>
      </w:pPr>
      <w:r>
        <w:rPr>
          <w:rStyle w:val="FootnoteReference"/>
        </w:rPr>
        <w:footnoteRef/>
      </w:r>
      <w:r>
        <w:t xml:space="preserve"> 47 C.F.R. § 54.1006(a).</w:t>
      </w:r>
    </w:p>
  </w:footnote>
  <w:footnote w:id="6">
    <w:p w14:paraId="5AF5D781" w14:textId="77777777" w:rsidR="00866579" w:rsidRDefault="00866579" w:rsidP="00866579">
      <w:pPr>
        <w:pStyle w:val="FootnoteText"/>
      </w:pPr>
      <w:r>
        <w:rPr>
          <w:rStyle w:val="FootnoteReference"/>
        </w:rPr>
        <w:footnoteRef/>
      </w:r>
      <w:r>
        <w:t xml:space="preserve"> 47 C.F.R. § 54.1006(b).</w:t>
      </w:r>
    </w:p>
  </w:footnote>
  <w:footnote w:id="7">
    <w:p w14:paraId="1B79772B" w14:textId="77777777" w:rsidR="005F2CC7" w:rsidRPr="006806D1" w:rsidRDefault="005F2CC7" w:rsidP="005F2CC7">
      <w:pPr>
        <w:pStyle w:val="FootnoteText"/>
      </w:pPr>
      <w:r>
        <w:rPr>
          <w:rStyle w:val="FootnoteReference"/>
        </w:rPr>
        <w:footnoteRef/>
      </w:r>
      <w:r>
        <w:t xml:space="preserve"> </w:t>
      </w:r>
      <w:r w:rsidR="00AD5CAB">
        <w:rPr>
          <w:i/>
        </w:rPr>
        <w:t>See</w:t>
      </w:r>
      <w:r w:rsidR="00AD5CAB">
        <w:t xml:space="preserve"> Letter from David Kaufman, Counsel for Commnet of Nevada, LLC, Rini O’Neil, PC, to Marlene Dortch, Secretary, Federal Communications Commission (Aug. 14, 2015) (</w:t>
      </w:r>
      <w:r w:rsidR="00AD5CAB" w:rsidRPr="000121CB">
        <w:t>https://www.fcc.gov/ecfs/filing/60001097627</w:t>
      </w:r>
      <w:r w:rsidR="00AD5CAB">
        <w:t xml:space="preserve">). </w:t>
      </w:r>
      <w:r>
        <w:t>The Study Area Codes (SAC) for these study areas are 5580</w:t>
      </w:r>
      <w:r w:rsidR="00621D73">
        <w:t>0</w:t>
      </w:r>
      <w:r>
        <w:t>3 and 5580</w:t>
      </w:r>
      <w:r w:rsidR="00621D73">
        <w:t>0</w:t>
      </w:r>
      <w:r>
        <w:t xml:space="preserve">5.  Commnet had previously, on June 30, 2015, submitted a request for an extension of time on to reach coverage requirements for the aforementioned study areas.  </w:t>
      </w:r>
      <w:r>
        <w:rPr>
          <w:i/>
        </w:rPr>
        <w:t xml:space="preserve">See </w:t>
      </w:r>
      <w:r w:rsidRPr="00526CF7">
        <w:t>Request for Waiver and Extension of Time to Complete Construction and to Submit Drive-Test Results Respecting Two Census Tracts in Rural Nevada</w:t>
      </w:r>
      <w:r>
        <w:t xml:space="preserve">, WT Docket No. 10-208, at 1-2 (filed June 30, 2015), </w:t>
      </w:r>
      <w:r w:rsidRPr="00C70DDD">
        <w:t>https://www.fcc.gov/ecfs/filing/60001089106</w:t>
      </w:r>
      <w:r>
        <w:t>.  The August 14, 2015 request rendered the June 30, 2015 request moot.  In the August 14, 2015 request, Commnet stated that it would likely not make the August 17, 2016 deadline for the 4G buildout</w:t>
      </w:r>
      <w:r w:rsidR="00AD5CAB">
        <w:t>, but</w:t>
      </w:r>
      <w:r w:rsidR="00AD5CAB">
        <w:rPr>
          <w:i/>
        </w:rPr>
        <w:t xml:space="preserve"> </w:t>
      </w:r>
      <w:r>
        <w:t xml:space="preserve">Commnet has since affirmed that it expects to make the August 17, 2016 deadline.  </w:t>
      </w:r>
      <w:r>
        <w:rPr>
          <w:i/>
        </w:rPr>
        <w:t>See</w:t>
      </w:r>
      <w:r>
        <w:t xml:space="preserve"> Letter from David Kaufman, Counsel for Commnet of Nevada, LLC, Rini O’Neil, PC, to Marlene Dortch, Secretary, Federal Communications Commission (June 29, 2016) (</w:t>
      </w:r>
      <w:r w:rsidRPr="009C5FAB">
        <w:t>https://www.fcc.gov/ecfs/filing/10629032004356</w:t>
      </w:r>
      <w:r>
        <w:t>).</w:t>
      </w:r>
    </w:p>
  </w:footnote>
  <w:footnote w:id="8">
    <w:p w14:paraId="1DDD68F1" w14:textId="77777777" w:rsidR="005F2CC7" w:rsidRDefault="005F2CC7" w:rsidP="005F2CC7">
      <w:pPr>
        <w:pStyle w:val="FootnoteText"/>
      </w:pPr>
      <w:r>
        <w:rPr>
          <w:rStyle w:val="FootnoteReference"/>
        </w:rPr>
        <w:footnoteRef/>
      </w:r>
      <w:r>
        <w:t xml:space="preserve"> </w:t>
      </w:r>
      <w:r w:rsidR="00AD5CAB">
        <w:t xml:space="preserve">The SACs for these study areas are 388007, 388008, 398001, and 398002.  </w:t>
      </w:r>
      <w:r w:rsidR="00AD5CAB">
        <w:rPr>
          <w:i/>
        </w:rPr>
        <w:t>See</w:t>
      </w:r>
      <w:r w:rsidR="00AD5CAB">
        <w:t xml:space="preserve"> Letter from Fred McLaughlin, Telecommunications General Manager, Standing Rock Telecommunications Inc., to Marlene Dortch, Secretary, Federal Communications Commission (June 20, 2016) (</w:t>
      </w:r>
      <w:r w:rsidR="00AD5CAB" w:rsidRPr="007B29D0">
        <w:t>https://www.fcc.gov/ecfs/filing/10620242401163</w:t>
      </w:r>
      <w:r w:rsidR="00AD5CAB">
        <w:t xml:space="preserve">). </w:t>
      </w:r>
    </w:p>
  </w:footnote>
  <w:footnote w:id="9">
    <w:p w14:paraId="520FA17E" w14:textId="77777777" w:rsidR="005F2CC7" w:rsidRDefault="005F2CC7" w:rsidP="00621D73">
      <w:pPr>
        <w:pStyle w:val="FootnoteText"/>
      </w:pPr>
      <w:r>
        <w:rPr>
          <w:rStyle w:val="FootnoteReference"/>
        </w:rPr>
        <w:footnoteRef/>
      </w:r>
      <w:r>
        <w:t xml:space="preserve"> </w:t>
      </w:r>
      <w:r w:rsidR="00AD5CAB">
        <w:t>The SAC for this study area is 178010.</w:t>
      </w:r>
      <w:r w:rsidR="00AD5CAB" w:rsidRPr="00294629">
        <w:t xml:space="preserve"> </w:t>
      </w:r>
      <w:r w:rsidR="00AD5CAB">
        <w:t xml:space="preserve"> T-Mobile USA, Inc. had previously, on June 25, 2015, submitted a request on behalf of T-Mobile Northeast for an extension of time to reach coverage requirements for the aforementioned study areas.  </w:t>
      </w:r>
      <w:r w:rsidR="00AD5CAB">
        <w:rPr>
          <w:i/>
        </w:rPr>
        <w:t xml:space="preserve">See </w:t>
      </w:r>
      <w:r w:rsidR="00AD5CAB" w:rsidRPr="00526CF7">
        <w:t>T-Mobile USA, Inc. Request for Waiver and Extension of Time of Mobility Fund Phase I Construction Deadline for One Census Tract</w:t>
      </w:r>
      <w:r w:rsidR="00AD5CAB">
        <w:t xml:space="preserve">, WT Docket No. 10-208 (filed June 25, 2015), </w:t>
      </w:r>
      <w:r w:rsidR="00AD5CAB" w:rsidRPr="006635E9">
        <w:t>https://www.fcc.gov/ecfs/filing/60001080253</w:t>
      </w:r>
      <w:r w:rsidR="00AD5CAB">
        <w:t xml:space="preserve">.  The December 9, 2015 request rendered the June 25, 2015 request moot.  </w:t>
      </w:r>
      <w:r w:rsidR="00AD5CAB">
        <w:rPr>
          <w:i/>
        </w:rPr>
        <w:t xml:space="preserve">See </w:t>
      </w:r>
      <w:r w:rsidR="00AD5CAB">
        <w:t>Letter from Jennifer Kostyu, Counsel to T-Mobile USA, Inc., Wilkinson Barker Knauer LLP, to Marlene Dortch, Secretary, Federal Communications Commission (Dec. 9, 2015) (</w:t>
      </w:r>
      <w:r w:rsidR="00AD5CAB" w:rsidRPr="00783226">
        <w:t>https://www.fcc.gov/ecfs/filing/60001325819</w:t>
      </w:r>
      <w:r w:rsidR="00AD5CAB">
        <w:t>).</w:t>
      </w:r>
    </w:p>
  </w:footnote>
  <w:footnote w:id="10">
    <w:p w14:paraId="3CB3449A" w14:textId="77777777" w:rsidR="00C85D80" w:rsidRDefault="00C85D80" w:rsidP="00621D73">
      <w:pPr>
        <w:pStyle w:val="FootnoteText"/>
      </w:pPr>
      <w:r>
        <w:rPr>
          <w:rStyle w:val="FootnoteReference"/>
        </w:rPr>
        <w:footnoteRef/>
      </w:r>
      <w:r w:rsidR="002D0F59">
        <w:t xml:space="preserve"> At the time of release of this Public Notice, the June 25, 2016 deadline for T-Mobile Northeast to meet its 4G service and coverage requirements </w:t>
      </w:r>
      <w:r w:rsidR="00621D73">
        <w:t>has</w:t>
      </w:r>
      <w:r w:rsidR="002D0F59">
        <w:t xml:space="preserve"> passed.  </w:t>
      </w:r>
      <w:r w:rsidR="00621D73">
        <w:t>By</w:t>
      </w:r>
      <w:r w:rsidR="002D0F59">
        <w:t xml:space="preserve"> the passing of the deadline</w:t>
      </w:r>
      <w:r w:rsidR="00621D73">
        <w:t>,</w:t>
      </w:r>
      <w:r w:rsidR="002D0F59">
        <w:t xml:space="preserve"> T-Mobile Northeast timely submitted testing data to show that it has met these service and coverage requirements. This data is currently under review by USAC.</w:t>
      </w:r>
    </w:p>
  </w:footnote>
  <w:footnote w:id="11">
    <w:p w14:paraId="0A611FAC" w14:textId="77777777" w:rsidR="00866579" w:rsidRDefault="00866579" w:rsidP="00866579">
      <w:pPr>
        <w:pStyle w:val="FootnoteText"/>
      </w:pPr>
      <w:r>
        <w:rPr>
          <w:rStyle w:val="FootnoteReference"/>
        </w:rPr>
        <w:footnoteRef/>
      </w:r>
      <w:r>
        <w:t xml:space="preserve"> </w:t>
      </w:r>
      <w:r>
        <w:rPr>
          <w:i/>
        </w:rPr>
        <w:t>USF/ICC Transformation Order</w:t>
      </w:r>
      <w:r>
        <w:t xml:space="preserve">, 26 FCC Rcd at 17814 ¶ 460.  </w:t>
      </w:r>
    </w:p>
  </w:footnote>
  <w:footnote w:id="12">
    <w:p w14:paraId="6EE4A22F" w14:textId="2390AF86" w:rsidR="00A132F7" w:rsidRDefault="00866579" w:rsidP="00A132F7">
      <w:pPr>
        <w:pStyle w:val="FootnoteText"/>
      </w:pPr>
      <w:r>
        <w:rPr>
          <w:rStyle w:val="FootnoteReference"/>
        </w:rPr>
        <w:footnoteRef/>
      </w:r>
      <w:r>
        <w:t xml:space="preserve"> </w:t>
      </w:r>
      <w:r w:rsidR="00A132F7">
        <w:rPr>
          <w:i/>
        </w:rPr>
        <w:t xml:space="preserve">See </w:t>
      </w:r>
      <w:r w:rsidR="00A132F7">
        <w:t xml:space="preserve">47 C.F.R. § 54.1006(f); </w:t>
      </w:r>
      <w:r w:rsidR="00FE2F77" w:rsidRPr="0003545B">
        <w:rPr>
          <w:i/>
        </w:rPr>
        <w:t>Mobility Fund Phase I Auction Scheduled for September 27, 2012; Notice and Filing Requirements and Other Procedures for Auction 901</w:t>
      </w:r>
      <w:r w:rsidR="00FE2F77">
        <w:t xml:space="preserve">, </w:t>
      </w:r>
      <w:r w:rsidR="00FE2F77" w:rsidRPr="00FE2F77">
        <w:rPr>
          <w:rStyle w:val="Emphasis"/>
          <w:i w:val="0"/>
        </w:rPr>
        <w:t>Public Notice</w:t>
      </w:r>
      <w:r w:rsidR="00FE2F77">
        <w:t>, AU Docket No. 12-25, DA 12-641, 27 FCC Rcd at 4777 ¶ 189 (2012).</w:t>
      </w:r>
    </w:p>
    <w:p w14:paraId="402759F9" w14:textId="3FA069DF" w:rsidR="00866579" w:rsidRDefault="008665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6514" w14:textId="77777777" w:rsidR="00DD1B4C" w:rsidRDefault="00DD1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A859" w14:textId="77777777" w:rsidR="00DD1B4C" w:rsidRDefault="00DD1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CE4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06BB8DA" wp14:editId="7F9F6B4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34CEB" w14:textId="77777777" w:rsidR="00D47505" w:rsidRDefault="00D47505" w:rsidP="00D47505">
                          <w:pPr>
                            <w:rPr>
                              <w:rFonts w:ascii="Arial" w:hAnsi="Arial"/>
                              <w:b/>
                            </w:rPr>
                          </w:pPr>
                          <w:r>
                            <w:rPr>
                              <w:rFonts w:ascii="Arial" w:hAnsi="Arial"/>
                              <w:b/>
                            </w:rPr>
                            <w:t>Federal Communications Commission</w:t>
                          </w:r>
                        </w:p>
                        <w:p w14:paraId="447A7B6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9DC384B"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6BB8D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9134CEB" w14:textId="77777777" w:rsidR="00D47505" w:rsidRDefault="00D47505" w:rsidP="00D47505">
                    <w:pPr>
                      <w:rPr>
                        <w:rFonts w:ascii="Arial" w:hAnsi="Arial"/>
                        <w:b/>
                      </w:rPr>
                    </w:pPr>
                    <w:r>
                      <w:rPr>
                        <w:rFonts w:ascii="Arial" w:hAnsi="Arial"/>
                        <w:b/>
                      </w:rPr>
                      <w:t>Federal Communications Commission</w:t>
                    </w:r>
                  </w:p>
                  <w:p w14:paraId="447A7B6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9DC384B"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1E31B5F" wp14:editId="209DD52B">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BF7214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2079B4D" wp14:editId="58DDBA27">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10DC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D3B5A8F" wp14:editId="790E0B78">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A76D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E1CFD66" w14:textId="256C5FB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440BF">
                            <w:rPr>
                              <w:rFonts w:ascii="Arial" w:hAnsi="Arial"/>
                              <w:b/>
                              <w:sz w:val="16"/>
                            </w:rPr>
                            <w:instrText>HYPERLINK "https://www.fcc.gov/"</w:instrText>
                          </w:r>
                          <w:r w:rsidR="008440B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932399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E2A76D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E1CFD66" w14:textId="256C5FB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440BF">
                      <w:rPr>
                        <w:rFonts w:ascii="Arial" w:hAnsi="Arial"/>
                        <w:b/>
                        <w:sz w:val="16"/>
                      </w:rPr>
                      <w:instrText>HYPERLINK "https://www.fcc.gov/"</w:instrText>
                    </w:r>
                    <w:r w:rsidR="008440B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932399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40"/>
    <w:rsid w:val="00000BCE"/>
    <w:rsid w:val="0000691A"/>
    <w:rsid w:val="000121CB"/>
    <w:rsid w:val="0002111E"/>
    <w:rsid w:val="00024255"/>
    <w:rsid w:val="00036039"/>
    <w:rsid w:val="00037F90"/>
    <w:rsid w:val="0005638F"/>
    <w:rsid w:val="000875BF"/>
    <w:rsid w:val="00096D8C"/>
    <w:rsid w:val="000C0B65"/>
    <w:rsid w:val="000C42CB"/>
    <w:rsid w:val="000E05FE"/>
    <w:rsid w:val="000E3D42"/>
    <w:rsid w:val="00100E32"/>
    <w:rsid w:val="00116DEE"/>
    <w:rsid w:val="00122BD5"/>
    <w:rsid w:val="00133F79"/>
    <w:rsid w:val="00135FC6"/>
    <w:rsid w:val="00161581"/>
    <w:rsid w:val="00194A66"/>
    <w:rsid w:val="001B0F4D"/>
    <w:rsid w:val="001B70B2"/>
    <w:rsid w:val="001D6945"/>
    <w:rsid w:val="001D6BCF"/>
    <w:rsid w:val="001E01CA"/>
    <w:rsid w:val="001E1815"/>
    <w:rsid w:val="001F75B6"/>
    <w:rsid w:val="00227B77"/>
    <w:rsid w:val="00261CA6"/>
    <w:rsid w:val="00275CF5"/>
    <w:rsid w:val="0028064B"/>
    <w:rsid w:val="0028301F"/>
    <w:rsid w:val="00285017"/>
    <w:rsid w:val="00290B7D"/>
    <w:rsid w:val="00294629"/>
    <w:rsid w:val="002A2D2E"/>
    <w:rsid w:val="002A48DE"/>
    <w:rsid w:val="002C00E8"/>
    <w:rsid w:val="002D0F59"/>
    <w:rsid w:val="002D4E32"/>
    <w:rsid w:val="002F0865"/>
    <w:rsid w:val="0030006B"/>
    <w:rsid w:val="00302CBE"/>
    <w:rsid w:val="00307905"/>
    <w:rsid w:val="00311164"/>
    <w:rsid w:val="00343749"/>
    <w:rsid w:val="003660ED"/>
    <w:rsid w:val="0039306F"/>
    <w:rsid w:val="003B0550"/>
    <w:rsid w:val="003B50FC"/>
    <w:rsid w:val="003B694F"/>
    <w:rsid w:val="003E1461"/>
    <w:rsid w:val="003F171C"/>
    <w:rsid w:val="00400D3E"/>
    <w:rsid w:val="00412FC5"/>
    <w:rsid w:val="00414D8E"/>
    <w:rsid w:val="00422276"/>
    <w:rsid w:val="004242F1"/>
    <w:rsid w:val="00445A00"/>
    <w:rsid w:val="00451B0F"/>
    <w:rsid w:val="00495169"/>
    <w:rsid w:val="0049597C"/>
    <w:rsid w:val="00496498"/>
    <w:rsid w:val="004C2EE3"/>
    <w:rsid w:val="004E4A22"/>
    <w:rsid w:val="004E510A"/>
    <w:rsid w:val="004F4B14"/>
    <w:rsid w:val="00501444"/>
    <w:rsid w:val="00511968"/>
    <w:rsid w:val="00511AAF"/>
    <w:rsid w:val="00520220"/>
    <w:rsid w:val="0052468D"/>
    <w:rsid w:val="00526CF7"/>
    <w:rsid w:val="00530573"/>
    <w:rsid w:val="0055614C"/>
    <w:rsid w:val="0056313A"/>
    <w:rsid w:val="005A2754"/>
    <w:rsid w:val="005C7CC3"/>
    <w:rsid w:val="005D4871"/>
    <w:rsid w:val="005D6340"/>
    <w:rsid w:val="005E14C2"/>
    <w:rsid w:val="005F2CC7"/>
    <w:rsid w:val="00602879"/>
    <w:rsid w:val="00607BA5"/>
    <w:rsid w:val="0061180A"/>
    <w:rsid w:val="00621D73"/>
    <w:rsid w:val="00626EB6"/>
    <w:rsid w:val="00646B9F"/>
    <w:rsid w:val="006537F8"/>
    <w:rsid w:val="00655D03"/>
    <w:rsid w:val="006635E9"/>
    <w:rsid w:val="006806D1"/>
    <w:rsid w:val="00683388"/>
    <w:rsid w:val="00683F84"/>
    <w:rsid w:val="006A1F49"/>
    <w:rsid w:val="006A6A81"/>
    <w:rsid w:val="006B1456"/>
    <w:rsid w:val="006B197F"/>
    <w:rsid w:val="006D2499"/>
    <w:rsid w:val="006E4CBF"/>
    <w:rsid w:val="006E609C"/>
    <w:rsid w:val="006F3968"/>
    <w:rsid w:val="006F7393"/>
    <w:rsid w:val="0070224F"/>
    <w:rsid w:val="007115F7"/>
    <w:rsid w:val="00713B5A"/>
    <w:rsid w:val="00716C33"/>
    <w:rsid w:val="00750830"/>
    <w:rsid w:val="00753A83"/>
    <w:rsid w:val="00770466"/>
    <w:rsid w:val="007774B8"/>
    <w:rsid w:val="00777A34"/>
    <w:rsid w:val="00783226"/>
    <w:rsid w:val="00785689"/>
    <w:rsid w:val="0079754B"/>
    <w:rsid w:val="007A1E10"/>
    <w:rsid w:val="007A1E6D"/>
    <w:rsid w:val="007B0EB2"/>
    <w:rsid w:val="007B29D0"/>
    <w:rsid w:val="007E46D0"/>
    <w:rsid w:val="007E5C55"/>
    <w:rsid w:val="007F2C25"/>
    <w:rsid w:val="007F413A"/>
    <w:rsid w:val="00800534"/>
    <w:rsid w:val="00810B6F"/>
    <w:rsid w:val="00822CE0"/>
    <w:rsid w:val="00825461"/>
    <w:rsid w:val="008315DD"/>
    <w:rsid w:val="00834B71"/>
    <w:rsid w:val="00841AB1"/>
    <w:rsid w:val="008440BF"/>
    <w:rsid w:val="00866579"/>
    <w:rsid w:val="008707C0"/>
    <w:rsid w:val="008731A8"/>
    <w:rsid w:val="008878B0"/>
    <w:rsid w:val="008C3BA5"/>
    <w:rsid w:val="008C68F1"/>
    <w:rsid w:val="008D6999"/>
    <w:rsid w:val="008D6EFE"/>
    <w:rsid w:val="008F3635"/>
    <w:rsid w:val="00900B29"/>
    <w:rsid w:val="00902413"/>
    <w:rsid w:val="009173E3"/>
    <w:rsid w:val="00921803"/>
    <w:rsid w:val="00926503"/>
    <w:rsid w:val="00943E57"/>
    <w:rsid w:val="00961123"/>
    <w:rsid w:val="009726D8"/>
    <w:rsid w:val="00980082"/>
    <w:rsid w:val="00996417"/>
    <w:rsid w:val="009C42E6"/>
    <w:rsid w:val="009C5FAB"/>
    <w:rsid w:val="009D163B"/>
    <w:rsid w:val="009F71A9"/>
    <w:rsid w:val="009F76DB"/>
    <w:rsid w:val="00A04A36"/>
    <w:rsid w:val="00A05A05"/>
    <w:rsid w:val="00A132F7"/>
    <w:rsid w:val="00A32C3B"/>
    <w:rsid w:val="00A45F4F"/>
    <w:rsid w:val="00A528E3"/>
    <w:rsid w:val="00A57F08"/>
    <w:rsid w:val="00A600A9"/>
    <w:rsid w:val="00A65BBF"/>
    <w:rsid w:val="00A756DE"/>
    <w:rsid w:val="00A97A0E"/>
    <w:rsid w:val="00A97C0E"/>
    <w:rsid w:val="00AA55B7"/>
    <w:rsid w:val="00AA5B9E"/>
    <w:rsid w:val="00AB2407"/>
    <w:rsid w:val="00AB53DF"/>
    <w:rsid w:val="00AC424B"/>
    <w:rsid w:val="00AD5CAB"/>
    <w:rsid w:val="00AF226D"/>
    <w:rsid w:val="00AF46DC"/>
    <w:rsid w:val="00AF75F9"/>
    <w:rsid w:val="00B07E5C"/>
    <w:rsid w:val="00B12B1F"/>
    <w:rsid w:val="00B135AC"/>
    <w:rsid w:val="00B14653"/>
    <w:rsid w:val="00B155D5"/>
    <w:rsid w:val="00B20363"/>
    <w:rsid w:val="00B338A9"/>
    <w:rsid w:val="00B47CF2"/>
    <w:rsid w:val="00B679AB"/>
    <w:rsid w:val="00B74728"/>
    <w:rsid w:val="00B76DB8"/>
    <w:rsid w:val="00B811F7"/>
    <w:rsid w:val="00B8512F"/>
    <w:rsid w:val="00BA3F38"/>
    <w:rsid w:val="00BA5DC6"/>
    <w:rsid w:val="00BA6196"/>
    <w:rsid w:val="00BC6D8C"/>
    <w:rsid w:val="00BF1C31"/>
    <w:rsid w:val="00C12722"/>
    <w:rsid w:val="00C3014F"/>
    <w:rsid w:val="00C34006"/>
    <w:rsid w:val="00C35F9C"/>
    <w:rsid w:val="00C426B1"/>
    <w:rsid w:val="00C46FA6"/>
    <w:rsid w:val="00C66160"/>
    <w:rsid w:val="00C70DDD"/>
    <w:rsid w:val="00C721AC"/>
    <w:rsid w:val="00C85D80"/>
    <w:rsid w:val="00C90D6A"/>
    <w:rsid w:val="00C9379A"/>
    <w:rsid w:val="00CA247E"/>
    <w:rsid w:val="00CC1566"/>
    <w:rsid w:val="00CC72B6"/>
    <w:rsid w:val="00CC776F"/>
    <w:rsid w:val="00CD3749"/>
    <w:rsid w:val="00CE64AF"/>
    <w:rsid w:val="00D0218D"/>
    <w:rsid w:val="00D115B8"/>
    <w:rsid w:val="00D21CBE"/>
    <w:rsid w:val="00D25FB5"/>
    <w:rsid w:val="00D2775F"/>
    <w:rsid w:val="00D44223"/>
    <w:rsid w:val="00D47505"/>
    <w:rsid w:val="00D672F1"/>
    <w:rsid w:val="00D7199B"/>
    <w:rsid w:val="00D75441"/>
    <w:rsid w:val="00DA2529"/>
    <w:rsid w:val="00DB130A"/>
    <w:rsid w:val="00DB2EBB"/>
    <w:rsid w:val="00DC10A1"/>
    <w:rsid w:val="00DC2A22"/>
    <w:rsid w:val="00DC378F"/>
    <w:rsid w:val="00DC655F"/>
    <w:rsid w:val="00DD0B59"/>
    <w:rsid w:val="00DD1B4C"/>
    <w:rsid w:val="00DD7EBD"/>
    <w:rsid w:val="00DE0D25"/>
    <w:rsid w:val="00DE4C8D"/>
    <w:rsid w:val="00DF0810"/>
    <w:rsid w:val="00DF1A49"/>
    <w:rsid w:val="00DF62B6"/>
    <w:rsid w:val="00E0065B"/>
    <w:rsid w:val="00E02099"/>
    <w:rsid w:val="00E05F65"/>
    <w:rsid w:val="00E07225"/>
    <w:rsid w:val="00E22C81"/>
    <w:rsid w:val="00E22DC0"/>
    <w:rsid w:val="00E3301D"/>
    <w:rsid w:val="00E4350A"/>
    <w:rsid w:val="00E5409F"/>
    <w:rsid w:val="00E61B45"/>
    <w:rsid w:val="00E81057"/>
    <w:rsid w:val="00E90619"/>
    <w:rsid w:val="00EA7935"/>
    <w:rsid w:val="00EB4ACC"/>
    <w:rsid w:val="00EE1AD3"/>
    <w:rsid w:val="00EE393F"/>
    <w:rsid w:val="00EE6488"/>
    <w:rsid w:val="00F021FA"/>
    <w:rsid w:val="00F5410F"/>
    <w:rsid w:val="00F572A0"/>
    <w:rsid w:val="00F572F8"/>
    <w:rsid w:val="00F57D68"/>
    <w:rsid w:val="00F606B1"/>
    <w:rsid w:val="00F62355"/>
    <w:rsid w:val="00F62E97"/>
    <w:rsid w:val="00F64209"/>
    <w:rsid w:val="00F66B07"/>
    <w:rsid w:val="00F76131"/>
    <w:rsid w:val="00F771D7"/>
    <w:rsid w:val="00F8591E"/>
    <w:rsid w:val="00F85B38"/>
    <w:rsid w:val="00F93BF5"/>
    <w:rsid w:val="00F95F85"/>
    <w:rsid w:val="00FE2C64"/>
    <w:rsid w:val="00F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62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A57F08"/>
    <w:pPr>
      <w:ind w:left="720"/>
      <w:contextualSpacing/>
    </w:pPr>
  </w:style>
  <w:style w:type="character" w:styleId="CommentReference">
    <w:name w:val="annotation reference"/>
    <w:basedOn w:val="DefaultParagraphFont"/>
    <w:rsid w:val="00F606B1"/>
    <w:rPr>
      <w:sz w:val="16"/>
      <w:szCs w:val="16"/>
    </w:rPr>
  </w:style>
  <w:style w:type="paragraph" w:styleId="CommentText">
    <w:name w:val="annotation text"/>
    <w:basedOn w:val="Normal"/>
    <w:link w:val="CommentTextChar"/>
    <w:rsid w:val="00F606B1"/>
    <w:rPr>
      <w:sz w:val="20"/>
    </w:rPr>
  </w:style>
  <w:style w:type="character" w:customStyle="1" w:styleId="CommentTextChar">
    <w:name w:val="Comment Text Char"/>
    <w:basedOn w:val="DefaultParagraphFont"/>
    <w:link w:val="CommentText"/>
    <w:rsid w:val="00F606B1"/>
    <w:rPr>
      <w:snapToGrid w:val="0"/>
      <w:kern w:val="28"/>
    </w:rPr>
  </w:style>
  <w:style w:type="paragraph" w:styleId="CommentSubject">
    <w:name w:val="annotation subject"/>
    <w:basedOn w:val="CommentText"/>
    <w:next w:val="CommentText"/>
    <w:link w:val="CommentSubjectChar"/>
    <w:rsid w:val="00F606B1"/>
    <w:rPr>
      <w:b/>
      <w:bCs/>
    </w:rPr>
  </w:style>
  <w:style w:type="character" w:customStyle="1" w:styleId="CommentSubjectChar">
    <w:name w:val="Comment Subject Char"/>
    <w:basedOn w:val="CommentTextChar"/>
    <w:link w:val="CommentSubject"/>
    <w:rsid w:val="00F606B1"/>
    <w:rPr>
      <w:b/>
      <w:bCs/>
      <w:snapToGrid w:val="0"/>
      <w:kern w:val="28"/>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866579"/>
  </w:style>
  <w:style w:type="character" w:customStyle="1" w:styleId="ParaNumCharChar1">
    <w:name w:val="ParaNum Char Char1"/>
    <w:link w:val="ParaNum"/>
    <w:locked/>
    <w:rsid w:val="00866579"/>
    <w:rPr>
      <w:snapToGrid w:val="0"/>
      <w:kern w:val="28"/>
      <w:sz w:val="22"/>
    </w:rPr>
  </w:style>
  <w:style w:type="character" w:styleId="Emphasis">
    <w:name w:val="Emphasis"/>
    <w:uiPriority w:val="20"/>
    <w:qFormat/>
    <w:rsid w:val="00FE2F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A57F08"/>
    <w:pPr>
      <w:ind w:left="720"/>
      <w:contextualSpacing/>
    </w:pPr>
  </w:style>
  <w:style w:type="character" w:styleId="CommentReference">
    <w:name w:val="annotation reference"/>
    <w:basedOn w:val="DefaultParagraphFont"/>
    <w:rsid w:val="00F606B1"/>
    <w:rPr>
      <w:sz w:val="16"/>
      <w:szCs w:val="16"/>
    </w:rPr>
  </w:style>
  <w:style w:type="paragraph" w:styleId="CommentText">
    <w:name w:val="annotation text"/>
    <w:basedOn w:val="Normal"/>
    <w:link w:val="CommentTextChar"/>
    <w:rsid w:val="00F606B1"/>
    <w:rPr>
      <w:sz w:val="20"/>
    </w:rPr>
  </w:style>
  <w:style w:type="character" w:customStyle="1" w:styleId="CommentTextChar">
    <w:name w:val="Comment Text Char"/>
    <w:basedOn w:val="DefaultParagraphFont"/>
    <w:link w:val="CommentText"/>
    <w:rsid w:val="00F606B1"/>
    <w:rPr>
      <w:snapToGrid w:val="0"/>
      <w:kern w:val="28"/>
    </w:rPr>
  </w:style>
  <w:style w:type="paragraph" w:styleId="CommentSubject">
    <w:name w:val="annotation subject"/>
    <w:basedOn w:val="CommentText"/>
    <w:next w:val="CommentText"/>
    <w:link w:val="CommentSubjectChar"/>
    <w:rsid w:val="00F606B1"/>
    <w:rPr>
      <w:b/>
      <w:bCs/>
    </w:rPr>
  </w:style>
  <w:style w:type="character" w:customStyle="1" w:styleId="CommentSubjectChar">
    <w:name w:val="Comment Subject Char"/>
    <w:basedOn w:val="CommentTextChar"/>
    <w:link w:val="CommentSubject"/>
    <w:rsid w:val="00F606B1"/>
    <w:rPr>
      <w:b/>
      <w:bCs/>
      <w:snapToGrid w:val="0"/>
      <w:kern w:val="28"/>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866579"/>
  </w:style>
  <w:style w:type="character" w:customStyle="1" w:styleId="ParaNumCharChar1">
    <w:name w:val="ParaNum Char Char1"/>
    <w:link w:val="ParaNum"/>
    <w:locked/>
    <w:rsid w:val="00866579"/>
    <w:rPr>
      <w:snapToGrid w:val="0"/>
      <w:kern w:val="28"/>
      <w:sz w:val="22"/>
    </w:rPr>
  </w:style>
  <w:style w:type="character" w:styleId="Emphasis">
    <w:name w:val="Emphasis"/>
    <w:uiPriority w:val="20"/>
    <w:qFormat/>
    <w:rsid w:val="00FE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567</Words>
  <Characters>3282</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2016-07-29T19:04:00Z</cp:lastPrinted>
  <dcterms:created xsi:type="dcterms:W3CDTF">2016-08-18T14:43:00Z</dcterms:created>
  <dcterms:modified xsi:type="dcterms:W3CDTF">2016-08-18T14:43:00Z</dcterms:modified>
  <cp:category> </cp:category>
  <cp:contentStatus> </cp:contentStatus>
</cp:coreProperties>
</file>