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43" w:rsidRDefault="00706543" w:rsidP="0070654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706543" w:rsidRDefault="00706543" w:rsidP="00706543">
      <w:pPr>
        <w:pStyle w:val="StyleBoldCentered"/>
      </w:pPr>
      <w:r>
        <w:t>F</w:t>
      </w:r>
      <w:r>
        <w:rPr>
          <w:caps w:val="0"/>
        </w:rPr>
        <w:t>ederal Communications Commission</w:t>
      </w:r>
    </w:p>
    <w:p w:rsidR="00706543" w:rsidRDefault="00706543" w:rsidP="00706543">
      <w:pPr>
        <w:pStyle w:val="StyleBoldCentered"/>
      </w:pPr>
      <w:r>
        <w:rPr>
          <w:caps w:val="0"/>
        </w:rPr>
        <w:t>Washington, D.C. 20554</w:t>
      </w:r>
    </w:p>
    <w:p w:rsidR="00706543" w:rsidRDefault="00706543" w:rsidP="00706543"/>
    <w:p w:rsidR="00706543" w:rsidRDefault="00706543" w:rsidP="00706543"/>
    <w:tbl>
      <w:tblPr>
        <w:tblW w:w="0" w:type="auto"/>
        <w:tblLayout w:type="fixed"/>
        <w:tblLook w:val="0000" w:firstRow="0" w:lastRow="0" w:firstColumn="0" w:lastColumn="0" w:noHBand="0" w:noVBand="0"/>
      </w:tblPr>
      <w:tblGrid>
        <w:gridCol w:w="4698"/>
        <w:gridCol w:w="630"/>
        <w:gridCol w:w="4248"/>
      </w:tblGrid>
      <w:tr w:rsidR="00706543" w:rsidTr="00B625E5">
        <w:tc>
          <w:tcPr>
            <w:tcW w:w="4698" w:type="dxa"/>
          </w:tcPr>
          <w:p w:rsidR="00706543" w:rsidRDefault="00706543" w:rsidP="00B625E5">
            <w:pPr>
              <w:tabs>
                <w:tab w:val="center" w:pos="4680"/>
              </w:tabs>
              <w:suppressAutoHyphens/>
              <w:rPr>
                <w:spacing w:val="-2"/>
              </w:rPr>
            </w:pPr>
            <w:r>
              <w:rPr>
                <w:spacing w:val="-2"/>
              </w:rPr>
              <w:t>In the Matter of</w:t>
            </w:r>
          </w:p>
          <w:p w:rsidR="00706543" w:rsidRDefault="00706543" w:rsidP="00B625E5">
            <w:pPr>
              <w:tabs>
                <w:tab w:val="center" w:pos="4680"/>
              </w:tabs>
              <w:suppressAutoHyphens/>
              <w:rPr>
                <w:spacing w:val="-2"/>
              </w:rPr>
            </w:pPr>
          </w:p>
          <w:p w:rsidR="00706543" w:rsidRDefault="00706543" w:rsidP="00B625E5">
            <w:pPr>
              <w:tabs>
                <w:tab w:val="center" w:pos="4680"/>
              </w:tabs>
              <w:suppressAutoHyphens/>
            </w:pPr>
            <w:r>
              <w:t xml:space="preserve">Leaco Rural Telephone Cooperative, Inc., </w:t>
            </w:r>
          </w:p>
          <w:p w:rsidR="002E1A49" w:rsidRDefault="002E1A49" w:rsidP="00B625E5">
            <w:pPr>
              <w:tabs>
                <w:tab w:val="center" w:pos="4680"/>
              </w:tabs>
              <w:suppressAutoHyphens/>
            </w:pPr>
            <w:r>
              <w:t xml:space="preserve">and </w:t>
            </w:r>
          </w:p>
          <w:p w:rsidR="00706543" w:rsidRDefault="00706543" w:rsidP="00B625E5">
            <w:pPr>
              <w:tabs>
                <w:tab w:val="center" w:pos="4680"/>
              </w:tabs>
              <w:suppressAutoHyphens/>
            </w:pPr>
            <w:r>
              <w:t xml:space="preserve">Pine Belt Cellular, Inc., </w:t>
            </w:r>
          </w:p>
          <w:p w:rsidR="00706543" w:rsidRDefault="00706543" w:rsidP="00B625E5">
            <w:pPr>
              <w:tabs>
                <w:tab w:val="center" w:pos="4680"/>
              </w:tabs>
              <w:suppressAutoHyphens/>
            </w:pPr>
          </w:p>
          <w:p w:rsidR="00706543" w:rsidRPr="007115F7" w:rsidRDefault="00706543" w:rsidP="00BC6DA0">
            <w:pPr>
              <w:tabs>
                <w:tab w:val="center" w:pos="4680"/>
              </w:tabs>
              <w:suppressAutoHyphens/>
              <w:rPr>
                <w:spacing w:val="-2"/>
              </w:rPr>
            </w:pPr>
            <w:r>
              <w:t xml:space="preserve">Requests for Waiver of the Construction Deadline </w:t>
            </w:r>
            <w:r w:rsidR="002E1A49">
              <w:t xml:space="preserve">and </w:t>
            </w:r>
            <w:r>
              <w:t>Reporting Deadline</w:t>
            </w:r>
            <w:r w:rsidR="002E1A49">
              <w:t xml:space="preserve"> </w:t>
            </w:r>
            <w:r>
              <w:t xml:space="preserve"> Rules for Mobility</w:t>
            </w:r>
            <w:r w:rsidR="00D67FDC">
              <w:t xml:space="preserve"> </w:t>
            </w:r>
            <w:r>
              <w:t xml:space="preserve">Fund </w:t>
            </w:r>
            <w:r w:rsidR="00BC6DA0">
              <w:t xml:space="preserve">Phase </w:t>
            </w:r>
            <w:r>
              <w:t>I</w:t>
            </w:r>
          </w:p>
        </w:tc>
        <w:tc>
          <w:tcPr>
            <w:tcW w:w="630" w:type="dxa"/>
          </w:tcPr>
          <w:p w:rsidR="00706543" w:rsidRDefault="00706543" w:rsidP="00B625E5">
            <w:pPr>
              <w:tabs>
                <w:tab w:val="center" w:pos="4680"/>
              </w:tabs>
              <w:suppressAutoHyphens/>
              <w:rPr>
                <w:b/>
                <w:spacing w:val="-2"/>
              </w:rPr>
            </w:pPr>
            <w:r>
              <w:rPr>
                <w:b/>
                <w:spacing w:val="-2"/>
              </w:rPr>
              <w:t>)</w:t>
            </w:r>
          </w:p>
          <w:p w:rsidR="00706543" w:rsidRDefault="00706543" w:rsidP="00B625E5">
            <w:pPr>
              <w:tabs>
                <w:tab w:val="center" w:pos="4680"/>
              </w:tabs>
              <w:suppressAutoHyphens/>
              <w:rPr>
                <w:b/>
                <w:spacing w:val="-2"/>
              </w:rPr>
            </w:pPr>
            <w:r>
              <w:rPr>
                <w:b/>
                <w:spacing w:val="-2"/>
              </w:rPr>
              <w:t>)</w:t>
            </w:r>
          </w:p>
          <w:p w:rsidR="00706543" w:rsidRDefault="00706543" w:rsidP="00B625E5">
            <w:pPr>
              <w:tabs>
                <w:tab w:val="center" w:pos="4680"/>
              </w:tabs>
              <w:suppressAutoHyphens/>
              <w:rPr>
                <w:b/>
                <w:spacing w:val="-2"/>
              </w:rPr>
            </w:pPr>
            <w:r>
              <w:rPr>
                <w:b/>
                <w:spacing w:val="-2"/>
              </w:rPr>
              <w:t>)</w:t>
            </w:r>
          </w:p>
          <w:p w:rsidR="00706543" w:rsidRDefault="00706543" w:rsidP="00B625E5">
            <w:pPr>
              <w:tabs>
                <w:tab w:val="center" w:pos="4680"/>
              </w:tabs>
              <w:suppressAutoHyphens/>
              <w:rPr>
                <w:b/>
                <w:spacing w:val="-2"/>
              </w:rPr>
            </w:pPr>
            <w:r>
              <w:rPr>
                <w:b/>
                <w:spacing w:val="-2"/>
              </w:rPr>
              <w:t>)</w:t>
            </w:r>
          </w:p>
          <w:p w:rsidR="00706543" w:rsidRDefault="00706543" w:rsidP="00B625E5">
            <w:pPr>
              <w:tabs>
                <w:tab w:val="center" w:pos="4680"/>
              </w:tabs>
              <w:suppressAutoHyphens/>
              <w:rPr>
                <w:b/>
                <w:spacing w:val="-2"/>
              </w:rPr>
            </w:pPr>
            <w:r>
              <w:rPr>
                <w:b/>
                <w:spacing w:val="-2"/>
              </w:rPr>
              <w:t>)</w:t>
            </w:r>
          </w:p>
          <w:p w:rsidR="00706543" w:rsidRDefault="00706543" w:rsidP="00B625E5">
            <w:pPr>
              <w:tabs>
                <w:tab w:val="center" w:pos="4680"/>
              </w:tabs>
              <w:suppressAutoHyphens/>
              <w:rPr>
                <w:b/>
                <w:spacing w:val="-2"/>
              </w:rPr>
            </w:pPr>
            <w:r>
              <w:rPr>
                <w:b/>
                <w:spacing w:val="-2"/>
              </w:rPr>
              <w:t>)</w:t>
            </w:r>
          </w:p>
          <w:p w:rsidR="00706543" w:rsidRDefault="00706543" w:rsidP="00B625E5">
            <w:pPr>
              <w:tabs>
                <w:tab w:val="center" w:pos="4680"/>
              </w:tabs>
              <w:suppressAutoHyphens/>
              <w:rPr>
                <w:b/>
                <w:spacing w:val="-2"/>
              </w:rPr>
            </w:pPr>
            <w:r>
              <w:rPr>
                <w:b/>
                <w:spacing w:val="-2"/>
              </w:rPr>
              <w:t>)</w:t>
            </w:r>
          </w:p>
          <w:p w:rsidR="00706543" w:rsidRDefault="00706543" w:rsidP="00B625E5">
            <w:pPr>
              <w:tabs>
                <w:tab w:val="center" w:pos="4680"/>
              </w:tabs>
              <w:suppressAutoHyphens/>
              <w:rPr>
                <w:b/>
                <w:spacing w:val="-2"/>
              </w:rPr>
            </w:pPr>
            <w:r>
              <w:rPr>
                <w:b/>
                <w:spacing w:val="-2"/>
              </w:rPr>
              <w:t>)</w:t>
            </w:r>
          </w:p>
          <w:p w:rsidR="00706543" w:rsidRDefault="00706543" w:rsidP="00B625E5">
            <w:pPr>
              <w:tabs>
                <w:tab w:val="center" w:pos="4680"/>
              </w:tabs>
              <w:suppressAutoHyphens/>
              <w:rPr>
                <w:spacing w:val="-2"/>
              </w:rPr>
            </w:pPr>
            <w:r>
              <w:rPr>
                <w:b/>
                <w:spacing w:val="-2"/>
              </w:rPr>
              <w:t>)</w:t>
            </w:r>
          </w:p>
        </w:tc>
        <w:tc>
          <w:tcPr>
            <w:tcW w:w="4248" w:type="dxa"/>
          </w:tcPr>
          <w:p w:rsidR="00706543" w:rsidRDefault="00706543" w:rsidP="00B625E5">
            <w:pPr>
              <w:tabs>
                <w:tab w:val="center" w:pos="4680"/>
              </w:tabs>
              <w:suppressAutoHyphens/>
              <w:rPr>
                <w:spacing w:val="-2"/>
              </w:rPr>
            </w:pPr>
          </w:p>
          <w:p w:rsidR="00706543" w:rsidRDefault="00706543" w:rsidP="00B625E5">
            <w:pPr>
              <w:pStyle w:val="TOAHeading"/>
              <w:tabs>
                <w:tab w:val="clear" w:pos="9360"/>
                <w:tab w:val="center" w:pos="4680"/>
              </w:tabs>
              <w:rPr>
                <w:spacing w:val="-2"/>
              </w:rPr>
            </w:pPr>
          </w:p>
          <w:p w:rsidR="00706543" w:rsidRDefault="00706543" w:rsidP="00B625E5">
            <w:pPr>
              <w:tabs>
                <w:tab w:val="center" w:pos="4680"/>
              </w:tabs>
              <w:suppressAutoHyphens/>
              <w:rPr>
                <w:spacing w:val="-2"/>
              </w:rPr>
            </w:pPr>
            <w:r>
              <w:rPr>
                <w:spacing w:val="-2"/>
              </w:rPr>
              <w:t>WT Docket No. 10-208</w:t>
            </w:r>
          </w:p>
        </w:tc>
      </w:tr>
    </w:tbl>
    <w:p w:rsidR="00706543" w:rsidRDefault="00706543" w:rsidP="00706543"/>
    <w:p w:rsidR="00706543" w:rsidRDefault="00706543" w:rsidP="00706543">
      <w:pPr>
        <w:pStyle w:val="StyleBoldCentered"/>
      </w:pPr>
      <w:r>
        <w:fldChar w:fldCharType="begin"/>
      </w:r>
      <w:r>
        <w:instrText xml:space="preserve"> MACROBUTTON  Overtype Order </w:instrText>
      </w:r>
      <w:r>
        <w:fldChar w:fldCharType="end"/>
      </w:r>
    </w:p>
    <w:p w:rsidR="00706543" w:rsidRDefault="00706543" w:rsidP="00706543">
      <w:pPr>
        <w:tabs>
          <w:tab w:val="left" w:pos="-720"/>
        </w:tabs>
        <w:suppressAutoHyphens/>
        <w:spacing w:line="227" w:lineRule="auto"/>
        <w:rPr>
          <w:spacing w:val="-2"/>
        </w:rPr>
      </w:pPr>
    </w:p>
    <w:p w:rsidR="00706543" w:rsidRDefault="00706543" w:rsidP="00706543">
      <w:pPr>
        <w:tabs>
          <w:tab w:val="left" w:pos="720"/>
          <w:tab w:val="right" w:pos="9360"/>
        </w:tabs>
        <w:suppressAutoHyphens/>
        <w:spacing w:line="227" w:lineRule="auto"/>
        <w:rPr>
          <w:spacing w:val="-2"/>
        </w:rPr>
      </w:pPr>
      <w:r>
        <w:rPr>
          <w:b/>
          <w:spacing w:val="-2"/>
        </w:rPr>
        <w:t xml:space="preserve">Adopted:  </w:t>
      </w:r>
      <w:r w:rsidR="00E55482">
        <w:rPr>
          <w:b/>
          <w:spacing w:val="-2"/>
        </w:rPr>
        <w:t>August 17, 2016</w:t>
      </w:r>
      <w:r>
        <w:rPr>
          <w:b/>
          <w:spacing w:val="-2"/>
        </w:rPr>
        <w:tab/>
        <w:t xml:space="preserve">Released:  </w:t>
      </w:r>
      <w:r w:rsidR="00E55482">
        <w:rPr>
          <w:b/>
          <w:spacing w:val="-2"/>
        </w:rPr>
        <w:t>August 17, 2016</w:t>
      </w:r>
    </w:p>
    <w:p w:rsidR="00706543" w:rsidRDefault="00706543" w:rsidP="00706543"/>
    <w:p w:rsidR="00706543" w:rsidRDefault="00706543" w:rsidP="00706543">
      <w:pPr>
        <w:rPr>
          <w:spacing w:val="-2"/>
        </w:rPr>
      </w:pPr>
      <w:r>
        <w:t xml:space="preserve">By the </w:t>
      </w:r>
      <w:r>
        <w:rPr>
          <w:spacing w:val="-2"/>
        </w:rPr>
        <w:t>Chief, Auctions and Spectrum Access Division:</w:t>
      </w:r>
    </w:p>
    <w:p w:rsidR="00706543" w:rsidRDefault="00706543" w:rsidP="00706543">
      <w:pPr>
        <w:rPr>
          <w:spacing w:val="-2"/>
        </w:rPr>
      </w:pPr>
    </w:p>
    <w:p w:rsidR="00706543" w:rsidRDefault="00706543" w:rsidP="00706543"/>
    <w:p w:rsidR="00706543" w:rsidRDefault="00706543" w:rsidP="00706543">
      <w:pPr>
        <w:pStyle w:val="Heading1"/>
      </w:pPr>
      <w:r>
        <w:t>INTRODUCTION</w:t>
      </w:r>
    </w:p>
    <w:p w:rsidR="00706543" w:rsidRDefault="00706543" w:rsidP="00706543">
      <w:pPr>
        <w:pStyle w:val="ParaNum"/>
      </w:pPr>
      <w:r>
        <w:t>In this O</w:t>
      </w:r>
      <w:r w:rsidRPr="00392A4B">
        <w:t xml:space="preserve">rder, we </w:t>
      </w:r>
      <w:r>
        <w:t xml:space="preserve">waive </w:t>
      </w:r>
      <w:r w:rsidR="00E375EA">
        <w:t xml:space="preserve">performance </w:t>
      </w:r>
      <w:r>
        <w:t>deadlines for two recipients of Mobility Fund Phase</w:t>
      </w:r>
      <w:r w:rsidR="00071C69">
        <w:t> </w:t>
      </w:r>
      <w:r>
        <w:t>I (Auction 901) support who were required to complete the buildout of their supported 3G networks within two years of being authorized for support</w:t>
      </w:r>
      <w:r w:rsidRPr="00392A4B">
        <w:t xml:space="preserve">.  </w:t>
      </w:r>
      <w:r>
        <w:t xml:space="preserve">Leaco Rural Telephone Cooperative, Inc. (Leaco), and Pine Belt Cellular, Inc. (Pine Belt), each seek waiver of their construction deadlines and/or waiver of the testing and reporting deadlines associated with some of their Auction 901 winning bids because each encountered </w:t>
      </w:r>
      <w:r w:rsidR="00787CC0">
        <w:t xml:space="preserve">unusual </w:t>
      </w:r>
      <w:r>
        <w:t>delays</w:t>
      </w:r>
      <w:r w:rsidR="00787CC0">
        <w:t xml:space="preserve"> beyond their control</w:t>
      </w:r>
      <w:r>
        <w:t xml:space="preserve"> in their construction processes.  For the reasons discussed fully below, we grant a waiver of their respective construction, testing, and reporting deadlines through the dates Leaco and Pine Belt have requested.</w:t>
      </w:r>
    </w:p>
    <w:p w:rsidR="00706543" w:rsidRDefault="00706543" w:rsidP="00706543">
      <w:pPr>
        <w:pStyle w:val="Heading1"/>
      </w:pPr>
      <w:r>
        <w:t>BACKground</w:t>
      </w:r>
    </w:p>
    <w:p w:rsidR="00706543" w:rsidRDefault="00706543" w:rsidP="00706543">
      <w:pPr>
        <w:pStyle w:val="Heading2"/>
      </w:pPr>
      <w:r>
        <w:t>Mobility Fund I</w:t>
      </w:r>
    </w:p>
    <w:p w:rsidR="00706543" w:rsidRPr="00841193" w:rsidRDefault="00706543" w:rsidP="00706543">
      <w:pPr>
        <w:pStyle w:val="ParaNum"/>
        <w:widowControl/>
        <w:rPr>
          <w:szCs w:val="22"/>
        </w:rPr>
      </w:pPr>
      <w:r>
        <w:t xml:space="preserve">In the </w:t>
      </w:r>
      <w:r>
        <w:rPr>
          <w:i/>
        </w:rPr>
        <w:t>USF/ICC Transformation Order</w:t>
      </w:r>
      <w:r>
        <w:t xml:space="preserve">, the Commission comprehensively reformed and modernized the high-cost component of the Universal Service Fund (USF) by adopting, among other things, a universal service support mechanism dedicated expressly to mobile services – the Mobility Fund.  Phase I of the Mobility Fund </w:t>
      </w:r>
      <w:r w:rsidR="002806FA">
        <w:t xml:space="preserve">used competitive bidding – a reverse auction – to allocate to winning bidders up to $300 million in one-time </w:t>
      </w:r>
      <w:r>
        <w:t>universal service support</w:t>
      </w:r>
      <w:r w:rsidR="002806FA">
        <w:t xml:space="preserve"> </w:t>
      </w:r>
      <w:r w:rsidR="00D122E6">
        <w:t xml:space="preserve">to deploy </w:t>
      </w:r>
      <w:r w:rsidR="002806FA">
        <w:t>mobile voice and broadband services.  Winning bidders committed</w:t>
      </w:r>
      <w:r>
        <w:t xml:space="preserve"> to extend the availability of mobile voice and broadband services on </w:t>
      </w:r>
      <w:r w:rsidRPr="00BA762C">
        <w:rPr>
          <w:szCs w:val="22"/>
        </w:rPr>
        <w:t xml:space="preserve">networks </w:t>
      </w:r>
      <w:r>
        <w:rPr>
          <w:szCs w:val="22"/>
        </w:rPr>
        <w:t>that</w:t>
      </w:r>
      <w:r w:rsidRPr="00BA762C">
        <w:rPr>
          <w:szCs w:val="22"/>
        </w:rPr>
        <w:t xml:space="preserve"> provide third generation or better performance (often called “advanced” or “3G”)</w:t>
      </w:r>
      <w:r>
        <w:rPr>
          <w:szCs w:val="22"/>
        </w:rPr>
        <w:t>,</w:t>
      </w:r>
      <w:r w:rsidRPr="00BA762C">
        <w:rPr>
          <w:szCs w:val="22"/>
        </w:rPr>
        <w:t xml:space="preserve"> </w:t>
      </w:r>
      <w:r>
        <w:rPr>
          <w:szCs w:val="22"/>
        </w:rPr>
        <w:t>or</w:t>
      </w:r>
      <w:r w:rsidRPr="00BA762C">
        <w:rPr>
          <w:szCs w:val="22"/>
        </w:rPr>
        <w:t xml:space="preserve"> to</w:t>
      </w:r>
      <w:r w:rsidR="00DD6F28">
        <w:rPr>
          <w:szCs w:val="22"/>
        </w:rPr>
        <w:t xml:space="preserve"> </w:t>
      </w:r>
      <w:r w:rsidRPr="00BA762C">
        <w:rPr>
          <w:szCs w:val="22"/>
        </w:rPr>
        <w:t>accelerate the deployment of fourth-generation (“4G”) wirel</w:t>
      </w:r>
      <w:r>
        <w:rPr>
          <w:szCs w:val="22"/>
        </w:rPr>
        <w:t xml:space="preserve">ess networks in areas </w:t>
      </w:r>
      <w:r w:rsidR="002806FA">
        <w:rPr>
          <w:szCs w:val="22"/>
        </w:rPr>
        <w:t>that lacked such services</w:t>
      </w:r>
      <w:r w:rsidRPr="00BA762C">
        <w:rPr>
          <w:szCs w:val="22"/>
        </w:rPr>
        <w:t>.</w:t>
      </w:r>
      <w:r>
        <w:rPr>
          <w:rStyle w:val="FootnoteReference"/>
        </w:rPr>
        <w:footnoteReference w:id="2"/>
      </w:r>
      <w:r>
        <w:t xml:space="preserve">  </w:t>
      </w:r>
      <w:r w:rsidRPr="00475D31">
        <w:t>Prior to the start of the auction, bidders were</w:t>
      </w:r>
      <w:r>
        <w:t xml:space="preserve"> cautioned that they were responsible “</w:t>
      </w:r>
      <w:r>
        <w:rPr>
          <w:szCs w:val="22"/>
        </w:rPr>
        <w:t>for investigating and evaluating all technical and marketplace factors that may have a</w:t>
      </w:r>
      <w:r w:rsidR="00DD6F28">
        <w:rPr>
          <w:szCs w:val="22"/>
        </w:rPr>
        <w:t xml:space="preserve"> </w:t>
      </w:r>
      <w:r>
        <w:rPr>
          <w:szCs w:val="22"/>
        </w:rPr>
        <w:t xml:space="preserve">bearing on … bid[s] in </w:t>
      </w:r>
      <w:r>
        <w:rPr>
          <w:szCs w:val="22"/>
        </w:rPr>
        <w:lastRenderedPageBreak/>
        <w:t>Auction 901.”</w:t>
      </w:r>
      <w:r>
        <w:rPr>
          <w:rStyle w:val="FootnoteReference"/>
          <w:szCs w:val="22"/>
        </w:rPr>
        <w:footnoteReference w:id="3"/>
      </w:r>
      <w:r>
        <w:rPr>
          <w:szCs w:val="22"/>
        </w:rPr>
        <w:t xml:space="preserve">  Bidders were further advised that “[e]ach bidder is responsible for assuring that, if it wins the support, it will be able to build and operate facilities in accordance with the Mobility Fund obligations and the Commission’s rules generally.”</w:t>
      </w:r>
      <w:r>
        <w:rPr>
          <w:rStyle w:val="FootnoteReference"/>
          <w:szCs w:val="22"/>
        </w:rPr>
        <w:footnoteReference w:id="4"/>
      </w:r>
      <w:r>
        <w:rPr>
          <w:szCs w:val="22"/>
        </w:rPr>
        <w:t xml:space="preserve">  </w:t>
      </w:r>
    </w:p>
    <w:p w:rsidR="00706543" w:rsidRDefault="00706543" w:rsidP="00706543">
      <w:pPr>
        <w:pStyle w:val="ParaNum"/>
        <w:widowControl/>
      </w:pPr>
      <w:r>
        <w:rPr>
          <w:szCs w:val="22"/>
        </w:rPr>
        <w:t xml:space="preserve">Mobility Fund </w:t>
      </w:r>
      <w:r w:rsidR="002806FA">
        <w:rPr>
          <w:szCs w:val="22"/>
        </w:rPr>
        <w:t xml:space="preserve">Phase </w:t>
      </w:r>
      <w:r>
        <w:rPr>
          <w:szCs w:val="22"/>
        </w:rPr>
        <w:t xml:space="preserve">I rules </w:t>
      </w:r>
      <w:r w:rsidR="002806FA">
        <w:rPr>
          <w:szCs w:val="22"/>
        </w:rPr>
        <w:t xml:space="preserve">require </w:t>
      </w:r>
      <w:r>
        <w:t>winning bidders to provide service to at least seventy-five percent (75%) or more of the designated eligible road miles within the relevant area</w:t>
      </w:r>
      <w:r w:rsidR="002806FA">
        <w:t xml:space="preserve"> covered </w:t>
      </w:r>
      <w:r w:rsidR="00AD3146">
        <w:t xml:space="preserve">by </w:t>
      </w:r>
      <w:r w:rsidR="002806FA">
        <w:t>their winning bids</w:t>
      </w:r>
      <w:r>
        <w:t>.</w:t>
      </w:r>
      <w:r w:rsidR="0046740C">
        <w:rPr>
          <w:rStyle w:val="FootnoteReference"/>
        </w:rPr>
        <w:footnoteReference w:id="5"/>
      </w:r>
      <w:r w:rsidR="00DD6008">
        <w:t xml:space="preserve"> </w:t>
      </w:r>
      <w:r>
        <w:t xml:space="preserve"> Winning bidders committing to provide service over a 3G network </w:t>
      </w:r>
      <w:r w:rsidR="00D122E6">
        <w:t xml:space="preserve">are </w:t>
      </w:r>
      <w:r>
        <w:t>required to do so within two years of being authorized to receive support.</w:t>
      </w:r>
      <w:r>
        <w:rPr>
          <w:rStyle w:val="FootnoteReference"/>
        </w:rPr>
        <w:footnoteReference w:id="6"/>
      </w:r>
      <w:r>
        <w:t xml:space="preserve">  Winning bidders committing to provide service over a 4G network </w:t>
      </w:r>
      <w:r w:rsidR="00D122E6">
        <w:t xml:space="preserve">are </w:t>
      </w:r>
      <w:r>
        <w:t>required to do so within three years of being authorized to receive support.</w:t>
      </w:r>
      <w:r>
        <w:rPr>
          <w:rStyle w:val="FootnoteReference"/>
        </w:rPr>
        <w:footnoteReference w:id="7"/>
      </w:r>
      <w:r>
        <w:t xml:space="preserve">  </w:t>
      </w:r>
    </w:p>
    <w:p w:rsidR="00706543" w:rsidRDefault="00706543" w:rsidP="00706543">
      <w:pPr>
        <w:pStyle w:val="ParaNum"/>
        <w:widowControl/>
      </w:pPr>
      <w:r>
        <w:t xml:space="preserve">Mobility Fund Phase I </w:t>
      </w:r>
      <w:r w:rsidR="00247D22">
        <w:t xml:space="preserve">rules </w:t>
      </w:r>
      <w:r w:rsidR="002806FA">
        <w:t xml:space="preserve">further provide that </w:t>
      </w:r>
      <w:r>
        <w:t xml:space="preserve">support </w:t>
      </w:r>
      <w:r w:rsidR="002806FA">
        <w:t xml:space="preserve">is </w:t>
      </w:r>
      <w:r>
        <w:t xml:space="preserve">disbursed to authorized winning bidders in </w:t>
      </w:r>
      <w:r w:rsidR="00B25861">
        <w:t xml:space="preserve">up to </w:t>
      </w:r>
      <w:r>
        <w:t>three stages</w:t>
      </w:r>
      <w:r w:rsidR="00247D22">
        <w:t>.  T</w:t>
      </w:r>
      <w:r>
        <w:t xml:space="preserve">he first disbursement of one-third of the total winning bid amount </w:t>
      </w:r>
      <w:r w:rsidR="00247D22">
        <w:t xml:space="preserve">is </w:t>
      </w:r>
      <w:r>
        <w:t xml:space="preserve">made when the winning bidder </w:t>
      </w:r>
      <w:r w:rsidR="00247D22">
        <w:t xml:space="preserve">is </w:t>
      </w:r>
      <w:r>
        <w:t>authorized to receive support.</w:t>
      </w:r>
      <w:r>
        <w:rPr>
          <w:rStyle w:val="FootnoteReference"/>
        </w:rPr>
        <w:footnoteReference w:id="8"/>
      </w:r>
      <w:r>
        <w:t xml:space="preserve">  </w:t>
      </w:r>
      <w:r w:rsidR="00247D22">
        <w:t>A</w:t>
      </w:r>
      <w:r>
        <w:t xml:space="preserve"> recipient becomes eligible to receive a second disbursement when it submits a report demonstrating coverage of 50 percent of the coverage requirements of section 54.1006 of the Commission’s rules.</w:t>
      </w:r>
      <w:r>
        <w:rPr>
          <w:rStyle w:val="FootnoteReference"/>
        </w:rPr>
        <w:footnoteReference w:id="9"/>
      </w:r>
      <w:r>
        <w:t xml:space="preserve">  A recipient becomes eligible to receive the final disbursement when </w:t>
      </w:r>
      <w:r w:rsidR="00DD6F28">
        <w:t xml:space="preserve">it meets </w:t>
      </w:r>
      <w:r>
        <w:t xml:space="preserve">the </w:t>
      </w:r>
      <w:r w:rsidR="00247D22">
        <w:t xml:space="preserve">final </w:t>
      </w:r>
      <w:r>
        <w:t xml:space="preserve">coverage requirements </w:t>
      </w:r>
      <w:r w:rsidR="00D6079B">
        <w:t>by the deadline specified in</w:t>
      </w:r>
      <w:r>
        <w:t xml:space="preserve"> section 54.1006 of the Commission’s rules.</w:t>
      </w:r>
      <w:r>
        <w:rPr>
          <w:rStyle w:val="FootnoteReference"/>
        </w:rPr>
        <w:footnoteReference w:id="10"/>
      </w:r>
      <w:r>
        <w:t xml:space="preserve">  </w:t>
      </w:r>
    </w:p>
    <w:p w:rsidR="00706543" w:rsidRDefault="00247D22" w:rsidP="00706543">
      <w:pPr>
        <w:pStyle w:val="ParaNum"/>
      </w:pPr>
      <w:r>
        <w:t xml:space="preserve">To protect the integrity of the </w:t>
      </w:r>
      <w:r w:rsidR="00D11911">
        <w:t xml:space="preserve">Mobility Fund Phase I reverse </w:t>
      </w:r>
      <w:r>
        <w:t>auction and to safeguard against additional costs to the Commission, a</w:t>
      </w:r>
      <w:r w:rsidR="00706543">
        <w:t xml:space="preserve"> winning bidder that has been authorized to receive Mobility Fund I support will be subject to a performance default payment if it fails or is unable to meet its minimum coverage requirement</w:t>
      </w:r>
      <w:r w:rsidR="00396457">
        <w:t xml:space="preserve"> by the specified deadline</w:t>
      </w:r>
      <w:r w:rsidR="00706543">
        <w:t xml:space="preserve">, </w:t>
      </w:r>
      <w:r w:rsidR="00D122E6">
        <w:t xml:space="preserve">fails to meet </w:t>
      </w:r>
      <w:r w:rsidR="00706543">
        <w:t>other service requirements, or fails to fulfill any other term or condition of Mobility Fund Phase I support.</w:t>
      </w:r>
      <w:r w:rsidR="00706543">
        <w:rPr>
          <w:rStyle w:val="FootnoteReference"/>
        </w:rPr>
        <w:footnoteReference w:id="11"/>
      </w:r>
      <w:r w:rsidR="00706543">
        <w:t xml:space="preserve"> </w:t>
      </w:r>
      <w:r w:rsidR="00DD6008">
        <w:t xml:space="preserve"> </w:t>
      </w:r>
      <w:r w:rsidR="00706543">
        <w:t>For each performance default, a winning bidder must repay all disbursements received for the area covered by that winning bid</w:t>
      </w:r>
      <w:r w:rsidR="00447D04">
        <w:t>,</w:t>
      </w:r>
      <w:r w:rsidR="00706543">
        <w:t xml:space="preserve"> together with an additional default payment of ten percent of the total amount of support for which it is eligible in the area covered by the defaulted winning bid.</w:t>
      </w:r>
      <w:r w:rsidR="00706543">
        <w:rPr>
          <w:rStyle w:val="FootnoteReference"/>
        </w:rPr>
        <w:footnoteReference w:id="12"/>
      </w:r>
      <w:r w:rsidR="00706543">
        <w:t xml:space="preserve">  </w:t>
      </w:r>
    </w:p>
    <w:p w:rsidR="00706543" w:rsidRDefault="00706543" w:rsidP="00706543">
      <w:pPr>
        <w:pStyle w:val="Heading2"/>
      </w:pPr>
      <w:r>
        <w:t>The Parties</w:t>
      </w:r>
    </w:p>
    <w:p w:rsidR="0025097F" w:rsidRPr="00641A6B" w:rsidRDefault="0025097F" w:rsidP="0025097F">
      <w:pPr>
        <w:pStyle w:val="ParaNum"/>
        <w:rPr>
          <w:i/>
        </w:rPr>
      </w:pPr>
      <w:r w:rsidRPr="00141653">
        <w:rPr>
          <w:i/>
        </w:rPr>
        <w:t xml:space="preserve">Pine Belt. </w:t>
      </w:r>
      <w:r>
        <w:t>On June 20, 2013, the Wireless Telecommunications and Wireline Competition Bureaus authorized Pine Belt to receive support for its 15 winning bids in Auction 901, up to approximately $10.2 million.</w:t>
      </w:r>
      <w:r>
        <w:rPr>
          <w:rStyle w:val="FootnoteReference"/>
        </w:rPr>
        <w:footnoteReference w:id="13"/>
      </w:r>
      <w:r>
        <w:t xml:space="preserve">  Pine Belt had a deadline of June 21, 2015, to complete construction of a </w:t>
      </w:r>
      <w:r>
        <w:lastRenderedPageBreak/>
        <w:t>3G network, drive testing, and submission of reports demonstrating coverage.</w:t>
      </w:r>
      <w:r>
        <w:rPr>
          <w:rStyle w:val="FootnoteReference"/>
        </w:rPr>
        <w:footnoteReference w:id="14"/>
      </w:r>
      <w:r>
        <w:t xml:space="preserve"> </w:t>
      </w:r>
      <w:r w:rsidR="00DD6008">
        <w:t xml:space="preserve"> </w:t>
      </w:r>
      <w:r>
        <w:t xml:space="preserve">Pine Belt received an initial disbursement of $3,412,458.19, which is one-third of its winning bid amounts. </w:t>
      </w:r>
      <w:r w:rsidR="00DD6008">
        <w:t xml:space="preserve"> </w:t>
      </w:r>
      <w:r>
        <w:t xml:space="preserve">Subsequently, Pine Belt successfully completed construction and submitted testing data for nine of </w:t>
      </w:r>
      <w:r w:rsidR="00CF324E">
        <w:t xml:space="preserve">the areas covered by </w:t>
      </w:r>
      <w:r>
        <w:t xml:space="preserve">its winning bids </w:t>
      </w:r>
      <w:r w:rsidR="00CF324E">
        <w:t xml:space="preserve">(also called “study areas”) </w:t>
      </w:r>
      <w:r>
        <w:t>by the deadline, and received the final payments for those study areas.</w:t>
      </w:r>
      <w:r>
        <w:rPr>
          <w:rStyle w:val="FootnoteReference"/>
        </w:rPr>
        <w:footnoteReference w:id="15"/>
      </w:r>
      <w:r>
        <w:t xml:space="preserve"> </w:t>
      </w:r>
    </w:p>
    <w:p w:rsidR="0025097F" w:rsidRPr="00F56D54" w:rsidRDefault="0025097F" w:rsidP="0025097F">
      <w:pPr>
        <w:pStyle w:val="ParaNum"/>
        <w:rPr>
          <w:i/>
          <w:szCs w:val="22"/>
        </w:rPr>
      </w:pPr>
      <w:r>
        <w:t>For the remaining six study areas, Pine Belt filed a waiver seeking 60 days beyond the June 2015 deadline to complete its drive testing and submit reports demonstrating coverage to be eligible to receive its final support disbursements for these winning bids</w:t>
      </w:r>
      <w:r>
        <w:rPr>
          <w:szCs w:val="22"/>
        </w:rPr>
        <w:t>.</w:t>
      </w:r>
      <w:r>
        <w:rPr>
          <w:rStyle w:val="FootnoteReference"/>
          <w:szCs w:val="22"/>
        </w:rPr>
        <w:footnoteReference w:id="16"/>
      </w:r>
      <w:r>
        <w:rPr>
          <w:szCs w:val="22"/>
        </w:rPr>
        <w:t xml:space="preserve"> </w:t>
      </w:r>
      <w:r w:rsidR="00DD6008">
        <w:rPr>
          <w:szCs w:val="22"/>
        </w:rPr>
        <w:t xml:space="preserve"> </w:t>
      </w:r>
      <w:r>
        <w:rPr>
          <w:szCs w:val="22"/>
        </w:rPr>
        <w:t>In its Waiver Request, Pine Belt explains that although it timely completed the construction of all six study areas, it experienced unavoidable delays during its construction process that left it with insufficient time to complete all of its drive testing and coverage reporting by the June 2015 deadline.</w:t>
      </w:r>
      <w:r>
        <w:rPr>
          <w:rStyle w:val="FootnoteReference"/>
          <w:szCs w:val="22"/>
        </w:rPr>
        <w:footnoteReference w:id="17"/>
      </w:r>
      <w:r>
        <w:t xml:space="preserve">  </w:t>
      </w:r>
      <w:r w:rsidRPr="00F56D54">
        <w:rPr>
          <w:szCs w:val="22"/>
        </w:rPr>
        <w:t xml:space="preserve">Pine Belt </w:t>
      </w:r>
      <w:r>
        <w:rPr>
          <w:szCs w:val="22"/>
        </w:rPr>
        <w:t>asserts</w:t>
      </w:r>
      <w:r w:rsidRPr="00F56D54">
        <w:rPr>
          <w:szCs w:val="22"/>
        </w:rPr>
        <w:t xml:space="preserve"> that</w:t>
      </w:r>
      <w:r w:rsidR="00566EE9">
        <w:rPr>
          <w:szCs w:val="22"/>
        </w:rPr>
        <w:t xml:space="preserve"> </w:t>
      </w:r>
      <w:r w:rsidR="00127BAD">
        <w:rPr>
          <w:szCs w:val="22"/>
        </w:rPr>
        <w:t xml:space="preserve">based upon </w:t>
      </w:r>
      <w:r w:rsidR="00566EE9">
        <w:rPr>
          <w:szCs w:val="22"/>
        </w:rPr>
        <w:t xml:space="preserve">its </w:t>
      </w:r>
      <w:r w:rsidR="00127BAD">
        <w:rPr>
          <w:szCs w:val="22"/>
        </w:rPr>
        <w:t>prior experience</w:t>
      </w:r>
      <w:r w:rsidR="00F77B8E">
        <w:rPr>
          <w:szCs w:val="22"/>
        </w:rPr>
        <w:t>,</w:t>
      </w:r>
      <w:r w:rsidR="00127BAD">
        <w:rPr>
          <w:szCs w:val="22"/>
        </w:rPr>
        <w:t xml:space="preserve"> it believed its </w:t>
      </w:r>
      <w:r w:rsidR="00566EE9">
        <w:rPr>
          <w:szCs w:val="22"/>
        </w:rPr>
        <w:t xml:space="preserve">project descriptions factored in </w:t>
      </w:r>
      <w:r>
        <w:rPr>
          <w:szCs w:val="22"/>
        </w:rPr>
        <w:t xml:space="preserve">a reasonable amount of time to complete </w:t>
      </w:r>
      <w:r w:rsidR="00566EE9">
        <w:rPr>
          <w:szCs w:val="22"/>
        </w:rPr>
        <w:t>negotiations with Tribal governments;</w:t>
      </w:r>
      <w:r>
        <w:rPr>
          <w:rStyle w:val="FootnoteReference"/>
          <w:szCs w:val="22"/>
        </w:rPr>
        <w:footnoteReference w:id="18"/>
      </w:r>
      <w:r>
        <w:rPr>
          <w:szCs w:val="22"/>
        </w:rPr>
        <w:t xml:space="preserve"> </w:t>
      </w:r>
      <w:r w:rsidR="00566EE9">
        <w:rPr>
          <w:szCs w:val="22"/>
        </w:rPr>
        <w:t>however,</w:t>
      </w:r>
      <w:r>
        <w:rPr>
          <w:szCs w:val="22"/>
        </w:rPr>
        <w:t xml:space="preserve"> it</w:t>
      </w:r>
      <w:r w:rsidRPr="00F56D54">
        <w:rPr>
          <w:szCs w:val="22"/>
        </w:rPr>
        <w:t xml:space="preserve"> received </w:t>
      </w:r>
      <w:r>
        <w:rPr>
          <w:szCs w:val="22"/>
        </w:rPr>
        <w:t>a far higher number</w:t>
      </w:r>
      <w:r w:rsidR="00566EE9">
        <w:rPr>
          <w:szCs w:val="22"/>
        </w:rPr>
        <w:t xml:space="preserve"> of </w:t>
      </w:r>
      <w:r w:rsidR="00586763">
        <w:rPr>
          <w:szCs w:val="22"/>
        </w:rPr>
        <w:t xml:space="preserve">responses requiring Tribal consultation </w:t>
      </w:r>
      <w:r>
        <w:rPr>
          <w:szCs w:val="22"/>
        </w:rPr>
        <w:t xml:space="preserve">than </w:t>
      </w:r>
      <w:r w:rsidR="00566EE9">
        <w:rPr>
          <w:szCs w:val="22"/>
        </w:rPr>
        <w:t xml:space="preserve">it </w:t>
      </w:r>
      <w:r>
        <w:rPr>
          <w:szCs w:val="22"/>
        </w:rPr>
        <w:t xml:space="preserve">anticipated, </w:t>
      </w:r>
      <w:r w:rsidR="00A96A50">
        <w:rPr>
          <w:szCs w:val="22"/>
        </w:rPr>
        <w:t>many of</w:t>
      </w:r>
      <w:r w:rsidRPr="00F56D54">
        <w:rPr>
          <w:szCs w:val="22"/>
        </w:rPr>
        <w:t xml:space="preserve"> which required </w:t>
      </w:r>
      <w:r>
        <w:rPr>
          <w:szCs w:val="22"/>
        </w:rPr>
        <w:t xml:space="preserve">additional information </w:t>
      </w:r>
      <w:r w:rsidR="00A96A50">
        <w:rPr>
          <w:szCs w:val="22"/>
        </w:rPr>
        <w:t>and time to</w:t>
      </w:r>
      <w:r>
        <w:rPr>
          <w:szCs w:val="22"/>
        </w:rPr>
        <w:t xml:space="preserve"> secure</w:t>
      </w:r>
      <w:r w:rsidRPr="00F56D54">
        <w:rPr>
          <w:szCs w:val="22"/>
        </w:rPr>
        <w:t xml:space="preserve"> </w:t>
      </w:r>
      <w:r>
        <w:rPr>
          <w:szCs w:val="22"/>
        </w:rPr>
        <w:t xml:space="preserve">the necessary </w:t>
      </w:r>
      <w:r w:rsidR="008E3E6E">
        <w:rPr>
          <w:szCs w:val="22"/>
        </w:rPr>
        <w:t xml:space="preserve">final </w:t>
      </w:r>
      <w:r w:rsidRPr="00F56D54">
        <w:rPr>
          <w:szCs w:val="22"/>
        </w:rPr>
        <w:t>approvals for construction.</w:t>
      </w:r>
      <w:r>
        <w:rPr>
          <w:rStyle w:val="FootnoteReference"/>
          <w:szCs w:val="22"/>
        </w:rPr>
        <w:footnoteReference w:id="19"/>
      </w:r>
      <w:r w:rsidRPr="00F56D54">
        <w:rPr>
          <w:szCs w:val="22"/>
        </w:rPr>
        <w:t xml:space="preserve"> </w:t>
      </w:r>
      <w:r w:rsidR="008E3E6E">
        <w:rPr>
          <w:szCs w:val="22"/>
        </w:rPr>
        <w:t xml:space="preserve"> </w:t>
      </w:r>
      <w:r w:rsidRPr="00F56D54">
        <w:rPr>
          <w:szCs w:val="22"/>
        </w:rPr>
        <w:t xml:space="preserve">Pine Belt asserts that the unexpected volume </w:t>
      </w:r>
      <w:r w:rsidR="00A96A50">
        <w:rPr>
          <w:szCs w:val="22"/>
        </w:rPr>
        <w:t>of these</w:t>
      </w:r>
      <w:r w:rsidRPr="00F56D54">
        <w:rPr>
          <w:szCs w:val="22"/>
        </w:rPr>
        <w:t xml:space="preserve"> negotiations delayed its construction by three-and-1/2 months.</w:t>
      </w:r>
      <w:r>
        <w:rPr>
          <w:rStyle w:val="FootnoteReference"/>
          <w:szCs w:val="22"/>
        </w:rPr>
        <w:footnoteReference w:id="20"/>
      </w:r>
      <w:r w:rsidRPr="00F56D54">
        <w:rPr>
          <w:szCs w:val="22"/>
        </w:rPr>
        <w:t xml:space="preserve"> </w:t>
      </w:r>
    </w:p>
    <w:p w:rsidR="0025097F" w:rsidRPr="003162DC" w:rsidRDefault="0025097F" w:rsidP="0025097F">
      <w:pPr>
        <w:pStyle w:val="ParaNum"/>
        <w:rPr>
          <w:i/>
          <w:szCs w:val="22"/>
        </w:rPr>
      </w:pPr>
      <w:r w:rsidRPr="00CD6A4F">
        <w:rPr>
          <w:szCs w:val="22"/>
        </w:rPr>
        <w:t xml:space="preserve">Pine Belt also </w:t>
      </w:r>
      <w:r>
        <w:rPr>
          <w:szCs w:val="22"/>
        </w:rPr>
        <w:t xml:space="preserve">represents that it </w:t>
      </w:r>
      <w:r w:rsidRPr="00CD6A4F">
        <w:rPr>
          <w:szCs w:val="22"/>
        </w:rPr>
        <w:t xml:space="preserve">experienced unusual equipment delays that </w:t>
      </w:r>
      <w:r>
        <w:rPr>
          <w:szCs w:val="22"/>
        </w:rPr>
        <w:t>compounded the unavoidable delays it faced during construction and prevented</w:t>
      </w:r>
      <w:r w:rsidRPr="00CD6A4F">
        <w:rPr>
          <w:szCs w:val="22"/>
        </w:rPr>
        <w:t xml:space="preserve"> </w:t>
      </w:r>
      <w:r>
        <w:rPr>
          <w:szCs w:val="22"/>
        </w:rPr>
        <w:t xml:space="preserve">its ability to </w:t>
      </w:r>
      <w:r w:rsidRPr="00CD6A4F">
        <w:rPr>
          <w:szCs w:val="22"/>
        </w:rPr>
        <w:t>begin drive testing on schedule.</w:t>
      </w:r>
      <w:r>
        <w:t xml:space="preserve">  For example, </w:t>
      </w:r>
      <w:r w:rsidRPr="00CD6A4F">
        <w:rPr>
          <w:snapToGrid/>
          <w:kern w:val="0"/>
          <w:szCs w:val="22"/>
        </w:rPr>
        <w:t>Pine Belt</w:t>
      </w:r>
      <w:r>
        <w:rPr>
          <w:snapToGrid/>
          <w:kern w:val="0"/>
          <w:szCs w:val="22"/>
        </w:rPr>
        <w:t xml:space="preserve"> claims that it</w:t>
      </w:r>
      <w:r w:rsidRPr="00CD6A4F">
        <w:rPr>
          <w:snapToGrid/>
          <w:kern w:val="0"/>
          <w:szCs w:val="22"/>
        </w:rPr>
        <w:t xml:space="preserve">s equipment vendor failed to properly fulfill and deliver a November 2014 </w:t>
      </w:r>
      <w:r>
        <w:rPr>
          <w:snapToGrid/>
          <w:kern w:val="0"/>
          <w:szCs w:val="22"/>
        </w:rPr>
        <w:t>order for six months.</w:t>
      </w:r>
      <w:r>
        <w:rPr>
          <w:rStyle w:val="FootnoteReference"/>
          <w:snapToGrid/>
          <w:kern w:val="0"/>
          <w:szCs w:val="22"/>
        </w:rPr>
        <w:footnoteReference w:id="21"/>
      </w:r>
      <w:r>
        <w:rPr>
          <w:snapToGrid/>
          <w:kern w:val="0"/>
          <w:szCs w:val="22"/>
        </w:rPr>
        <w:t xml:space="preserve"> </w:t>
      </w:r>
      <w:r w:rsidR="00617D6C">
        <w:rPr>
          <w:snapToGrid/>
          <w:kern w:val="0"/>
          <w:szCs w:val="22"/>
        </w:rPr>
        <w:t xml:space="preserve"> </w:t>
      </w:r>
      <w:r>
        <w:rPr>
          <w:snapToGrid/>
          <w:kern w:val="0"/>
          <w:szCs w:val="22"/>
        </w:rPr>
        <w:t>Pine Belt also contends another</w:t>
      </w:r>
      <w:r w:rsidRPr="00CD6A4F">
        <w:rPr>
          <w:snapToGrid/>
          <w:kern w:val="0"/>
          <w:szCs w:val="22"/>
        </w:rPr>
        <w:t xml:space="preserve"> vendor</w:t>
      </w:r>
      <w:r>
        <w:rPr>
          <w:snapToGrid/>
          <w:kern w:val="0"/>
          <w:szCs w:val="22"/>
        </w:rPr>
        <w:t xml:space="preserve"> lost track of an essential </w:t>
      </w:r>
      <w:r w:rsidRPr="00CD6A4F">
        <w:rPr>
          <w:snapToGrid/>
          <w:kern w:val="0"/>
          <w:szCs w:val="22"/>
        </w:rPr>
        <w:t>delivery that had been scheduled to arrive</w:t>
      </w:r>
      <w:r>
        <w:rPr>
          <w:snapToGrid/>
          <w:kern w:val="0"/>
          <w:szCs w:val="22"/>
        </w:rPr>
        <w:t xml:space="preserve"> by early May 2015, further impeding its ability to undertake and conclude its drive testing and coverage reporting within its original deadline of June 2015.</w:t>
      </w:r>
      <w:r>
        <w:rPr>
          <w:rStyle w:val="FootnoteReference"/>
          <w:snapToGrid/>
          <w:kern w:val="0"/>
          <w:szCs w:val="22"/>
        </w:rPr>
        <w:footnoteReference w:id="22"/>
      </w:r>
      <w:r>
        <w:rPr>
          <w:snapToGrid/>
          <w:kern w:val="0"/>
          <w:szCs w:val="22"/>
        </w:rPr>
        <w:t xml:space="preserve"> </w:t>
      </w:r>
    </w:p>
    <w:p w:rsidR="0025097F" w:rsidRPr="00CD6A4F" w:rsidRDefault="0025097F" w:rsidP="0025097F">
      <w:pPr>
        <w:pStyle w:val="ParaNum"/>
        <w:rPr>
          <w:i/>
          <w:szCs w:val="22"/>
        </w:rPr>
      </w:pPr>
      <w:r>
        <w:rPr>
          <w:snapToGrid/>
          <w:kern w:val="0"/>
          <w:szCs w:val="22"/>
        </w:rPr>
        <w:t>During the pendency of its Waiver Request, Pine Belt informed the Commission that it completed its required drive testing and submitted reports demonstrating its coverage for all six study areas, reporting final results on August 11, 2015, and August 14, 2015.</w:t>
      </w:r>
      <w:r>
        <w:rPr>
          <w:rStyle w:val="FootnoteReference"/>
          <w:snapToGrid/>
          <w:kern w:val="0"/>
          <w:szCs w:val="22"/>
        </w:rPr>
        <w:footnoteReference w:id="23"/>
      </w:r>
      <w:r>
        <w:rPr>
          <w:snapToGrid/>
          <w:kern w:val="0"/>
          <w:szCs w:val="22"/>
        </w:rPr>
        <w:t xml:space="preserve">   </w:t>
      </w:r>
    </w:p>
    <w:p w:rsidR="00706543" w:rsidRPr="00915C11" w:rsidRDefault="009F7F5B" w:rsidP="00706543">
      <w:pPr>
        <w:pStyle w:val="ParaNum"/>
        <w:rPr>
          <w:i/>
        </w:rPr>
      </w:pPr>
      <w:r w:rsidRPr="009F7F5B">
        <w:rPr>
          <w:i/>
        </w:rPr>
        <w:t>Leaco</w:t>
      </w:r>
      <w:r>
        <w:rPr>
          <w:i/>
        </w:rPr>
        <w:t>.</w:t>
      </w:r>
      <w:r>
        <w:t xml:space="preserve">  </w:t>
      </w:r>
      <w:r w:rsidR="00706543" w:rsidRPr="009F7F5B">
        <w:t xml:space="preserve">Following </w:t>
      </w:r>
      <w:r w:rsidR="00706543">
        <w:t>Auction 901, on June 7, 2013,</w:t>
      </w:r>
      <w:r w:rsidR="00D042C1">
        <w:t xml:space="preserve"> the Bureaus authorized</w:t>
      </w:r>
      <w:r w:rsidR="00706543" w:rsidRPr="00A9656E">
        <w:rPr>
          <w:i/>
        </w:rPr>
        <w:t xml:space="preserve"> </w:t>
      </w:r>
      <w:r w:rsidR="00706543">
        <w:t xml:space="preserve">Leaco to receive support for 12 winning bids </w:t>
      </w:r>
      <w:r w:rsidR="00D042C1">
        <w:t xml:space="preserve">up to </w:t>
      </w:r>
      <w:r w:rsidR="00706543">
        <w:t>approximately $6.7 million.</w:t>
      </w:r>
      <w:r w:rsidR="00706543">
        <w:rPr>
          <w:rStyle w:val="FootnoteReference"/>
        </w:rPr>
        <w:footnoteReference w:id="24"/>
      </w:r>
      <w:r w:rsidR="00706543">
        <w:t xml:space="preserve">  </w:t>
      </w:r>
      <w:r w:rsidR="0046740C">
        <w:t xml:space="preserve">Pursuant to </w:t>
      </w:r>
      <w:r w:rsidR="00706543">
        <w:t xml:space="preserve">the Commission’s rules, Leaco </w:t>
      </w:r>
      <w:r w:rsidR="008E2944">
        <w:t xml:space="preserve">was required </w:t>
      </w:r>
      <w:r w:rsidR="00706543">
        <w:t>to complete construction of its 3G network, drive testing, and submission of reports demonstrating coverage</w:t>
      </w:r>
      <w:r w:rsidR="008E2944">
        <w:t xml:space="preserve"> by June 8, 2015</w:t>
      </w:r>
      <w:r w:rsidR="00706543">
        <w:t>.</w:t>
      </w:r>
      <w:r w:rsidR="00706543">
        <w:rPr>
          <w:rStyle w:val="FootnoteReference"/>
        </w:rPr>
        <w:footnoteReference w:id="25"/>
      </w:r>
      <w:r w:rsidR="00706543">
        <w:t xml:space="preserve">  Leaco received an initial disbursement of $2,245,050.34, which is one-third of its winning bid amounts.</w:t>
      </w:r>
      <w:r w:rsidR="00706543">
        <w:rPr>
          <w:rStyle w:val="FootnoteReference"/>
        </w:rPr>
        <w:footnoteReference w:id="26"/>
      </w:r>
      <w:r w:rsidR="00706543">
        <w:t xml:space="preserve">  By the June 8, 2015, deadline, Leaco successfully completed construction and submitted testing data for five of its 12 study areas,</w:t>
      </w:r>
      <w:r w:rsidR="00452624">
        <w:t xml:space="preserve"> </w:t>
      </w:r>
      <w:r w:rsidR="00706543">
        <w:t xml:space="preserve">and it received the final payments for those </w:t>
      </w:r>
      <w:r w:rsidR="00722E83">
        <w:t>study</w:t>
      </w:r>
      <w:r w:rsidR="00706543">
        <w:t xml:space="preserve"> areas.</w:t>
      </w:r>
      <w:r w:rsidR="00706543">
        <w:rPr>
          <w:rStyle w:val="FootnoteReference"/>
        </w:rPr>
        <w:footnoteReference w:id="27"/>
      </w:r>
      <w:r w:rsidR="00706543">
        <w:t xml:space="preserve"> </w:t>
      </w:r>
      <w:r w:rsidR="00617D6C">
        <w:t xml:space="preserve"> </w:t>
      </w:r>
      <w:r w:rsidR="00706543">
        <w:t>Leaco also informed the Universal Service Administrative Company (USAC) that it was in default on its performance obligations for another study area.</w:t>
      </w:r>
      <w:r w:rsidR="00706543">
        <w:rPr>
          <w:rStyle w:val="FootnoteReference"/>
        </w:rPr>
        <w:footnoteReference w:id="28"/>
      </w:r>
      <w:r w:rsidR="00706543">
        <w:t xml:space="preserve"> </w:t>
      </w:r>
    </w:p>
    <w:p w:rsidR="00706543" w:rsidRPr="00641A6B" w:rsidRDefault="00706543" w:rsidP="00706543">
      <w:pPr>
        <w:pStyle w:val="ParaNum"/>
        <w:rPr>
          <w:i/>
        </w:rPr>
      </w:pPr>
      <w:r>
        <w:t>With respect to its remaining six winning bids, Leaco submitted a Waiver Request seeking an additional 180 days beyond its June 2015 deadline to complete construction of a 3G network and to comply with its drive testing and reporting requirements</w:t>
      </w:r>
      <w:r w:rsidR="00B25861">
        <w:t xml:space="preserve"> to be eligible to receive its final support disbursements for these winning bids</w:t>
      </w:r>
      <w:r>
        <w:rPr>
          <w:szCs w:val="22"/>
        </w:rPr>
        <w:t>.</w:t>
      </w:r>
      <w:r>
        <w:rPr>
          <w:rStyle w:val="FootnoteReference"/>
        </w:rPr>
        <w:footnoteReference w:id="29"/>
      </w:r>
      <w:r w:rsidR="00617D6C">
        <w:rPr>
          <w:szCs w:val="22"/>
        </w:rPr>
        <w:t xml:space="preserve"> </w:t>
      </w:r>
      <w:r>
        <w:t xml:space="preserve"> </w:t>
      </w:r>
      <w:r w:rsidR="007C774F">
        <w:t>Leaco explains those study areas included “greenfield construction projects,”</w:t>
      </w:r>
      <w:r w:rsidR="007C774F" w:rsidRPr="00127BAD">
        <w:rPr>
          <w:snapToGrid/>
          <w:kern w:val="0"/>
          <w:szCs w:val="22"/>
        </w:rPr>
        <w:t xml:space="preserve"> </w:t>
      </w:r>
      <w:r w:rsidR="007C774F">
        <w:rPr>
          <w:snapToGrid/>
          <w:kern w:val="0"/>
          <w:szCs w:val="22"/>
        </w:rPr>
        <w:t>which required construction of cell sites on some new towers as well as the installation of backhaul transport to Leaco’s core network.</w:t>
      </w:r>
      <w:r w:rsidR="007C774F">
        <w:rPr>
          <w:rStyle w:val="FootnoteReference"/>
          <w:snapToGrid/>
          <w:kern w:val="0"/>
          <w:szCs w:val="22"/>
        </w:rPr>
        <w:footnoteReference w:id="30"/>
      </w:r>
      <w:r w:rsidR="007C774F">
        <w:rPr>
          <w:snapToGrid/>
          <w:kern w:val="0"/>
          <w:sz w:val="20"/>
        </w:rPr>
        <w:t xml:space="preserve">  </w:t>
      </w:r>
      <w:r>
        <w:t>As support for its waiver request, Leaco cites lengthy governmental approval processes for site construction, environmental processing required under the National Environmental Policy Act (NEPA), various problems with vendors, and the loss of key personnel as the reasons it requires additional time to meet its MF I requirements.</w:t>
      </w:r>
      <w:r>
        <w:rPr>
          <w:rStyle w:val="FootnoteReference"/>
        </w:rPr>
        <w:footnoteReference w:id="31"/>
      </w:r>
    </w:p>
    <w:p w:rsidR="00706543" w:rsidRPr="00035A50" w:rsidRDefault="00706543" w:rsidP="00706543">
      <w:pPr>
        <w:pStyle w:val="ParaNum"/>
        <w:rPr>
          <w:i/>
        </w:rPr>
      </w:pPr>
      <w:r>
        <w:t xml:space="preserve">Maintaining that it designed its project schedule to include a “cushion” for expected minimal delays, Leaco asserts that the Commission’s </w:t>
      </w:r>
      <w:r w:rsidR="001172A7">
        <w:t>two-year</w:t>
      </w:r>
      <w:r>
        <w:t xml:space="preserve"> performance obligations did not allow for the types of material and unforeseeable delays it encountered.</w:t>
      </w:r>
      <w:r>
        <w:rPr>
          <w:rStyle w:val="FootnoteReference"/>
        </w:rPr>
        <w:footnoteReference w:id="32"/>
      </w:r>
      <w:r>
        <w:t xml:space="preserve">  Leaco contends that it experienced unavoidable obstacles constructing sites on federally controlled lands due to permit processing delays with the Bureau of Land Management (BLM). </w:t>
      </w:r>
      <w:r w:rsidR="00617D6C">
        <w:t xml:space="preserve"> </w:t>
      </w:r>
      <w:r>
        <w:t xml:space="preserve">For instance, Leaco explains that </w:t>
      </w:r>
      <w:r w:rsidR="0023601F">
        <w:t>BLM approvals were required for four of the 14 cell sites required for the waiver tracts.  W</w:t>
      </w:r>
      <w:r>
        <w:t xml:space="preserve">hile BLM approvals for new tower construction typically take six to eight weeks; here, </w:t>
      </w:r>
      <w:r w:rsidR="00787CC0">
        <w:t xml:space="preserve">because of unusual circumstances that were beyond its control, </w:t>
      </w:r>
      <w:r w:rsidR="00777418">
        <w:t>the process</w:t>
      </w:r>
      <w:r w:rsidR="00586763">
        <w:t xml:space="preserve"> took twice as long</w:t>
      </w:r>
      <w:r w:rsidR="00777418">
        <w:t>.</w:t>
      </w:r>
      <w:r>
        <w:rPr>
          <w:rStyle w:val="FootnoteReference"/>
        </w:rPr>
        <w:footnoteReference w:id="33"/>
      </w:r>
      <w:r>
        <w:t xml:space="preserve"> </w:t>
      </w:r>
      <w:r w:rsidR="00617D6C">
        <w:t xml:space="preserve"> </w:t>
      </w:r>
      <w:r>
        <w:t>Leaco also maintains that the discovery that one of its tower sites would encroach on a Native American burial ground caused additional</w:t>
      </w:r>
      <w:r w:rsidR="00955E72">
        <w:t xml:space="preserve"> </w:t>
      </w:r>
      <w:r w:rsidR="00EF3268">
        <w:t>unforeseeable</w:t>
      </w:r>
      <w:r>
        <w:t xml:space="preserve"> </w:t>
      </w:r>
      <w:r w:rsidR="00A20722">
        <w:t xml:space="preserve">permitting </w:t>
      </w:r>
      <w:r>
        <w:t>delays, and required the selection and approval of an alternative site, a process that delayed initiation of construction and was also still ongoing at the time of the submission of its Waiver Request.</w:t>
      </w:r>
      <w:r>
        <w:rPr>
          <w:rStyle w:val="FootnoteReference"/>
        </w:rPr>
        <w:footnoteReference w:id="34"/>
      </w:r>
      <w:r>
        <w:t xml:space="preserve">  </w:t>
      </w:r>
    </w:p>
    <w:p w:rsidR="00706543" w:rsidRPr="000C383A" w:rsidRDefault="00706543" w:rsidP="00706543">
      <w:pPr>
        <w:pStyle w:val="ParaNum"/>
        <w:rPr>
          <w:i/>
        </w:rPr>
      </w:pPr>
      <w:r>
        <w:t xml:space="preserve">Likewise, Leaco’s Waiver Request </w:t>
      </w:r>
      <w:r w:rsidR="00586763">
        <w:t xml:space="preserve">states </w:t>
      </w:r>
      <w:r>
        <w:t xml:space="preserve">that additional time was required for another site because </w:t>
      </w:r>
      <w:r w:rsidR="00A20722">
        <w:t>it required an un</w:t>
      </w:r>
      <w:r w:rsidR="00E10DF7">
        <w:t>expected</w:t>
      </w:r>
      <w:r>
        <w:t xml:space="preserve"> environmental impact review under NEPA.</w:t>
      </w:r>
      <w:r>
        <w:rPr>
          <w:rStyle w:val="FootnoteReference"/>
        </w:rPr>
        <w:footnoteReference w:id="35"/>
      </w:r>
      <w:r>
        <w:t xml:space="preserve">  For this site, Leaco explains that its consultants determined certain building locations were within the habitat of a protected species.</w:t>
      </w:r>
      <w:r>
        <w:rPr>
          <w:rStyle w:val="FootnoteReference"/>
        </w:rPr>
        <w:footnoteReference w:id="36"/>
      </w:r>
      <w:r>
        <w:t xml:space="preserve">  Research and field surveys to address the habitat issue stretched from October 1, 2014 through April 27, 2015, with approvals for construction having to wait until after the close of a required FCC notice and comment period.  Leaco also states that it </w:t>
      </w:r>
      <w:r w:rsidR="00BD0B2C">
        <w:t xml:space="preserve">experienced the abrupt loss of both its CEO and CTO, </w:t>
      </w:r>
      <w:r>
        <w:t>had to switch contractors during th</w:t>
      </w:r>
      <w:r w:rsidR="00BD0B2C">
        <w:t>e building</w:t>
      </w:r>
      <w:r>
        <w:t xml:space="preserve"> process after determining that its initial hire could not complete the permitting and negotiations process expeditiously, and it also had to switch electrical contractors for certain sites, compounding its delays.</w:t>
      </w:r>
      <w:r>
        <w:rPr>
          <w:rStyle w:val="FootnoteReference"/>
        </w:rPr>
        <w:footnoteReference w:id="37"/>
      </w:r>
      <w:r>
        <w:t xml:space="preserve"> </w:t>
      </w:r>
      <w:r w:rsidR="0023601F">
        <w:t xml:space="preserve"> For other cell sites, the tower owner’s unexpected delays in issuing a notice to proceed with construction prevented moving forward.</w:t>
      </w:r>
      <w:r w:rsidR="0023601F">
        <w:rPr>
          <w:rStyle w:val="FootnoteReference"/>
        </w:rPr>
        <w:footnoteReference w:id="38"/>
      </w:r>
      <w:r>
        <w:t xml:space="preserve"> </w:t>
      </w:r>
    </w:p>
    <w:p w:rsidR="00706543" w:rsidRPr="00641A6B" w:rsidRDefault="00706543" w:rsidP="00706543">
      <w:pPr>
        <w:pStyle w:val="ParaNum"/>
        <w:rPr>
          <w:i/>
        </w:rPr>
      </w:pPr>
      <w:r>
        <w:t>While its</w:t>
      </w:r>
      <w:r w:rsidR="00FF697C">
        <w:t xml:space="preserve"> </w:t>
      </w:r>
      <w:r>
        <w:t>initial waiver request was pending, but after the June 2015 deadline, Leaco completed construction, testing, and reporting for two of its study areas within the time frame requested in its waiver.</w:t>
      </w:r>
      <w:r>
        <w:rPr>
          <w:rStyle w:val="FootnoteReference"/>
        </w:rPr>
        <w:footnoteReference w:id="39"/>
      </w:r>
      <w:r>
        <w:t xml:space="preserve">  In a series of amended filings, however, Leaco explain</w:t>
      </w:r>
      <w:r w:rsidR="00586763">
        <w:t>s</w:t>
      </w:r>
      <w:r>
        <w:t xml:space="preserve"> that due to additional challenges it encountered in dealing with the BLM, it required additional time beyond the 180 days of its original request to complete the construction of three other study areas.</w:t>
      </w:r>
      <w:r>
        <w:rPr>
          <w:rStyle w:val="FootnoteReference"/>
        </w:rPr>
        <w:footnoteReference w:id="40"/>
      </w:r>
      <w:r>
        <w:t xml:space="preserve">  For the remaining sixth study area, </w:t>
      </w:r>
      <w:r w:rsidRPr="0059169A">
        <w:rPr>
          <w:szCs w:val="22"/>
        </w:rPr>
        <w:t xml:space="preserve">Leaco </w:t>
      </w:r>
      <w:r>
        <w:rPr>
          <w:szCs w:val="22"/>
        </w:rPr>
        <w:t xml:space="preserve">concedes </w:t>
      </w:r>
      <w:r w:rsidRPr="0059169A">
        <w:rPr>
          <w:szCs w:val="22"/>
        </w:rPr>
        <w:t xml:space="preserve">that it was unable to resolve the siting problems it had experienced, </w:t>
      </w:r>
      <w:r>
        <w:rPr>
          <w:szCs w:val="22"/>
        </w:rPr>
        <w:t>and acknowledges that it is in default on its</w:t>
      </w:r>
      <w:r w:rsidRPr="0059169A">
        <w:rPr>
          <w:szCs w:val="22"/>
        </w:rPr>
        <w:t xml:space="preserve"> performance </w:t>
      </w:r>
      <w:r>
        <w:rPr>
          <w:szCs w:val="22"/>
        </w:rPr>
        <w:t>obligations</w:t>
      </w:r>
      <w:r>
        <w:t xml:space="preserve"> for that winning bid.</w:t>
      </w:r>
      <w:r>
        <w:rPr>
          <w:rStyle w:val="FootnoteReference"/>
        </w:rPr>
        <w:footnoteReference w:id="41"/>
      </w:r>
      <w:r>
        <w:t xml:space="preserve">  As a result, Leaco acknowledges it must re-pay the initial disbursement of $</w:t>
      </w:r>
      <w:r w:rsidRPr="00347C2B">
        <w:t>103</w:t>
      </w:r>
      <w:r>
        <w:t>,</w:t>
      </w:r>
      <w:r w:rsidRPr="00347C2B">
        <w:t>671.04</w:t>
      </w:r>
      <w:r>
        <w:t xml:space="preserve"> and pay the performance default payment of $31,101.31 for SAC 498001.</w:t>
      </w:r>
      <w:r>
        <w:rPr>
          <w:rStyle w:val="FootnoteReference"/>
        </w:rPr>
        <w:footnoteReference w:id="42"/>
      </w:r>
    </w:p>
    <w:p w:rsidR="00706543" w:rsidRDefault="00706543" w:rsidP="00706543">
      <w:pPr>
        <w:pStyle w:val="Heading1"/>
      </w:pPr>
      <w:r>
        <w:t>Discussion</w:t>
      </w:r>
    </w:p>
    <w:p w:rsidR="00F77B8E" w:rsidRDefault="00DF41F9" w:rsidP="00F77B8E">
      <w:pPr>
        <w:pStyle w:val="ParaNum"/>
      </w:pPr>
      <w:r>
        <w:t>T</w:t>
      </w:r>
      <w:r w:rsidR="005B53FA">
        <w:t>he Commission</w:t>
      </w:r>
      <w:r w:rsidR="0097152B">
        <w:t xml:space="preserve"> may waive </w:t>
      </w:r>
      <w:r w:rsidR="00C97511">
        <w:t>its</w:t>
      </w:r>
      <w:r w:rsidR="0097152B">
        <w:t xml:space="preserve"> rules </w:t>
      </w:r>
      <w:r w:rsidR="00C97511">
        <w:t xml:space="preserve">and requirements </w:t>
      </w:r>
      <w:r w:rsidR="0097152B">
        <w:t>where there is good cause shown to do so.</w:t>
      </w:r>
      <w:r w:rsidR="0097152B">
        <w:rPr>
          <w:rStyle w:val="FootnoteReference"/>
        </w:rPr>
        <w:footnoteReference w:id="43"/>
      </w:r>
      <w:r w:rsidR="0097152B">
        <w:t xml:space="preserve">  </w:t>
      </w:r>
      <w:r w:rsidR="00504E4C">
        <w:t>However, a</w:t>
      </w:r>
      <w:r w:rsidR="00F77B8E" w:rsidRPr="00F77B8E">
        <w:rPr>
          <w:snapToGrid/>
        </w:rPr>
        <w:t xml:space="preserve"> waiver is appropriate only if “special circumstances warrant a deviation from the general rule and such deviation will serve the public interest.”</w:t>
      </w:r>
      <w:r w:rsidR="00F77B8E" w:rsidRPr="00863FD6">
        <w:rPr>
          <w:rStyle w:val="FootnoteReference"/>
          <w:snapToGrid/>
          <w:kern w:val="0"/>
          <w:sz w:val="22"/>
          <w:szCs w:val="22"/>
        </w:rPr>
        <w:footnoteReference w:id="44"/>
      </w:r>
      <w:r w:rsidR="00F77B8E" w:rsidRPr="00F77B8E">
        <w:rPr>
          <w:snapToGrid/>
        </w:rPr>
        <w:t xml:space="preserve">  </w:t>
      </w:r>
      <w:r w:rsidR="00935087" w:rsidRPr="00863FD6" w:rsidDel="00935087">
        <w:rPr>
          <w:rStyle w:val="FootnoteReference"/>
          <w:snapToGrid/>
          <w:kern w:val="0"/>
          <w:sz w:val="22"/>
          <w:szCs w:val="22"/>
        </w:rPr>
        <w:t xml:space="preserve"> </w:t>
      </w:r>
    </w:p>
    <w:p w:rsidR="00706543" w:rsidRDefault="00706543" w:rsidP="00706543">
      <w:pPr>
        <w:pStyle w:val="ParaNum"/>
      </w:pPr>
      <w:r>
        <w:t xml:space="preserve">Here, </w:t>
      </w:r>
      <w:r w:rsidR="00683B69">
        <w:t xml:space="preserve">based upon permitting delays that were not reasonably anticipated, </w:t>
      </w:r>
      <w:r w:rsidR="00693F4C">
        <w:t xml:space="preserve">and the </w:t>
      </w:r>
      <w:r w:rsidR="00D600CB">
        <w:t>reasonably related</w:t>
      </w:r>
      <w:r w:rsidR="00693F4C">
        <w:t xml:space="preserve"> period of the requested extensions</w:t>
      </w:r>
      <w:r w:rsidR="00683B69">
        <w:t xml:space="preserve">, </w:t>
      </w:r>
      <w:r>
        <w:t xml:space="preserve">we find that granting a waiver of the </w:t>
      </w:r>
      <w:r w:rsidR="00F96E8D">
        <w:t xml:space="preserve">performance </w:t>
      </w:r>
      <w:r>
        <w:t xml:space="preserve">deadlines </w:t>
      </w:r>
      <w:r w:rsidR="0023601F">
        <w:t>applicable to</w:t>
      </w:r>
      <w:r w:rsidR="00D600CB">
        <w:t xml:space="preserve"> </w:t>
      </w:r>
      <w:r w:rsidR="00777418">
        <w:t xml:space="preserve">Pine Belt </w:t>
      </w:r>
      <w:r>
        <w:t xml:space="preserve">and </w:t>
      </w:r>
      <w:r w:rsidR="00777418">
        <w:t>Leaco</w:t>
      </w:r>
      <w:r>
        <w:t xml:space="preserve"> is warranted</w:t>
      </w:r>
      <w:r w:rsidR="00683B69">
        <w:t xml:space="preserve">, </w:t>
      </w:r>
      <w:r w:rsidR="00D042C1">
        <w:t xml:space="preserve">and </w:t>
      </w:r>
      <w:r w:rsidR="0023601F">
        <w:t xml:space="preserve">that </w:t>
      </w:r>
      <w:r w:rsidR="0025097F">
        <w:t>it would be contrary to the public interest to apply the rules without waiver</w:t>
      </w:r>
      <w:r w:rsidR="00683B69">
        <w:t xml:space="preserve"> under these unique and unusual factual circumstances</w:t>
      </w:r>
      <w:r>
        <w:t>.</w:t>
      </w:r>
      <w:r>
        <w:rPr>
          <w:rStyle w:val="FootnoteReference"/>
        </w:rPr>
        <w:footnoteReference w:id="45"/>
      </w:r>
      <w:r>
        <w:t xml:space="preserve">  We conclude such a waiver is appropriate where </w:t>
      </w:r>
      <w:r w:rsidR="00A42894">
        <w:t xml:space="preserve">each </w:t>
      </w:r>
      <w:r>
        <w:t xml:space="preserve">carrier </w:t>
      </w:r>
      <w:r w:rsidR="00D600CB">
        <w:t xml:space="preserve">actively pursued </w:t>
      </w:r>
      <w:r w:rsidR="00F96E8D">
        <w:t>work</w:t>
      </w:r>
      <w:r w:rsidR="00D600CB">
        <w:t>ing</w:t>
      </w:r>
      <w:r w:rsidR="00F96E8D">
        <w:t xml:space="preserve"> </w:t>
      </w:r>
      <w:r w:rsidR="00B632C4">
        <w:t>with the proper governmental and</w:t>
      </w:r>
      <w:r w:rsidR="00737E89">
        <w:t xml:space="preserve"> Tribal authorities </w:t>
      </w:r>
      <w:r w:rsidR="0023601F">
        <w:t xml:space="preserve">and private landowners </w:t>
      </w:r>
      <w:r w:rsidR="001700A9">
        <w:t xml:space="preserve">to obtain the necessary permissions </w:t>
      </w:r>
      <w:r w:rsidR="00F96E8D">
        <w:t xml:space="preserve">to </w:t>
      </w:r>
      <w:r>
        <w:t xml:space="preserve">extend mobile </w:t>
      </w:r>
      <w:r w:rsidR="00F96E8D">
        <w:t xml:space="preserve">voice and broadband </w:t>
      </w:r>
      <w:r>
        <w:t xml:space="preserve">service to </w:t>
      </w:r>
      <w:r w:rsidR="00EA3142">
        <w:t xml:space="preserve">rural </w:t>
      </w:r>
      <w:r>
        <w:t>areas</w:t>
      </w:r>
      <w:r w:rsidR="00A67B71">
        <w:t>,</w:t>
      </w:r>
      <w:r w:rsidR="007A2366">
        <w:t xml:space="preserve"> and</w:t>
      </w:r>
      <w:r w:rsidR="00EC5CE2">
        <w:t xml:space="preserve"> was delayed by</w:t>
      </w:r>
      <w:r w:rsidR="00B632C4">
        <w:t xml:space="preserve"> </w:t>
      </w:r>
      <w:r w:rsidR="004459BE">
        <w:t xml:space="preserve">unusual </w:t>
      </w:r>
      <w:r w:rsidR="00B632C4">
        <w:t>circumstances beyond their control</w:t>
      </w:r>
      <w:r>
        <w:t>.</w:t>
      </w:r>
      <w:r>
        <w:rPr>
          <w:rStyle w:val="FootnoteReference"/>
          <w:szCs w:val="22"/>
        </w:rPr>
        <w:footnoteReference w:id="46"/>
      </w:r>
    </w:p>
    <w:p w:rsidR="00706543" w:rsidRPr="00F53917" w:rsidRDefault="00706543" w:rsidP="00706543">
      <w:pPr>
        <w:pStyle w:val="ParaNum"/>
      </w:pPr>
      <w:r>
        <w:t>Bidders in Auction 901 were cautioned by the Commission to perform their due diligence research and analysis before participating in the auction</w:t>
      </w:r>
      <w:r w:rsidR="00D600CB">
        <w:t>;</w:t>
      </w:r>
      <w:r>
        <w:t xml:space="preserve"> to confirm the availability of transmitter sites and assure themselves that if they became winning bidders for Mobility Fund support</w:t>
      </w:r>
      <w:r w:rsidR="00D600CB">
        <w:t>,</w:t>
      </w:r>
      <w:r>
        <w:t xml:space="preserve"> they would </w:t>
      </w:r>
      <w:r>
        <w:rPr>
          <w:szCs w:val="22"/>
        </w:rPr>
        <w:t>be able to build and operate facilities that will fully comply with all applicable technical and legal requirements.</w:t>
      </w:r>
      <w:r w:rsidRPr="00EA24F2">
        <w:rPr>
          <w:rStyle w:val="FootnoteReference"/>
        </w:rPr>
        <w:t xml:space="preserve"> </w:t>
      </w:r>
      <w:r>
        <w:rPr>
          <w:rStyle w:val="FootnoteReference"/>
        </w:rPr>
        <w:footnoteReference w:id="47"/>
      </w:r>
      <w:r>
        <w:rPr>
          <w:szCs w:val="22"/>
        </w:rPr>
        <w:t xml:space="preserve"> </w:t>
      </w:r>
      <w:r>
        <w:t xml:space="preserve"> Prospective recipients of support should be aware that employee issues, vendor problems, and last minute delays should be expected</w:t>
      </w:r>
      <w:r w:rsidR="0020171B">
        <w:t xml:space="preserve"> </w:t>
      </w:r>
      <w:r w:rsidR="0020171B" w:rsidRPr="0020171B">
        <w:t>in the regular course of</w:t>
      </w:r>
      <w:r w:rsidR="0020171B">
        <w:t xml:space="preserve"> business</w:t>
      </w:r>
      <w:r>
        <w:t xml:space="preserve">, and </w:t>
      </w:r>
      <w:r w:rsidR="001700A9">
        <w:t xml:space="preserve">that </w:t>
      </w:r>
      <w:r>
        <w:t>these occurrences alone will not support waiver of Commission deadlines.</w:t>
      </w:r>
      <w:r>
        <w:rPr>
          <w:rStyle w:val="FootnoteReference"/>
        </w:rPr>
        <w:footnoteReference w:id="48"/>
      </w:r>
      <w:r>
        <w:t xml:space="preserve">  </w:t>
      </w:r>
      <w:r w:rsidR="00F94061" w:rsidRPr="00A51DC6">
        <w:t xml:space="preserve">We </w:t>
      </w:r>
      <w:r w:rsidR="004D5053" w:rsidRPr="00A51DC6">
        <w:t>find that</w:t>
      </w:r>
      <w:r w:rsidR="00CD31D8" w:rsidRPr="00A51DC6">
        <w:t xml:space="preserve"> Leaco’s</w:t>
      </w:r>
      <w:r w:rsidR="00F94061" w:rsidRPr="00A51DC6">
        <w:t xml:space="preserve"> internal business issues, including </w:t>
      </w:r>
      <w:r w:rsidR="009671B9" w:rsidRPr="00A51DC6">
        <w:t xml:space="preserve">its </w:t>
      </w:r>
      <w:r w:rsidR="00F94061" w:rsidRPr="00A51DC6">
        <w:t>personnel changes</w:t>
      </w:r>
      <w:r w:rsidR="00BD0B2C">
        <w:t>,</w:t>
      </w:r>
      <w:r w:rsidR="0040026C" w:rsidRPr="00A51DC6">
        <w:t xml:space="preserve"> do not in themselves warrant a</w:t>
      </w:r>
      <w:r w:rsidR="00F94061" w:rsidRPr="00A51DC6">
        <w:t xml:space="preserve"> waiver.</w:t>
      </w:r>
      <w:r w:rsidR="00F94061">
        <w:t xml:space="preserve">  </w:t>
      </w:r>
      <w:r w:rsidR="0002055E">
        <w:t>Nevertheless, h</w:t>
      </w:r>
      <w:r>
        <w:t xml:space="preserve">ere both Pine Belt </w:t>
      </w:r>
      <w:r w:rsidR="00CD79D4">
        <w:t xml:space="preserve">and Leaco </w:t>
      </w:r>
      <w:r>
        <w:t>demonstrated conscientious effort</w:t>
      </w:r>
      <w:r w:rsidR="00F77DEE">
        <w:t>s</w:t>
      </w:r>
      <w:r>
        <w:t xml:space="preserve"> to complete their construction as expeditiously as possible under </w:t>
      </w:r>
      <w:r w:rsidR="00CD79D4">
        <w:t xml:space="preserve">unusual </w:t>
      </w:r>
      <w:r>
        <w:t xml:space="preserve">circumstances, and to provide service to </w:t>
      </w:r>
      <w:r w:rsidR="00E1525B">
        <w:t xml:space="preserve">the </w:t>
      </w:r>
      <w:r>
        <w:t>rural areas</w:t>
      </w:r>
      <w:r w:rsidR="00F77DEE">
        <w:t xml:space="preserve"> identified as eligible for Mobility Fund Phase I support</w:t>
      </w:r>
      <w:r>
        <w:t>.</w:t>
      </w:r>
      <w:r>
        <w:rPr>
          <w:rStyle w:val="FootnoteReference"/>
        </w:rPr>
        <w:footnoteReference w:id="49"/>
      </w:r>
      <w:r>
        <w:t xml:space="preserve">  Based upon their respective filings, we find that</w:t>
      </w:r>
      <w:r w:rsidR="00DC23D9">
        <w:t xml:space="preserve"> </w:t>
      </w:r>
      <w:r>
        <w:t xml:space="preserve">Pine Belt </w:t>
      </w:r>
      <w:r w:rsidR="00CD79D4">
        <w:t xml:space="preserve">and Leaco </w:t>
      </w:r>
      <w:r>
        <w:t xml:space="preserve">each </w:t>
      </w:r>
      <w:r>
        <w:rPr>
          <w:szCs w:val="22"/>
        </w:rPr>
        <w:t xml:space="preserve">made reasonable plans and efforts to timely fulfill their Mobility Fund obligations, </w:t>
      </w:r>
      <w:r w:rsidR="00EC5CE2">
        <w:rPr>
          <w:szCs w:val="22"/>
        </w:rPr>
        <w:t xml:space="preserve">and </w:t>
      </w:r>
      <w:r w:rsidR="007E0FB8">
        <w:rPr>
          <w:szCs w:val="22"/>
        </w:rPr>
        <w:t xml:space="preserve">unusual </w:t>
      </w:r>
      <w:r>
        <w:rPr>
          <w:szCs w:val="22"/>
        </w:rPr>
        <w:t xml:space="preserve">permitting and processing delays that were outside of their control prevented their ability to do so. </w:t>
      </w:r>
    </w:p>
    <w:p w:rsidR="00706543" w:rsidRPr="00377EBC" w:rsidRDefault="00706543" w:rsidP="00706543">
      <w:pPr>
        <w:pStyle w:val="ParaNum"/>
      </w:pPr>
      <w:r>
        <w:rPr>
          <w:szCs w:val="22"/>
        </w:rPr>
        <w:t xml:space="preserve">Both Pine Belt </w:t>
      </w:r>
      <w:r w:rsidR="00CD79D4">
        <w:rPr>
          <w:szCs w:val="22"/>
        </w:rPr>
        <w:t xml:space="preserve">and Leaco </w:t>
      </w:r>
      <w:r>
        <w:rPr>
          <w:szCs w:val="22"/>
        </w:rPr>
        <w:t xml:space="preserve">appear to have </w:t>
      </w:r>
      <w:r w:rsidR="00BD0B2C">
        <w:rPr>
          <w:szCs w:val="22"/>
        </w:rPr>
        <w:t xml:space="preserve">actively pursued </w:t>
      </w:r>
      <w:r w:rsidR="00595F9E">
        <w:rPr>
          <w:szCs w:val="22"/>
        </w:rPr>
        <w:t>engage</w:t>
      </w:r>
      <w:r w:rsidR="00BD0B2C">
        <w:rPr>
          <w:szCs w:val="22"/>
        </w:rPr>
        <w:t>ment</w:t>
      </w:r>
      <w:r w:rsidR="00595F9E">
        <w:rPr>
          <w:szCs w:val="22"/>
        </w:rPr>
        <w:t xml:space="preserve"> in </w:t>
      </w:r>
      <w:r w:rsidR="00A002A6">
        <w:rPr>
          <w:szCs w:val="22"/>
        </w:rPr>
        <w:t xml:space="preserve">the critical </w:t>
      </w:r>
      <w:r w:rsidR="00595F9E">
        <w:rPr>
          <w:szCs w:val="22"/>
        </w:rPr>
        <w:t xml:space="preserve">processes associated with </w:t>
      </w:r>
      <w:r w:rsidR="00A002A6">
        <w:rPr>
          <w:szCs w:val="22"/>
        </w:rPr>
        <w:t xml:space="preserve">safeguarding public lands </w:t>
      </w:r>
      <w:r w:rsidR="00A002A6" w:rsidRPr="00787CC0">
        <w:rPr>
          <w:szCs w:val="22"/>
        </w:rPr>
        <w:t xml:space="preserve">and </w:t>
      </w:r>
      <w:r w:rsidR="00BB528F" w:rsidRPr="000C6B8C">
        <w:rPr>
          <w:szCs w:val="22"/>
        </w:rPr>
        <w:t>enhancing</w:t>
      </w:r>
      <w:r w:rsidR="00BB528F" w:rsidRPr="00787CC0">
        <w:rPr>
          <w:szCs w:val="22"/>
        </w:rPr>
        <w:t xml:space="preserve"> </w:t>
      </w:r>
      <w:r w:rsidR="00A002A6" w:rsidRPr="00787CC0">
        <w:rPr>
          <w:szCs w:val="22"/>
        </w:rPr>
        <w:t xml:space="preserve">Tribal sovereignty </w:t>
      </w:r>
      <w:r w:rsidR="00B632C4" w:rsidRPr="00787CC0">
        <w:rPr>
          <w:szCs w:val="22"/>
        </w:rPr>
        <w:t>by</w:t>
      </w:r>
      <w:r w:rsidR="00595F9E" w:rsidRPr="00787CC0">
        <w:rPr>
          <w:szCs w:val="22"/>
        </w:rPr>
        <w:t xml:space="preserve"> </w:t>
      </w:r>
      <w:r w:rsidR="00A002A6" w:rsidRPr="00787CC0">
        <w:rPr>
          <w:szCs w:val="22"/>
        </w:rPr>
        <w:t>respectfully work</w:t>
      </w:r>
      <w:r w:rsidR="00B632C4" w:rsidRPr="00787CC0">
        <w:rPr>
          <w:szCs w:val="22"/>
        </w:rPr>
        <w:t>ing</w:t>
      </w:r>
      <w:r w:rsidR="00A002A6" w:rsidRPr="00787CC0">
        <w:rPr>
          <w:szCs w:val="22"/>
        </w:rPr>
        <w:t xml:space="preserve"> with </w:t>
      </w:r>
      <w:r w:rsidR="00595F9E" w:rsidRPr="00787CC0">
        <w:rPr>
          <w:szCs w:val="22"/>
        </w:rPr>
        <w:t xml:space="preserve">the </w:t>
      </w:r>
      <w:r w:rsidR="00B03207" w:rsidRPr="000C6B8C">
        <w:rPr>
          <w:szCs w:val="22"/>
        </w:rPr>
        <w:t>appropriate</w:t>
      </w:r>
      <w:r w:rsidR="00595F9E" w:rsidRPr="00787CC0">
        <w:rPr>
          <w:szCs w:val="22"/>
        </w:rPr>
        <w:t xml:space="preserve"> </w:t>
      </w:r>
      <w:r w:rsidRPr="00787CC0">
        <w:rPr>
          <w:szCs w:val="22"/>
        </w:rPr>
        <w:t xml:space="preserve">authorities </w:t>
      </w:r>
      <w:r w:rsidR="0023601F">
        <w:rPr>
          <w:szCs w:val="22"/>
        </w:rPr>
        <w:t xml:space="preserve">and private landowners </w:t>
      </w:r>
      <w:r w:rsidRPr="00787CC0">
        <w:rPr>
          <w:szCs w:val="22"/>
        </w:rPr>
        <w:t xml:space="preserve">to resolve the matters that were impeding their ability to complete their Mobility Fund Phase I </w:t>
      </w:r>
      <w:r w:rsidR="00B03207" w:rsidRPr="000C6B8C">
        <w:rPr>
          <w:szCs w:val="22"/>
        </w:rPr>
        <w:t>performance</w:t>
      </w:r>
      <w:r w:rsidR="00B03207" w:rsidRPr="00787CC0">
        <w:rPr>
          <w:szCs w:val="22"/>
        </w:rPr>
        <w:t xml:space="preserve"> </w:t>
      </w:r>
      <w:r w:rsidRPr="00787CC0">
        <w:rPr>
          <w:szCs w:val="22"/>
        </w:rPr>
        <w:t>obligations</w:t>
      </w:r>
      <w:r w:rsidR="00EA3142">
        <w:rPr>
          <w:szCs w:val="22"/>
        </w:rPr>
        <w:t>.</w:t>
      </w:r>
      <w:r>
        <w:rPr>
          <w:szCs w:val="22"/>
        </w:rPr>
        <w:t xml:space="preserve"> </w:t>
      </w:r>
      <w:r w:rsidR="00617D6C">
        <w:rPr>
          <w:szCs w:val="22"/>
        </w:rPr>
        <w:t xml:space="preserve"> </w:t>
      </w:r>
      <w:r w:rsidR="00B632C4">
        <w:rPr>
          <w:szCs w:val="22"/>
        </w:rPr>
        <w:t xml:space="preserve">For instance, </w:t>
      </w:r>
      <w:r w:rsidR="00902E2D">
        <w:rPr>
          <w:szCs w:val="22"/>
        </w:rPr>
        <w:t>Leaco engaged in</w:t>
      </w:r>
      <w:r w:rsidR="00B632C4">
        <w:rPr>
          <w:szCs w:val="22"/>
        </w:rPr>
        <w:t xml:space="preserve"> close </w:t>
      </w:r>
      <w:r w:rsidR="00EA3142">
        <w:rPr>
          <w:szCs w:val="22"/>
        </w:rPr>
        <w:t xml:space="preserve">and frequent </w:t>
      </w:r>
      <w:r w:rsidR="00B632C4">
        <w:rPr>
          <w:szCs w:val="22"/>
        </w:rPr>
        <w:t>coordination</w:t>
      </w:r>
      <w:r w:rsidR="00902E2D">
        <w:rPr>
          <w:szCs w:val="22"/>
        </w:rPr>
        <w:t xml:space="preserve"> with the </w:t>
      </w:r>
      <w:r w:rsidR="00B632C4">
        <w:rPr>
          <w:szCs w:val="22"/>
        </w:rPr>
        <w:t>BLM throughout the permitting process</w:t>
      </w:r>
      <w:r w:rsidR="00902E2D">
        <w:rPr>
          <w:szCs w:val="22"/>
        </w:rPr>
        <w:t xml:space="preserve"> and </w:t>
      </w:r>
      <w:r w:rsidR="00130C18">
        <w:rPr>
          <w:szCs w:val="22"/>
        </w:rPr>
        <w:t>found private land alternatives for construction through its</w:t>
      </w:r>
      <w:r w:rsidR="00902E2D">
        <w:rPr>
          <w:szCs w:val="22"/>
        </w:rPr>
        <w:t xml:space="preserve"> on-going negotiation</w:t>
      </w:r>
      <w:r w:rsidR="00130C18">
        <w:rPr>
          <w:szCs w:val="22"/>
        </w:rPr>
        <w:t>s and efforts</w:t>
      </w:r>
      <w:r w:rsidR="00D20501">
        <w:rPr>
          <w:szCs w:val="22"/>
        </w:rPr>
        <w:t>.</w:t>
      </w:r>
      <w:r w:rsidR="00902E2D">
        <w:rPr>
          <w:rStyle w:val="FootnoteReference"/>
          <w:szCs w:val="22"/>
        </w:rPr>
        <w:footnoteReference w:id="50"/>
      </w:r>
      <w:r w:rsidR="00902E2D">
        <w:rPr>
          <w:szCs w:val="22"/>
        </w:rPr>
        <w:t xml:space="preserve">  </w:t>
      </w:r>
      <w:r w:rsidR="003D644A">
        <w:rPr>
          <w:szCs w:val="22"/>
        </w:rPr>
        <w:t xml:space="preserve">Pine Belt, likewise, </w:t>
      </w:r>
      <w:r w:rsidR="00130C18">
        <w:rPr>
          <w:szCs w:val="22"/>
        </w:rPr>
        <w:t>conscientiously</w:t>
      </w:r>
      <w:r w:rsidR="003D644A">
        <w:rPr>
          <w:szCs w:val="22"/>
        </w:rPr>
        <w:t xml:space="preserve"> worked through the notification and information-sharing process with each Tribal government </w:t>
      </w:r>
      <w:r w:rsidR="001C4C52">
        <w:rPr>
          <w:szCs w:val="22"/>
        </w:rPr>
        <w:t>to ensure</w:t>
      </w:r>
      <w:r w:rsidR="003D644A">
        <w:rPr>
          <w:szCs w:val="22"/>
        </w:rPr>
        <w:t xml:space="preserve"> that the </w:t>
      </w:r>
      <w:r w:rsidR="00130C18">
        <w:rPr>
          <w:szCs w:val="22"/>
        </w:rPr>
        <w:t xml:space="preserve">Commission’s </w:t>
      </w:r>
      <w:r w:rsidR="003D644A">
        <w:rPr>
          <w:szCs w:val="22"/>
        </w:rPr>
        <w:t xml:space="preserve">Tribal engagement policies would be fulfilled, even as it </w:t>
      </w:r>
      <w:r w:rsidR="001802C9">
        <w:rPr>
          <w:szCs w:val="22"/>
        </w:rPr>
        <w:t>rectified its</w:t>
      </w:r>
      <w:r w:rsidR="003D644A">
        <w:rPr>
          <w:szCs w:val="22"/>
        </w:rPr>
        <w:t xml:space="preserve"> unusual equipment delays that </w:t>
      </w:r>
      <w:r w:rsidR="00130C18">
        <w:rPr>
          <w:szCs w:val="22"/>
        </w:rPr>
        <w:t>caused further</w:t>
      </w:r>
      <w:r w:rsidR="003D644A">
        <w:rPr>
          <w:szCs w:val="22"/>
        </w:rPr>
        <w:t xml:space="preserve"> difficulties in keeping to </w:t>
      </w:r>
      <w:r w:rsidR="00EC5CE2">
        <w:rPr>
          <w:szCs w:val="22"/>
        </w:rPr>
        <w:t>its</w:t>
      </w:r>
      <w:r w:rsidR="003D644A">
        <w:rPr>
          <w:szCs w:val="22"/>
        </w:rPr>
        <w:t xml:space="preserve"> original schedule.</w:t>
      </w:r>
      <w:r w:rsidR="00130C18">
        <w:rPr>
          <w:rStyle w:val="FootnoteReference"/>
          <w:szCs w:val="22"/>
        </w:rPr>
        <w:footnoteReference w:id="51"/>
      </w:r>
      <w:r w:rsidR="003D644A">
        <w:rPr>
          <w:szCs w:val="22"/>
        </w:rPr>
        <w:t xml:space="preserve"> </w:t>
      </w:r>
      <w:r w:rsidR="00617D6C">
        <w:rPr>
          <w:szCs w:val="22"/>
        </w:rPr>
        <w:t xml:space="preserve"> </w:t>
      </w:r>
      <w:r w:rsidR="00345B69">
        <w:rPr>
          <w:szCs w:val="22"/>
        </w:rPr>
        <w:t>Moreover</w:t>
      </w:r>
      <w:r w:rsidR="005670DA">
        <w:rPr>
          <w:szCs w:val="22"/>
        </w:rPr>
        <w:t>,</w:t>
      </w:r>
      <w:r>
        <w:rPr>
          <w:szCs w:val="22"/>
        </w:rPr>
        <w:t xml:space="preserve"> both Pine Belt </w:t>
      </w:r>
      <w:r w:rsidR="00130C18">
        <w:rPr>
          <w:szCs w:val="22"/>
        </w:rPr>
        <w:t xml:space="preserve">and Leaco </w:t>
      </w:r>
      <w:r w:rsidR="005670DA">
        <w:rPr>
          <w:szCs w:val="22"/>
        </w:rPr>
        <w:t>were in a position to satisfy</w:t>
      </w:r>
      <w:r>
        <w:rPr>
          <w:szCs w:val="22"/>
        </w:rPr>
        <w:t xml:space="preserve"> their Mobility Fund Phase I construction and drive testing requirements</w:t>
      </w:r>
      <w:r w:rsidR="00DC23D9">
        <w:rPr>
          <w:szCs w:val="22"/>
        </w:rPr>
        <w:t xml:space="preserve"> </w:t>
      </w:r>
      <w:r w:rsidR="005670DA">
        <w:rPr>
          <w:szCs w:val="22"/>
        </w:rPr>
        <w:t>and begin</w:t>
      </w:r>
      <w:r w:rsidR="001700A9">
        <w:rPr>
          <w:szCs w:val="22"/>
        </w:rPr>
        <w:t xml:space="preserve"> </w:t>
      </w:r>
      <w:r>
        <w:rPr>
          <w:szCs w:val="22"/>
        </w:rPr>
        <w:t>providing 3G service to rural areas</w:t>
      </w:r>
      <w:r w:rsidR="00BA7D80">
        <w:rPr>
          <w:szCs w:val="22"/>
        </w:rPr>
        <w:t xml:space="preserve"> that previously lacked such service</w:t>
      </w:r>
      <w:r w:rsidR="001700A9">
        <w:rPr>
          <w:szCs w:val="22"/>
        </w:rPr>
        <w:t xml:space="preserve"> within a relatively short time beyond the deadline</w:t>
      </w:r>
      <w:r>
        <w:rPr>
          <w:szCs w:val="22"/>
        </w:rPr>
        <w:t>.</w:t>
      </w:r>
      <w:r w:rsidR="005670DA">
        <w:rPr>
          <w:szCs w:val="22"/>
        </w:rPr>
        <w:t xml:space="preserve">  In these circumstances, </w:t>
      </w:r>
      <w:r w:rsidR="007F008A">
        <w:rPr>
          <w:szCs w:val="22"/>
        </w:rPr>
        <w:t xml:space="preserve">the </w:t>
      </w:r>
      <w:r w:rsidR="0074087C">
        <w:rPr>
          <w:szCs w:val="22"/>
        </w:rPr>
        <w:t xml:space="preserve">additional </w:t>
      </w:r>
      <w:r w:rsidR="007F008A">
        <w:rPr>
          <w:szCs w:val="22"/>
        </w:rPr>
        <w:t>time Pine Belt and Leaco request</w:t>
      </w:r>
      <w:r w:rsidR="001106DD">
        <w:rPr>
          <w:szCs w:val="22"/>
        </w:rPr>
        <w:t xml:space="preserve"> </w:t>
      </w:r>
      <w:r w:rsidR="0074087C">
        <w:rPr>
          <w:szCs w:val="22"/>
        </w:rPr>
        <w:t xml:space="preserve">is reasonable in relation to the </w:t>
      </w:r>
      <w:r w:rsidR="00A664E3">
        <w:rPr>
          <w:szCs w:val="22"/>
        </w:rPr>
        <w:t xml:space="preserve">nature of the </w:t>
      </w:r>
      <w:r w:rsidR="00C879FF">
        <w:rPr>
          <w:szCs w:val="22"/>
        </w:rPr>
        <w:t>delays they</w:t>
      </w:r>
      <w:r w:rsidR="00A664E3">
        <w:rPr>
          <w:szCs w:val="22"/>
        </w:rPr>
        <w:t xml:space="preserve"> experienced</w:t>
      </w:r>
      <w:r w:rsidR="008D10DA">
        <w:rPr>
          <w:szCs w:val="22"/>
        </w:rPr>
        <w:t xml:space="preserve"> and their efforts to overcome them</w:t>
      </w:r>
      <w:r w:rsidR="00A664E3">
        <w:rPr>
          <w:szCs w:val="22"/>
        </w:rPr>
        <w:t xml:space="preserve">. </w:t>
      </w:r>
      <w:r w:rsidR="00C879FF">
        <w:rPr>
          <w:szCs w:val="22"/>
        </w:rPr>
        <w:t xml:space="preserve"> </w:t>
      </w:r>
      <w:r w:rsidR="001106DD">
        <w:rPr>
          <w:szCs w:val="22"/>
        </w:rPr>
        <w:t>W</w:t>
      </w:r>
      <w:r w:rsidR="005670DA">
        <w:rPr>
          <w:szCs w:val="22"/>
        </w:rPr>
        <w:t>e believe that the public interest would be served by ensuring provision of such service consistent with the objectives of Mobility Fund Phase I</w:t>
      </w:r>
      <w:r w:rsidR="0023601F">
        <w:rPr>
          <w:szCs w:val="22"/>
        </w:rPr>
        <w:t>, and that a waiver would not undermine the Commission’s policy of ensuring adherence to the performance requirements established thereunder.</w:t>
      </w:r>
      <w:r w:rsidR="005670DA">
        <w:rPr>
          <w:szCs w:val="22"/>
        </w:rPr>
        <w:t xml:space="preserve">   </w:t>
      </w:r>
      <w:r>
        <w:rPr>
          <w:szCs w:val="22"/>
        </w:rPr>
        <w:t xml:space="preserve"> </w:t>
      </w:r>
    </w:p>
    <w:p w:rsidR="00706543" w:rsidRPr="008C7BBB" w:rsidRDefault="00706543" w:rsidP="00706543">
      <w:pPr>
        <w:pStyle w:val="ParaNum"/>
      </w:pPr>
      <w:r>
        <w:rPr>
          <w:szCs w:val="22"/>
        </w:rPr>
        <w:t>We therefore conclude</w:t>
      </w:r>
      <w:r w:rsidRPr="00C25979">
        <w:rPr>
          <w:szCs w:val="22"/>
        </w:rPr>
        <w:t xml:space="preserve"> that </w:t>
      </w:r>
      <w:r w:rsidR="00E1525B">
        <w:rPr>
          <w:szCs w:val="22"/>
        </w:rPr>
        <w:t xml:space="preserve">there is good cause for </w:t>
      </w:r>
      <w:r w:rsidRPr="00C25979">
        <w:rPr>
          <w:szCs w:val="22"/>
        </w:rPr>
        <w:t>granting the requested</w:t>
      </w:r>
      <w:r w:rsidR="005670DA">
        <w:rPr>
          <w:szCs w:val="22"/>
        </w:rPr>
        <w:t xml:space="preserve"> </w:t>
      </w:r>
      <w:r w:rsidRPr="00C25979">
        <w:rPr>
          <w:szCs w:val="22"/>
        </w:rPr>
        <w:t>waivers</w:t>
      </w:r>
      <w:r w:rsidR="005670DA">
        <w:rPr>
          <w:szCs w:val="22"/>
        </w:rPr>
        <w:t>.</w:t>
      </w:r>
      <w:r>
        <w:rPr>
          <w:szCs w:val="22"/>
        </w:rPr>
        <w:t xml:space="preserve">  </w:t>
      </w:r>
      <w:r w:rsidR="00A67B71">
        <w:t>B</w:t>
      </w:r>
      <w:r>
        <w:t xml:space="preserve">ased on the facts before us, we find it serves the public interest to waive the deadlines applicable to Pine Belt </w:t>
      </w:r>
      <w:r w:rsidR="00AD0993">
        <w:t xml:space="preserve">and Leaco </w:t>
      </w:r>
      <w:r>
        <w:t>for completing construction of a 3G network, conducting drive testing, and submitting a report demonstrating coverage for 75 percent or more of the designated eligible road miles, and we therefore grant Pine Belt</w:t>
      </w:r>
      <w:r w:rsidR="00AD0993">
        <w:t xml:space="preserve"> and Leaco</w:t>
      </w:r>
      <w:r>
        <w:t xml:space="preserve">’s waiver requests through the dates they requested. </w:t>
      </w:r>
    </w:p>
    <w:p w:rsidR="00706543" w:rsidRDefault="00706543" w:rsidP="00706543">
      <w:pPr>
        <w:pStyle w:val="Heading1"/>
      </w:pPr>
      <w:r>
        <w:t>Ordering clauses</w:t>
      </w:r>
    </w:p>
    <w:p w:rsidR="00915733" w:rsidRDefault="00706543" w:rsidP="00D20501">
      <w:pPr>
        <w:pStyle w:val="ParaNum"/>
        <w:numPr>
          <w:ilvl w:val="0"/>
          <w:numId w:val="8"/>
        </w:numPr>
      </w:pPr>
      <w:r>
        <w:t xml:space="preserve">Accordingly, IT IS ORDERED, </w:t>
      </w:r>
      <w:r w:rsidR="00D20501">
        <w:t xml:space="preserve">pursuant to section 4(i) of the Communications Act, as amended, 47 U.S.C. 154(i), and section 1.3 of the Commission’s rules, 47 C.F.R. § 1.3, </w:t>
      </w:r>
      <w:r w:rsidR="003A7932">
        <w:t xml:space="preserve">and sections 0.131, 0.331, and 1.3 of the Commission’s rules, 47 C.F.R. §§ 0.131, 0.331, and 1.3, </w:t>
      </w:r>
      <w:r w:rsidR="00D20501">
        <w:t xml:space="preserve">that the Request for Limited Waiver and Extension of Time for Mobility Fund Phase I SACs, as amended, of Pine Belt Cellular, Inc. is HEREBY GRANTED to permit extension of the construction and reporting deadlines for the amended request of 52 days for SACs </w:t>
      </w:r>
      <w:r w:rsidR="00D20501" w:rsidRPr="00D20501">
        <w:rPr>
          <w:szCs w:val="22"/>
        </w:rPr>
        <w:t xml:space="preserve">258004, 258005, 258012, 258014, and 258015, </w:t>
      </w:r>
      <w:r w:rsidR="00D20501">
        <w:t>and 55 days for SAC 258011.</w:t>
      </w:r>
    </w:p>
    <w:p w:rsidR="00915733" w:rsidRDefault="00915733">
      <w:pPr>
        <w:widowControl/>
      </w:pPr>
      <w:r>
        <w:br w:type="page"/>
      </w:r>
    </w:p>
    <w:p w:rsidR="00D20501" w:rsidRPr="00B05B5B" w:rsidRDefault="00D20501" w:rsidP="00915733">
      <w:pPr>
        <w:pStyle w:val="ParaNum"/>
        <w:numPr>
          <w:ilvl w:val="0"/>
          <w:numId w:val="0"/>
        </w:numPr>
        <w:ind w:left="720"/>
      </w:pPr>
    </w:p>
    <w:p w:rsidR="00706543" w:rsidRPr="001C66C2" w:rsidRDefault="00D20501" w:rsidP="00706543">
      <w:pPr>
        <w:pStyle w:val="ParaNum"/>
      </w:pPr>
      <w:r>
        <w:t xml:space="preserve">IT IS FURTHER ORDERED, </w:t>
      </w:r>
      <w:r w:rsidR="00706543">
        <w:t xml:space="preserve">pursuant to section 4(i) of the Communications Act, as amended, 47 U.S.C. 154(i), and section 1.3 of the Commission’s rules, 47 C.F.R. § 1.3, </w:t>
      </w:r>
      <w:r w:rsidR="003A7932">
        <w:t xml:space="preserve">and sections 0.131, 0.331, and 1.3 of the Commission’s rules, 47 C.F.R. §§ 0.131, 0.331, and 1.3, </w:t>
      </w:r>
      <w:r w:rsidR="00706543">
        <w:t xml:space="preserve">that the Request for Limited Waiver and Extension of Mobility Fund Phase I Public Interest Obligations, as amended, of Leaco Rural Telephone Cooperative, Inc. is HEREBY GRANTED to permit extension of the construction and reporting deadline for SACs </w:t>
      </w:r>
      <w:r w:rsidR="00706543">
        <w:rPr>
          <w:szCs w:val="22"/>
        </w:rPr>
        <w:t xml:space="preserve">498002, 498004, 498006, </w:t>
      </w:r>
      <w:r w:rsidR="00706543" w:rsidRPr="00494D8E">
        <w:rPr>
          <w:szCs w:val="22"/>
        </w:rPr>
        <w:t>498007</w:t>
      </w:r>
      <w:r w:rsidR="00706543">
        <w:rPr>
          <w:szCs w:val="22"/>
        </w:rPr>
        <w:t xml:space="preserve">, and 498008 through December 5, 2015, and further extension of the construction and reporting deadline for SAC 498002 through December 23, 2015, and further extension for SACs 498006 and 498008 through March 15, 2016.  </w:t>
      </w:r>
    </w:p>
    <w:p w:rsidR="0022746D" w:rsidRDefault="0022746D" w:rsidP="003A7932">
      <w:pPr>
        <w:pStyle w:val="ParaNum"/>
        <w:numPr>
          <w:ilvl w:val="0"/>
          <w:numId w:val="0"/>
        </w:numPr>
        <w:ind w:firstLine="720"/>
      </w:pPr>
    </w:p>
    <w:p w:rsidR="00915733" w:rsidRPr="00412DD0" w:rsidRDefault="00915733" w:rsidP="00915733">
      <w:pPr>
        <w:pStyle w:val="ParaNum"/>
        <w:numPr>
          <w:ilvl w:val="0"/>
          <w:numId w:val="0"/>
        </w:numPr>
        <w:ind w:left="2880" w:firstLine="720"/>
      </w:pPr>
      <w:r w:rsidRPr="00412DD0">
        <w:t>FEDERAL COMMUNICATIONS COMMISSION</w:t>
      </w:r>
    </w:p>
    <w:p w:rsidR="00915733" w:rsidRDefault="00915733" w:rsidP="00915733">
      <w:pPr>
        <w:pStyle w:val="ParaNum"/>
        <w:numPr>
          <w:ilvl w:val="0"/>
          <w:numId w:val="0"/>
        </w:numPr>
        <w:ind w:left="720"/>
      </w:pPr>
    </w:p>
    <w:p w:rsidR="00915733" w:rsidRDefault="00915733" w:rsidP="00915733">
      <w:pPr>
        <w:pStyle w:val="ParaNum"/>
        <w:numPr>
          <w:ilvl w:val="0"/>
          <w:numId w:val="0"/>
        </w:numPr>
        <w:rPr>
          <w:rStyle w:val="searchterm"/>
        </w:rPr>
      </w:pPr>
      <w:bookmarkStart w:id="1" w:name="SR;3307"/>
      <w:bookmarkStart w:id="2" w:name="SearchTerm"/>
      <w:bookmarkEnd w:id="1"/>
      <w:bookmarkEnd w:id="2"/>
    </w:p>
    <w:p w:rsidR="00915733" w:rsidRDefault="00915733" w:rsidP="00915733">
      <w:pPr>
        <w:pStyle w:val="ParaNum"/>
        <w:numPr>
          <w:ilvl w:val="0"/>
          <w:numId w:val="0"/>
        </w:numPr>
        <w:ind w:left="720"/>
      </w:pPr>
    </w:p>
    <w:p w:rsidR="00915733" w:rsidRDefault="00915733" w:rsidP="00915733">
      <w:pPr>
        <w:pStyle w:val="ParaNum"/>
        <w:numPr>
          <w:ilvl w:val="0"/>
          <w:numId w:val="0"/>
        </w:numPr>
        <w:ind w:left="720"/>
      </w:pPr>
    </w:p>
    <w:p w:rsidR="00915733" w:rsidRDefault="00915733" w:rsidP="0022746D">
      <w:pPr>
        <w:pStyle w:val="ParaNum"/>
        <w:numPr>
          <w:ilvl w:val="0"/>
          <w:numId w:val="0"/>
        </w:numPr>
        <w:spacing w:after="0"/>
        <w:ind w:left="720"/>
      </w:pPr>
      <w:r>
        <w:tab/>
      </w:r>
      <w:r>
        <w:tab/>
      </w:r>
      <w:r>
        <w:tab/>
      </w:r>
      <w:r>
        <w:tab/>
        <w:t>Margaret W. Wiener</w:t>
      </w:r>
    </w:p>
    <w:p w:rsidR="00915733" w:rsidRDefault="00915733" w:rsidP="0022746D">
      <w:pPr>
        <w:pStyle w:val="ParaNum"/>
        <w:numPr>
          <w:ilvl w:val="0"/>
          <w:numId w:val="0"/>
        </w:numPr>
        <w:spacing w:after="0"/>
        <w:ind w:left="720"/>
      </w:pPr>
      <w:r>
        <w:tab/>
      </w:r>
      <w:r>
        <w:tab/>
      </w:r>
      <w:r>
        <w:tab/>
      </w:r>
      <w:r>
        <w:tab/>
        <w:t>Chief, Auctions and Spectrum Access Division</w:t>
      </w:r>
    </w:p>
    <w:p w:rsidR="00915733" w:rsidRPr="00CD4536" w:rsidRDefault="00915733" w:rsidP="0022746D">
      <w:pPr>
        <w:pStyle w:val="ParaNum"/>
        <w:numPr>
          <w:ilvl w:val="0"/>
          <w:numId w:val="0"/>
        </w:numPr>
        <w:spacing w:after="0"/>
        <w:ind w:left="720"/>
      </w:pPr>
      <w:r>
        <w:tab/>
      </w:r>
      <w:r>
        <w:tab/>
      </w:r>
      <w:r>
        <w:tab/>
      </w:r>
      <w:r>
        <w:tab/>
        <w:t>Wireless Telecommunications Bureau</w:t>
      </w:r>
    </w:p>
    <w:p w:rsidR="002C00E8" w:rsidRPr="00706543" w:rsidRDefault="002C00E8" w:rsidP="00706543"/>
    <w:sectPr w:rsidR="002C00E8" w:rsidRPr="0070654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98" w:rsidRDefault="00373198">
      <w:pPr>
        <w:spacing w:line="20" w:lineRule="exact"/>
      </w:pPr>
    </w:p>
  </w:endnote>
  <w:endnote w:type="continuationSeparator" w:id="0">
    <w:p w:rsidR="00373198" w:rsidRDefault="00373198">
      <w:r>
        <w:t xml:space="preserve"> </w:t>
      </w:r>
    </w:p>
  </w:endnote>
  <w:endnote w:type="continuationNotice" w:id="1">
    <w:p w:rsidR="00373198" w:rsidRDefault="003731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NewRoman">
    <w:altName w:val="Times New Roman"/>
    <w:charset w:val="00"/>
    <w:family w:val="auto"/>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946B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98" w:rsidRDefault="00373198">
      <w:r>
        <w:separator/>
      </w:r>
    </w:p>
  </w:footnote>
  <w:footnote w:type="continuationSeparator" w:id="0">
    <w:p w:rsidR="00373198" w:rsidRDefault="00373198" w:rsidP="00C721AC">
      <w:pPr>
        <w:spacing w:before="120"/>
        <w:rPr>
          <w:sz w:val="20"/>
        </w:rPr>
      </w:pPr>
      <w:r>
        <w:rPr>
          <w:sz w:val="20"/>
        </w:rPr>
        <w:t xml:space="preserve">(Continued from previous page)  </w:t>
      </w:r>
      <w:r>
        <w:rPr>
          <w:sz w:val="20"/>
        </w:rPr>
        <w:separator/>
      </w:r>
    </w:p>
  </w:footnote>
  <w:footnote w:type="continuationNotice" w:id="1">
    <w:p w:rsidR="00373198" w:rsidRDefault="00373198" w:rsidP="00C721AC">
      <w:pPr>
        <w:jc w:val="right"/>
        <w:rPr>
          <w:sz w:val="20"/>
        </w:rPr>
      </w:pPr>
      <w:r>
        <w:rPr>
          <w:sz w:val="20"/>
        </w:rPr>
        <w:t>(continued….)</w:t>
      </w:r>
    </w:p>
  </w:footnote>
  <w:footnote w:id="2">
    <w:p w:rsidR="00706543" w:rsidRDefault="00706543" w:rsidP="00706543">
      <w:pPr>
        <w:pStyle w:val="FootnoteText"/>
      </w:pPr>
      <w:r>
        <w:rPr>
          <w:rStyle w:val="FootnoteReference"/>
        </w:rPr>
        <w:footnoteRef/>
      </w:r>
      <w:r>
        <w:t xml:space="preserve"> </w:t>
      </w:r>
      <w:r>
        <w:rPr>
          <w:i/>
          <w:iCs/>
          <w:snapToGrid w:val="0"/>
        </w:rPr>
        <w:t xml:space="preserve">Connect America Fund et al.; </w:t>
      </w:r>
      <w:r>
        <w:rPr>
          <w:snapToGrid w:val="0"/>
        </w:rPr>
        <w:t xml:space="preserve">WC Docket Nos. 10-90 et al., Report and Order and Further Notice of Proposed Rulemaking, 26 FCC Rcd 17663, 17773, </w:t>
      </w:r>
      <w:r w:rsidR="000635EB">
        <w:t>para.</w:t>
      </w:r>
      <w:r>
        <w:t xml:space="preserve"> 299</w:t>
      </w:r>
      <w:r>
        <w:rPr>
          <w:snapToGrid w:val="0"/>
        </w:rPr>
        <w:t xml:space="preserve"> (2011) </w:t>
      </w:r>
      <w:r>
        <w:rPr>
          <w:i/>
          <w:iCs/>
          <w:snapToGrid w:val="0"/>
        </w:rPr>
        <w:t>aff’d sub nom., In re: FCC 11-161</w:t>
      </w:r>
      <w:r>
        <w:rPr>
          <w:snapToGrid w:val="0"/>
        </w:rPr>
        <w:t>, 753 F.3d 1015 (10th Cir. 2014) (</w:t>
      </w:r>
      <w:r>
        <w:rPr>
          <w:i/>
          <w:iCs/>
          <w:snapToGrid w:val="0"/>
        </w:rPr>
        <w:t>USF/ICC Transformation Order</w:t>
      </w:r>
      <w:r>
        <w:rPr>
          <w:snapToGrid w:val="0"/>
        </w:rPr>
        <w:t>).  </w:t>
      </w:r>
    </w:p>
  </w:footnote>
  <w:footnote w:id="3">
    <w:p w:rsidR="00706543" w:rsidRDefault="00706543" w:rsidP="00706543">
      <w:pPr>
        <w:pStyle w:val="FootnoteText"/>
      </w:pPr>
      <w:r>
        <w:rPr>
          <w:rStyle w:val="FootnoteReference"/>
        </w:rPr>
        <w:footnoteRef/>
      </w:r>
      <w:r>
        <w:t xml:space="preserve"> </w:t>
      </w:r>
      <w:r w:rsidRPr="0003545B">
        <w:rPr>
          <w:i/>
        </w:rPr>
        <w:t>Mobility Fund Phase I Auction Scheduled for September 27, 2012; Notice and Filing Requirements and Other Procedures for Auction 901</w:t>
      </w:r>
      <w:r>
        <w:t xml:space="preserve">, </w:t>
      </w:r>
      <w:r w:rsidRPr="0003545B">
        <w:rPr>
          <w:rStyle w:val="Emphasis"/>
          <w:i w:val="0"/>
        </w:rPr>
        <w:t>Public Notice</w:t>
      </w:r>
      <w:r>
        <w:t xml:space="preserve">, AU Docket No. 12-25, 27 FCC Rcd 4725, 4748 </w:t>
      </w:r>
      <w:r w:rsidR="000635EB">
        <w:t>para.</w:t>
      </w:r>
      <w:r>
        <w:t xml:space="preserve"> 71 (</w:t>
      </w:r>
      <w:r w:rsidR="00C033CA">
        <w:t xml:space="preserve">WTB/WCB </w:t>
      </w:r>
      <w:r>
        <w:t>2012) (</w:t>
      </w:r>
      <w:r>
        <w:rPr>
          <w:rStyle w:val="Emphasis"/>
        </w:rPr>
        <w:t>Auction 901 Procedures Public Notice</w:t>
      </w:r>
      <w:r>
        <w:t>).</w:t>
      </w:r>
    </w:p>
  </w:footnote>
  <w:footnote w:id="4">
    <w:p w:rsidR="00706543" w:rsidRDefault="00706543" w:rsidP="00706543">
      <w:pPr>
        <w:pStyle w:val="FootnoteText"/>
      </w:pPr>
      <w:r>
        <w:rPr>
          <w:rStyle w:val="FootnoteReference"/>
        </w:rPr>
        <w:footnoteRef/>
      </w:r>
      <w:r>
        <w:t xml:space="preserve"> </w:t>
      </w:r>
      <w:r w:rsidRPr="00AB40F7">
        <w:rPr>
          <w:i/>
        </w:rPr>
        <w:t>Id.</w:t>
      </w:r>
    </w:p>
  </w:footnote>
  <w:footnote w:id="5">
    <w:p w:rsidR="0046740C" w:rsidRPr="008C6672" w:rsidRDefault="0046740C" w:rsidP="009C46A9">
      <w:pPr>
        <w:pStyle w:val="FootnoteText"/>
      </w:pPr>
      <w:r>
        <w:rPr>
          <w:rStyle w:val="FootnoteReference"/>
        </w:rPr>
        <w:footnoteRef/>
      </w:r>
      <w:r>
        <w:t xml:space="preserve"> </w:t>
      </w:r>
      <w:r w:rsidR="008D082B">
        <w:t>A</w:t>
      </w:r>
      <w:r w:rsidR="008C6672">
        <w:t xml:space="preserve"> winning bidder </w:t>
      </w:r>
      <w:r w:rsidR="008D082B">
        <w:t xml:space="preserve">is required to </w:t>
      </w:r>
      <w:r w:rsidR="008C6672">
        <w:t xml:space="preserve">provide service </w:t>
      </w:r>
      <w:r w:rsidR="001136A9">
        <w:t>covering at least</w:t>
      </w:r>
      <w:r w:rsidR="008C6672">
        <w:t xml:space="preserve"> 75</w:t>
      </w:r>
      <w:r w:rsidR="00F17B62">
        <w:t xml:space="preserve"> </w:t>
      </w:r>
      <w:r w:rsidR="00A67B6B">
        <w:t>percent</w:t>
      </w:r>
      <w:r w:rsidR="008C6672">
        <w:t xml:space="preserve"> of the eligible road miles </w:t>
      </w:r>
      <w:r w:rsidR="0096300F" w:rsidRPr="0096300F">
        <w:t xml:space="preserve">within the area covered by </w:t>
      </w:r>
      <w:r w:rsidR="00006F6C">
        <w:t xml:space="preserve">its </w:t>
      </w:r>
      <w:r w:rsidR="0096300F" w:rsidRPr="0096300F">
        <w:t>winning bid</w:t>
      </w:r>
      <w:r w:rsidR="00006F6C">
        <w:t>,</w:t>
      </w:r>
      <w:r w:rsidR="0096300F" w:rsidRPr="0096300F">
        <w:t xml:space="preserve"> </w:t>
      </w:r>
      <w:r w:rsidR="003E0983">
        <w:t xml:space="preserve">and </w:t>
      </w:r>
      <w:r w:rsidR="003A3AAE" w:rsidRPr="00C417F5">
        <w:t xml:space="preserve">will receive </w:t>
      </w:r>
      <w:r w:rsidR="00843273">
        <w:t xml:space="preserve">Mobility Fund </w:t>
      </w:r>
      <w:r w:rsidR="003A3AAE" w:rsidRPr="00C417F5">
        <w:t xml:space="preserve">support only for </w:t>
      </w:r>
      <w:r w:rsidR="00843273">
        <w:t>the</w:t>
      </w:r>
      <w:r w:rsidR="003A3AAE" w:rsidRPr="00C417F5">
        <w:t xml:space="preserve"> </w:t>
      </w:r>
      <w:r w:rsidR="00BD177F">
        <w:t xml:space="preserve">actual </w:t>
      </w:r>
      <w:r w:rsidR="003A3AAE" w:rsidRPr="00C417F5">
        <w:t>road miles covered</w:t>
      </w:r>
      <w:r w:rsidR="00BD177F">
        <w:t>, up to</w:t>
      </w:r>
      <w:r w:rsidR="003A3AAE" w:rsidRPr="00C417F5">
        <w:t xml:space="preserve"> 100 percent</w:t>
      </w:r>
      <w:r w:rsidR="000F3C13">
        <w:t>,</w:t>
      </w:r>
      <w:r w:rsidR="003A3AAE" w:rsidRPr="00C417F5">
        <w:t xml:space="preserve"> </w:t>
      </w:r>
      <w:r w:rsidR="000F3C13">
        <w:t>within that area</w:t>
      </w:r>
      <w:r w:rsidR="003A3AAE" w:rsidRPr="00C417F5">
        <w:t xml:space="preserve">. </w:t>
      </w:r>
      <w:r w:rsidR="003A3AAE" w:rsidRPr="00C417F5">
        <w:rPr>
          <w:i/>
        </w:rPr>
        <w:t>USF/ICC Transformation Order</w:t>
      </w:r>
      <w:r w:rsidR="003A3AAE" w:rsidRPr="003A3AAE">
        <w:t>, 26 FCC Rcd at 17793</w:t>
      </w:r>
      <w:r w:rsidR="00C033CA">
        <w:t>,</w:t>
      </w:r>
      <w:r w:rsidR="003A3AAE" w:rsidRPr="003A3AAE">
        <w:t xml:space="preserve"> </w:t>
      </w:r>
      <w:r w:rsidR="00C033CA">
        <w:t>para.</w:t>
      </w:r>
      <w:r w:rsidR="003A3AAE" w:rsidRPr="00C417F5">
        <w:t xml:space="preserve"> 367.</w:t>
      </w:r>
      <w:r w:rsidR="008C6672">
        <w:t xml:space="preserve"> </w:t>
      </w:r>
    </w:p>
  </w:footnote>
  <w:footnote w:id="6">
    <w:p w:rsidR="00706543" w:rsidRDefault="00706543" w:rsidP="009C46A9">
      <w:pPr>
        <w:pStyle w:val="FootnoteText"/>
      </w:pPr>
      <w:r>
        <w:rPr>
          <w:rStyle w:val="FootnoteReference"/>
        </w:rPr>
        <w:footnoteRef/>
      </w:r>
      <w:r>
        <w:t xml:space="preserve"> 47 C.F.R. § 54.1006(a).</w:t>
      </w:r>
    </w:p>
  </w:footnote>
  <w:footnote w:id="7">
    <w:p w:rsidR="00706543" w:rsidRDefault="00706543" w:rsidP="00706543">
      <w:pPr>
        <w:pStyle w:val="FootnoteText"/>
      </w:pPr>
      <w:r>
        <w:rPr>
          <w:rStyle w:val="FootnoteReference"/>
        </w:rPr>
        <w:footnoteRef/>
      </w:r>
      <w:r>
        <w:t xml:space="preserve"> 47 C.F.R. § 54.1006(b).</w:t>
      </w:r>
    </w:p>
  </w:footnote>
  <w:footnote w:id="8">
    <w:p w:rsidR="00706543" w:rsidRDefault="00706543" w:rsidP="00706543">
      <w:pPr>
        <w:pStyle w:val="FootnoteText"/>
      </w:pPr>
      <w:r>
        <w:rPr>
          <w:rStyle w:val="FootnoteReference"/>
        </w:rPr>
        <w:footnoteRef/>
      </w:r>
      <w:r>
        <w:t xml:space="preserve"> 47 C.F.R. § 54.1008(b)(1).  </w:t>
      </w:r>
    </w:p>
  </w:footnote>
  <w:footnote w:id="9">
    <w:p w:rsidR="00706543" w:rsidRDefault="00706543" w:rsidP="00706543">
      <w:pPr>
        <w:pStyle w:val="FootnoteText"/>
      </w:pPr>
      <w:r>
        <w:rPr>
          <w:rStyle w:val="FootnoteReference"/>
        </w:rPr>
        <w:footnoteRef/>
      </w:r>
      <w:r>
        <w:t xml:space="preserve"> 47 C.F.R. § 54.1008(b)(2).</w:t>
      </w:r>
      <w:r w:rsidR="00DD6F28">
        <w:t xml:space="preserve"> Recipients are not required to </w:t>
      </w:r>
      <w:r w:rsidR="0023795A">
        <w:t>request</w:t>
      </w:r>
      <w:r w:rsidR="00DD6F28">
        <w:t xml:space="preserve"> a second disbursement, and may instead </w:t>
      </w:r>
      <w:r w:rsidR="00B119D1">
        <w:t xml:space="preserve">request the remainder of their total support </w:t>
      </w:r>
      <w:r w:rsidR="000D60CD">
        <w:t xml:space="preserve">as a </w:t>
      </w:r>
      <w:r w:rsidR="0058730B">
        <w:t>fina</w:t>
      </w:r>
      <w:r w:rsidR="00C24C35">
        <w:t xml:space="preserve">l </w:t>
      </w:r>
      <w:r w:rsidR="000D60CD">
        <w:t xml:space="preserve">disbursement </w:t>
      </w:r>
      <w:r w:rsidR="003D02EA">
        <w:t xml:space="preserve">upon completion of construction, </w:t>
      </w:r>
      <w:r w:rsidR="00DD6F28">
        <w:t xml:space="preserve">after </w:t>
      </w:r>
      <w:r w:rsidR="000D60CD">
        <w:t xml:space="preserve">demonstrating </w:t>
      </w:r>
      <w:r w:rsidR="00516C33">
        <w:t xml:space="preserve">coverage that meets the </w:t>
      </w:r>
      <w:r w:rsidR="00C50EAA">
        <w:t xml:space="preserve">applicable </w:t>
      </w:r>
      <w:r w:rsidR="00D937E1">
        <w:t>requirements</w:t>
      </w:r>
      <w:r w:rsidR="0048076A">
        <w:t xml:space="preserve"> of section 54.1006</w:t>
      </w:r>
      <w:r w:rsidR="00DD6F28">
        <w:t xml:space="preserve">. </w:t>
      </w:r>
    </w:p>
  </w:footnote>
  <w:footnote w:id="10">
    <w:p w:rsidR="00706543" w:rsidRDefault="00706543" w:rsidP="00706543">
      <w:pPr>
        <w:pStyle w:val="FootnoteText"/>
      </w:pPr>
      <w:r>
        <w:rPr>
          <w:rStyle w:val="FootnoteReference"/>
        </w:rPr>
        <w:footnoteRef/>
      </w:r>
      <w:r>
        <w:t xml:space="preserve"> 47 C.F.R. § 54.1008(b)(3).  </w:t>
      </w:r>
    </w:p>
  </w:footnote>
  <w:footnote w:id="11">
    <w:p w:rsidR="00706543" w:rsidRDefault="00706543" w:rsidP="00706543">
      <w:pPr>
        <w:pStyle w:val="FootnoteText"/>
      </w:pPr>
      <w:r>
        <w:rPr>
          <w:rStyle w:val="FootnoteReference"/>
        </w:rPr>
        <w:footnoteRef/>
      </w:r>
      <w:r>
        <w:t xml:space="preserve"> </w:t>
      </w:r>
      <w:r>
        <w:rPr>
          <w:i/>
        </w:rPr>
        <w:t>USF/ICC Transformation Order</w:t>
      </w:r>
      <w:r>
        <w:t>, 26 FCC Rcd at 17814</w:t>
      </w:r>
      <w:r w:rsidR="00BE0D04">
        <w:t>, para.</w:t>
      </w:r>
      <w:r w:rsidR="00247D22">
        <w:t xml:space="preserve"> </w:t>
      </w:r>
      <w:r>
        <w:t>46</w:t>
      </w:r>
      <w:r w:rsidR="00247D22">
        <w:t>61</w:t>
      </w:r>
      <w:r w:rsidR="00DD6F28">
        <w:t>.</w:t>
      </w:r>
      <w:r>
        <w:t xml:space="preserve"> </w:t>
      </w:r>
    </w:p>
  </w:footnote>
  <w:footnote w:id="12">
    <w:p w:rsidR="00706543" w:rsidRDefault="00706543" w:rsidP="00706543">
      <w:pPr>
        <w:pStyle w:val="FootnoteText"/>
      </w:pPr>
      <w:r>
        <w:rPr>
          <w:rStyle w:val="FootnoteReference"/>
        </w:rPr>
        <w:footnoteRef/>
      </w:r>
      <w:r>
        <w:t xml:space="preserve"> </w:t>
      </w:r>
      <w:r>
        <w:rPr>
          <w:i/>
        </w:rPr>
        <w:t xml:space="preserve">See </w:t>
      </w:r>
      <w:r>
        <w:t>47 C.F.R. § 54.1006(f);</w:t>
      </w:r>
      <w:r w:rsidR="00EF0537">
        <w:t xml:space="preserve"> </w:t>
      </w:r>
      <w:r w:rsidR="00EF0537" w:rsidRPr="00EF0537">
        <w:rPr>
          <w:i/>
        </w:rPr>
        <w:t>Auction 901 Procedures P</w:t>
      </w:r>
      <w:r w:rsidR="00F17B62">
        <w:rPr>
          <w:i/>
        </w:rPr>
        <w:t xml:space="preserve">ublic </w:t>
      </w:r>
      <w:r w:rsidR="00EF0537" w:rsidRPr="00EF0537">
        <w:rPr>
          <w:i/>
        </w:rPr>
        <w:t>N</w:t>
      </w:r>
      <w:r w:rsidR="00F17B62">
        <w:rPr>
          <w:i/>
        </w:rPr>
        <w:t>otice</w:t>
      </w:r>
      <w:r w:rsidR="00EF0537">
        <w:t xml:space="preserve">, 27 FCC Rcd at 4777 </w:t>
      </w:r>
      <w:r w:rsidR="00A02647">
        <w:t>para.</w:t>
      </w:r>
      <w:r w:rsidR="00EF0537">
        <w:t xml:space="preserve"> 189</w:t>
      </w:r>
      <w:r>
        <w:t>.</w:t>
      </w:r>
    </w:p>
  </w:footnote>
  <w:footnote w:id="13">
    <w:p w:rsidR="0025097F" w:rsidRDefault="0025097F" w:rsidP="009C46A9">
      <w:pPr>
        <w:pStyle w:val="FootnoteText"/>
      </w:pPr>
      <w:r>
        <w:rPr>
          <w:rStyle w:val="FootnoteReference"/>
        </w:rPr>
        <w:footnoteRef/>
      </w:r>
      <w:r>
        <w:t xml:space="preserve"> </w:t>
      </w:r>
      <w:r w:rsidRPr="00D546EE">
        <w:rPr>
          <w:i/>
          <w:iCs/>
        </w:rPr>
        <w:t>See Mobility Fund Phase I</w:t>
      </w:r>
      <w:r>
        <w:rPr>
          <w:i/>
          <w:iCs/>
        </w:rPr>
        <w:t xml:space="preserve"> </w:t>
      </w:r>
      <w:r w:rsidRPr="00D546EE">
        <w:rPr>
          <w:i/>
          <w:iCs/>
        </w:rPr>
        <w:t>Auction Closes; Winning Bidders Announced for Auction 901</w:t>
      </w:r>
      <w:r w:rsidRPr="00D546EE">
        <w:t>, Public Notice, AU Docket No. 12-25, 27 FCC Rcd 12031 (2012) (</w:t>
      </w:r>
      <w:r w:rsidRPr="00D546EE">
        <w:rPr>
          <w:i/>
          <w:iCs/>
        </w:rPr>
        <w:t>Auction 901 Closing Public Notice</w:t>
      </w:r>
      <w:r>
        <w:t>);</w:t>
      </w:r>
      <w:r w:rsidRPr="00D546EE">
        <w:rPr>
          <w:i/>
          <w:iCs/>
        </w:rPr>
        <w:t xml:space="preserve"> </w:t>
      </w:r>
      <w:r w:rsidRPr="0003545B">
        <w:rPr>
          <w:i/>
        </w:rPr>
        <w:t>Mobility Fund Phase I</w:t>
      </w:r>
      <w:r w:rsidRPr="00141653">
        <w:t xml:space="preserve"> </w:t>
      </w:r>
      <w:r w:rsidRPr="0003545B">
        <w:rPr>
          <w:i/>
        </w:rPr>
        <w:t>Support Authorized for 39 Winning Bids; Defaults on Four Auction 901 Winning Bids Determined</w:t>
      </w:r>
      <w:r w:rsidRPr="00141653">
        <w:t xml:space="preserve">, </w:t>
      </w:r>
      <w:r w:rsidRPr="0003545B">
        <w:rPr>
          <w:iCs/>
        </w:rPr>
        <w:t>Public Notice</w:t>
      </w:r>
      <w:r w:rsidRPr="00141653">
        <w:t>,</w:t>
      </w:r>
      <w:r w:rsidR="009E5751">
        <w:t xml:space="preserve"> 28 FCC Rcd 8934</w:t>
      </w:r>
      <w:r w:rsidRPr="00141653">
        <w:t xml:space="preserve"> (</w:t>
      </w:r>
      <w:r w:rsidR="007536C3">
        <w:t>WTB</w:t>
      </w:r>
      <w:r w:rsidR="009E5751">
        <w:t>/WCB</w:t>
      </w:r>
      <w:r w:rsidRPr="00141653">
        <w:t xml:space="preserve"> 2013).</w:t>
      </w:r>
      <w:r>
        <w:t xml:space="preserve">  </w:t>
      </w:r>
    </w:p>
  </w:footnote>
  <w:footnote w:id="14">
    <w:p w:rsidR="0025097F" w:rsidRPr="004E6BEC" w:rsidRDefault="0025097F" w:rsidP="009C46A9">
      <w:pPr>
        <w:pStyle w:val="FootnoteText"/>
        <w:rPr>
          <w:i/>
          <w:iCs/>
        </w:rPr>
      </w:pPr>
      <w:r>
        <w:rPr>
          <w:rStyle w:val="FootnoteReference"/>
        </w:rPr>
        <w:footnoteRef/>
      </w:r>
      <w:r>
        <w:t xml:space="preserve"> </w:t>
      </w:r>
      <w:r w:rsidRPr="00AB40F7">
        <w:rPr>
          <w:i/>
        </w:rPr>
        <w:t xml:space="preserve">See </w:t>
      </w:r>
      <w:r w:rsidR="009C46A9">
        <w:rPr>
          <w:i/>
        </w:rPr>
        <w:t>i</w:t>
      </w:r>
      <w:r w:rsidRPr="00AB40F7">
        <w:rPr>
          <w:i/>
        </w:rPr>
        <w:t>d</w:t>
      </w:r>
      <w:r>
        <w:t>.</w:t>
      </w:r>
      <w:r w:rsidRPr="008C346A">
        <w:t xml:space="preserve"> </w:t>
      </w:r>
      <w:r w:rsidR="002023DD">
        <w:t xml:space="preserve"> </w:t>
      </w:r>
      <w:r w:rsidR="002023DD" w:rsidRPr="008C346A">
        <w:t xml:space="preserve">June 21, 2015 fell on a Sunday, </w:t>
      </w:r>
      <w:r w:rsidR="002023DD">
        <w:t xml:space="preserve">so </w:t>
      </w:r>
      <w:r w:rsidR="002023DD" w:rsidRPr="008C346A">
        <w:t xml:space="preserve">Pine Belt had until the following business day—Monday, June 22, 2015—to submit its drive test data.  </w:t>
      </w:r>
    </w:p>
  </w:footnote>
  <w:footnote w:id="15">
    <w:p w:rsidR="0025097F" w:rsidRDefault="0025097F" w:rsidP="009C46A9">
      <w:pPr>
        <w:pStyle w:val="FootnoteText"/>
      </w:pPr>
      <w:r>
        <w:rPr>
          <w:rStyle w:val="FootnoteReference"/>
        </w:rPr>
        <w:footnoteRef/>
      </w:r>
      <w:r>
        <w:t xml:space="preserve"> </w:t>
      </w:r>
      <w:r w:rsidR="00915733" w:rsidRPr="008C346A">
        <w:rPr>
          <w:i/>
          <w:iCs/>
        </w:rPr>
        <w:t xml:space="preserve">See </w:t>
      </w:r>
      <w:r w:rsidR="00915733" w:rsidRPr="008C346A">
        <w:t>Pine Belt Cellular, Inc. Request for Limited Waiver and Extension of Time, Mobility Fund Phase I Study Area Codes 258004 (Tract T01047956100); 258005 (Tract T01047956202); 258011 (Tract T01105686800); 258012 (Tract T01105687000); 258014 (Tract T01131035100); and 258015 (Tract T01131035200) (June 22, 2015) (</w:t>
      </w:r>
      <w:r w:rsidR="00915733">
        <w:t xml:space="preserve">Pine Belt </w:t>
      </w:r>
      <w:r w:rsidR="00915733" w:rsidRPr="008C346A">
        <w:t xml:space="preserve">Waiver Request).  </w:t>
      </w:r>
      <w:r w:rsidR="0073387C" w:rsidRPr="00203850">
        <w:t>A carrier</w:t>
      </w:r>
      <w:r w:rsidR="0073387C">
        <w:t xml:space="preserve">’s service area, </w:t>
      </w:r>
      <w:r w:rsidR="0073387C" w:rsidRPr="00203850">
        <w:t xml:space="preserve">where </w:t>
      </w:r>
      <w:r w:rsidR="0073387C">
        <w:t xml:space="preserve">it </w:t>
      </w:r>
      <w:r w:rsidR="0073387C" w:rsidRPr="00203850">
        <w:t>operates and provides services in one state</w:t>
      </w:r>
      <w:r w:rsidR="0073387C">
        <w:t xml:space="preserve">, is </w:t>
      </w:r>
      <w:r w:rsidR="0073387C" w:rsidRPr="00203850">
        <w:t>often re</w:t>
      </w:r>
      <w:r w:rsidR="0073387C">
        <w:t xml:space="preserve">ferred to as a </w:t>
      </w:r>
      <w:r w:rsidR="0073387C" w:rsidRPr="00203850">
        <w:t xml:space="preserve">“study area” and </w:t>
      </w:r>
      <w:r w:rsidR="0073387C">
        <w:t xml:space="preserve">is </w:t>
      </w:r>
      <w:r w:rsidR="0073387C" w:rsidRPr="00203850">
        <w:t>identified by a “study area code</w:t>
      </w:r>
      <w:r w:rsidR="0073387C">
        <w:t xml:space="preserve"> (SAC)</w:t>
      </w:r>
      <w:r w:rsidR="002F780F">
        <w:t>.</w:t>
      </w:r>
      <w:r w:rsidR="0073387C">
        <w:t xml:space="preserve">”  </w:t>
      </w:r>
      <w:r w:rsidR="006A2749" w:rsidRPr="000C6B8C">
        <w:rPr>
          <w:i/>
        </w:rPr>
        <w:t>See, e.g</w:t>
      </w:r>
      <w:r w:rsidR="006A2749" w:rsidRPr="000C6B8C">
        <w:t xml:space="preserve">., 47 C.F.R. </w:t>
      </w:r>
      <w:r w:rsidR="00E50415" w:rsidRPr="000C6B8C">
        <w:t>§ 54.207</w:t>
      </w:r>
      <w:r w:rsidR="00E50415" w:rsidRPr="00586763">
        <w:t>.</w:t>
      </w:r>
      <w:r w:rsidR="00E50415">
        <w:t xml:space="preserve">  </w:t>
      </w:r>
      <w:r w:rsidR="0073387C">
        <w:t>For purposes of the Mobility Fund Phase I, a study area aligns with the area covered by a winning bid for which a Mobility Fund recipient has been awarded support.</w:t>
      </w:r>
    </w:p>
  </w:footnote>
  <w:footnote w:id="16">
    <w:p w:rsidR="0025097F" w:rsidRDefault="0025097F" w:rsidP="009C46A9">
      <w:pPr>
        <w:pStyle w:val="FootnoteText"/>
      </w:pPr>
      <w:r>
        <w:rPr>
          <w:rStyle w:val="FootnoteReference"/>
        </w:rPr>
        <w:footnoteRef/>
      </w:r>
      <w:r w:rsidRPr="008C346A">
        <w:t xml:space="preserve"> </w:t>
      </w:r>
      <w:r w:rsidRPr="008C346A">
        <w:rPr>
          <w:i/>
          <w:iCs/>
        </w:rPr>
        <w:t>See</w:t>
      </w:r>
      <w:r w:rsidR="0022746D">
        <w:t xml:space="preserve"> </w:t>
      </w:r>
      <w:r>
        <w:t xml:space="preserve">Pine Belt </w:t>
      </w:r>
      <w:r w:rsidRPr="008C346A">
        <w:t>Waiver Request</w:t>
      </w:r>
      <w:r w:rsidR="0022746D">
        <w:t>.</w:t>
      </w:r>
    </w:p>
  </w:footnote>
  <w:footnote w:id="17">
    <w:p w:rsidR="0025097F" w:rsidRDefault="0025097F" w:rsidP="009C46A9">
      <w:pPr>
        <w:pStyle w:val="FootnoteText"/>
      </w:pPr>
      <w:r>
        <w:rPr>
          <w:rStyle w:val="FootnoteReference"/>
        </w:rPr>
        <w:footnoteRef/>
      </w:r>
      <w:r>
        <w:t xml:space="preserve"> Pine Belt Waiver Request at 2.</w:t>
      </w:r>
    </w:p>
  </w:footnote>
  <w:footnote w:id="18">
    <w:p w:rsidR="0025097F" w:rsidRDefault="0025097F" w:rsidP="009C46A9">
      <w:pPr>
        <w:pStyle w:val="FootnoteText"/>
      </w:pPr>
      <w:r>
        <w:rPr>
          <w:rStyle w:val="FootnoteReference"/>
        </w:rPr>
        <w:footnoteRef/>
      </w:r>
      <w:r>
        <w:t xml:space="preserve"> Pine Belt Waiver Request at 3.</w:t>
      </w:r>
    </w:p>
  </w:footnote>
  <w:footnote w:id="19">
    <w:p w:rsidR="0025097F" w:rsidRDefault="0025097F" w:rsidP="0025097F">
      <w:pPr>
        <w:pStyle w:val="FootnoteText"/>
      </w:pPr>
      <w:r>
        <w:rPr>
          <w:rStyle w:val="FootnoteReference"/>
        </w:rPr>
        <w:footnoteRef/>
      </w:r>
      <w:r>
        <w:t xml:space="preserve"> </w:t>
      </w:r>
      <w:r w:rsidRPr="00B2280B">
        <w:rPr>
          <w:i/>
        </w:rPr>
        <w:t>Id</w:t>
      </w:r>
      <w:r>
        <w:t>.</w:t>
      </w:r>
    </w:p>
  </w:footnote>
  <w:footnote w:id="20">
    <w:p w:rsidR="0025097F" w:rsidRDefault="0025097F" w:rsidP="0025097F">
      <w:pPr>
        <w:pStyle w:val="FootnoteText"/>
      </w:pPr>
      <w:r>
        <w:rPr>
          <w:rStyle w:val="FootnoteReference"/>
        </w:rPr>
        <w:footnoteRef/>
      </w:r>
      <w:r>
        <w:t xml:space="preserve"> </w:t>
      </w:r>
      <w:r w:rsidRPr="00B2280B">
        <w:rPr>
          <w:i/>
        </w:rPr>
        <w:t>Id</w:t>
      </w:r>
      <w:r>
        <w:t>.</w:t>
      </w:r>
    </w:p>
  </w:footnote>
  <w:footnote w:id="21">
    <w:p w:rsidR="0025097F" w:rsidRDefault="0025097F" w:rsidP="0025097F">
      <w:pPr>
        <w:pStyle w:val="FootnoteText"/>
      </w:pPr>
      <w:r>
        <w:rPr>
          <w:rStyle w:val="FootnoteReference"/>
        </w:rPr>
        <w:footnoteRef/>
      </w:r>
      <w:r>
        <w:t xml:space="preserve"> </w:t>
      </w:r>
      <w:r w:rsidRPr="00B2280B">
        <w:rPr>
          <w:i/>
        </w:rPr>
        <w:t>Id</w:t>
      </w:r>
      <w:r>
        <w:t>.</w:t>
      </w:r>
    </w:p>
  </w:footnote>
  <w:footnote w:id="22">
    <w:p w:rsidR="0025097F" w:rsidRDefault="0025097F" w:rsidP="0025097F">
      <w:pPr>
        <w:pStyle w:val="FootnoteText"/>
      </w:pPr>
      <w:r>
        <w:rPr>
          <w:rStyle w:val="FootnoteReference"/>
        </w:rPr>
        <w:footnoteRef/>
      </w:r>
      <w:r>
        <w:t xml:space="preserve"> </w:t>
      </w:r>
      <w:r w:rsidRPr="00AB40F7">
        <w:rPr>
          <w:i/>
        </w:rPr>
        <w:t>See id</w:t>
      </w:r>
      <w:r>
        <w:t xml:space="preserve">. </w:t>
      </w:r>
    </w:p>
  </w:footnote>
  <w:footnote w:id="23">
    <w:p w:rsidR="0025097F" w:rsidRDefault="0025097F" w:rsidP="0025097F">
      <w:pPr>
        <w:pStyle w:val="FootnoteText"/>
      </w:pPr>
      <w:r>
        <w:rPr>
          <w:rStyle w:val="FootnoteReference"/>
        </w:rPr>
        <w:footnoteRef/>
      </w:r>
      <w:r>
        <w:t xml:space="preserve"> </w:t>
      </w:r>
      <w:r w:rsidR="00B341DD" w:rsidRPr="00D75873">
        <w:rPr>
          <w:i/>
        </w:rPr>
        <w:t>See</w:t>
      </w:r>
      <w:r w:rsidR="00B341DD">
        <w:t xml:space="preserve"> Letter to Margaret W. W</w:t>
      </w:r>
      <w:r w:rsidR="00935087">
        <w:t>i</w:t>
      </w:r>
      <w:r w:rsidR="00B341DD">
        <w:t xml:space="preserve">ener, Chief, Auctions and Spectrum Access </w:t>
      </w:r>
      <w:r w:rsidR="00F71C0E">
        <w:t>Division, Wireless Telecommunications Bureau, from Robert A. Silverman,</w:t>
      </w:r>
      <w:r w:rsidR="00F71C0E" w:rsidRPr="00C417F5">
        <w:rPr>
          <w:i/>
        </w:rPr>
        <w:t xml:space="preserve"> </w:t>
      </w:r>
      <w:r w:rsidR="00F71C0E" w:rsidRPr="00F71C0E">
        <w:t>Pine Belt Update to Request for Limited Waiver and Extension of Time</w:t>
      </w:r>
      <w:r w:rsidR="00F71C0E">
        <w:t xml:space="preserve">, (hand-delivered and emailed June 21, 2016). </w:t>
      </w:r>
    </w:p>
  </w:footnote>
  <w:footnote w:id="24">
    <w:p w:rsidR="00706543" w:rsidRDefault="00706543" w:rsidP="00706543">
      <w:pPr>
        <w:pStyle w:val="FootnoteText"/>
      </w:pPr>
      <w:r>
        <w:rPr>
          <w:rStyle w:val="FootnoteReference"/>
        </w:rPr>
        <w:footnoteRef/>
      </w:r>
      <w:r>
        <w:t xml:space="preserve"> </w:t>
      </w:r>
      <w:r w:rsidRPr="00D546EE">
        <w:rPr>
          <w:i/>
          <w:iCs/>
        </w:rPr>
        <w:t>Mobility Fund</w:t>
      </w:r>
      <w:r>
        <w:rPr>
          <w:i/>
          <w:iCs/>
        </w:rPr>
        <w:t xml:space="preserve"> </w:t>
      </w:r>
      <w:r w:rsidRPr="00D546EE">
        <w:rPr>
          <w:i/>
          <w:iCs/>
        </w:rPr>
        <w:t xml:space="preserve">Phase I Support Authorized For Fourteen Winning Bids, </w:t>
      </w:r>
      <w:r w:rsidRPr="00D546EE">
        <w:t>Public Notice, AU Docket No. 12-25,</w:t>
      </w:r>
      <w:r>
        <w:rPr>
          <w:i/>
          <w:iCs/>
        </w:rPr>
        <w:t xml:space="preserve"> </w:t>
      </w:r>
      <w:r>
        <w:t>28</w:t>
      </w:r>
      <w:r w:rsidR="00452624">
        <w:t> </w:t>
      </w:r>
      <w:r>
        <w:t>FCC Rcd 8292 (</w:t>
      </w:r>
      <w:r w:rsidR="00D75380">
        <w:t xml:space="preserve">WTB/WCB </w:t>
      </w:r>
      <w:r>
        <w:t>2013)</w:t>
      </w:r>
      <w:r w:rsidR="00F61765">
        <w:t xml:space="preserve"> (</w:t>
      </w:r>
      <w:r w:rsidR="00C05FB4" w:rsidRPr="00D75873">
        <w:rPr>
          <w:i/>
        </w:rPr>
        <w:t>Leaco</w:t>
      </w:r>
      <w:r w:rsidR="00C05FB4">
        <w:t xml:space="preserve"> </w:t>
      </w:r>
      <w:r w:rsidR="00F61765">
        <w:rPr>
          <w:i/>
        </w:rPr>
        <w:t xml:space="preserve">Phase I </w:t>
      </w:r>
      <w:r w:rsidR="00C05FB4">
        <w:rPr>
          <w:i/>
        </w:rPr>
        <w:t>Authorization</w:t>
      </w:r>
      <w:r w:rsidR="00F61765">
        <w:rPr>
          <w:i/>
        </w:rPr>
        <w:t xml:space="preserve"> P</w:t>
      </w:r>
      <w:r w:rsidR="00D75873">
        <w:rPr>
          <w:i/>
        </w:rPr>
        <w:t xml:space="preserve">ublic </w:t>
      </w:r>
      <w:r w:rsidR="00F61765">
        <w:rPr>
          <w:i/>
        </w:rPr>
        <w:t>N</w:t>
      </w:r>
      <w:r w:rsidR="00D75873">
        <w:rPr>
          <w:i/>
        </w:rPr>
        <w:t>otice</w:t>
      </w:r>
      <w:r w:rsidR="00F61765">
        <w:t>)</w:t>
      </w:r>
      <w:r>
        <w:t>.</w:t>
      </w:r>
    </w:p>
  </w:footnote>
  <w:footnote w:id="25">
    <w:p w:rsidR="00706543" w:rsidRPr="004E6BEC" w:rsidRDefault="00706543" w:rsidP="00824768">
      <w:pPr>
        <w:pStyle w:val="FootnoteText"/>
        <w:rPr>
          <w:i/>
          <w:iCs/>
        </w:rPr>
      </w:pPr>
      <w:r>
        <w:rPr>
          <w:rStyle w:val="FootnoteReference"/>
        </w:rPr>
        <w:footnoteRef/>
      </w:r>
      <w:r>
        <w:t xml:space="preserve"> </w:t>
      </w:r>
      <w:r w:rsidRPr="00D546EE">
        <w:rPr>
          <w:i/>
          <w:iCs/>
        </w:rPr>
        <w:t xml:space="preserve">See </w:t>
      </w:r>
      <w:r w:rsidR="00350548" w:rsidRPr="00D546EE">
        <w:rPr>
          <w:i/>
          <w:iCs/>
        </w:rPr>
        <w:t xml:space="preserve">Auction 901 Closing Public </w:t>
      </w:r>
      <w:r w:rsidR="00350548" w:rsidRPr="00676A89">
        <w:rPr>
          <w:rStyle w:val="FootnoteTextChar3"/>
        </w:rPr>
        <w:t>Notice</w:t>
      </w:r>
      <w:r w:rsidR="00676A89">
        <w:rPr>
          <w:rStyle w:val="FootnoteTextChar3"/>
        </w:rPr>
        <w:t xml:space="preserve">, </w:t>
      </w:r>
      <w:r w:rsidR="00676A89" w:rsidRPr="00676A89">
        <w:rPr>
          <w:rStyle w:val="FootnoteTextChar3"/>
        </w:rPr>
        <w:t>27 FCC Rcd 12031</w:t>
      </w:r>
      <w:r>
        <w:t>;</w:t>
      </w:r>
      <w:r w:rsidRPr="00D546EE">
        <w:rPr>
          <w:i/>
          <w:iCs/>
        </w:rPr>
        <w:t xml:space="preserve"> </w:t>
      </w:r>
      <w:r w:rsidR="00D75873" w:rsidRPr="00D75873">
        <w:rPr>
          <w:i/>
        </w:rPr>
        <w:t>Leaco</w:t>
      </w:r>
      <w:r w:rsidR="00D75873">
        <w:t xml:space="preserve"> </w:t>
      </w:r>
      <w:r w:rsidR="00D75873">
        <w:rPr>
          <w:i/>
        </w:rPr>
        <w:t>Phase I Authorization Public Notice</w:t>
      </w:r>
      <w:r w:rsidR="00634673">
        <w:rPr>
          <w:iCs/>
        </w:rPr>
        <w:t>, 28 FCC Rcd 8292</w:t>
      </w:r>
      <w:r>
        <w:t xml:space="preserve">; </w:t>
      </w:r>
      <w:r w:rsidRPr="00D75873">
        <w:rPr>
          <w:i/>
        </w:rPr>
        <w:t>see also</w:t>
      </w:r>
      <w:r w:rsidRPr="00D546EE">
        <w:rPr>
          <w:i/>
          <w:iCs/>
        </w:rPr>
        <w:t xml:space="preserve"> </w:t>
      </w:r>
      <w:r w:rsidRPr="00D546EE">
        <w:t>47</w:t>
      </w:r>
      <w:r>
        <w:t xml:space="preserve"> C.F.R. § </w:t>
      </w:r>
      <w:r w:rsidRPr="00D546EE">
        <w:t>54.1006(a).</w:t>
      </w:r>
    </w:p>
  </w:footnote>
  <w:footnote w:id="26">
    <w:p w:rsidR="00706543" w:rsidRDefault="00706543" w:rsidP="00824768">
      <w:pPr>
        <w:pStyle w:val="FootnoteText"/>
      </w:pPr>
      <w:r>
        <w:rPr>
          <w:rStyle w:val="FootnoteReference"/>
        </w:rPr>
        <w:footnoteRef/>
      </w:r>
      <w:r>
        <w:t xml:space="preserve"> </w:t>
      </w:r>
      <w:r w:rsidR="00D75873" w:rsidRPr="00D75873">
        <w:rPr>
          <w:i/>
        </w:rPr>
        <w:t>Leaco</w:t>
      </w:r>
      <w:r w:rsidR="00D75873">
        <w:t xml:space="preserve"> </w:t>
      </w:r>
      <w:r w:rsidR="00D75873">
        <w:rPr>
          <w:i/>
        </w:rPr>
        <w:t>Phase I Authorization Public Notice</w:t>
      </w:r>
      <w:r w:rsidRPr="00D546EE">
        <w:t>,</w:t>
      </w:r>
      <w:r>
        <w:rPr>
          <w:i/>
          <w:iCs/>
        </w:rPr>
        <w:t xml:space="preserve"> </w:t>
      </w:r>
      <w:r>
        <w:t>28</w:t>
      </w:r>
      <w:r w:rsidR="00452624">
        <w:t> </w:t>
      </w:r>
      <w:r>
        <w:t xml:space="preserve">FCC Rcd </w:t>
      </w:r>
      <w:r w:rsidR="00986971">
        <w:t xml:space="preserve">at </w:t>
      </w:r>
      <w:r>
        <w:t>829</w:t>
      </w:r>
      <w:r w:rsidR="00986971">
        <w:t>4</w:t>
      </w:r>
      <w:r w:rsidR="00D75873">
        <w:t>,</w:t>
      </w:r>
      <w:r>
        <w:t xml:space="preserve"> Attachment A. </w:t>
      </w:r>
    </w:p>
  </w:footnote>
  <w:footnote w:id="27">
    <w:p w:rsidR="00706543" w:rsidRPr="00EF0537" w:rsidRDefault="00706543" w:rsidP="00824768">
      <w:pPr>
        <w:pStyle w:val="FootnoteText"/>
      </w:pPr>
      <w:r w:rsidRPr="00EF0537">
        <w:rPr>
          <w:rStyle w:val="FootnoteReference"/>
        </w:rPr>
        <w:footnoteRef/>
      </w:r>
      <w:r w:rsidRPr="00EF0537">
        <w:t xml:space="preserve"> The study areas for which Leaco completed construction and reporting were SACs 498003, 498009, 498010, 498011, and 498012.</w:t>
      </w:r>
      <w:r w:rsidR="00EF0537" w:rsidRPr="00EF0537">
        <w:t xml:space="preserve">  </w:t>
      </w:r>
      <w:r w:rsidR="00EF0537" w:rsidRPr="00EF0537">
        <w:rPr>
          <w:i/>
        </w:rPr>
        <w:t>See</w:t>
      </w:r>
      <w:r w:rsidR="00EF0537" w:rsidRPr="00EF0537">
        <w:t xml:space="preserve"> Letter to Marlene H. Dortch, Secretary, FCC, from Gregory W. Whiteaker and Robin E. Tuttle, Leaco Rural Telephone Cooperative, Inc. Update to Request </w:t>
      </w:r>
      <w:r w:rsidR="00EF3268" w:rsidRPr="00EF0537">
        <w:t>for Limited Waiver and Extension of</w:t>
      </w:r>
      <w:r w:rsidR="00EF0537" w:rsidRPr="00EF0537">
        <w:t xml:space="preserve"> Mobility Fund Phase I Public Interest Obligations, WC Docket No. 10-90 and WT Docket No. 10-208 (filed June 1, 2016).</w:t>
      </w:r>
    </w:p>
  </w:footnote>
  <w:footnote w:id="28">
    <w:p w:rsidR="00706543" w:rsidRDefault="00706543" w:rsidP="00824768">
      <w:pPr>
        <w:pStyle w:val="FootnoteText"/>
      </w:pPr>
      <w:r>
        <w:rPr>
          <w:rStyle w:val="FootnoteReference"/>
        </w:rPr>
        <w:footnoteRef/>
      </w:r>
      <w:r>
        <w:t xml:space="preserve"> Leaco defaulted on its winning bid for SAC 498005. Leaco has returned the initial disbursement of funds ($571.13) and </w:t>
      </w:r>
      <w:r w:rsidRPr="00B2280B">
        <w:t>made</w:t>
      </w:r>
      <w:r>
        <w:t xml:space="preserve"> the performance default payment of 10 percent of the total winning bid ($171.34) for SAC 498005. </w:t>
      </w:r>
    </w:p>
  </w:footnote>
  <w:footnote w:id="29">
    <w:p w:rsidR="00706543" w:rsidRPr="00547894" w:rsidRDefault="00706543" w:rsidP="0003545B">
      <w:pPr>
        <w:pStyle w:val="FootnoteText"/>
      </w:pPr>
      <w:r>
        <w:rPr>
          <w:rStyle w:val="FootnoteReference"/>
        </w:rPr>
        <w:footnoteRef/>
      </w:r>
      <w:r>
        <w:t xml:space="preserve">  </w:t>
      </w:r>
      <w:r w:rsidRPr="00641A6B">
        <w:t xml:space="preserve">This </w:t>
      </w:r>
      <w:r>
        <w:t xml:space="preserve">waiver </w:t>
      </w:r>
      <w:r w:rsidRPr="003149D8">
        <w:t>request covers</w:t>
      </w:r>
      <w:r w:rsidRPr="00641A6B">
        <w:t xml:space="preserve"> SACs 498001, 498002, 498004, 498006, 498007, and 498008.  </w:t>
      </w:r>
      <w:r w:rsidRPr="003B0ED6">
        <w:rPr>
          <w:i/>
          <w:iCs/>
        </w:rPr>
        <w:t>See</w:t>
      </w:r>
      <w:r w:rsidRPr="00547894">
        <w:rPr>
          <w:i/>
          <w:iCs/>
        </w:rPr>
        <w:t xml:space="preserve"> </w:t>
      </w:r>
      <w:r w:rsidRPr="00547894">
        <w:t>Leaco Rural Telephone Cooperative, Inc. Request For Limited Waiver And</w:t>
      </w:r>
      <w:r>
        <w:t xml:space="preserve"> </w:t>
      </w:r>
      <w:r w:rsidRPr="00547894">
        <w:t xml:space="preserve">Extension Of Mobility Fund Phase I Public Interest Obligations, </w:t>
      </w:r>
      <w:r w:rsidRPr="00547894">
        <w:rPr>
          <w:i/>
          <w:iCs/>
        </w:rPr>
        <w:t>Connect America Fund,</w:t>
      </w:r>
      <w:r>
        <w:t xml:space="preserve"> </w:t>
      </w:r>
      <w:r w:rsidRPr="00547894">
        <w:rPr>
          <w:i/>
          <w:iCs/>
        </w:rPr>
        <w:t>Universal Service Reform – Mobility Fund</w:t>
      </w:r>
      <w:r w:rsidRPr="00547894">
        <w:t>, WC Docket No. 10-90 and WT Docket No. 10-208</w:t>
      </w:r>
      <w:r>
        <w:t xml:space="preserve"> </w:t>
      </w:r>
      <w:r w:rsidR="00710D26">
        <w:t>(filed Apr. 16, 2015) (Leaco Waiver Request</w:t>
      </w:r>
      <w:r w:rsidRPr="00547894">
        <w:t>).</w:t>
      </w:r>
      <w:r w:rsidR="00C863DA">
        <w:t xml:space="preserve"> </w:t>
      </w:r>
    </w:p>
  </w:footnote>
  <w:footnote w:id="30">
    <w:p w:rsidR="007C774F" w:rsidRDefault="007C774F" w:rsidP="007C774F">
      <w:pPr>
        <w:pStyle w:val="FootnoteText"/>
      </w:pPr>
      <w:r>
        <w:rPr>
          <w:rStyle w:val="FootnoteReference"/>
        </w:rPr>
        <w:footnoteRef/>
      </w:r>
      <w:r>
        <w:t xml:space="preserve"> Leaco Waiver Request at 4. Leaco explains that these “greenfield construction projects,” which required them to build five new towers, as well as their efforts to modify the construction of, or collocate on, existing towers, is a more demanding process than the network upgrades and RF optimization projects that were timely completed in their other study areas.  </w:t>
      </w:r>
    </w:p>
  </w:footnote>
  <w:footnote w:id="31">
    <w:p w:rsidR="00706543" w:rsidRDefault="00706543" w:rsidP="0003545B">
      <w:pPr>
        <w:pStyle w:val="FootnoteText"/>
      </w:pPr>
      <w:r>
        <w:rPr>
          <w:rStyle w:val="FootnoteReference"/>
        </w:rPr>
        <w:footnoteRef/>
      </w:r>
      <w:r>
        <w:t xml:space="preserve"> </w:t>
      </w:r>
      <w:r w:rsidR="00C05FB4" w:rsidRPr="00D75873">
        <w:rPr>
          <w:i/>
        </w:rPr>
        <w:t>See generally</w:t>
      </w:r>
      <w:r w:rsidR="00C05FB4">
        <w:t xml:space="preserve"> </w:t>
      </w:r>
      <w:r>
        <w:t>Leaco Waiver Request</w:t>
      </w:r>
      <w:r w:rsidR="00C05FB4">
        <w:t>.</w:t>
      </w:r>
    </w:p>
  </w:footnote>
  <w:footnote w:id="32">
    <w:p w:rsidR="00706543" w:rsidRDefault="00706543" w:rsidP="00706543">
      <w:pPr>
        <w:pStyle w:val="FootnoteText"/>
      </w:pPr>
      <w:r>
        <w:rPr>
          <w:rStyle w:val="FootnoteReference"/>
        </w:rPr>
        <w:footnoteRef/>
      </w:r>
      <w:r>
        <w:t xml:space="preserve"> Leaco Waiver Request at 5.</w:t>
      </w:r>
    </w:p>
  </w:footnote>
  <w:footnote w:id="33">
    <w:p w:rsidR="00706543" w:rsidRDefault="00706543" w:rsidP="00706543">
      <w:pPr>
        <w:pStyle w:val="FootnoteText"/>
      </w:pPr>
      <w:r>
        <w:rPr>
          <w:rStyle w:val="FootnoteReference"/>
        </w:rPr>
        <w:footnoteRef/>
      </w:r>
      <w:r>
        <w:t xml:space="preserve"> </w:t>
      </w:r>
      <w:r w:rsidRPr="00B2280B">
        <w:rPr>
          <w:i/>
        </w:rPr>
        <w:t>Id</w:t>
      </w:r>
      <w:r>
        <w:t xml:space="preserve">. at </w:t>
      </w:r>
      <w:r w:rsidR="0023601F">
        <w:t>9-</w:t>
      </w:r>
      <w:r>
        <w:t xml:space="preserve">10. </w:t>
      </w:r>
      <w:r w:rsidR="00777418">
        <w:t>For example, in one instance, Leaco represents that the BLM acknowledged that it had lost Leaco’s application.</w:t>
      </w:r>
      <w:r>
        <w:t xml:space="preserve"> </w:t>
      </w:r>
      <w:r w:rsidR="00777418" w:rsidRPr="00B2280B">
        <w:rPr>
          <w:i/>
        </w:rPr>
        <w:t>Id</w:t>
      </w:r>
      <w:r w:rsidR="00777418">
        <w:t>. at 10-11.</w:t>
      </w:r>
    </w:p>
  </w:footnote>
  <w:footnote w:id="34">
    <w:p w:rsidR="00706543" w:rsidRDefault="00706543" w:rsidP="00706543">
      <w:pPr>
        <w:pStyle w:val="FootnoteText"/>
      </w:pPr>
      <w:r>
        <w:rPr>
          <w:rStyle w:val="FootnoteReference"/>
        </w:rPr>
        <w:footnoteRef/>
      </w:r>
      <w:r>
        <w:t xml:space="preserve"> </w:t>
      </w:r>
      <w:r w:rsidRPr="00B2280B">
        <w:rPr>
          <w:i/>
        </w:rPr>
        <w:t>Id</w:t>
      </w:r>
      <w:r>
        <w:t>. at 11.</w:t>
      </w:r>
    </w:p>
  </w:footnote>
  <w:footnote w:id="35">
    <w:p w:rsidR="00706543" w:rsidRDefault="00706543" w:rsidP="00706543">
      <w:pPr>
        <w:pStyle w:val="FootnoteText"/>
      </w:pPr>
      <w:r>
        <w:rPr>
          <w:rStyle w:val="FootnoteReference"/>
        </w:rPr>
        <w:footnoteRef/>
      </w:r>
      <w:r>
        <w:t xml:space="preserve"> </w:t>
      </w:r>
      <w:r w:rsidRPr="00B2280B">
        <w:rPr>
          <w:i/>
        </w:rPr>
        <w:t>Id</w:t>
      </w:r>
      <w:r>
        <w:t>. at 12.</w:t>
      </w:r>
    </w:p>
  </w:footnote>
  <w:footnote w:id="36">
    <w:p w:rsidR="00706543" w:rsidRDefault="00706543" w:rsidP="00706543">
      <w:pPr>
        <w:pStyle w:val="FootnoteText"/>
      </w:pPr>
      <w:r>
        <w:rPr>
          <w:rStyle w:val="FootnoteReference"/>
        </w:rPr>
        <w:footnoteRef/>
      </w:r>
      <w:r>
        <w:t xml:space="preserve"> </w:t>
      </w:r>
      <w:r w:rsidRPr="00AB40F7">
        <w:rPr>
          <w:i/>
        </w:rPr>
        <w:t>Id</w:t>
      </w:r>
      <w:r>
        <w:t>.</w:t>
      </w:r>
    </w:p>
  </w:footnote>
  <w:footnote w:id="37">
    <w:p w:rsidR="00706543" w:rsidRDefault="00706543" w:rsidP="00706543">
      <w:pPr>
        <w:pStyle w:val="FootnoteText"/>
      </w:pPr>
      <w:r>
        <w:rPr>
          <w:rStyle w:val="FootnoteReference"/>
        </w:rPr>
        <w:footnoteRef/>
      </w:r>
      <w:r>
        <w:t xml:space="preserve"> Leaco Waiver Request at </w:t>
      </w:r>
      <w:r w:rsidR="001014EE">
        <w:t xml:space="preserve">6-7, </w:t>
      </w:r>
      <w:r>
        <w:t>13-14, and 15.</w:t>
      </w:r>
    </w:p>
  </w:footnote>
  <w:footnote w:id="38">
    <w:p w:rsidR="0023601F" w:rsidRPr="0023601F" w:rsidRDefault="0023601F">
      <w:pPr>
        <w:pStyle w:val="FootnoteText"/>
      </w:pPr>
      <w:r>
        <w:rPr>
          <w:rStyle w:val="FootnoteReference"/>
        </w:rPr>
        <w:footnoteRef/>
      </w:r>
      <w:r>
        <w:t xml:space="preserve"> </w:t>
      </w:r>
      <w:r>
        <w:rPr>
          <w:i/>
        </w:rPr>
        <w:t xml:space="preserve">Id. </w:t>
      </w:r>
      <w:r>
        <w:t xml:space="preserve">at 14.  </w:t>
      </w:r>
    </w:p>
  </w:footnote>
  <w:footnote w:id="39">
    <w:p w:rsidR="00706543" w:rsidRDefault="00706543" w:rsidP="00706543">
      <w:pPr>
        <w:pStyle w:val="FootnoteText"/>
      </w:pPr>
      <w:r>
        <w:rPr>
          <w:rStyle w:val="FootnoteReference"/>
        </w:rPr>
        <w:footnoteRef/>
      </w:r>
      <w:r>
        <w:t xml:space="preserve"> Leaco filed a brief Letter Amendment to the Waiver Request on July 31, 2015, announcing that it had reported its final coverage in SAC 298004 on July 21, 2015, and seeking to limit the Waiver Request in that winning bid area to the time actually required to submit the data, </w:t>
      </w:r>
      <w:r>
        <w:rPr>
          <w:i/>
          <w:iCs/>
        </w:rPr>
        <w:t>see</w:t>
      </w:r>
      <w:r w:rsidRPr="00547894">
        <w:rPr>
          <w:i/>
          <w:iCs/>
        </w:rPr>
        <w:t xml:space="preserve"> </w:t>
      </w:r>
      <w:r w:rsidRPr="00547894">
        <w:t>Letter to Marlene H. Dortch, Secretary, FCC, from</w:t>
      </w:r>
      <w:r>
        <w:t xml:space="preserve"> </w:t>
      </w:r>
      <w:r w:rsidRPr="00547894">
        <w:t>Gregory W. Whiteaker and Robin E. Tuttle, Amendment to Leaco Rural Telephone Cooperative,</w:t>
      </w:r>
      <w:r>
        <w:t xml:space="preserve"> Inc. Request For </w:t>
      </w:r>
      <w:r w:rsidRPr="00547894">
        <w:t>Limited Waiver And Extension Of Mobility Fund Phase I Public Interest</w:t>
      </w:r>
      <w:r>
        <w:t xml:space="preserve"> </w:t>
      </w:r>
      <w:r w:rsidRPr="00547894">
        <w:t>Oblig</w:t>
      </w:r>
      <w:r>
        <w:t xml:space="preserve">ations, WC Docket No. 10-90 and </w:t>
      </w:r>
      <w:r w:rsidRPr="00547894">
        <w:t>WT Docket No. 10-208 (filed July 31, 2015)</w:t>
      </w:r>
      <w:r>
        <w:t>.</w:t>
      </w:r>
    </w:p>
  </w:footnote>
  <w:footnote w:id="40">
    <w:p w:rsidR="00706543" w:rsidRDefault="00706543" w:rsidP="00706543">
      <w:pPr>
        <w:widowControl/>
        <w:autoSpaceDE w:val="0"/>
        <w:autoSpaceDN w:val="0"/>
        <w:adjustRightInd w:val="0"/>
        <w:rPr>
          <w:sz w:val="20"/>
        </w:rPr>
      </w:pPr>
      <w:r>
        <w:rPr>
          <w:rStyle w:val="FootnoteReference"/>
        </w:rPr>
        <w:footnoteRef/>
      </w:r>
      <w:r>
        <w:t xml:space="preserve"> </w:t>
      </w:r>
      <w:r w:rsidRPr="000C6B8C">
        <w:rPr>
          <w:iCs/>
          <w:snapToGrid/>
          <w:kern w:val="0"/>
          <w:sz w:val="20"/>
        </w:rPr>
        <w:t>Leaco</w:t>
      </w:r>
      <w:r w:rsidRPr="00547894">
        <w:rPr>
          <w:snapToGrid/>
          <w:kern w:val="0"/>
          <w:sz w:val="20"/>
        </w:rPr>
        <w:t xml:space="preserve"> subsequently amended the Waiver Request to</w:t>
      </w:r>
      <w:r>
        <w:rPr>
          <w:snapToGrid/>
          <w:kern w:val="0"/>
          <w:sz w:val="20"/>
        </w:rPr>
        <w:t xml:space="preserve"> request </w:t>
      </w:r>
      <w:r w:rsidRPr="00547894">
        <w:rPr>
          <w:snapToGrid/>
          <w:kern w:val="0"/>
          <w:sz w:val="20"/>
        </w:rPr>
        <w:t xml:space="preserve">additional time </w:t>
      </w:r>
      <w:r>
        <w:rPr>
          <w:snapToGrid/>
          <w:kern w:val="0"/>
          <w:sz w:val="20"/>
        </w:rPr>
        <w:t xml:space="preserve">until March 15, 2016, </w:t>
      </w:r>
      <w:r w:rsidRPr="00547894">
        <w:rPr>
          <w:snapToGrid/>
          <w:kern w:val="0"/>
          <w:sz w:val="20"/>
        </w:rPr>
        <w:t xml:space="preserve">for </w:t>
      </w:r>
      <w:r>
        <w:rPr>
          <w:snapToGrid/>
          <w:kern w:val="0"/>
          <w:sz w:val="20"/>
        </w:rPr>
        <w:t xml:space="preserve">construction completion and testing reporting for </w:t>
      </w:r>
      <w:r w:rsidRPr="00547894">
        <w:rPr>
          <w:snapToGrid/>
          <w:kern w:val="0"/>
          <w:sz w:val="20"/>
        </w:rPr>
        <w:t xml:space="preserve">SACs </w:t>
      </w:r>
      <w:r>
        <w:rPr>
          <w:snapToGrid/>
          <w:kern w:val="0"/>
          <w:sz w:val="20"/>
        </w:rPr>
        <w:t>498008</w:t>
      </w:r>
      <w:r w:rsidRPr="00547894">
        <w:rPr>
          <w:snapToGrid/>
          <w:kern w:val="0"/>
          <w:sz w:val="20"/>
        </w:rPr>
        <w:t xml:space="preserve"> and 498006. </w:t>
      </w:r>
      <w:r w:rsidRPr="00547894">
        <w:rPr>
          <w:i/>
          <w:iCs/>
          <w:snapToGrid/>
          <w:kern w:val="0"/>
          <w:sz w:val="20"/>
        </w:rPr>
        <w:t xml:space="preserve">See </w:t>
      </w:r>
      <w:r w:rsidRPr="00547894">
        <w:rPr>
          <w:snapToGrid/>
          <w:kern w:val="0"/>
          <w:sz w:val="20"/>
        </w:rPr>
        <w:t>Leaco Rural Telephone</w:t>
      </w:r>
      <w:r>
        <w:rPr>
          <w:snapToGrid/>
          <w:kern w:val="0"/>
          <w:sz w:val="20"/>
        </w:rPr>
        <w:t xml:space="preserve"> </w:t>
      </w:r>
      <w:r w:rsidRPr="00547894">
        <w:rPr>
          <w:snapToGrid/>
          <w:kern w:val="0"/>
          <w:sz w:val="20"/>
        </w:rPr>
        <w:t>Cooperative, Inc. Second Amendment of Request For Limited Waiver And Extension of</w:t>
      </w:r>
      <w:r>
        <w:rPr>
          <w:snapToGrid/>
          <w:kern w:val="0"/>
          <w:sz w:val="20"/>
        </w:rPr>
        <w:t xml:space="preserve"> </w:t>
      </w:r>
      <w:r w:rsidRPr="00547894">
        <w:rPr>
          <w:snapToGrid/>
          <w:kern w:val="0"/>
          <w:sz w:val="20"/>
        </w:rPr>
        <w:t xml:space="preserve">Mobility Fund Phase I Public Interest Obligations, </w:t>
      </w:r>
      <w:r w:rsidRPr="00547894">
        <w:rPr>
          <w:i/>
          <w:iCs/>
          <w:snapToGrid/>
          <w:kern w:val="0"/>
          <w:sz w:val="20"/>
        </w:rPr>
        <w:t>Connect America Fund, Universal Service</w:t>
      </w:r>
      <w:r>
        <w:rPr>
          <w:snapToGrid/>
          <w:kern w:val="0"/>
          <w:sz w:val="20"/>
        </w:rPr>
        <w:t xml:space="preserve"> </w:t>
      </w:r>
      <w:r w:rsidRPr="00547894">
        <w:rPr>
          <w:i/>
          <w:iCs/>
          <w:snapToGrid/>
          <w:kern w:val="0"/>
          <w:sz w:val="20"/>
        </w:rPr>
        <w:t>Reform – Mobility Fund</w:t>
      </w:r>
      <w:r w:rsidRPr="00547894">
        <w:rPr>
          <w:snapToGrid/>
          <w:kern w:val="0"/>
          <w:sz w:val="20"/>
        </w:rPr>
        <w:t>, WC Docket No. 10-90 and WT Docket No. 10-208 (filed Nov. 24,</w:t>
      </w:r>
      <w:r>
        <w:rPr>
          <w:snapToGrid/>
          <w:kern w:val="0"/>
          <w:sz w:val="20"/>
        </w:rPr>
        <w:t xml:space="preserve"> </w:t>
      </w:r>
      <w:r w:rsidRPr="00547894">
        <w:rPr>
          <w:snapToGrid/>
          <w:kern w:val="0"/>
          <w:sz w:val="20"/>
        </w:rPr>
        <w:t>2015) (</w:t>
      </w:r>
      <w:r w:rsidR="00A02647">
        <w:rPr>
          <w:snapToGrid/>
          <w:kern w:val="0"/>
          <w:sz w:val="20"/>
        </w:rPr>
        <w:t xml:space="preserve">Leaco </w:t>
      </w:r>
      <w:r w:rsidRPr="00547894">
        <w:rPr>
          <w:snapToGrid/>
          <w:kern w:val="0"/>
          <w:sz w:val="20"/>
        </w:rPr>
        <w:t>Second Amend</w:t>
      </w:r>
      <w:r w:rsidR="0019738B">
        <w:rPr>
          <w:snapToGrid/>
          <w:kern w:val="0"/>
          <w:sz w:val="20"/>
        </w:rPr>
        <w:t>ed Request</w:t>
      </w:r>
      <w:r w:rsidRPr="00547894">
        <w:rPr>
          <w:snapToGrid/>
          <w:kern w:val="0"/>
          <w:sz w:val="20"/>
        </w:rPr>
        <w:t>); and Letter</w:t>
      </w:r>
      <w:r>
        <w:rPr>
          <w:snapToGrid/>
          <w:kern w:val="0"/>
          <w:sz w:val="20"/>
        </w:rPr>
        <w:t xml:space="preserve"> </w:t>
      </w:r>
      <w:r w:rsidRPr="00547894">
        <w:rPr>
          <w:snapToGrid/>
          <w:kern w:val="0"/>
          <w:sz w:val="20"/>
        </w:rPr>
        <w:t>to Marlene H. Dortch, Secretary, FCC, from Gregory W. Whiteaker and Robin E. Tuttle, Leaco</w:t>
      </w:r>
      <w:r>
        <w:rPr>
          <w:snapToGrid/>
          <w:kern w:val="0"/>
          <w:sz w:val="20"/>
        </w:rPr>
        <w:t xml:space="preserve"> </w:t>
      </w:r>
      <w:r w:rsidRPr="00547894">
        <w:rPr>
          <w:snapToGrid/>
          <w:kern w:val="0"/>
          <w:sz w:val="20"/>
        </w:rPr>
        <w:t>Rural Telephone Cooperative, Inc. F</w:t>
      </w:r>
      <w:r>
        <w:rPr>
          <w:snapToGrid/>
          <w:kern w:val="0"/>
          <w:sz w:val="20"/>
        </w:rPr>
        <w:t xml:space="preserve">urther Amendment to Request </w:t>
      </w:r>
      <w:r w:rsidR="00EF3268">
        <w:rPr>
          <w:snapToGrid/>
          <w:kern w:val="0"/>
          <w:sz w:val="20"/>
        </w:rPr>
        <w:t>for Limited Waiver and Extension of</w:t>
      </w:r>
      <w:r w:rsidRPr="00547894">
        <w:rPr>
          <w:snapToGrid/>
          <w:kern w:val="0"/>
          <w:sz w:val="20"/>
        </w:rPr>
        <w:t xml:space="preserve"> Mobility Fund Phase I Public Interest Obligations with respect to SAC 498002,</w:t>
      </w:r>
      <w:r>
        <w:rPr>
          <w:snapToGrid/>
          <w:kern w:val="0"/>
          <w:sz w:val="20"/>
        </w:rPr>
        <w:t xml:space="preserve"> </w:t>
      </w:r>
      <w:r w:rsidRPr="00547894">
        <w:rPr>
          <w:snapToGrid/>
          <w:kern w:val="0"/>
          <w:sz w:val="20"/>
        </w:rPr>
        <w:t>WC Docket No. 10-90 and WT Docket No. 10-208 (filed Dec. 4, 2015)</w:t>
      </w:r>
      <w:r>
        <w:rPr>
          <w:snapToGrid/>
          <w:kern w:val="0"/>
          <w:sz w:val="20"/>
        </w:rPr>
        <w:t>.</w:t>
      </w:r>
    </w:p>
    <w:p w:rsidR="00706543" w:rsidRDefault="00706543" w:rsidP="00706543">
      <w:pPr>
        <w:pStyle w:val="FootnoteText"/>
        <w:spacing w:after="0"/>
      </w:pPr>
    </w:p>
  </w:footnote>
  <w:footnote w:id="41">
    <w:p w:rsidR="00706543" w:rsidRDefault="00706543" w:rsidP="00F17B62">
      <w:pPr>
        <w:pStyle w:val="FootnoteText"/>
      </w:pPr>
      <w:r>
        <w:rPr>
          <w:rStyle w:val="FootnoteReference"/>
        </w:rPr>
        <w:footnoteRef/>
      </w:r>
      <w:r>
        <w:t xml:space="preserve"> Leaco defaulted on its winning bid for SAC 498001.  Leaco</w:t>
      </w:r>
      <w:r w:rsidR="00902E2D">
        <w:t xml:space="preserve"> </w:t>
      </w:r>
      <w:r w:rsidR="00EF3268">
        <w:t>Second Amended</w:t>
      </w:r>
      <w:r>
        <w:t xml:space="preserve"> Request at 4 and fn. 5. </w:t>
      </w:r>
    </w:p>
  </w:footnote>
  <w:footnote w:id="42">
    <w:p w:rsidR="00706543" w:rsidRDefault="00706543" w:rsidP="007A3551">
      <w:pPr>
        <w:pStyle w:val="FootnoteText"/>
      </w:pPr>
      <w:r>
        <w:rPr>
          <w:rStyle w:val="FootnoteReference"/>
        </w:rPr>
        <w:footnoteRef/>
      </w:r>
      <w:r>
        <w:t xml:space="preserve"> </w:t>
      </w:r>
      <w:r w:rsidRPr="00F1610F">
        <w:rPr>
          <w:i/>
        </w:rPr>
        <w:t>See</w:t>
      </w:r>
      <w:r>
        <w:t xml:space="preserve"> </w:t>
      </w:r>
      <w:r w:rsidRPr="00547894">
        <w:t>Letter</w:t>
      </w:r>
      <w:r>
        <w:t xml:space="preserve"> </w:t>
      </w:r>
      <w:r w:rsidRPr="00547894">
        <w:t>to Marlene H. Dortch, Secretary, FCC, from Gregory W. Whiteaker and Robin E. Tuttle, Leaco</w:t>
      </w:r>
      <w:r>
        <w:t xml:space="preserve"> </w:t>
      </w:r>
      <w:r w:rsidRPr="00547894">
        <w:t xml:space="preserve">Rural Telephone Cooperative, Inc. </w:t>
      </w:r>
      <w:r>
        <w:t xml:space="preserve">Update to Request </w:t>
      </w:r>
      <w:r w:rsidR="00EF3268">
        <w:t>for Limited Waiver and Extension of</w:t>
      </w:r>
      <w:r w:rsidRPr="00547894">
        <w:t xml:space="preserve"> Mobility Fund Phase I Public Interest Obliga</w:t>
      </w:r>
      <w:r>
        <w:t>tions</w:t>
      </w:r>
      <w:r w:rsidRPr="00547894">
        <w:t>,</w:t>
      </w:r>
      <w:r>
        <w:t xml:space="preserve"> </w:t>
      </w:r>
      <w:r w:rsidRPr="00547894">
        <w:t>WC Docket No. 10-90 and WT Docke</w:t>
      </w:r>
      <w:r>
        <w:t>t No. 10-208 (filed June 1, 2016</w:t>
      </w:r>
      <w:r w:rsidRPr="00547894">
        <w:t>)</w:t>
      </w:r>
      <w:r>
        <w:t>.</w:t>
      </w:r>
    </w:p>
  </w:footnote>
  <w:footnote w:id="43">
    <w:p w:rsidR="0097152B" w:rsidRPr="00641A6B" w:rsidRDefault="0097152B" w:rsidP="00F17B62">
      <w:pPr>
        <w:pStyle w:val="FootnoteText"/>
        <w:rPr>
          <w:rFonts w:ascii="TimesNewRoman" w:hAnsi="TimesNewRoman" w:cs="TimesNewRoman"/>
        </w:rPr>
      </w:pPr>
      <w:r>
        <w:rPr>
          <w:rStyle w:val="FootnoteReference"/>
        </w:rPr>
        <w:footnoteRef/>
      </w:r>
      <w:r>
        <w:t xml:space="preserve"> </w:t>
      </w:r>
      <w:r w:rsidRPr="000C6B8C">
        <w:t xml:space="preserve">47 C.F.R. § 1.3.  </w:t>
      </w:r>
      <w:r w:rsidR="00045A22" w:rsidRPr="000C6B8C">
        <w:rPr>
          <w:i/>
        </w:rPr>
        <w:t>See</w:t>
      </w:r>
      <w:r w:rsidR="00045A22" w:rsidRPr="000C6B8C">
        <w:t xml:space="preserve"> also 47 C.F.R. § 0.131(a).  </w:t>
      </w:r>
      <w:r w:rsidRPr="000C6B8C">
        <w:rPr>
          <w:i/>
          <w:iCs/>
        </w:rPr>
        <w:t>See also Northeast Cellular Telephone Co. v. FCC</w:t>
      </w:r>
      <w:r w:rsidRPr="000C6B8C">
        <w:t>, 897 F.2d 1164 (D.C. Cir. 1990).</w:t>
      </w:r>
      <w:r w:rsidR="003A0281" w:rsidRPr="000C6B8C">
        <w:t xml:space="preserve"> </w:t>
      </w:r>
      <w:r w:rsidR="00593F82" w:rsidRPr="000C6B8C">
        <w:t xml:space="preserve">   </w:t>
      </w:r>
    </w:p>
  </w:footnote>
  <w:footnote w:id="44">
    <w:p w:rsidR="00F77B8E" w:rsidRDefault="00F77B8E" w:rsidP="00F17B62">
      <w:pPr>
        <w:pStyle w:val="FootnoteText"/>
      </w:pPr>
      <w:r>
        <w:rPr>
          <w:rStyle w:val="FootnoteReference"/>
        </w:rPr>
        <w:footnoteRef/>
      </w:r>
      <w:r w:rsidRPr="006D05EB">
        <w:t xml:space="preserve"> </w:t>
      </w:r>
      <w:r w:rsidRPr="006D05EB">
        <w:rPr>
          <w:i/>
          <w:iCs/>
        </w:rPr>
        <w:t>See, e.g.</w:t>
      </w:r>
      <w:r w:rsidRPr="006D05EB">
        <w:rPr>
          <w:rFonts w:ascii="TimesNewRoman" w:hAnsi="TimesNewRoman" w:cs="TimesNewRoman"/>
        </w:rPr>
        <w:t xml:space="preserve">, </w:t>
      </w:r>
      <w:r w:rsidRPr="006D05EB">
        <w:rPr>
          <w:i/>
          <w:iCs/>
        </w:rPr>
        <w:t>Northeast Cellular Tel. Co. v. FCC</w:t>
      </w:r>
      <w:r w:rsidRPr="006D05EB">
        <w:rPr>
          <w:rFonts w:ascii="TimesNewRoman" w:hAnsi="TimesNewRoman" w:cs="TimesNewRoman"/>
        </w:rPr>
        <w:t>, 897 F.2d 1164, 1166 (D.C. Cir. 1990).</w:t>
      </w:r>
      <w:r w:rsidR="00935087" w:rsidRPr="006D05EB">
        <w:rPr>
          <w:rFonts w:ascii="TimesNewRoman" w:hAnsi="TimesNewRoman" w:cs="TimesNewRoman"/>
        </w:rPr>
        <w:t xml:space="preserve">  </w:t>
      </w:r>
    </w:p>
  </w:footnote>
  <w:footnote w:id="45">
    <w:p w:rsidR="00706543" w:rsidRDefault="00706543" w:rsidP="00F17B62">
      <w:pPr>
        <w:pStyle w:val="FootnoteText"/>
      </w:pPr>
      <w:r>
        <w:rPr>
          <w:rStyle w:val="FootnoteReference"/>
        </w:rPr>
        <w:footnoteRef/>
      </w:r>
      <w:r>
        <w:t xml:space="preserve"> See generally </w:t>
      </w:r>
      <w:r w:rsidRPr="000C6B8C">
        <w:t>Leaco Waiver Request</w:t>
      </w:r>
      <w:r>
        <w:t xml:space="preserve"> and </w:t>
      </w:r>
      <w:r w:rsidRPr="000C6B8C">
        <w:t>Pine Belt Waiver Request</w:t>
      </w:r>
      <w:r w:rsidRPr="00452624">
        <w:t>.</w:t>
      </w:r>
      <w:r w:rsidR="000B2A3A">
        <w:t xml:space="preserve"> </w:t>
      </w:r>
    </w:p>
  </w:footnote>
  <w:footnote w:id="46">
    <w:p w:rsidR="00706543" w:rsidRPr="00F17B62" w:rsidRDefault="00706543" w:rsidP="00F17B62">
      <w:pPr>
        <w:pStyle w:val="FootnoteText"/>
      </w:pPr>
      <w:r>
        <w:rPr>
          <w:rStyle w:val="FootnoteReference"/>
        </w:rPr>
        <w:footnoteRef/>
      </w:r>
      <w:r>
        <w:rPr>
          <w:i/>
        </w:rPr>
        <w:t xml:space="preserve"> See e.g., </w:t>
      </w:r>
      <w:r w:rsidRPr="001502D7">
        <w:rPr>
          <w:i/>
        </w:rPr>
        <w:t>In Re Monet Mobile Networks, Inc</w:t>
      </w:r>
      <w:r w:rsidRPr="006D05EB">
        <w:t>.</w:t>
      </w:r>
      <w:r w:rsidRPr="001502D7">
        <w:t xml:space="preserve">, </w:t>
      </w:r>
      <w:r w:rsidR="007125BB">
        <w:t xml:space="preserve">Order, </w:t>
      </w:r>
      <w:r w:rsidRPr="001502D7">
        <w:t>17 FCC Rcd. 18381 (2002) (</w:t>
      </w:r>
      <w:r w:rsidRPr="001502D7">
        <w:rPr>
          <w:i/>
        </w:rPr>
        <w:t>Monet Order</w:t>
      </w:r>
      <w:r w:rsidRPr="001502D7">
        <w:t>)</w:t>
      </w:r>
      <w:r w:rsidR="00693F4C">
        <w:t xml:space="preserve"> (licensee would have been able to satisfy its construction requirements</w:t>
      </w:r>
      <w:r w:rsidR="005670DA">
        <w:t xml:space="preserve"> but for unforeseen delays in establishing its backhaul connections </w:t>
      </w:r>
      <w:r w:rsidR="005670DA" w:rsidRPr="00F17B62">
        <w:t>due to inability of third parties to complete installation)</w:t>
      </w:r>
      <w:r w:rsidRPr="00F17B62">
        <w:t xml:space="preserve">. </w:t>
      </w:r>
    </w:p>
  </w:footnote>
  <w:footnote w:id="47">
    <w:p w:rsidR="00706543" w:rsidRPr="00F17B62" w:rsidRDefault="00706543" w:rsidP="00F17B62">
      <w:pPr>
        <w:pStyle w:val="FootnoteText"/>
      </w:pPr>
      <w:r w:rsidRPr="00F17B62">
        <w:rPr>
          <w:rStyle w:val="FootnoteReference"/>
        </w:rPr>
        <w:footnoteRef/>
      </w:r>
      <w:r w:rsidRPr="00F17B62">
        <w:rPr>
          <w:vertAlign w:val="superscript"/>
        </w:rPr>
        <w:t xml:space="preserve"> </w:t>
      </w:r>
      <w:r w:rsidRPr="007125BB">
        <w:rPr>
          <w:rStyle w:val="Emphasis"/>
          <w:iCs w:val="0"/>
        </w:rPr>
        <w:t>Auction 901 Procedures Public Notice</w:t>
      </w:r>
      <w:r w:rsidR="007A3551" w:rsidRPr="00F17B62">
        <w:t>,</w:t>
      </w:r>
      <w:r w:rsidRPr="00F17B62">
        <w:t xml:space="preserve"> 27 FCC Rcd </w:t>
      </w:r>
      <w:r w:rsidR="005E0525">
        <w:t>at</w:t>
      </w:r>
      <w:r w:rsidRPr="00F17B62">
        <w:t xml:space="preserve"> 4748</w:t>
      </w:r>
      <w:r w:rsidR="005E0525">
        <w:t>, para.</w:t>
      </w:r>
      <w:r w:rsidRPr="00F17B62">
        <w:t xml:space="preserve"> 73.</w:t>
      </w:r>
    </w:p>
  </w:footnote>
  <w:footnote w:id="48">
    <w:p w:rsidR="00706543" w:rsidRDefault="00706543" w:rsidP="007A3551">
      <w:pPr>
        <w:pStyle w:val="FootnoteText"/>
      </w:pPr>
      <w:r>
        <w:rPr>
          <w:rStyle w:val="FootnoteReference"/>
        </w:rPr>
        <w:footnoteRef/>
      </w:r>
      <w:r>
        <w:t xml:space="preserve"> </w:t>
      </w:r>
      <w:r w:rsidRPr="00576BAC">
        <w:rPr>
          <w:i/>
        </w:rPr>
        <w:t>See</w:t>
      </w:r>
      <w:r w:rsidRPr="00576BAC">
        <w:t xml:space="preserve">, </w:t>
      </w:r>
      <w:r w:rsidRPr="00D962FF">
        <w:rPr>
          <w:i/>
        </w:rPr>
        <w:t xml:space="preserve">e.g., </w:t>
      </w:r>
      <w:r w:rsidRPr="009D4D68">
        <w:rPr>
          <w:i/>
        </w:rPr>
        <w:t>Redwood Wireless Minnesota, LLC</w:t>
      </w:r>
      <w:r>
        <w:t xml:space="preserve">, Order, 17 FCC Rcd 22416 (WTB 2002) (construction delays resulting from business disputes were exercise of business judgment and were not outside Petitioner’s control); </w:t>
      </w:r>
      <w:r w:rsidRPr="009D4D68">
        <w:rPr>
          <w:i/>
        </w:rPr>
        <w:t>Eldorado Communications LLC</w:t>
      </w:r>
      <w:r>
        <w:t xml:space="preserve">, </w:t>
      </w:r>
      <w:r w:rsidRPr="009D4D68">
        <w:t>Order</w:t>
      </w:r>
      <w:r>
        <w:t xml:space="preserve">, 17 FCC Rcd 24613 (WTB 2002) (licensee’s determination to initially deploy TDMA system and subsequently to adopt GSM with months remaining before construction deadline was business decision within its control); </w:t>
      </w:r>
      <w:r w:rsidRPr="009D4D68">
        <w:rPr>
          <w:i/>
        </w:rPr>
        <w:t xml:space="preserve">Bristol MAS Partners, </w:t>
      </w:r>
      <w:r w:rsidRPr="009D4D68">
        <w:t>Order</w:t>
      </w:r>
      <w:r>
        <w:t>, 14 FCC Rcd 5007 (WTB 1999) (equipment installation or delivery not delayed for some unique reason and licensee failing to obtain equipment was</w:t>
      </w:r>
      <w:r w:rsidRPr="009927AF">
        <w:t xml:space="preserve"> </w:t>
      </w:r>
      <w:r>
        <w:t xml:space="preserve">business decision); </w:t>
      </w:r>
      <w:r w:rsidRPr="009D4D68">
        <w:rPr>
          <w:i/>
        </w:rPr>
        <w:t>AAT Electronics Corporation</w:t>
      </w:r>
      <w:r w:rsidRPr="00576BAC">
        <w:t xml:space="preserve">, </w:t>
      </w:r>
      <w:r>
        <w:t xml:space="preserve">Order, </w:t>
      </w:r>
      <w:r w:rsidRPr="00576BAC">
        <w:t>93</w:t>
      </w:r>
      <w:r>
        <w:t> </w:t>
      </w:r>
      <w:r w:rsidRPr="00576BAC">
        <w:t>FCC 2d 1034 (1983)</w:t>
      </w:r>
      <w:r>
        <w:t xml:space="preserve"> </w:t>
      </w:r>
      <w:r w:rsidRPr="00576BAC">
        <w:t xml:space="preserve">(decision not to market service aggressively because of equipment uncertainties is within licensee's control); </w:t>
      </w:r>
      <w:r w:rsidRPr="009D4D68">
        <w:rPr>
          <w:i/>
        </w:rPr>
        <w:t>Business Radio Communications Systems, Inc</w:t>
      </w:r>
      <w:r w:rsidRPr="00576BAC">
        <w:t xml:space="preserve">., </w:t>
      </w:r>
      <w:r>
        <w:t xml:space="preserve">Order, </w:t>
      </w:r>
      <w:r w:rsidRPr="00576BAC">
        <w:t>102 FCC 2d 714 (1985)</w:t>
      </w:r>
      <w:r>
        <w:t xml:space="preserve"> </w:t>
      </w:r>
      <w:r w:rsidRPr="00576BAC">
        <w:t xml:space="preserve">(construction delay caused by zoning challenge not a circumstance beyond licensee's control); </w:t>
      </w:r>
      <w:r w:rsidRPr="009D4D68">
        <w:rPr>
          <w:i/>
        </w:rPr>
        <w:t xml:space="preserve">Texas Two-Way, Inc., </w:t>
      </w:r>
      <w:r>
        <w:t xml:space="preserve">Order, </w:t>
      </w:r>
      <w:r w:rsidRPr="00576BAC">
        <w:t>98</w:t>
      </w:r>
      <w:r>
        <w:t> </w:t>
      </w:r>
      <w:r w:rsidRPr="00576BAC">
        <w:t xml:space="preserve">FCC 2d 1300 (1984), </w:t>
      </w:r>
      <w:r w:rsidRPr="00D75873">
        <w:rPr>
          <w:i/>
        </w:rPr>
        <w:t>aff'd sub nom</w:t>
      </w:r>
      <w:r w:rsidRPr="00576BAC">
        <w:t xml:space="preserve">., </w:t>
      </w:r>
      <w:r w:rsidRPr="009D4D68">
        <w:rPr>
          <w:i/>
        </w:rPr>
        <w:t>Texas Two-Way, Inc. v. FCC</w:t>
      </w:r>
      <w:r w:rsidRPr="00576BAC">
        <w:t>, 762 F.2d 138 (D.C. Cir.</w:t>
      </w:r>
      <w:r>
        <w:t xml:space="preserve"> 1985</w:t>
      </w:r>
      <w:r w:rsidRPr="00576BAC">
        <w:t xml:space="preserve">) (licensee </w:t>
      </w:r>
      <w:r>
        <w:t xml:space="preserve">is </w:t>
      </w:r>
      <w:r w:rsidRPr="00576BAC">
        <w:t>responsible for delay resulting from interference caused by construction adjacent to construction site because site selection was an independent business decision).</w:t>
      </w:r>
    </w:p>
  </w:footnote>
  <w:footnote w:id="49">
    <w:p w:rsidR="00706543" w:rsidRDefault="00706543" w:rsidP="00706543">
      <w:pPr>
        <w:pStyle w:val="FootnoteText"/>
      </w:pPr>
      <w:r>
        <w:rPr>
          <w:rStyle w:val="FootnoteReference"/>
        </w:rPr>
        <w:footnoteRef/>
      </w:r>
      <w:r>
        <w:t xml:space="preserve"> </w:t>
      </w:r>
      <w:r>
        <w:rPr>
          <w:i/>
        </w:rPr>
        <w:t xml:space="preserve">USF/UCC Transformation Order </w:t>
      </w:r>
      <w:r w:rsidR="00743CBD">
        <w:t xml:space="preserve">26 FCC Rcd </w:t>
      </w:r>
      <w:r>
        <w:t xml:space="preserve">at </w:t>
      </w:r>
      <w:r w:rsidRPr="00641A6B">
        <w:t>17663, 17667</w:t>
      </w:r>
      <w:r w:rsidR="00743CBD">
        <w:t>, para.</w:t>
      </w:r>
      <w:r>
        <w:t xml:space="preserve"> 2.</w:t>
      </w:r>
    </w:p>
  </w:footnote>
  <w:footnote w:id="50">
    <w:p w:rsidR="00902E2D" w:rsidRDefault="00902E2D">
      <w:pPr>
        <w:pStyle w:val="FootnoteText"/>
      </w:pPr>
      <w:r>
        <w:rPr>
          <w:rStyle w:val="FootnoteReference"/>
        </w:rPr>
        <w:footnoteRef/>
      </w:r>
      <w:r>
        <w:t xml:space="preserve"> Leaco Second Amended Waiver Request at 8-9.</w:t>
      </w:r>
    </w:p>
  </w:footnote>
  <w:footnote w:id="51">
    <w:p w:rsidR="00130C18" w:rsidRDefault="00130C18">
      <w:pPr>
        <w:pStyle w:val="FootnoteText"/>
      </w:pPr>
      <w:r>
        <w:rPr>
          <w:rStyle w:val="FootnoteReference"/>
        </w:rPr>
        <w:footnoteRef/>
      </w:r>
      <w:r>
        <w:t xml:space="preserve"> </w:t>
      </w:r>
      <w:r w:rsidR="00D20501" w:rsidRPr="00C05FB4">
        <w:rPr>
          <w:i/>
        </w:rPr>
        <w:t>See generally</w:t>
      </w:r>
      <w:r w:rsidR="00D20501">
        <w:t xml:space="preserve"> Pine Belt Waiver Request.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06" w:rsidRDefault="00674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55482">
      <w:t>DA 16-938</w:t>
    </w:r>
  </w:p>
  <w:p w:rsidR="00D25FB5" w:rsidRDefault="0070654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24FF95C" wp14:editId="011E3EC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47042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06543" w:rsidP="00810B6F">
    <w:pPr>
      <w:pStyle w:val="Header"/>
      <w:rPr>
        <w:b w:val="0"/>
      </w:rPr>
    </w:pPr>
    <w:r>
      <w:rPr>
        <w:noProof/>
      </w:rPr>
      <mc:AlternateContent>
        <mc:Choice Requires="wps">
          <w:drawing>
            <wp:anchor distT="0" distB="0" distL="114300" distR="114300" simplePos="0" relativeHeight="251658240" behindDoc="1" locked="0" layoutInCell="0" allowOverlap="1" wp14:anchorId="005B119E" wp14:editId="40BF8C2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649C0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55482">
      <w:rPr>
        <w:spacing w:val="-2"/>
      </w:rPr>
      <w:t>DA 16-938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74381DD8"/>
    <w:lvl w:ilvl="0">
      <w:start w:val="1"/>
      <w:numFmt w:val="decimal"/>
      <w:pStyle w:val="ParaNum"/>
      <w:lvlText w:val="%1."/>
      <w:lvlJc w:val="left"/>
      <w:pPr>
        <w:tabs>
          <w:tab w:val="num" w:pos="1080"/>
        </w:tabs>
        <w:ind w:left="0" w:firstLine="720"/>
      </w:pPr>
      <w:rPr>
        <w:i w:val="0"/>
      </w:rPr>
    </w:lvl>
  </w:abstractNum>
  <w:abstractNum w:abstractNumId="6">
    <w:nsid w:val="7B2C1E23"/>
    <w:multiLevelType w:val="hybridMultilevel"/>
    <w:tmpl w:val="C23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43"/>
    <w:rsid w:val="00006F6C"/>
    <w:rsid w:val="00007918"/>
    <w:rsid w:val="0002055E"/>
    <w:rsid w:val="00022A72"/>
    <w:rsid w:val="00023144"/>
    <w:rsid w:val="000259D9"/>
    <w:rsid w:val="0003545B"/>
    <w:rsid w:val="00036039"/>
    <w:rsid w:val="00037F90"/>
    <w:rsid w:val="00045A22"/>
    <w:rsid w:val="00051866"/>
    <w:rsid w:val="00052AFB"/>
    <w:rsid w:val="00053271"/>
    <w:rsid w:val="000635EB"/>
    <w:rsid w:val="00071C69"/>
    <w:rsid w:val="000757F3"/>
    <w:rsid w:val="000875BF"/>
    <w:rsid w:val="0009167D"/>
    <w:rsid w:val="00096D8C"/>
    <w:rsid w:val="000B2A3A"/>
    <w:rsid w:val="000C0B65"/>
    <w:rsid w:val="000C6B8C"/>
    <w:rsid w:val="000D60CD"/>
    <w:rsid w:val="000E05FE"/>
    <w:rsid w:val="000E3D42"/>
    <w:rsid w:val="000F3C13"/>
    <w:rsid w:val="001014EE"/>
    <w:rsid w:val="001023B7"/>
    <w:rsid w:val="001106DD"/>
    <w:rsid w:val="00111401"/>
    <w:rsid w:val="001136A9"/>
    <w:rsid w:val="001172A7"/>
    <w:rsid w:val="00122BD5"/>
    <w:rsid w:val="00127BAD"/>
    <w:rsid w:val="00130C18"/>
    <w:rsid w:val="00133F79"/>
    <w:rsid w:val="001435D3"/>
    <w:rsid w:val="00160D00"/>
    <w:rsid w:val="001700A9"/>
    <w:rsid w:val="00173741"/>
    <w:rsid w:val="0017615C"/>
    <w:rsid w:val="001802C9"/>
    <w:rsid w:val="00194A66"/>
    <w:rsid w:val="0019738B"/>
    <w:rsid w:val="001C4C52"/>
    <w:rsid w:val="001C6860"/>
    <w:rsid w:val="001D6BCF"/>
    <w:rsid w:val="001E01CA"/>
    <w:rsid w:val="001E75C5"/>
    <w:rsid w:val="001F1E0B"/>
    <w:rsid w:val="001F61A2"/>
    <w:rsid w:val="0020171B"/>
    <w:rsid w:val="002023DD"/>
    <w:rsid w:val="0022746D"/>
    <w:rsid w:val="00232836"/>
    <w:rsid w:val="00234F45"/>
    <w:rsid w:val="0023601F"/>
    <w:rsid w:val="0023795A"/>
    <w:rsid w:val="00242A09"/>
    <w:rsid w:val="002444D0"/>
    <w:rsid w:val="00247D22"/>
    <w:rsid w:val="00247E09"/>
    <w:rsid w:val="0025097F"/>
    <w:rsid w:val="00255429"/>
    <w:rsid w:val="00262DB0"/>
    <w:rsid w:val="00263957"/>
    <w:rsid w:val="00275CF5"/>
    <w:rsid w:val="002806FA"/>
    <w:rsid w:val="0028301F"/>
    <w:rsid w:val="00285017"/>
    <w:rsid w:val="00285386"/>
    <w:rsid w:val="002A2D2E"/>
    <w:rsid w:val="002B0E8A"/>
    <w:rsid w:val="002C00E8"/>
    <w:rsid w:val="002D58C9"/>
    <w:rsid w:val="002E029B"/>
    <w:rsid w:val="002E1119"/>
    <w:rsid w:val="002E1A49"/>
    <w:rsid w:val="002E42F4"/>
    <w:rsid w:val="002F780F"/>
    <w:rsid w:val="00301A7D"/>
    <w:rsid w:val="003128F5"/>
    <w:rsid w:val="003132A7"/>
    <w:rsid w:val="00343749"/>
    <w:rsid w:val="00345B69"/>
    <w:rsid w:val="00347F18"/>
    <w:rsid w:val="00350548"/>
    <w:rsid w:val="003523E4"/>
    <w:rsid w:val="00354844"/>
    <w:rsid w:val="003660ED"/>
    <w:rsid w:val="00373198"/>
    <w:rsid w:val="003865B0"/>
    <w:rsid w:val="0039185F"/>
    <w:rsid w:val="003937BB"/>
    <w:rsid w:val="00396457"/>
    <w:rsid w:val="003A0281"/>
    <w:rsid w:val="003A3AAE"/>
    <w:rsid w:val="003A7932"/>
    <w:rsid w:val="003B0550"/>
    <w:rsid w:val="003B694F"/>
    <w:rsid w:val="003C6301"/>
    <w:rsid w:val="003D02EA"/>
    <w:rsid w:val="003D644A"/>
    <w:rsid w:val="003E0983"/>
    <w:rsid w:val="003E40A3"/>
    <w:rsid w:val="003F171C"/>
    <w:rsid w:val="0040026C"/>
    <w:rsid w:val="004016C3"/>
    <w:rsid w:val="00412FC5"/>
    <w:rsid w:val="00422276"/>
    <w:rsid w:val="004242F1"/>
    <w:rsid w:val="00441F02"/>
    <w:rsid w:val="004428E5"/>
    <w:rsid w:val="004459BE"/>
    <w:rsid w:val="00445A00"/>
    <w:rsid w:val="00446BF6"/>
    <w:rsid w:val="00446E83"/>
    <w:rsid w:val="00447D04"/>
    <w:rsid w:val="00451B0F"/>
    <w:rsid w:val="00451B47"/>
    <w:rsid w:val="00452624"/>
    <w:rsid w:val="0046740C"/>
    <w:rsid w:val="00470E39"/>
    <w:rsid w:val="0048076A"/>
    <w:rsid w:val="00483BB1"/>
    <w:rsid w:val="0049290F"/>
    <w:rsid w:val="004C2EE3"/>
    <w:rsid w:val="004D5053"/>
    <w:rsid w:val="004E4A22"/>
    <w:rsid w:val="004F7DB2"/>
    <w:rsid w:val="00504E4C"/>
    <w:rsid w:val="00511968"/>
    <w:rsid w:val="00516C33"/>
    <w:rsid w:val="00527BF8"/>
    <w:rsid w:val="00537087"/>
    <w:rsid w:val="0054636E"/>
    <w:rsid w:val="00550D64"/>
    <w:rsid w:val="00551822"/>
    <w:rsid w:val="0055614C"/>
    <w:rsid w:val="00566EE9"/>
    <w:rsid w:val="005670DA"/>
    <w:rsid w:val="00575741"/>
    <w:rsid w:val="00577A70"/>
    <w:rsid w:val="00586763"/>
    <w:rsid w:val="0058730B"/>
    <w:rsid w:val="00593F82"/>
    <w:rsid w:val="00595F9E"/>
    <w:rsid w:val="00596036"/>
    <w:rsid w:val="005B0567"/>
    <w:rsid w:val="005B1C80"/>
    <w:rsid w:val="005B4496"/>
    <w:rsid w:val="005B53FA"/>
    <w:rsid w:val="005C1E15"/>
    <w:rsid w:val="005D25C0"/>
    <w:rsid w:val="005E0525"/>
    <w:rsid w:val="005E14C2"/>
    <w:rsid w:val="005E747E"/>
    <w:rsid w:val="005F5327"/>
    <w:rsid w:val="005F6581"/>
    <w:rsid w:val="005F6F84"/>
    <w:rsid w:val="00607BA5"/>
    <w:rsid w:val="0061180A"/>
    <w:rsid w:val="00615242"/>
    <w:rsid w:val="00617D6C"/>
    <w:rsid w:val="00626EB6"/>
    <w:rsid w:val="006338B3"/>
    <w:rsid w:val="00634673"/>
    <w:rsid w:val="006517CF"/>
    <w:rsid w:val="00655D03"/>
    <w:rsid w:val="00674706"/>
    <w:rsid w:val="0067655F"/>
    <w:rsid w:val="00676A89"/>
    <w:rsid w:val="00680D8C"/>
    <w:rsid w:val="00683388"/>
    <w:rsid w:val="00683B69"/>
    <w:rsid w:val="00683F84"/>
    <w:rsid w:val="00693F4C"/>
    <w:rsid w:val="006A2749"/>
    <w:rsid w:val="006A5771"/>
    <w:rsid w:val="006A6A81"/>
    <w:rsid w:val="006C2B3B"/>
    <w:rsid w:val="006D05EB"/>
    <w:rsid w:val="006D1F10"/>
    <w:rsid w:val="006F0174"/>
    <w:rsid w:val="006F5377"/>
    <w:rsid w:val="006F7393"/>
    <w:rsid w:val="0070224F"/>
    <w:rsid w:val="00706543"/>
    <w:rsid w:val="00710D26"/>
    <w:rsid w:val="007115F7"/>
    <w:rsid w:val="007125BB"/>
    <w:rsid w:val="007140C8"/>
    <w:rsid w:val="00722E83"/>
    <w:rsid w:val="0072382D"/>
    <w:rsid w:val="0073387C"/>
    <w:rsid w:val="00737E89"/>
    <w:rsid w:val="0074087C"/>
    <w:rsid w:val="00743CBD"/>
    <w:rsid w:val="0074404C"/>
    <w:rsid w:val="007536C3"/>
    <w:rsid w:val="00757436"/>
    <w:rsid w:val="00765967"/>
    <w:rsid w:val="00770230"/>
    <w:rsid w:val="007721A0"/>
    <w:rsid w:val="00777418"/>
    <w:rsid w:val="00785689"/>
    <w:rsid w:val="00787CC0"/>
    <w:rsid w:val="007946B4"/>
    <w:rsid w:val="0079754B"/>
    <w:rsid w:val="007A1E6D"/>
    <w:rsid w:val="007A2366"/>
    <w:rsid w:val="007A3314"/>
    <w:rsid w:val="007A3551"/>
    <w:rsid w:val="007B0EB2"/>
    <w:rsid w:val="007C149A"/>
    <w:rsid w:val="007C4066"/>
    <w:rsid w:val="007C433C"/>
    <w:rsid w:val="007C774F"/>
    <w:rsid w:val="007D1A33"/>
    <w:rsid w:val="007E0FB8"/>
    <w:rsid w:val="007F008A"/>
    <w:rsid w:val="00801E0F"/>
    <w:rsid w:val="00810B6F"/>
    <w:rsid w:val="008123F9"/>
    <w:rsid w:val="00816B14"/>
    <w:rsid w:val="00822CE0"/>
    <w:rsid w:val="00824768"/>
    <w:rsid w:val="00841AB1"/>
    <w:rsid w:val="00843273"/>
    <w:rsid w:val="008441D9"/>
    <w:rsid w:val="008825CF"/>
    <w:rsid w:val="00887A09"/>
    <w:rsid w:val="008A1417"/>
    <w:rsid w:val="008B24A4"/>
    <w:rsid w:val="008B5B83"/>
    <w:rsid w:val="008B659E"/>
    <w:rsid w:val="008B6DC0"/>
    <w:rsid w:val="008C1DCA"/>
    <w:rsid w:val="008C6672"/>
    <w:rsid w:val="008C68F1"/>
    <w:rsid w:val="008D082B"/>
    <w:rsid w:val="008D10DA"/>
    <w:rsid w:val="008D2378"/>
    <w:rsid w:val="008D38CE"/>
    <w:rsid w:val="008D49A2"/>
    <w:rsid w:val="008E2944"/>
    <w:rsid w:val="008E3E6E"/>
    <w:rsid w:val="008F33B6"/>
    <w:rsid w:val="008F6127"/>
    <w:rsid w:val="00900267"/>
    <w:rsid w:val="00902E2D"/>
    <w:rsid w:val="00915733"/>
    <w:rsid w:val="00921803"/>
    <w:rsid w:val="00922FAF"/>
    <w:rsid w:val="00926503"/>
    <w:rsid w:val="00933A31"/>
    <w:rsid w:val="00935087"/>
    <w:rsid w:val="00943745"/>
    <w:rsid w:val="00955E72"/>
    <w:rsid w:val="00956B9C"/>
    <w:rsid w:val="0096300F"/>
    <w:rsid w:val="00964675"/>
    <w:rsid w:val="009658AD"/>
    <w:rsid w:val="009671B9"/>
    <w:rsid w:val="0097152B"/>
    <w:rsid w:val="009726D8"/>
    <w:rsid w:val="0097338F"/>
    <w:rsid w:val="00973428"/>
    <w:rsid w:val="00986971"/>
    <w:rsid w:val="009B3741"/>
    <w:rsid w:val="009C294D"/>
    <w:rsid w:val="009C46A9"/>
    <w:rsid w:val="009D360B"/>
    <w:rsid w:val="009E5751"/>
    <w:rsid w:val="009F6B10"/>
    <w:rsid w:val="009F76DB"/>
    <w:rsid w:val="009F7F5B"/>
    <w:rsid w:val="00A002A6"/>
    <w:rsid w:val="00A02647"/>
    <w:rsid w:val="00A127AA"/>
    <w:rsid w:val="00A20722"/>
    <w:rsid w:val="00A32C3B"/>
    <w:rsid w:val="00A42277"/>
    <w:rsid w:val="00A42894"/>
    <w:rsid w:val="00A45F4F"/>
    <w:rsid w:val="00A51DC6"/>
    <w:rsid w:val="00A578BD"/>
    <w:rsid w:val="00A600A9"/>
    <w:rsid w:val="00A63B45"/>
    <w:rsid w:val="00A664E3"/>
    <w:rsid w:val="00A67B6B"/>
    <w:rsid w:val="00A67B71"/>
    <w:rsid w:val="00A912C2"/>
    <w:rsid w:val="00A96A50"/>
    <w:rsid w:val="00AA55B7"/>
    <w:rsid w:val="00AA5B9E"/>
    <w:rsid w:val="00AA79C9"/>
    <w:rsid w:val="00AB2407"/>
    <w:rsid w:val="00AB53DF"/>
    <w:rsid w:val="00AD0993"/>
    <w:rsid w:val="00AD287A"/>
    <w:rsid w:val="00AD3146"/>
    <w:rsid w:val="00AF12D4"/>
    <w:rsid w:val="00B00389"/>
    <w:rsid w:val="00B03207"/>
    <w:rsid w:val="00B07E5C"/>
    <w:rsid w:val="00B111CD"/>
    <w:rsid w:val="00B119D1"/>
    <w:rsid w:val="00B20F6F"/>
    <w:rsid w:val="00B25861"/>
    <w:rsid w:val="00B341DD"/>
    <w:rsid w:val="00B34622"/>
    <w:rsid w:val="00B52854"/>
    <w:rsid w:val="00B632C4"/>
    <w:rsid w:val="00B811F7"/>
    <w:rsid w:val="00B9637A"/>
    <w:rsid w:val="00BA02E6"/>
    <w:rsid w:val="00BA5DC6"/>
    <w:rsid w:val="00BA6196"/>
    <w:rsid w:val="00BA7D80"/>
    <w:rsid w:val="00BB528F"/>
    <w:rsid w:val="00BB5BE0"/>
    <w:rsid w:val="00BC6D8C"/>
    <w:rsid w:val="00BC6DA0"/>
    <w:rsid w:val="00BD0B2C"/>
    <w:rsid w:val="00BD177F"/>
    <w:rsid w:val="00BE0D04"/>
    <w:rsid w:val="00C033CA"/>
    <w:rsid w:val="00C05FB4"/>
    <w:rsid w:val="00C148BB"/>
    <w:rsid w:val="00C24C35"/>
    <w:rsid w:val="00C34006"/>
    <w:rsid w:val="00C417F5"/>
    <w:rsid w:val="00C426B1"/>
    <w:rsid w:val="00C446BE"/>
    <w:rsid w:val="00C50EAA"/>
    <w:rsid w:val="00C60680"/>
    <w:rsid w:val="00C66160"/>
    <w:rsid w:val="00C721AC"/>
    <w:rsid w:val="00C863DA"/>
    <w:rsid w:val="00C8677D"/>
    <w:rsid w:val="00C879FF"/>
    <w:rsid w:val="00C90D20"/>
    <w:rsid w:val="00C90D6A"/>
    <w:rsid w:val="00C97511"/>
    <w:rsid w:val="00CA247E"/>
    <w:rsid w:val="00CB3A30"/>
    <w:rsid w:val="00CC67E4"/>
    <w:rsid w:val="00CC72B6"/>
    <w:rsid w:val="00CD31D8"/>
    <w:rsid w:val="00CD79D4"/>
    <w:rsid w:val="00CE0080"/>
    <w:rsid w:val="00CE1B45"/>
    <w:rsid w:val="00CF324E"/>
    <w:rsid w:val="00D0218D"/>
    <w:rsid w:val="00D042C1"/>
    <w:rsid w:val="00D1178C"/>
    <w:rsid w:val="00D11911"/>
    <w:rsid w:val="00D122E6"/>
    <w:rsid w:val="00D20501"/>
    <w:rsid w:val="00D25FB5"/>
    <w:rsid w:val="00D31DE3"/>
    <w:rsid w:val="00D338FF"/>
    <w:rsid w:val="00D44223"/>
    <w:rsid w:val="00D46CE8"/>
    <w:rsid w:val="00D5399F"/>
    <w:rsid w:val="00D54910"/>
    <w:rsid w:val="00D5499E"/>
    <w:rsid w:val="00D600CB"/>
    <w:rsid w:val="00D6079B"/>
    <w:rsid w:val="00D67FDC"/>
    <w:rsid w:val="00D73F91"/>
    <w:rsid w:val="00D75380"/>
    <w:rsid w:val="00D75873"/>
    <w:rsid w:val="00D860F0"/>
    <w:rsid w:val="00D937E1"/>
    <w:rsid w:val="00D942F3"/>
    <w:rsid w:val="00DA2529"/>
    <w:rsid w:val="00DA72E7"/>
    <w:rsid w:val="00DB07FD"/>
    <w:rsid w:val="00DB130A"/>
    <w:rsid w:val="00DB2EBB"/>
    <w:rsid w:val="00DC036C"/>
    <w:rsid w:val="00DC10A1"/>
    <w:rsid w:val="00DC23D9"/>
    <w:rsid w:val="00DC655F"/>
    <w:rsid w:val="00DD0B59"/>
    <w:rsid w:val="00DD300C"/>
    <w:rsid w:val="00DD482D"/>
    <w:rsid w:val="00DD6008"/>
    <w:rsid w:val="00DD6F28"/>
    <w:rsid w:val="00DD7EBD"/>
    <w:rsid w:val="00DE7E76"/>
    <w:rsid w:val="00DF41F9"/>
    <w:rsid w:val="00DF62B6"/>
    <w:rsid w:val="00E06376"/>
    <w:rsid w:val="00E07225"/>
    <w:rsid w:val="00E10DF7"/>
    <w:rsid w:val="00E124AB"/>
    <w:rsid w:val="00E1525B"/>
    <w:rsid w:val="00E21505"/>
    <w:rsid w:val="00E21B61"/>
    <w:rsid w:val="00E375EA"/>
    <w:rsid w:val="00E41C98"/>
    <w:rsid w:val="00E50415"/>
    <w:rsid w:val="00E51BB8"/>
    <w:rsid w:val="00E5409F"/>
    <w:rsid w:val="00E55482"/>
    <w:rsid w:val="00E82211"/>
    <w:rsid w:val="00E90390"/>
    <w:rsid w:val="00EA3142"/>
    <w:rsid w:val="00EA6806"/>
    <w:rsid w:val="00EB6B92"/>
    <w:rsid w:val="00EC5CE2"/>
    <w:rsid w:val="00EE6160"/>
    <w:rsid w:val="00EE6488"/>
    <w:rsid w:val="00EF0537"/>
    <w:rsid w:val="00EF3268"/>
    <w:rsid w:val="00F021FA"/>
    <w:rsid w:val="00F17B62"/>
    <w:rsid w:val="00F25C7D"/>
    <w:rsid w:val="00F26649"/>
    <w:rsid w:val="00F42E72"/>
    <w:rsid w:val="00F606A1"/>
    <w:rsid w:val="00F61765"/>
    <w:rsid w:val="00F62E97"/>
    <w:rsid w:val="00F64209"/>
    <w:rsid w:val="00F70BFC"/>
    <w:rsid w:val="00F712FD"/>
    <w:rsid w:val="00F71C0E"/>
    <w:rsid w:val="00F744F8"/>
    <w:rsid w:val="00F74C39"/>
    <w:rsid w:val="00F7529B"/>
    <w:rsid w:val="00F77B8E"/>
    <w:rsid w:val="00F77DEE"/>
    <w:rsid w:val="00F806C1"/>
    <w:rsid w:val="00F8300C"/>
    <w:rsid w:val="00F93BF5"/>
    <w:rsid w:val="00F94061"/>
    <w:rsid w:val="00F96E8D"/>
    <w:rsid w:val="00FA3BB0"/>
    <w:rsid w:val="00FA6C16"/>
    <w:rsid w:val="00FB1ACA"/>
    <w:rsid w:val="00FB531C"/>
    <w:rsid w:val="00FF3672"/>
    <w:rsid w:val="00FF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54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0E3D42"/>
    <w:pPr>
      <w:spacing w:after="120"/>
    </w:pPr>
  </w:style>
  <w:style w:type="character" w:styleId="FootnoteReference">
    <w:name w:val="footnote reference"/>
    <w:aliases w:val="Appel note de bas de p,Style 12,(NECG) Footnote Reference,Style 124,o,fr,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706543"/>
  </w:style>
  <w:style w:type="character" w:customStyle="1" w:styleId="ParaNumCharChar1">
    <w:name w:val="ParaNum Char Char1"/>
    <w:link w:val="ParaNum"/>
    <w:locked/>
    <w:rsid w:val="00706543"/>
    <w:rPr>
      <w:snapToGrid w:val="0"/>
      <w:kern w:val="28"/>
      <w:sz w:val="22"/>
    </w:rPr>
  </w:style>
  <w:style w:type="character" w:styleId="CommentReference">
    <w:name w:val="annotation reference"/>
    <w:rsid w:val="00706543"/>
    <w:rPr>
      <w:sz w:val="16"/>
      <w:szCs w:val="16"/>
    </w:rPr>
  </w:style>
  <w:style w:type="paragraph" w:customStyle="1" w:styleId="Default">
    <w:name w:val="Default"/>
    <w:rsid w:val="00706543"/>
    <w:pPr>
      <w:autoSpaceDE w:val="0"/>
      <w:autoSpaceDN w:val="0"/>
      <w:adjustRightInd w:val="0"/>
    </w:pPr>
    <w:rPr>
      <w:color w:val="000000"/>
      <w:sz w:val="24"/>
      <w:szCs w:val="24"/>
    </w:rPr>
  </w:style>
  <w:style w:type="character" w:styleId="Emphasis">
    <w:name w:val="Emphasis"/>
    <w:uiPriority w:val="20"/>
    <w:qFormat/>
    <w:rsid w:val="00706543"/>
    <w:rPr>
      <w:i/>
      <w:iCs/>
    </w:rPr>
  </w:style>
  <w:style w:type="paragraph" w:styleId="CommentText">
    <w:name w:val="annotation text"/>
    <w:basedOn w:val="Normal"/>
    <w:link w:val="CommentTextChar"/>
    <w:rsid w:val="00247D22"/>
    <w:rPr>
      <w:sz w:val="20"/>
    </w:rPr>
  </w:style>
  <w:style w:type="character" w:customStyle="1" w:styleId="CommentTextChar">
    <w:name w:val="Comment Text Char"/>
    <w:basedOn w:val="DefaultParagraphFont"/>
    <w:link w:val="CommentText"/>
    <w:rsid w:val="00247D22"/>
    <w:rPr>
      <w:snapToGrid w:val="0"/>
      <w:kern w:val="28"/>
    </w:rPr>
  </w:style>
  <w:style w:type="paragraph" w:styleId="CommentSubject">
    <w:name w:val="annotation subject"/>
    <w:basedOn w:val="CommentText"/>
    <w:next w:val="CommentText"/>
    <w:link w:val="CommentSubjectChar"/>
    <w:rsid w:val="00247D22"/>
    <w:rPr>
      <w:b/>
      <w:bCs/>
    </w:rPr>
  </w:style>
  <w:style w:type="character" w:customStyle="1" w:styleId="CommentSubjectChar">
    <w:name w:val="Comment Subject Char"/>
    <w:basedOn w:val="CommentTextChar"/>
    <w:link w:val="CommentSubject"/>
    <w:rsid w:val="00247D22"/>
    <w:rPr>
      <w:b/>
      <w:bCs/>
      <w:snapToGrid w:val="0"/>
      <w:kern w:val="28"/>
    </w:rPr>
  </w:style>
  <w:style w:type="paragraph" w:styleId="BalloonText">
    <w:name w:val="Balloon Text"/>
    <w:basedOn w:val="Normal"/>
    <w:link w:val="BalloonTextChar"/>
    <w:rsid w:val="00247D22"/>
    <w:rPr>
      <w:rFonts w:ascii="Segoe UI" w:hAnsi="Segoe UI" w:cs="Segoe UI"/>
      <w:sz w:val="18"/>
      <w:szCs w:val="18"/>
    </w:rPr>
  </w:style>
  <w:style w:type="character" w:customStyle="1" w:styleId="BalloonTextChar">
    <w:name w:val="Balloon Text Char"/>
    <w:basedOn w:val="DefaultParagraphFont"/>
    <w:link w:val="BalloonText"/>
    <w:rsid w:val="00247D22"/>
    <w:rPr>
      <w:rFonts w:ascii="Segoe UI" w:hAnsi="Segoe UI" w:cs="Segoe UI"/>
      <w:snapToGrid w:val="0"/>
      <w:kern w:val="28"/>
      <w:sz w:val="18"/>
      <w:szCs w:val="18"/>
    </w:rPr>
  </w:style>
  <w:style w:type="character" w:customStyle="1" w:styleId="FootnoteTextChar1CharChar">
    <w:name w:val="Footnote Text Char1 Char Char"/>
    <w:aliases w:val="Footnote Text Char7 Char Char Char,Footnote Text Char4 Char1 Char Char Char,Footnote Text Char Char Char4 Char Char Char,Footnote Text Char7 Char Char Char Char Char Char,ALTS FOOTNOTE Char1,fn Char1,ALTS FOOTNOTE Char Char"/>
    <w:rsid w:val="002E1A49"/>
  </w:style>
  <w:style w:type="character" w:customStyle="1" w:styleId="cosearchwithinterm">
    <w:name w:val="co_searchwithinterm"/>
    <w:basedOn w:val="DefaultParagraphFont"/>
    <w:rsid w:val="003A3AAE"/>
  </w:style>
  <w:style w:type="paragraph" w:styleId="Revision">
    <w:name w:val="Revision"/>
    <w:hidden/>
    <w:uiPriority w:val="99"/>
    <w:semiHidden/>
    <w:rsid w:val="00130C18"/>
    <w:rPr>
      <w:snapToGrid w:val="0"/>
      <w:kern w:val="28"/>
      <w:sz w:val="22"/>
    </w:rPr>
  </w:style>
  <w:style w:type="character" w:customStyle="1" w:styleId="searchterm">
    <w:name w:val="searchterm"/>
    <w:basedOn w:val="DefaultParagraphFont"/>
    <w:rsid w:val="00915733"/>
  </w:style>
  <w:style w:type="paragraph" w:styleId="ListParagraph">
    <w:name w:val="List Paragraph"/>
    <w:basedOn w:val="Normal"/>
    <w:uiPriority w:val="34"/>
    <w:qFormat/>
    <w:rsid w:val="00915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54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0E3D42"/>
    <w:pPr>
      <w:spacing w:after="120"/>
    </w:pPr>
  </w:style>
  <w:style w:type="character" w:styleId="FootnoteReference">
    <w:name w:val="footnote reference"/>
    <w:aliases w:val="Appel note de bas de p,Style 12,(NECG) Footnote Reference,Style 124,o,fr,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rsid w:val="00706543"/>
  </w:style>
  <w:style w:type="character" w:customStyle="1" w:styleId="ParaNumCharChar1">
    <w:name w:val="ParaNum Char Char1"/>
    <w:link w:val="ParaNum"/>
    <w:locked/>
    <w:rsid w:val="00706543"/>
    <w:rPr>
      <w:snapToGrid w:val="0"/>
      <w:kern w:val="28"/>
      <w:sz w:val="22"/>
    </w:rPr>
  </w:style>
  <w:style w:type="character" w:styleId="CommentReference">
    <w:name w:val="annotation reference"/>
    <w:rsid w:val="00706543"/>
    <w:rPr>
      <w:sz w:val="16"/>
      <w:szCs w:val="16"/>
    </w:rPr>
  </w:style>
  <w:style w:type="paragraph" w:customStyle="1" w:styleId="Default">
    <w:name w:val="Default"/>
    <w:rsid w:val="00706543"/>
    <w:pPr>
      <w:autoSpaceDE w:val="0"/>
      <w:autoSpaceDN w:val="0"/>
      <w:adjustRightInd w:val="0"/>
    </w:pPr>
    <w:rPr>
      <w:color w:val="000000"/>
      <w:sz w:val="24"/>
      <w:szCs w:val="24"/>
    </w:rPr>
  </w:style>
  <w:style w:type="character" w:styleId="Emphasis">
    <w:name w:val="Emphasis"/>
    <w:uiPriority w:val="20"/>
    <w:qFormat/>
    <w:rsid w:val="00706543"/>
    <w:rPr>
      <w:i/>
      <w:iCs/>
    </w:rPr>
  </w:style>
  <w:style w:type="paragraph" w:styleId="CommentText">
    <w:name w:val="annotation text"/>
    <w:basedOn w:val="Normal"/>
    <w:link w:val="CommentTextChar"/>
    <w:rsid w:val="00247D22"/>
    <w:rPr>
      <w:sz w:val="20"/>
    </w:rPr>
  </w:style>
  <w:style w:type="character" w:customStyle="1" w:styleId="CommentTextChar">
    <w:name w:val="Comment Text Char"/>
    <w:basedOn w:val="DefaultParagraphFont"/>
    <w:link w:val="CommentText"/>
    <w:rsid w:val="00247D22"/>
    <w:rPr>
      <w:snapToGrid w:val="0"/>
      <w:kern w:val="28"/>
    </w:rPr>
  </w:style>
  <w:style w:type="paragraph" w:styleId="CommentSubject">
    <w:name w:val="annotation subject"/>
    <w:basedOn w:val="CommentText"/>
    <w:next w:val="CommentText"/>
    <w:link w:val="CommentSubjectChar"/>
    <w:rsid w:val="00247D22"/>
    <w:rPr>
      <w:b/>
      <w:bCs/>
    </w:rPr>
  </w:style>
  <w:style w:type="character" w:customStyle="1" w:styleId="CommentSubjectChar">
    <w:name w:val="Comment Subject Char"/>
    <w:basedOn w:val="CommentTextChar"/>
    <w:link w:val="CommentSubject"/>
    <w:rsid w:val="00247D22"/>
    <w:rPr>
      <w:b/>
      <w:bCs/>
      <w:snapToGrid w:val="0"/>
      <w:kern w:val="28"/>
    </w:rPr>
  </w:style>
  <w:style w:type="paragraph" w:styleId="BalloonText">
    <w:name w:val="Balloon Text"/>
    <w:basedOn w:val="Normal"/>
    <w:link w:val="BalloonTextChar"/>
    <w:rsid w:val="00247D22"/>
    <w:rPr>
      <w:rFonts w:ascii="Segoe UI" w:hAnsi="Segoe UI" w:cs="Segoe UI"/>
      <w:sz w:val="18"/>
      <w:szCs w:val="18"/>
    </w:rPr>
  </w:style>
  <w:style w:type="character" w:customStyle="1" w:styleId="BalloonTextChar">
    <w:name w:val="Balloon Text Char"/>
    <w:basedOn w:val="DefaultParagraphFont"/>
    <w:link w:val="BalloonText"/>
    <w:rsid w:val="00247D22"/>
    <w:rPr>
      <w:rFonts w:ascii="Segoe UI" w:hAnsi="Segoe UI" w:cs="Segoe UI"/>
      <w:snapToGrid w:val="0"/>
      <w:kern w:val="28"/>
      <w:sz w:val="18"/>
      <w:szCs w:val="18"/>
    </w:rPr>
  </w:style>
  <w:style w:type="character" w:customStyle="1" w:styleId="FootnoteTextChar1CharChar">
    <w:name w:val="Footnote Text Char1 Char Char"/>
    <w:aliases w:val="Footnote Text Char7 Char Char Char,Footnote Text Char4 Char1 Char Char Char,Footnote Text Char Char Char4 Char Char Char,Footnote Text Char7 Char Char Char Char Char Char,ALTS FOOTNOTE Char1,fn Char1,ALTS FOOTNOTE Char Char"/>
    <w:rsid w:val="002E1A49"/>
  </w:style>
  <w:style w:type="character" w:customStyle="1" w:styleId="cosearchwithinterm">
    <w:name w:val="co_searchwithinterm"/>
    <w:basedOn w:val="DefaultParagraphFont"/>
    <w:rsid w:val="003A3AAE"/>
  </w:style>
  <w:style w:type="paragraph" w:styleId="Revision">
    <w:name w:val="Revision"/>
    <w:hidden/>
    <w:uiPriority w:val="99"/>
    <w:semiHidden/>
    <w:rsid w:val="00130C18"/>
    <w:rPr>
      <w:snapToGrid w:val="0"/>
      <w:kern w:val="28"/>
      <w:sz w:val="22"/>
    </w:rPr>
  </w:style>
  <w:style w:type="character" w:customStyle="1" w:styleId="searchterm">
    <w:name w:val="searchterm"/>
    <w:basedOn w:val="DefaultParagraphFont"/>
    <w:rsid w:val="00915733"/>
  </w:style>
  <w:style w:type="paragraph" w:styleId="ListParagraph">
    <w:name w:val="List Paragraph"/>
    <w:basedOn w:val="Normal"/>
    <w:uiPriority w:val="34"/>
    <w:qFormat/>
    <w:rsid w:val="00915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5397">
      <w:bodyDiv w:val="1"/>
      <w:marLeft w:val="0"/>
      <w:marRight w:val="0"/>
      <w:marTop w:val="0"/>
      <w:marBottom w:val="0"/>
      <w:divBdr>
        <w:top w:val="none" w:sz="0" w:space="0" w:color="auto"/>
        <w:left w:val="none" w:sz="0" w:space="0" w:color="auto"/>
        <w:bottom w:val="none" w:sz="0" w:space="0" w:color="auto"/>
        <w:right w:val="none" w:sz="0" w:space="0" w:color="auto"/>
      </w:divBdr>
      <w:divsChild>
        <w:div w:id="163270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2727</Words>
  <Characters>14941</Characters>
  <Application>Microsoft Office Word</Application>
  <DocSecurity>0</DocSecurity>
  <Lines>228</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17718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2016-08-08T21:35:00Z</cp:lastPrinted>
  <dcterms:created xsi:type="dcterms:W3CDTF">2016-08-17T20:39:00Z</dcterms:created>
  <dcterms:modified xsi:type="dcterms:W3CDTF">2016-08-17T20:39:00Z</dcterms:modified>
  <cp:category> </cp:category>
  <cp:contentStatus> </cp:contentStatus>
</cp:coreProperties>
</file>