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A6E31" w14:textId="77777777" w:rsidR="009B55BA" w:rsidRPr="00ED5746" w:rsidRDefault="009B55BA" w:rsidP="009B55BA">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2DB22CBD" w14:textId="77777777" w:rsidR="009B55BA" w:rsidRPr="00ED5746" w:rsidRDefault="009B55BA" w:rsidP="009B55BA">
      <w:pPr>
        <w:pStyle w:val="StyleBoldCentered"/>
      </w:pPr>
      <w:r w:rsidRPr="00ED5746">
        <w:t>F</w:t>
      </w:r>
      <w:r w:rsidRPr="00ED5746">
        <w:rPr>
          <w:caps w:val="0"/>
        </w:rPr>
        <w:t>ederal Communications Commission</w:t>
      </w:r>
    </w:p>
    <w:p w14:paraId="276B0775" w14:textId="77777777" w:rsidR="009B55BA" w:rsidRPr="00ED5746" w:rsidRDefault="009B55BA" w:rsidP="009B55BA">
      <w:pPr>
        <w:pStyle w:val="StyleBoldCentered"/>
      </w:pPr>
      <w:r w:rsidRPr="00ED5746">
        <w:rPr>
          <w:caps w:val="0"/>
        </w:rPr>
        <w:t>Washington, DC 20554</w:t>
      </w:r>
    </w:p>
    <w:p w14:paraId="5009E134" w14:textId="77777777" w:rsidR="009B55BA" w:rsidRPr="00ED5746" w:rsidRDefault="009B55BA" w:rsidP="009B55BA"/>
    <w:tbl>
      <w:tblPr>
        <w:tblW w:w="13824" w:type="dxa"/>
        <w:tblLayout w:type="fixed"/>
        <w:tblLook w:val="0000" w:firstRow="0" w:lastRow="0" w:firstColumn="0" w:lastColumn="0" w:noHBand="0" w:noVBand="0"/>
      </w:tblPr>
      <w:tblGrid>
        <w:gridCol w:w="4698"/>
        <w:gridCol w:w="630"/>
        <w:gridCol w:w="4248"/>
        <w:gridCol w:w="4248"/>
      </w:tblGrid>
      <w:tr w:rsidR="009B55BA" w:rsidRPr="00D84548" w14:paraId="2C8A1741" w14:textId="77777777" w:rsidTr="00DE0389">
        <w:tc>
          <w:tcPr>
            <w:tcW w:w="4698" w:type="dxa"/>
          </w:tcPr>
          <w:p w14:paraId="26116F98" w14:textId="77777777" w:rsidR="009B55BA" w:rsidRPr="00D84548" w:rsidRDefault="009B55BA" w:rsidP="00DE0389">
            <w:pPr>
              <w:tabs>
                <w:tab w:val="center" w:pos="4680"/>
              </w:tabs>
              <w:suppressAutoHyphens/>
              <w:rPr>
                <w:spacing w:val="-2"/>
              </w:rPr>
            </w:pPr>
            <w:r w:rsidRPr="00ED5746">
              <w:rPr>
                <w:spacing w:val="-2"/>
              </w:rPr>
              <w:t>In the Matter of</w:t>
            </w:r>
          </w:p>
          <w:p w14:paraId="05F2DCAF" w14:textId="77777777" w:rsidR="009B55BA" w:rsidRPr="00843A5F" w:rsidRDefault="009B55BA" w:rsidP="00DE0389">
            <w:pPr>
              <w:tabs>
                <w:tab w:val="center" w:pos="4680"/>
              </w:tabs>
              <w:suppressAutoHyphens/>
              <w:rPr>
                <w:spacing w:val="-2"/>
              </w:rPr>
            </w:pPr>
          </w:p>
          <w:p w14:paraId="5108DD78" w14:textId="77777777" w:rsidR="009B55BA" w:rsidRPr="00D84548" w:rsidRDefault="009B55BA" w:rsidP="00DE0389">
            <w:pPr>
              <w:autoSpaceDE w:val="0"/>
              <w:autoSpaceDN w:val="0"/>
              <w:adjustRightInd w:val="0"/>
            </w:pPr>
            <w:r>
              <w:rPr>
                <w:szCs w:val="22"/>
              </w:rPr>
              <w:t>ClipperData LLC</w:t>
            </w:r>
          </w:p>
        </w:tc>
        <w:tc>
          <w:tcPr>
            <w:tcW w:w="630" w:type="dxa"/>
          </w:tcPr>
          <w:p w14:paraId="5C2531C3" w14:textId="77777777" w:rsidR="009B55BA" w:rsidRPr="00D84548" w:rsidRDefault="009B55BA" w:rsidP="00DE0389">
            <w:pPr>
              <w:tabs>
                <w:tab w:val="center" w:pos="4680"/>
              </w:tabs>
              <w:suppressAutoHyphens/>
              <w:rPr>
                <w:b/>
                <w:spacing w:val="-2"/>
              </w:rPr>
            </w:pPr>
            <w:r w:rsidRPr="00D84548">
              <w:rPr>
                <w:b/>
                <w:spacing w:val="-2"/>
              </w:rPr>
              <w:t>)</w:t>
            </w:r>
          </w:p>
          <w:p w14:paraId="19F2F8A2" w14:textId="77777777" w:rsidR="009B55BA" w:rsidRPr="00D23E19" w:rsidRDefault="009B55BA" w:rsidP="00DE0389">
            <w:pPr>
              <w:tabs>
                <w:tab w:val="center" w:pos="4680"/>
              </w:tabs>
              <w:suppressAutoHyphens/>
              <w:rPr>
                <w:b/>
                <w:spacing w:val="-2"/>
              </w:rPr>
            </w:pPr>
            <w:r w:rsidRPr="00D84548">
              <w:rPr>
                <w:b/>
                <w:spacing w:val="-2"/>
              </w:rPr>
              <w:t>)</w:t>
            </w:r>
          </w:p>
          <w:p w14:paraId="19391CD2" w14:textId="77777777" w:rsidR="009B55BA" w:rsidRPr="00D23E19" w:rsidRDefault="009B55BA" w:rsidP="00DE0389">
            <w:pPr>
              <w:tabs>
                <w:tab w:val="center" w:pos="4680"/>
              </w:tabs>
              <w:suppressAutoHyphens/>
              <w:rPr>
                <w:b/>
                <w:spacing w:val="-2"/>
              </w:rPr>
            </w:pPr>
            <w:r w:rsidRPr="00D84548">
              <w:rPr>
                <w:b/>
                <w:spacing w:val="-2"/>
              </w:rPr>
              <w:t>)</w:t>
            </w:r>
          </w:p>
          <w:p w14:paraId="3F136015" w14:textId="77777777" w:rsidR="009B55BA" w:rsidRPr="00D23E19" w:rsidRDefault="009B55BA" w:rsidP="00DE0389">
            <w:pPr>
              <w:tabs>
                <w:tab w:val="center" w:pos="4680"/>
              </w:tabs>
              <w:suppressAutoHyphens/>
              <w:rPr>
                <w:b/>
                <w:spacing w:val="-2"/>
              </w:rPr>
            </w:pPr>
            <w:r w:rsidRPr="00D84548">
              <w:rPr>
                <w:b/>
                <w:spacing w:val="-2"/>
              </w:rPr>
              <w:t>)</w:t>
            </w:r>
          </w:p>
          <w:p w14:paraId="6559DD85" w14:textId="77777777" w:rsidR="009B55BA" w:rsidRPr="00D23E19" w:rsidRDefault="009B55BA" w:rsidP="00DE0389">
            <w:pPr>
              <w:tabs>
                <w:tab w:val="center" w:pos="4680"/>
              </w:tabs>
              <w:suppressAutoHyphens/>
              <w:rPr>
                <w:b/>
                <w:spacing w:val="-2"/>
              </w:rPr>
            </w:pPr>
            <w:r w:rsidRPr="00D84548">
              <w:rPr>
                <w:b/>
                <w:spacing w:val="-2"/>
              </w:rPr>
              <w:t>)</w:t>
            </w:r>
          </w:p>
          <w:p w14:paraId="439413A1" w14:textId="77777777" w:rsidR="009B55BA" w:rsidRPr="00D23E19" w:rsidRDefault="009B55BA" w:rsidP="00DE0389">
            <w:pPr>
              <w:tabs>
                <w:tab w:val="center" w:pos="4680"/>
              </w:tabs>
              <w:suppressAutoHyphens/>
              <w:rPr>
                <w:b/>
                <w:spacing w:val="-2"/>
              </w:rPr>
            </w:pPr>
          </w:p>
        </w:tc>
        <w:tc>
          <w:tcPr>
            <w:tcW w:w="4248" w:type="dxa"/>
          </w:tcPr>
          <w:p w14:paraId="22C1D8F0" w14:textId="77777777" w:rsidR="009B55BA" w:rsidRDefault="009B55BA" w:rsidP="00DE0389">
            <w:pPr>
              <w:tabs>
                <w:tab w:val="center" w:pos="4680"/>
              </w:tabs>
              <w:suppressAutoHyphens/>
              <w:ind w:left="432"/>
              <w:rPr>
                <w:spacing w:val="-2"/>
                <w:szCs w:val="22"/>
              </w:rPr>
            </w:pPr>
          </w:p>
          <w:p w14:paraId="01AC33AD" w14:textId="77777777" w:rsidR="009B55BA" w:rsidRDefault="009B55BA" w:rsidP="00DE0389">
            <w:pPr>
              <w:tabs>
                <w:tab w:val="center" w:pos="4680"/>
              </w:tabs>
              <w:suppressAutoHyphens/>
              <w:ind w:left="432"/>
              <w:rPr>
                <w:spacing w:val="-2"/>
                <w:szCs w:val="22"/>
              </w:rPr>
            </w:pPr>
          </w:p>
          <w:p w14:paraId="46472813" w14:textId="77777777" w:rsidR="009B55BA" w:rsidRPr="007C0B39" w:rsidRDefault="009B55BA" w:rsidP="00DE0389">
            <w:pPr>
              <w:tabs>
                <w:tab w:val="center" w:pos="4680"/>
              </w:tabs>
              <w:suppressAutoHyphens/>
              <w:ind w:left="432"/>
              <w:rPr>
                <w:spacing w:val="-2"/>
                <w:szCs w:val="22"/>
              </w:rPr>
            </w:pPr>
            <w:r w:rsidRPr="007C0B39">
              <w:rPr>
                <w:spacing w:val="-2"/>
                <w:szCs w:val="22"/>
              </w:rPr>
              <w:t xml:space="preserve">File No.:  </w:t>
            </w:r>
            <w:r>
              <w:rPr>
                <w:spacing w:val="-2"/>
                <w:szCs w:val="22"/>
              </w:rPr>
              <w:t>EB-SED-16-00021833</w:t>
            </w:r>
          </w:p>
          <w:p w14:paraId="32D92B89" w14:textId="77777777" w:rsidR="009B55BA" w:rsidRPr="007C0B39" w:rsidRDefault="009B55BA" w:rsidP="00DE0389">
            <w:pPr>
              <w:ind w:left="432"/>
              <w:rPr>
                <w:spacing w:val="-2"/>
                <w:szCs w:val="22"/>
              </w:rPr>
            </w:pPr>
            <w:r w:rsidRPr="007C0B39">
              <w:rPr>
                <w:spacing w:val="-2"/>
                <w:szCs w:val="22"/>
              </w:rPr>
              <w:t xml:space="preserve">Acct. No.: </w:t>
            </w:r>
            <w:r>
              <w:rPr>
                <w:spacing w:val="-2"/>
                <w:szCs w:val="22"/>
              </w:rPr>
              <w:t xml:space="preserve"> </w:t>
            </w:r>
            <w:r w:rsidRPr="00890DB7">
              <w:rPr>
                <w:spacing w:val="-2"/>
                <w:szCs w:val="22"/>
              </w:rPr>
              <w:t>201632100009</w:t>
            </w:r>
          </w:p>
          <w:p w14:paraId="5067EDF3" w14:textId="77777777" w:rsidR="009B55BA" w:rsidRDefault="009B55BA" w:rsidP="00DE0389">
            <w:pPr>
              <w:tabs>
                <w:tab w:val="center" w:pos="4680"/>
              </w:tabs>
              <w:suppressAutoHyphens/>
              <w:ind w:left="432"/>
              <w:rPr>
                <w:spacing w:val="-2"/>
                <w:szCs w:val="22"/>
              </w:rPr>
            </w:pPr>
            <w:r w:rsidRPr="007C0B39">
              <w:rPr>
                <w:szCs w:val="22"/>
              </w:rPr>
              <w:t xml:space="preserve">FRN:  </w:t>
            </w:r>
            <w:r w:rsidRPr="00955335">
              <w:rPr>
                <w:spacing w:val="-2"/>
                <w:szCs w:val="22"/>
                <w:lang w:val="es-ES_tradnl"/>
              </w:rPr>
              <w:t>00</w:t>
            </w:r>
            <w:r>
              <w:rPr>
                <w:spacing w:val="-2"/>
                <w:szCs w:val="22"/>
                <w:lang w:val="es-ES_tradnl"/>
              </w:rPr>
              <w:t>24475212</w:t>
            </w:r>
          </w:p>
        </w:tc>
        <w:tc>
          <w:tcPr>
            <w:tcW w:w="4248" w:type="dxa"/>
          </w:tcPr>
          <w:p w14:paraId="3E20728C" w14:textId="77777777" w:rsidR="009B55BA" w:rsidRDefault="009B55BA" w:rsidP="00DE0389">
            <w:pPr>
              <w:tabs>
                <w:tab w:val="center" w:pos="4680"/>
              </w:tabs>
              <w:suppressAutoHyphens/>
              <w:ind w:left="432"/>
              <w:rPr>
                <w:spacing w:val="-2"/>
                <w:szCs w:val="22"/>
              </w:rPr>
            </w:pPr>
          </w:p>
          <w:p w14:paraId="7DD73494" w14:textId="77777777" w:rsidR="009B55BA" w:rsidRDefault="009B55BA" w:rsidP="00DE0389">
            <w:pPr>
              <w:tabs>
                <w:tab w:val="center" w:pos="4680"/>
              </w:tabs>
              <w:suppressAutoHyphens/>
              <w:ind w:left="432"/>
              <w:rPr>
                <w:spacing w:val="-2"/>
                <w:szCs w:val="22"/>
              </w:rPr>
            </w:pPr>
          </w:p>
          <w:p w14:paraId="44091C29" w14:textId="77777777" w:rsidR="009B55BA" w:rsidRPr="00D84548" w:rsidRDefault="009B55BA" w:rsidP="00DE0389">
            <w:pPr>
              <w:tabs>
                <w:tab w:val="center" w:pos="4680"/>
              </w:tabs>
              <w:suppressAutoHyphens/>
              <w:ind w:left="432"/>
              <w:rPr>
                <w:snapToGrid/>
                <w:spacing w:val="-2"/>
              </w:rPr>
            </w:pPr>
          </w:p>
        </w:tc>
      </w:tr>
    </w:tbl>
    <w:p w14:paraId="48AAE198" w14:textId="77777777" w:rsidR="009B55BA" w:rsidRPr="00D84548" w:rsidRDefault="009B55BA" w:rsidP="009B55BA">
      <w:pPr>
        <w:jc w:val="center"/>
        <w:outlineLvl w:val="0"/>
        <w:rPr>
          <w:b/>
          <w:szCs w:val="22"/>
        </w:rPr>
      </w:pPr>
      <w:r w:rsidRPr="00D84548">
        <w:rPr>
          <w:b/>
          <w:szCs w:val="22"/>
        </w:rPr>
        <w:t>ORDER</w:t>
      </w:r>
    </w:p>
    <w:p w14:paraId="5E9D5AE9" w14:textId="77777777" w:rsidR="009B55BA" w:rsidRPr="00D84548" w:rsidRDefault="009B55BA" w:rsidP="009B55BA">
      <w:pPr>
        <w:tabs>
          <w:tab w:val="left" w:pos="-720"/>
        </w:tabs>
        <w:suppressAutoHyphens/>
        <w:spacing w:line="227" w:lineRule="auto"/>
        <w:rPr>
          <w:spacing w:val="-2"/>
        </w:rPr>
      </w:pPr>
    </w:p>
    <w:p w14:paraId="55B57C8D" w14:textId="05BA227E" w:rsidR="009B55BA" w:rsidRPr="00D84548" w:rsidRDefault="009B55BA" w:rsidP="009B55BA">
      <w:pPr>
        <w:tabs>
          <w:tab w:val="left" w:pos="720"/>
          <w:tab w:val="right" w:pos="9360"/>
        </w:tabs>
        <w:suppressAutoHyphens/>
        <w:spacing w:line="227" w:lineRule="auto"/>
        <w:rPr>
          <w:spacing w:val="-2"/>
        </w:rPr>
      </w:pPr>
      <w:r w:rsidRPr="00D84548">
        <w:rPr>
          <w:b/>
          <w:spacing w:val="-2"/>
        </w:rPr>
        <w:t xml:space="preserve">Adopted:  </w:t>
      </w:r>
      <w:r w:rsidR="00CD596C">
        <w:rPr>
          <w:b/>
          <w:spacing w:val="-2"/>
        </w:rPr>
        <w:t>August 29</w:t>
      </w:r>
      <w:r w:rsidRPr="00D84548">
        <w:rPr>
          <w:b/>
          <w:spacing w:val="-2"/>
        </w:rPr>
        <w:t>, 20</w:t>
      </w:r>
      <w:r>
        <w:rPr>
          <w:b/>
          <w:spacing w:val="-2"/>
        </w:rPr>
        <w:t>16</w:t>
      </w:r>
      <w:r w:rsidRPr="00D84548">
        <w:rPr>
          <w:b/>
          <w:spacing w:val="-2"/>
        </w:rPr>
        <w:tab/>
        <w:t xml:space="preserve">Released:  </w:t>
      </w:r>
      <w:r w:rsidR="002173DF">
        <w:rPr>
          <w:b/>
          <w:spacing w:val="-2"/>
        </w:rPr>
        <w:t>August 29</w:t>
      </w:r>
      <w:r>
        <w:rPr>
          <w:b/>
          <w:spacing w:val="-2"/>
        </w:rPr>
        <w:t>, 2016</w:t>
      </w:r>
    </w:p>
    <w:p w14:paraId="2E781A3F" w14:textId="77777777" w:rsidR="009B55BA" w:rsidRPr="00D84548" w:rsidRDefault="009B55BA" w:rsidP="009B55BA"/>
    <w:p w14:paraId="5093A160" w14:textId="77777777" w:rsidR="009B55BA" w:rsidRPr="00D84548" w:rsidRDefault="009B55BA" w:rsidP="009B55BA">
      <w:pPr>
        <w:rPr>
          <w:spacing w:val="-2"/>
        </w:rPr>
      </w:pPr>
      <w:r w:rsidRPr="00D84548">
        <w:rPr>
          <w:spacing w:val="-2"/>
          <w:szCs w:val="22"/>
        </w:rPr>
        <w:t>By the Chief, Enforcement Bureau:</w:t>
      </w:r>
    </w:p>
    <w:p w14:paraId="4AA2CC72" w14:textId="77777777" w:rsidR="009B55BA" w:rsidRPr="00D84548" w:rsidRDefault="009B55BA" w:rsidP="009B55BA"/>
    <w:p w14:paraId="628A12D2" w14:textId="77777777" w:rsidR="009B55BA" w:rsidRPr="002F19A3" w:rsidRDefault="009B55BA" w:rsidP="009B55BA">
      <w:pPr>
        <w:pStyle w:val="ParaNum"/>
        <w:widowControl/>
        <w:numPr>
          <w:ilvl w:val="0"/>
          <w:numId w:val="30"/>
        </w:numPr>
        <w:tabs>
          <w:tab w:val="clear" w:pos="1080"/>
          <w:tab w:val="left" w:pos="1440"/>
        </w:tabs>
      </w:pPr>
      <w:r w:rsidRPr="00D84548">
        <w:rPr>
          <w:szCs w:val="22"/>
        </w:rPr>
        <w:t xml:space="preserve">The Enforcement Bureau (Bureau) of the Federal Communications Commission has entered into a Consent Decree to resolve its investigation into whether </w:t>
      </w:r>
      <w:r>
        <w:rPr>
          <w:szCs w:val="22"/>
        </w:rPr>
        <w:t>ClipperData LLC</w:t>
      </w:r>
      <w:r w:rsidRPr="00464061">
        <w:rPr>
          <w:szCs w:val="22"/>
        </w:rPr>
        <w:t xml:space="preserve"> </w:t>
      </w:r>
      <w:r w:rsidRPr="00D84548">
        <w:rPr>
          <w:szCs w:val="22"/>
        </w:rPr>
        <w:t>(</w:t>
      </w:r>
      <w:r>
        <w:rPr>
          <w:szCs w:val="22"/>
        </w:rPr>
        <w:t xml:space="preserve">ClipperData), failed to obtain FCC authorization prior to operating </w:t>
      </w:r>
      <w:r>
        <w:t xml:space="preserve">Radio Frequency Identification (RFID) readers </w:t>
      </w:r>
      <w:r w:rsidRPr="006A3116">
        <w:t>near railways to monitor rail traffic in real time</w:t>
      </w:r>
      <w:r>
        <w:t>.</w:t>
      </w:r>
      <w:r>
        <w:rPr>
          <w:szCs w:val="22"/>
        </w:rPr>
        <w:t xml:space="preserve">  The regulations involved ensure that devices that emit radio frequency radiation comply with the Commission’s technical requirements and do not interfere with authorized communications.</w:t>
      </w:r>
    </w:p>
    <w:p w14:paraId="6600E139" w14:textId="77777777" w:rsidR="009B55BA" w:rsidRPr="00D009D5" w:rsidRDefault="009B55BA" w:rsidP="009B55BA">
      <w:pPr>
        <w:pStyle w:val="ParaNum"/>
        <w:widowControl/>
        <w:numPr>
          <w:ilvl w:val="0"/>
          <w:numId w:val="30"/>
        </w:numPr>
        <w:tabs>
          <w:tab w:val="clear" w:pos="1080"/>
          <w:tab w:val="left" w:pos="1440"/>
        </w:tabs>
      </w:pPr>
      <w:r>
        <w:rPr>
          <w:szCs w:val="22"/>
        </w:rPr>
        <w:t xml:space="preserve">To settle this matter, ClipperData admits that it operated the RFID readers without an authorization, and will pay a $195,000 civil penalty.  </w:t>
      </w:r>
      <w:r>
        <w:t xml:space="preserve">In assessing the civil penalty, the Bureau has taken into consideration the fact that ClipperData will relinquish its single existing Commission license, and should ClipperData seek a new license it would be obligated to implement a compliance plan for future licensed operations.  </w:t>
      </w:r>
    </w:p>
    <w:p w14:paraId="4ACD26DE" w14:textId="77777777" w:rsidR="009B55BA" w:rsidRPr="00D84548" w:rsidRDefault="009B55BA" w:rsidP="009B55BA">
      <w:pPr>
        <w:pStyle w:val="ParaNum"/>
        <w:widowControl/>
        <w:numPr>
          <w:ilvl w:val="0"/>
          <w:numId w:val="30"/>
        </w:numPr>
        <w:tabs>
          <w:tab w:val="clear" w:pos="1080"/>
          <w:tab w:val="left" w:pos="1440"/>
        </w:tabs>
        <w:rPr>
          <w:szCs w:val="22"/>
        </w:rPr>
      </w:pPr>
      <w:r w:rsidRPr="00D84548">
        <w:rPr>
          <w:szCs w:val="22"/>
        </w:rPr>
        <w:t xml:space="preserve">After reviewing the terms of the Consent Decree and evaluating the facts before us, we find that the public interest would be served by adopting the Consent Decree and terminating the referenced investigation regarding </w:t>
      </w:r>
      <w:r>
        <w:rPr>
          <w:szCs w:val="22"/>
        </w:rPr>
        <w:t>ClipperData</w:t>
      </w:r>
      <w:r w:rsidRPr="00D84548">
        <w:rPr>
          <w:szCs w:val="22"/>
        </w:rPr>
        <w:t>’s compliance with</w:t>
      </w:r>
      <w:r>
        <w:rPr>
          <w:szCs w:val="22"/>
        </w:rPr>
        <w:t xml:space="preserve"> Section 301 of the Communications Act of 1934,</w:t>
      </w:r>
      <w:r>
        <w:rPr>
          <w:rStyle w:val="FootnoteReference"/>
          <w:szCs w:val="22"/>
        </w:rPr>
        <w:footnoteReference w:id="2"/>
      </w:r>
      <w:r>
        <w:rPr>
          <w:szCs w:val="22"/>
        </w:rPr>
        <w:t xml:space="preserve"> as amended, and </w:t>
      </w:r>
      <w:r w:rsidRPr="00D84548">
        <w:rPr>
          <w:szCs w:val="22"/>
        </w:rPr>
        <w:t>Section</w:t>
      </w:r>
      <w:r>
        <w:rPr>
          <w:szCs w:val="22"/>
        </w:rPr>
        <w:t xml:space="preserve"> 1.903(a)</w:t>
      </w:r>
      <w:r w:rsidRPr="00D84548">
        <w:rPr>
          <w:szCs w:val="22"/>
        </w:rPr>
        <w:t xml:space="preserve"> of the Commission’s rules.</w:t>
      </w:r>
      <w:r w:rsidRPr="00D84548">
        <w:rPr>
          <w:rStyle w:val="FootnoteReference"/>
          <w:szCs w:val="22"/>
        </w:rPr>
        <w:footnoteReference w:id="3"/>
      </w:r>
    </w:p>
    <w:p w14:paraId="3B58E05A" w14:textId="77777777" w:rsidR="009B55BA" w:rsidRPr="00D84548" w:rsidRDefault="009B55BA" w:rsidP="009B55BA">
      <w:pPr>
        <w:pStyle w:val="ParaNum"/>
        <w:widowControl/>
        <w:numPr>
          <w:ilvl w:val="0"/>
          <w:numId w:val="30"/>
        </w:numPr>
        <w:tabs>
          <w:tab w:val="clear" w:pos="1080"/>
          <w:tab w:val="left" w:pos="1440"/>
        </w:tabs>
        <w:rPr>
          <w:szCs w:val="22"/>
        </w:rPr>
      </w:pPr>
      <w:r>
        <w:rPr>
          <w:szCs w:val="22"/>
        </w:rPr>
        <w:t>In the absence of material new evidence relating to this matter, we do not set for hearing the question of ClipperData’s basic qualifications to hold or obtain any Commission license or authorization.</w:t>
      </w:r>
      <w:r>
        <w:rPr>
          <w:rStyle w:val="FootnoteReference"/>
          <w:szCs w:val="22"/>
        </w:rPr>
        <w:footnoteReference w:id="4"/>
      </w:r>
    </w:p>
    <w:p w14:paraId="5BA39E08" w14:textId="77777777" w:rsidR="009B55BA" w:rsidRPr="00D84548" w:rsidRDefault="009B55BA" w:rsidP="009B55BA">
      <w:pPr>
        <w:pStyle w:val="ParaNum"/>
        <w:widowControl/>
        <w:numPr>
          <w:ilvl w:val="0"/>
          <w:numId w:val="30"/>
        </w:numPr>
        <w:tabs>
          <w:tab w:val="clear" w:pos="1080"/>
          <w:tab w:val="left" w:pos="1440"/>
        </w:tabs>
        <w:rPr>
          <w:szCs w:val="22"/>
        </w:rPr>
      </w:pPr>
      <w:r w:rsidRPr="00D84548">
        <w:rPr>
          <w:szCs w:val="22"/>
        </w:rPr>
        <w:t xml:space="preserve">Accordingly, </w:t>
      </w:r>
      <w:r w:rsidRPr="00D84548">
        <w:rPr>
          <w:b/>
          <w:szCs w:val="22"/>
        </w:rPr>
        <w:t xml:space="preserve">IT IS ORDERED </w:t>
      </w:r>
      <w:r>
        <w:rPr>
          <w:szCs w:val="22"/>
        </w:rPr>
        <w:t>that, pursuant to Section</w:t>
      </w:r>
      <w:r w:rsidRPr="00D84548">
        <w:rPr>
          <w:szCs w:val="22"/>
        </w:rPr>
        <w:t xml:space="preserve"> 4(i</w:t>
      </w:r>
      <w:r>
        <w:rPr>
          <w:szCs w:val="22"/>
        </w:rPr>
        <w:t>)</w:t>
      </w:r>
      <w:r w:rsidRPr="00D84548">
        <w:rPr>
          <w:szCs w:val="22"/>
        </w:rPr>
        <w:t xml:space="preserve"> of the Act</w:t>
      </w:r>
      <w:r w:rsidRPr="00D84548">
        <w:rPr>
          <w:rStyle w:val="FootnoteReference"/>
          <w:szCs w:val="22"/>
        </w:rPr>
        <w:footnoteReference w:id="5"/>
      </w:r>
      <w:r w:rsidRPr="00D84548">
        <w:rPr>
          <w:szCs w:val="22"/>
        </w:rPr>
        <w:t xml:space="preserve"> and the authority delegated by Sections 0.111 and 0.311 of the </w:t>
      </w:r>
      <w:r>
        <w:rPr>
          <w:szCs w:val="22"/>
        </w:rPr>
        <w:t>Commission’s r</w:t>
      </w:r>
      <w:r w:rsidRPr="00D84548">
        <w:rPr>
          <w:szCs w:val="22"/>
        </w:rPr>
        <w:t>ules,</w:t>
      </w:r>
      <w:r w:rsidRPr="00D84548">
        <w:rPr>
          <w:rStyle w:val="FootnoteReference"/>
          <w:szCs w:val="22"/>
        </w:rPr>
        <w:footnoteReference w:id="6"/>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14:paraId="2EF281BB" w14:textId="77777777" w:rsidR="009B55BA" w:rsidRPr="00FC0C91" w:rsidRDefault="009B55BA" w:rsidP="009B55BA">
      <w:pPr>
        <w:pStyle w:val="ParaNum"/>
        <w:widowControl/>
        <w:numPr>
          <w:ilvl w:val="0"/>
          <w:numId w:val="30"/>
        </w:numPr>
        <w:tabs>
          <w:tab w:val="clear" w:pos="1080"/>
          <w:tab w:val="left" w:pos="1440"/>
        </w:tabs>
        <w:rPr>
          <w:b/>
        </w:rPr>
      </w:pPr>
      <w:r w:rsidRPr="00D84548">
        <w:rPr>
          <w:b/>
        </w:rPr>
        <w:t>IT IS FURTHER ORDERED</w:t>
      </w:r>
      <w:r w:rsidRPr="00D84548">
        <w:t xml:space="preserve"> that the above-captioned matter </w:t>
      </w:r>
      <w:r w:rsidRPr="00D84548">
        <w:rPr>
          <w:b/>
        </w:rPr>
        <w:t xml:space="preserve">IS TERMINATED </w:t>
      </w:r>
      <w:r>
        <w:t>in accordance with the terms of the attached Consent Decree</w:t>
      </w:r>
      <w:r w:rsidRPr="00D84548">
        <w:t>.</w:t>
      </w:r>
      <w:r>
        <w:t xml:space="preserve">  </w:t>
      </w:r>
    </w:p>
    <w:p w14:paraId="2867C132" w14:textId="77777777" w:rsidR="009B55BA" w:rsidRPr="00FC0C91" w:rsidRDefault="009B55BA" w:rsidP="009B55BA">
      <w:pPr>
        <w:pStyle w:val="ParaNum"/>
        <w:widowControl/>
        <w:numPr>
          <w:ilvl w:val="0"/>
          <w:numId w:val="30"/>
        </w:numPr>
        <w:tabs>
          <w:tab w:val="clear" w:pos="1080"/>
          <w:tab w:val="left" w:pos="1440"/>
        </w:tabs>
        <w:rPr>
          <w:b/>
        </w:rPr>
      </w:pPr>
      <w:r w:rsidRPr="00FC0C91">
        <w:rPr>
          <w:b/>
        </w:rPr>
        <w:t>IT IS FURTHER ORDERED</w:t>
      </w:r>
      <w:r w:rsidRPr="00D84548">
        <w:t xml:space="preserve"> that a copy of this Order and Consent Decree </w:t>
      </w:r>
      <w:r w:rsidRPr="00FC0C91">
        <w:rPr>
          <w:color w:val="000000" w:themeColor="text1"/>
          <w:szCs w:val="22"/>
        </w:rPr>
        <w:t xml:space="preserve">shall be sent by first class mail and certified mail, return receipt requested, to </w:t>
      </w:r>
      <w:r>
        <w:rPr>
          <w:color w:val="000000" w:themeColor="text1"/>
          <w:szCs w:val="22"/>
        </w:rPr>
        <w:t>Sterling Lapinski</w:t>
      </w:r>
      <w:r w:rsidRPr="00FC0C91">
        <w:rPr>
          <w:snapToGrid/>
          <w:kern w:val="0"/>
        </w:rPr>
        <w:t xml:space="preserve">, </w:t>
      </w:r>
      <w:r>
        <w:rPr>
          <w:snapToGrid/>
          <w:kern w:val="0"/>
        </w:rPr>
        <w:t>Chief Executive Officer</w:t>
      </w:r>
      <w:r>
        <w:t>, ClipperData LLC</w:t>
      </w:r>
      <w:r w:rsidRPr="00FC0C91">
        <w:rPr>
          <w:color w:val="000000" w:themeColor="text1"/>
          <w:szCs w:val="22"/>
        </w:rPr>
        <w:t xml:space="preserve">, </w:t>
      </w:r>
      <w:r>
        <w:rPr>
          <w:color w:val="000000" w:themeColor="text1"/>
          <w:szCs w:val="22"/>
        </w:rPr>
        <w:t>1115 Broadway</w:t>
      </w:r>
      <w:r w:rsidRPr="00434996">
        <w:t xml:space="preserve">, </w:t>
      </w:r>
      <w:r>
        <w:t>New York</w:t>
      </w:r>
      <w:r w:rsidRPr="00434996">
        <w:t xml:space="preserve">, </w:t>
      </w:r>
      <w:r>
        <w:t>NY</w:t>
      </w:r>
      <w:r w:rsidRPr="00434996">
        <w:t xml:space="preserve">, </w:t>
      </w:r>
      <w:r>
        <w:t>10010</w:t>
      </w:r>
      <w:r w:rsidRPr="00434996">
        <w:t>,</w:t>
      </w:r>
      <w:r>
        <w:t xml:space="preserve"> </w:t>
      </w:r>
      <w:r w:rsidRPr="00FC0C91">
        <w:rPr>
          <w:szCs w:val="22"/>
        </w:rPr>
        <w:t>and t</w:t>
      </w:r>
      <w:r w:rsidRPr="00FC0C91">
        <w:rPr>
          <w:color w:val="000000" w:themeColor="text1"/>
          <w:szCs w:val="22"/>
        </w:rPr>
        <w:t xml:space="preserve">o </w:t>
      </w:r>
      <w:r w:rsidRPr="00FC0C91">
        <w:rPr>
          <w:szCs w:val="22"/>
        </w:rPr>
        <w:t xml:space="preserve">counsel for </w:t>
      </w:r>
      <w:r>
        <w:rPr>
          <w:szCs w:val="22"/>
        </w:rPr>
        <w:t>ClipperData LLC</w:t>
      </w:r>
      <w:r w:rsidRPr="00FC0C91">
        <w:rPr>
          <w:szCs w:val="22"/>
        </w:rPr>
        <w:t xml:space="preserve">, </w:t>
      </w:r>
      <w:r>
        <w:rPr>
          <w:szCs w:val="22"/>
        </w:rPr>
        <w:lastRenderedPageBreak/>
        <w:t>Jonathan V. Cohen</w:t>
      </w:r>
      <w:r w:rsidRPr="00FC0C91">
        <w:rPr>
          <w:color w:val="000000" w:themeColor="text1"/>
          <w:szCs w:val="22"/>
        </w:rPr>
        <w:t xml:space="preserve">, </w:t>
      </w:r>
      <w:r>
        <w:rPr>
          <w:color w:val="000000" w:themeColor="text1"/>
          <w:szCs w:val="22"/>
        </w:rPr>
        <w:t>Wilkinson</w:t>
      </w:r>
      <w:r w:rsidRPr="00FC0C91">
        <w:rPr>
          <w:color w:val="000000" w:themeColor="text1"/>
          <w:szCs w:val="22"/>
        </w:rPr>
        <w:t xml:space="preserve">, </w:t>
      </w:r>
      <w:r>
        <w:rPr>
          <w:color w:val="000000" w:themeColor="text1"/>
          <w:szCs w:val="22"/>
        </w:rPr>
        <w:t>Barker, Knauer</w:t>
      </w:r>
      <w:r w:rsidRPr="00FC0C91">
        <w:rPr>
          <w:color w:val="000000" w:themeColor="text1"/>
          <w:szCs w:val="22"/>
        </w:rPr>
        <w:t>, LLP, 1</w:t>
      </w:r>
      <w:r>
        <w:rPr>
          <w:color w:val="000000" w:themeColor="text1"/>
          <w:szCs w:val="22"/>
        </w:rPr>
        <w:t>800</w:t>
      </w:r>
      <w:r w:rsidRPr="00FC0C91">
        <w:rPr>
          <w:color w:val="000000" w:themeColor="text1"/>
          <w:szCs w:val="22"/>
        </w:rPr>
        <w:t xml:space="preserve"> M St., NW, </w:t>
      </w:r>
      <w:r>
        <w:rPr>
          <w:color w:val="000000" w:themeColor="text1"/>
          <w:szCs w:val="22"/>
        </w:rPr>
        <w:t>Suite 800N</w:t>
      </w:r>
      <w:r w:rsidRPr="00FC0C91">
        <w:rPr>
          <w:color w:val="000000" w:themeColor="text1"/>
          <w:szCs w:val="22"/>
        </w:rPr>
        <w:t xml:space="preserve">, Washington, DC, 20036. </w:t>
      </w:r>
    </w:p>
    <w:p w14:paraId="2F6B61F9" w14:textId="77777777" w:rsidR="009B55BA" w:rsidRDefault="009B55BA" w:rsidP="009B55BA">
      <w:pPr>
        <w:pStyle w:val="ParaNum"/>
        <w:numPr>
          <w:ilvl w:val="0"/>
          <w:numId w:val="0"/>
        </w:numPr>
        <w:tabs>
          <w:tab w:val="left" w:pos="1440"/>
        </w:tabs>
        <w:spacing w:after="240"/>
        <w:ind w:left="720"/>
        <w:rPr>
          <w:b/>
        </w:rPr>
      </w:pPr>
    </w:p>
    <w:p w14:paraId="459A59E2" w14:textId="77777777" w:rsidR="009B55BA" w:rsidRPr="00EF505E" w:rsidRDefault="009B55BA" w:rsidP="009B55BA">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4D77176E" w14:textId="77777777" w:rsidR="009B55BA" w:rsidRPr="00EF505E" w:rsidRDefault="009B55BA" w:rsidP="009B55BA">
      <w:pPr>
        <w:rPr>
          <w:szCs w:val="22"/>
          <w:lang w:val="fr-FR"/>
        </w:rPr>
      </w:pPr>
    </w:p>
    <w:p w14:paraId="6CCAB91D" w14:textId="77777777" w:rsidR="009B55BA" w:rsidRPr="00EF505E" w:rsidRDefault="009B55BA" w:rsidP="009B55BA">
      <w:pPr>
        <w:rPr>
          <w:szCs w:val="22"/>
          <w:lang w:val="fr-FR"/>
        </w:rPr>
      </w:pPr>
    </w:p>
    <w:p w14:paraId="382C8BCA" w14:textId="77777777" w:rsidR="009B55BA" w:rsidRPr="00EF505E" w:rsidRDefault="009B55BA" w:rsidP="009B55BA">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1FFBA0C6" w14:textId="77777777" w:rsidR="009B55BA" w:rsidRPr="00EF505E" w:rsidRDefault="009B55BA" w:rsidP="009B55BA">
      <w:pPr>
        <w:outlineLvl w:val="0"/>
        <w:rPr>
          <w:szCs w:val="22"/>
          <w:lang w:val="fr-FR"/>
        </w:rPr>
      </w:pPr>
    </w:p>
    <w:p w14:paraId="13537DFC" w14:textId="77777777" w:rsidR="009B55BA" w:rsidRDefault="009B55BA" w:rsidP="009B55BA">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Travis LeBlanc</w:t>
      </w:r>
    </w:p>
    <w:p w14:paraId="0514ECEA" w14:textId="77777777" w:rsidR="009B55BA" w:rsidRDefault="009B55BA" w:rsidP="009B55BA">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 xml:space="preserve">hief </w:t>
      </w:r>
    </w:p>
    <w:p w14:paraId="3CDFA1B0" w14:textId="0ED1819C" w:rsidR="009B55BA" w:rsidRDefault="009B55BA" w:rsidP="009B55BA">
      <w:pPr>
        <w:ind w:left="2880" w:firstLine="720"/>
        <w:rPr>
          <w:rFonts w:ascii="Times New Roman Bold" w:hAnsi="Times New Roman Bold"/>
          <w:b/>
          <w:kern w:val="0"/>
          <w:szCs w:val="22"/>
        </w:rPr>
      </w:pPr>
      <w:r>
        <w:rPr>
          <w:szCs w:val="22"/>
        </w:rPr>
        <w:t>Enforcement Bureau</w:t>
      </w:r>
    </w:p>
    <w:p w14:paraId="6A4AB56D" w14:textId="77777777" w:rsidR="009B55BA" w:rsidRDefault="009B55BA" w:rsidP="005B4F0E">
      <w:pPr>
        <w:jc w:val="center"/>
        <w:rPr>
          <w:rFonts w:ascii="Times New Roman Bold" w:hAnsi="Times New Roman Bold"/>
          <w:b/>
          <w:kern w:val="0"/>
          <w:szCs w:val="22"/>
        </w:rPr>
      </w:pPr>
    </w:p>
    <w:p w14:paraId="4F1F044B" w14:textId="77777777" w:rsidR="009B55BA" w:rsidRDefault="009B55BA" w:rsidP="005B4F0E">
      <w:pPr>
        <w:jc w:val="center"/>
        <w:rPr>
          <w:rFonts w:ascii="Times New Roman Bold" w:hAnsi="Times New Roman Bold"/>
          <w:b/>
          <w:kern w:val="0"/>
          <w:szCs w:val="22"/>
        </w:rPr>
      </w:pPr>
    </w:p>
    <w:p w14:paraId="73F48816" w14:textId="77777777" w:rsidR="009B55BA" w:rsidRDefault="009B55BA" w:rsidP="005B4F0E">
      <w:pPr>
        <w:jc w:val="center"/>
        <w:rPr>
          <w:rFonts w:ascii="Times New Roman Bold" w:hAnsi="Times New Roman Bold"/>
          <w:b/>
          <w:kern w:val="0"/>
          <w:szCs w:val="22"/>
        </w:rPr>
      </w:pPr>
    </w:p>
    <w:p w14:paraId="0715A1D7" w14:textId="77777777" w:rsidR="009B55BA" w:rsidRDefault="009B55BA" w:rsidP="005B4F0E">
      <w:pPr>
        <w:jc w:val="center"/>
        <w:rPr>
          <w:rFonts w:ascii="Times New Roman Bold" w:hAnsi="Times New Roman Bold"/>
          <w:b/>
          <w:kern w:val="0"/>
          <w:szCs w:val="22"/>
        </w:rPr>
      </w:pPr>
    </w:p>
    <w:p w14:paraId="63EE73AB" w14:textId="77777777" w:rsidR="009B55BA" w:rsidRDefault="009B55BA" w:rsidP="005B4F0E">
      <w:pPr>
        <w:jc w:val="center"/>
        <w:rPr>
          <w:rFonts w:ascii="Times New Roman Bold" w:hAnsi="Times New Roman Bold"/>
          <w:b/>
          <w:kern w:val="0"/>
          <w:szCs w:val="22"/>
        </w:rPr>
      </w:pPr>
    </w:p>
    <w:p w14:paraId="4DD85AA9" w14:textId="77777777" w:rsidR="009B55BA" w:rsidRDefault="009B55BA" w:rsidP="005B4F0E">
      <w:pPr>
        <w:jc w:val="center"/>
        <w:rPr>
          <w:rFonts w:ascii="Times New Roman Bold" w:hAnsi="Times New Roman Bold"/>
          <w:b/>
          <w:kern w:val="0"/>
          <w:szCs w:val="22"/>
        </w:rPr>
      </w:pPr>
    </w:p>
    <w:p w14:paraId="001AE2AF" w14:textId="77777777" w:rsidR="009B55BA" w:rsidRDefault="009B55BA" w:rsidP="005B4F0E">
      <w:pPr>
        <w:jc w:val="center"/>
        <w:rPr>
          <w:rFonts w:ascii="Times New Roman Bold" w:hAnsi="Times New Roman Bold"/>
          <w:b/>
          <w:kern w:val="0"/>
          <w:szCs w:val="22"/>
        </w:rPr>
      </w:pPr>
    </w:p>
    <w:p w14:paraId="22770C86" w14:textId="77777777" w:rsidR="009B55BA" w:rsidRDefault="009B55BA" w:rsidP="005B4F0E">
      <w:pPr>
        <w:jc w:val="center"/>
        <w:rPr>
          <w:rFonts w:ascii="Times New Roman Bold" w:hAnsi="Times New Roman Bold"/>
          <w:b/>
          <w:kern w:val="0"/>
          <w:szCs w:val="22"/>
        </w:rPr>
      </w:pPr>
    </w:p>
    <w:p w14:paraId="4C2825F4" w14:textId="77777777" w:rsidR="009B55BA" w:rsidRDefault="009B55BA" w:rsidP="005B4F0E">
      <w:pPr>
        <w:jc w:val="center"/>
        <w:rPr>
          <w:rFonts w:ascii="Times New Roman Bold" w:hAnsi="Times New Roman Bold"/>
          <w:b/>
          <w:kern w:val="0"/>
          <w:szCs w:val="22"/>
        </w:rPr>
      </w:pPr>
    </w:p>
    <w:p w14:paraId="3B44EF7C" w14:textId="77777777" w:rsidR="009B55BA" w:rsidRDefault="009B55BA" w:rsidP="005B4F0E">
      <w:pPr>
        <w:jc w:val="center"/>
        <w:rPr>
          <w:rFonts w:ascii="Times New Roman Bold" w:hAnsi="Times New Roman Bold"/>
          <w:b/>
          <w:kern w:val="0"/>
          <w:szCs w:val="22"/>
        </w:rPr>
      </w:pPr>
    </w:p>
    <w:p w14:paraId="5EA44CD3" w14:textId="77777777" w:rsidR="009B55BA" w:rsidRDefault="009B55BA" w:rsidP="005B4F0E">
      <w:pPr>
        <w:jc w:val="center"/>
        <w:rPr>
          <w:rFonts w:ascii="Times New Roman Bold" w:hAnsi="Times New Roman Bold"/>
          <w:b/>
          <w:kern w:val="0"/>
          <w:szCs w:val="22"/>
        </w:rPr>
      </w:pPr>
    </w:p>
    <w:p w14:paraId="60242041" w14:textId="77777777" w:rsidR="009B55BA" w:rsidRDefault="009B55BA" w:rsidP="005B4F0E">
      <w:pPr>
        <w:jc w:val="center"/>
        <w:rPr>
          <w:rFonts w:ascii="Times New Roman Bold" w:hAnsi="Times New Roman Bold"/>
          <w:b/>
          <w:kern w:val="0"/>
          <w:szCs w:val="22"/>
        </w:rPr>
      </w:pPr>
    </w:p>
    <w:p w14:paraId="64F64324" w14:textId="77777777" w:rsidR="009B55BA" w:rsidRDefault="009B55BA" w:rsidP="005B4F0E">
      <w:pPr>
        <w:jc w:val="center"/>
        <w:rPr>
          <w:rFonts w:ascii="Times New Roman Bold" w:hAnsi="Times New Roman Bold"/>
          <w:b/>
          <w:kern w:val="0"/>
          <w:szCs w:val="22"/>
        </w:rPr>
      </w:pPr>
    </w:p>
    <w:p w14:paraId="567A9AA3" w14:textId="77777777" w:rsidR="009B55BA" w:rsidRDefault="009B55BA" w:rsidP="005B4F0E">
      <w:pPr>
        <w:jc w:val="center"/>
        <w:rPr>
          <w:rFonts w:ascii="Times New Roman Bold" w:hAnsi="Times New Roman Bold"/>
          <w:b/>
          <w:kern w:val="0"/>
          <w:szCs w:val="22"/>
        </w:rPr>
      </w:pPr>
    </w:p>
    <w:p w14:paraId="388B41E5" w14:textId="77777777" w:rsidR="009B55BA" w:rsidRDefault="009B55BA" w:rsidP="005B4F0E">
      <w:pPr>
        <w:jc w:val="center"/>
        <w:rPr>
          <w:rFonts w:ascii="Times New Roman Bold" w:hAnsi="Times New Roman Bold"/>
          <w:b/>
          <w:kern w:val="0"/>
          <w:szCs w:val="22"/>
        </w:rPr>
      </w:pPr>
    </w:p>
    <w:p w14:paraId="516BD07F" w14:textId="77777777" w:rsidR="009B55BA" w:rsidRDefault="009B55BA" w:rsidP="005B4F0E">
      <w:pPr>
        <w:jc w:val="center"/>
        <w:rPr>
          <w:rFonts w:ascii="Times New Roman Bold" w:hAnsi="Times New Roman Bold"/>
          <w:b/>
          <w:kern w:val="0"/>
          <w:szCs w:val="22"/>
        </w:rPr>
      </w:pPr>
    </w:p>
    <w:p w14:paraId="302A7DF7" w14:textId="77777777" w:rsidR="009B55BA" w:rsidRDefault="009B55BA" w:rsidP="005B4F0E">
      <w:pPr>
        <w:jc w:val="center"/>
        <w:rPr>
          <w:rFonts w:ascii="Times New Roman Bold" w:hAnsi="Times New Roman Bold"/>
          <w:b/>
          <w:kern w:val="0"/>
          <w:szCs w:val="22"/>
        </w:rPr>
      </w:pPr>
    </w:p>
    <w:p w14:paraId="692F40CC" w14:textId="77777777" w:rsidR="009B55BA" w:rsidRDefault="009B55BA" w:rsidP="005B4F0E">
      <w:pPr>
        <w:jc w:val="center"/>
        <w:rPr>
          <w:rFonts w:ascii="Times New Roman Bold" w:hAnsi="Times New Roman Bold"/>
          <w:b/>
          <w:kern w:val="0"/>
          <w:szCs w:val="22"/>
        </w:rPr>
      </w:pPr>
    </w:p>
    <w:p w14:paraId="54D5CAAB" w14:textId="77777777" w:rsidR="009B55BA" w:rsidRDefault="009B55BA" w:rsidP="005B4F0E">
      <w:pPr>
        <w:jc w:val="center"/>
        <w:rPr>
          <w:rFonts w:ascii="Times New Roman Bold" w:hAnsi="Times New Roman Bold"/>
          <w:b/>
          <w:kern w:val="0"/>
          <w:szCs w:val="22"/>
        </w:rPr>
      </w:pPr>
    </w:p>
    <w:p w14:paraId="33E2193A" w14:textId="77777777" w:rsidR="009B55BA" w:rsidRDefault="009B55BA" w:rsidP="005B4F0E">
      <w:pPr>
        <w:jc w:val="center"/>
        <w:rPr>
          <w:rFonts w:ascii="Times New Roman Bold" w:hAnsi="Times New Roman Bold"/>
          <w:b/>
          <w:kern w:val="0"/>
          <w:szCs w:val="22"/>
        </w:rPr>
      </w:pPr>
    </w:p>
    <w:p w14:paraId="03EE82FE" w14:textId="77777777" w:rsidR="009B55BA" w:rsidRDefault="009B55BA" w:rsidP="005B4F0E">
      <w:pPr>
        <w:jc w:val="center"/>
        <w:rPr>
          <w:rFonts w:ascii="Times New Roman Bold" w:hAnsi="Times New Roman Bold"/>
          <w:b/>
          <w:kern w:val="0"/>
          <w:szCs w:val="22"/>
        </w:rPr>
      </w:pPr>
    </w:p>
    <w:p w14:paraId="7023F13C" w14:textId="77777777" w:rsidR="009B55BA" w:rsidRDefault="009B55BA" w:rsidP="005B4F0E">
      <w:pPr>
        <w:jc w:val="center"/>
        <w:rPr>
          <w:rFonts w:ascii="Times New Roman Bold" w:hAnsi="Times New Roman Bold"/>
          <w:b/>
          <w:kern w:val="0"/>
          <w:szCs w:val="22"/>
        </w:rPr>
      </w:pPr>
    </w:p>
    <w:p w14:paraId="2DEA7605" w14:textId="77777777" w:rsidR="009B55BA" w:rsidRDefault="009B55BA" w:rsidP="005B4F0E">
      <w:pPr>
        <w:jc w:val="center"/>
        <w:rPr>
          <w:rFonts w:ascii="Times New Roman Bold" w:hAnsi="Times New Roman Bold"/>
          <w:b/>
          <w:kern w:val="0"/>
          <w:szCs w:val="22"/>
        </w:rPr>
      </w:pPr>
    </w:p>
    <w:p w14:paraId="16BE74F6" w14:textId="77777777" w:rsidR="009B55BA" w:rsidRDefault="009B55BA" w:rsidP="005B4F0E">
      <w:pPr>
        <w:jc w:val="center"/>
        <w:rPr>
          <w:rFonts w:ascii="Times New Roman Bold" w:hAnsi="Times New Roman Bold"/>
          <w:b/>
          <w:kern w:val="0"/>
          <w:szCs w:val="22"/>
        </w:rPr>
      </w:pPr>
    </w:p>
    <w:p w14:paraId="2399BE5C" w14:textId="77777777" w:rsidR="009B55BA" w:rsidRDefault="009B55BA" w:rsidP="005B4F0E">
      <w:pPr>
        <w:jc w:val="center"/>
        <w:rPr>
          <w:rFonts w:ascii="Times New Roman Bold" w:hAnsi="Times New Roman Bold"/>
          <w:b/>
          <w:kern w:val="0"/>
          <w:szCs w:val="22"/>
        </w:rPr>
      </w:pPr>
    </w:p>
    <w:p w14:paraId="5C28A3B7" w14:textId="77777777" w:rsidR="009B55BA" w:rsidRDefault="009B55BA" w:rsidP="005B4F0E">
      <w:pPr>
        <w:jc w:val="center"/>
        <w:rPr>
          <w:rFonts w:ascii="Times New Roman Bold" w:hAnsi="Times New Roman Bold"/>
          <w:b/>
          <w:kern w:val="0"/>
          <w:szCs w:val="22"/>
        </w:rPr>
      </w:pPr>
    </w:p>
    <w:p w14:paraId="1E1D8A96" w14:textId="77777777" w:rsidR="009B55BA" w:rsidRDefault="009B55BA" w:rsidP="005B4F0E">
      <w:pPr>
        <w:jc w:val="center"/>
        <w:rPr>
          <w:rFonts w:ascii="Times New Roman Bold" w:hAnsi="Times New Roman Bold"/>
          <w:b/>
          <w:kern w:val="0"/>
          <w:szCs w:val="22"/>
        </w:rPr>
      </w:pPr>
    </w:p>
    <w:p w14:paraId="6E5A4D91" w14:textId="77777777" w:rsidR="009B55BA" w:rsidRDefault="009B55BA" w:rsidP="005B4F0E">
      <w:pPr>
        <w:jc w:val="center"/>
        <w:rPr>
          <w:rFonts w:ascii="Times New Roman Bold" w:hAnsi="Times New Roman Bold"/>
          <w:b/>
          <w:kern w:val="0"/>
          <w:szCs w:val="22"/>
        </w:rPr>
      </w:pPr>
    </w:p>
    <w:p w14:paraId="195EB2E8" w14:textId="77777777" w:rsidR="009B55BA" w:rsidRDefault="009B55BA" w:rsidP="005B4F0E">
      <w:pPr>
        <w:jc w:val="center"/>
        <w:rPr>
          <w:rFonts w:ascii="Times New Roman Bold" w:hAnsi="Times New Roman Bold"/>
          <w:b/>
          <w:kern w:val="0"/>
          <w:szCs w:val="22"/>
        </w:rPr>
      </w:pPr>
    </w:p>
    <w:p w14:paraId="6102323D" w14:textId="77777777" w:rsidR="009B55BA" w:rsidRDefault="009B55BA" w:rsidP="005B4F0E">
      <w:pPr>
        <w:jc w:val="center"/>
        <w:rPr>
          <w:rFonts w:ascii="Times New Roman Bold" w:hAnsi="Times New Roman Bold"/>
          <w:b/>
          <w:kern w:val="0"/>
          <w:szCs w:val="22"/>
        </w:rPr>
      </w:pPr>
    </w:p>
    <w:p w14:paraId="2C4E44B3" w14:textId="77777777" w:rsidR="009B55BA" w:rsidRDefault="009B55BA" w:rsidP="005B4F0E">
      <w:pPr>
        <w:jc w:val="center"/>
        <w:rPr>
          <w:rFonts w:ascii="Times New Roman Bold" w:hAnsi="Times New Roman Bold"/>
          <w:b/>
          <w:kern w:val="0"/>
          <w:szCs w:val="22"/>
        </w:rPr>
      </w:pPr>
    </w:p>
    <w:p w14:paraId="51AE4824" w14:textId="77777777" w:rsidR="009B55BA" w:rsidRDefault="009B55BA" w:rsidP="005B4F0E">
      <w:pPr>
        <w:jc w:val="center"/>
        <w:rPr>
          <w:rFonts w:ascii="Times New Roman Bold" w:hAnsi="Times New Roman Bold"/>
          <w:b/>
          <w:kern w:val="0"/>
          <w:szCs w:val="22"/>
        </w:rPr>
      </w:pPr>
    </w:p>
    <w:p w14:paraId="26126100" w14:textId="77777777" w:rsidR="009B55BA" w:rsidRDefault="009B55BA" w:rsidP="005B4F0E">
      <w:pPr>
        <w:jc w:val="center"/>
        <w:rPr>
          <w:rFonts w:ascii="Times New Roman Bold" w:hAnsi="Times New Roman Bold"/>
          <w:b/>
          <w:kern w:val="0"/>
          <w:szCs w:val="22"/>
        </w:rPr>
      </w:pPr>
    </w:p>
    <w:p w14:paraId="2A200143" w14:textId="77777777" w:rsidR="009B55BA" w:rsidRDefault="009B55BA" w:rsidP="005B4F0E">
      <w:pPr>
        <w:jc w:val="center"/>
        <w:rPr>
          <w:rFonts w:ascii="Times New Roman Bold" w:hAnsi="Times New Roman Bold"/>
          <w:b/>
          <w:kern w:val="0"/>
          <w:szCs w:val="22"/>
        </w:rPr>
      </w:pPr>
    </w:p>
    <w:p w14:paraId="28DD2D06" w14:textId="77777777" w:rsidR="009B55BA" w:rsidRDefault="009B55BA" w:rsidP="005B4F0E">
      <w:pPr>
        <w:jc w:val="center"/>
        <w:rPr>
          <w:rFonts w:ascii="Times New Roman Bold" w:hAnsi="Times New Roman Bold"/>
          <w:b/>
          <w:kern w:val="0"/>
          <w:szCs w:val="22"/>
        </w:rPr>
      </w:pPr>
    </w:p>
    <w:p w14:paraId="4815162C" w14:textId="77777777" w:rsidR="009B55BA" w:rsidRDefault="009B55BA" w:rsidP="005B4F0E">
      <w:pPr>
        <w:jc w:val="center"/>
        <w:rPr>
          <w:rFonts w:ascii="Times New Roman Bold" w:hAnsi="Times New Roman Bold"/>
          <w:b/>
          <w:kern w:val="0"/>
          <w:szCs w:val="22"/>
        </w:rPr>
      </w:pPr>
    </w:p>
    <w:p w14:paraId="6C006B66" w14:textId="77777777" w:rsidR="009B55BA" w:rsidRDefault="009B55BA" w:rsidP="005B4F0E">
      <w:pPr>
        <w:jc w:val="center"/>
        <w:rPr>
          <w:rFonts w:ascii="Times New Roman Bold" w:hAnsi="Times New Roman Bold"/>
          <w:b/>
          <w:kern w:val="0"/>
          <w:szCs w:val="22"/>
        </w:rPr>
      </w:pPr>
    </w:p>
    <w:p w14:paraId="67252AF4" w14:textId="77777777" w:rsidR="009B55BA" w:rsidRDefault="009B55BA" w:rsidP="005B4F0E">
      <w:pPr>
        <w:jc w:val="center"/>
        <w:rPr>
          <w:rFonts w:ascii="Times New Roman Bold" w:hAnsi="Times New Roman Bold"/>
          <w:b/>
          <w:kern w:val="0"/>
          <w:szCs w:val="22"/>
        </w:rPr>
      </w:pPr>
    </w:p>
    <w:p w14:paraId="17EDB912" w14:textId="77777777" w:rsidR="009B55BA" w:rsidRDefault="009B55BA" w:rsidP="005B4F0E">
      <w:pPr>
        <w:jc w:val="center"/>
        <w:rPr>
          <w:rFonts w:ascii="Times New Roman Bold" w:hAnsi="Times New Roman Bold"/>
          <w:b/>
          <w:kern w:val="0"/>
          <w:szCs w:val="22"/>
        </w:rPr>
      </w:pPr>
    </w:p>
    <w:p w14:paraId="15E1A6A2" w14:textId="77777777" w:rsidR="009B55BA" w:rsidRDefault="009B55BA" w:rsidP="005B4F0E">
      <w:pPr>
        <w:jc w:val="center"/>
        <w:rPr>
          <w:rFonts w:ascii="Times New Roman Bold" w:hAnsi="Times New Roman Bold"/>
          <w:b/>
          <w:kern w:val="0"/>
          <w:szCs w:val="22"/>
        </w:rPr>
      </w:pPr>
    </w:p>
    <w:p w14:paraId="0CC24615" w14:textId="77777777" w:rsidR="009B55BA" w:rsidRDefault="009B55BA" w:rsidP="005B4F0E">
      <w:pPr>
        <w:jc w:val="center"/>
        <w:rPr>
          <w:rFonts w:ascii="Times New Roman Bold" w:hAnsi="Times New Roman Bold"/>
          <w:b/>
          <w:kern w:val="0"/>
          <w:szCs w:val="22"/>
        </w:rPr>
      </w:pPr>
    </w:p>
    <w:p w14:paraId="7830F21B" w14:textId="77777777" w:rsidR="009B55BA" w:rsidRDefault="009B55BA" w:rsidP="005B4F0E">
      <w:pPr>
        <w:jc w:val="center"/>
        <w:rPr>
          <w:rFonts w:ascii="Times New Roman Bold" w:hAnsi="Times New Roman Bold"/>
          <w:b/>
          <w:kern w:val="0"/>
          <w:szCs w:val="22"/>
        </w:rPr>
        <w:sectPr w:rsidR="009B55BA" w:rsidSect="0030283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14:paraId="3644923B" w14:textId="14075412" w:rsidR="005B4F0E" w:rsidRPr="00843A5F" w:rsidRDefault="005B4F0E" w:rsidP="005B4F0E">
      <w:pPr>
        <w:jc w:val="center"/>
        <w:rPr>
          <w:b/>
        </w:rPr>
      </w:pPr>
      <w:r w:rsidRPr="00843A5F">
        <w:rPr>
          <w:rFonts w:ascii="Times New Roman Bold" w:hAnsi="Times New Roman Bold"/>
          <w:b/>
          <w:kern w:val="0"/>
          <w:szCs w:val="22"/>
        </w:rPr>
        <w:t>Before</w:t>
      </w:r>
      <w:r w:rsidRPr="00843A5F">
        <w:rPr>
          <w:b/>
        </w:rPr>
        <w:t xml:space="preserve"> the</w:t>
      </w:r>
    </w:p>
    <w:p w14:paraId="3644923C" w14:textId="77777777" w:rsidR="005B4F0E" w:rsidRPr="00843A5F" w:rsidRDefault="005B4F0E" w:rsidP="005B4F0E">
      <w:pPr>
        <w:pStyle w:val="StyleBoldCentered"/>
      </w:pPr>
      <w:r w:rsidRPr="00843A5F">
        <w:t>F</w:t>
      </w:r>
      <w:r w:rsidRPr="00843A5F">
        <w:rPr>
          <w:caps w:val="0"/>
        </w:rPr>
        <w:t>ederal Communications Commission</w:t>
      </w:r>
    </w:p>
    <w:p w14:paraId="3644923D" w14:textId="77777777" w:rsidR="005B4F0E" w:rsidRPr="00843A5F" w:rsidRDefault="005B4F0E" w:rsidP="005B4F0E">
      <w:pPr>
        <w:pStyle w:val="StyleBoldCentered"/>
      </w:pPr>
      <w:r w:rsidRPr="00843A5F">
        <w:rPr>
          <w:caps w:val="0"/>
        </w:rPr>
        <w:t>Washington, DC 20554</w:t>
      </w:r>
    </w:p>
    <w:p w14:paraId="3644923E" w14:textId="77777777" w:rsidR="005B4F0E" w:rsidRPr="00843A5F" w:rsidRDefault="005B4F0E" w:rsidP="005B4F0E"/>
    <w:tbl>
      <w:tblPr>
        <w:tblW w:w="9576" w:type="dxa"/>
        <w:tblLayout w:type="fixed"/>
        <w:tblLook w:val="0000" w:firstRow="0" w:lastRow="0" w:firstColumn="0" w:lastColumn="0" w:noHBand="0" w:noVBand="0"/>
      </w:tblPr>
      <w:tblGrid>
        <w:gridCol w:w="4698"/>
        <w:gridCol w:w="630"/>
        <w:gridCol w:w="4248"/>
      </w:tblGrid>
      <w:tr w:rsidR="005B4F0E" w:rsidRPr="007C0B39" w14:paraId="36449251" w14:textId="77777777" w:rsidTr="00051558">
        <w:trPr>
          <w:trHeight w:val="2043"/>
        </w:trPr>
        <w:tc>
          <w:tcPr>
            <w:tcW w:w="4698" w:type="dxa"/>
          </w:tcPr>
          <w:p w14:paraId="29E5ACB0" w14:textId="77777777" w:rsidR="0001692B" w:rsidRDefault="0001692B" w:rsidP="008048A6">
            <w:pPr>
              <w:tabs>
                <w:tab w:val="center" w:pos="4680"/>
              </w:tabs>
              <w:suppressAutoHyphens/>
              <w:rPr>
                <w:spacing w:val="-2"/>
              </w:rPr>
            </w:pPr>
          </w:p>
          <w:p w14:paraId="7AB7FB38" w14:textId="77777777" w:rsidR="0001692B" w:rsidRDefault="0001692B" w:rsidP="008048A6">
            <w:pPr>
              <w:tabs>
                <w:tab w:val="center" w:pos="4680"/>
              </w:tabs>
              <w:suppressAutoHyphens/>
              <w:rPr>
                <w:spacing w:val="-2"/>
              </w:rPr>
            </w:pPr>
          </w:p>
          <w:p w14:paraId="3644923F" w14:textId="7F2D877B" w:rsidR="005B4F0E" w:rsidRPr="00843A5F" w:rsidRDefault="005B4F0E" w:rsidP="008048A6">
            <w:pPr>
              <w:tabs>
                <w:tab w:val="center" w:pos="4680"/>
              </w:tabs>
              <w:suppressAutoHyphens/>
              <w:rPr>
                <w:spacing w:val="-2"/>
              </w:rPr>
            </w:pPr>
            <w:r w:rsidRPr="00843A5F">
              <w:rPr>
                <w:spacing w:val="-2"/>
              </w:rPr>
              <w:t>In the Matter of</w:t>
            </w:r>
          </w:p>
          <w:p w14:paraId="36449240" w14:textId="77777777" w:rsidR="005B4F0E" w:rsidRPr="00843A5F" w:rsidRDefault="005B4F0E" w:rsidP="008048A6">
            <w:pPr>
              <w:tabs>
                <w:tab w:val="center" w:pos="4680"/>
              </w:tabs>
              <w:suppressAutoHyphens/>
              <w:rPr>
                <w:spacing w:val="-2"/>
              </w:rPr>
            </w:pPr>
          </w:p>
          <w:p w14:paraId="36449241" w14:textId="2AC3D0C2" w:rsidR="008A1C76" w:rsidRPr="007C0B39" w:rsidRDefault="006D6A25" w:rsidP="008048A6">
            <w:pPr>
              <w:tabs>
                <w:tab w:val="center" w:pos="4680"/>
              </w:tabs>
              <w:suppressAutoHyphens/>
              <w:rPr>
                <w:spacing w:val="-2"/>
              </w:rPr>
            </w:pPr>
            <w:r>
              <w:rPr>
                <w:szCs w:val="22"/>
              </w:rPr>
              <w:t>ClipperData LLC</w:t>
            </w:r>
          </w:p>
        </w:tc>
        <w:tc>
          <w:tcPr>
            <w:tcW w:w="630" w:type="dxa"/>
          </w:tcPr>
          <w:p w14:paraId="36449242" w14:textId="77777777" w:rsidR="005B4F0E" w:rsidRPr="007C0B39" w:rsidRDefault="005B4F0E" w:rsidP="008048A6">
            <w:pPr>
              <w:tabs>
                <w:tab w:val="center" w:pos="4680"/>
              </w:tabs>
              <w:suppressAutoHyphens/>
              <w:rPr>
                <w:b/>
                <w:spacing w:val="-2"/>
              </w:rPr>
            </w:pPr>
            <w:r w:rsidRPr="007C0B39">
              <w:rPr>
                <w:b/>
                <w:spacing w:val="-2"/>
              </w:rPr>
              <w:t>)</w:t>
            </w:r>
          </w:p>
          <w:p w14:paraId="36449243" w14:textId="77777777" w:rsidR="005B4F0E" w:rsidRPr="007C0B39" w:rsidRDefault="005B4F0E" w:rsidP="008048A6">
            <w:pPr>
              <w:tabs>
                <w:tab w:val="center" w:pos="4680"/>
              </w:tabs>
              <w:suppressAutoHyphens/>
              <w:rPr>
                <w:b/>
                <w:spacing w:val="-2"/>
              </w:rPr>
            </w:pPr>
            <w:r w:rsidRPr="007C0B39">
              <w:rPr>
                <w:b/>
                <w:spacing w:val="-2"/>
              </w:rPr>
              <w:t>)</w:t>
            </w:r>
          </w:p>
          <w:p w14:paraId="36449244" w14:textId="77777777" w:rsidR="005B4F0E" w:rsidRPr="007C0B39" w:rsidRDefault="005B4F0E" w:rsidP="008048A6">
            <w:pPr>
              <w:tabs>
                <w:tab w:val="center" w:pos="4680"/>
              </w:tabs>
              <w:suppressAutoHyphens/>
              <w:rPr>
                <w:b/>
                <w:spacing w:val="-2"/>
              </w:rPr>
            </w:pPr>
            <w:r w:rsidRPr="007C0B39">
              <w:rPr>
                <w:b/>
                <w:spacing w:val="-2"/>
              </w:rPr>
              <w:t>)</w:t>
            </w:r>
          </w:p>
          <w:p w14:paraId="36449245" w14:textId="77777777" w:rsidR="005B4F0E" w:rsidRPr="007C0B39" w:rsidRDefault="005B4F0E" w:rsidP="008048A6">
            <w:pPr>
              <w:tabs>
                <w:tab w:val="center" w:pos="4680"/>
              </w:tabs>
              <w:suppressAutoHyphens/>
              <w:rPr>
                <w:b/>
                <w:spacing w:val="-2"/>
              </w:rPr>
            </w:pPr>
            <w:r w:rsidRPr="007C0B39">
              <w:rPr>
                <w:b/>
                <w:spacing w:val="-2"/>
              </w:rPr>
              <w:t>)</w:t>
            </w:r>
          </w:p>
          <w:p w14:paraId="36449246" w14:textId="77777777" w:rsidR="005B4F0E" w:rsidRPr="007C0B39" w:rsidRDefault="005B4F0E" w:rsidP="00486AAF">
            <w:pPr>
              <w:tabs>
                <w:tab w:val="center" w:pos="4680"/>
              </w:tabs>
              <w:suppressAutoHyphens/>
              <w:rPr>
                <w:b/>
                <w:spacing w:val="-2"/>
              </w:rPr>
            </w:pPr>
            <w:r w:rsidRPr="007C0B39">
              <w:rPr>
                <w:b/>
                <w:spacing w:val="-2"/>
              </w:rPr>
              <w:t>)</w:t>
            </w:r>
          </w:p>
          <w:p w14:paraId="36449247" w14:textId="77777777" w:rsidR="00302835" w:rsidRPr="007C0B39" w:rsidRDefault="00302835" w:rsidP="00486AAF">
            <w:pPr>
              <w:tabs>
                <w:tab w:val="center" w:pos="4680"/>
              </w:tabs>
              <w:suppressAutoHyphens/>
              <w:rPr>
                <w:b/>
                <w:spacing w:val="-2"/>
              </w:rPr>
            </w:pPr>
            <w:r w:rsidRPr="007C0B39">
              <w:rPr>
                <w:b/>
                <w:spacing w:val="-2"/>
              </w:rPr>
              <w:t>)</w:t>
            </w:r>
          </w:p>
          <w:p w14:paraId="36449248" w14:textId="77777777" w:rsidR="00076C13" w:rsidRPr="007C0B39" w:rsidRDefault="00076C13" w:rsidP="00486AAF">
            <w:pPr>
              <w:tabs>
                <w:tab w:val="center" w:pos="4680"/>
              </w:tabs>
              <w:suppressAutoHyphens/>
              <w:rPr>
                <w:b/>
                <w:spacing w:val="-2"/>
              </w:rPr>
            </w:pPr>
            <w:r w:rsidRPr="007C0B39">
              <w:rPr>
                <w:b/>
                <w:spacing w:val="-2"/>
              </w:rPr>
              <w:t>)</w:t>
            </w:r>
          </w:p>
          <w:p w14:paraId="36449249" w14:textId="77777777" w:rsidR="00302835" w:rsidRPr="007C0B39" w:rsidRDefault="00302835" w:rsidP="00486AAF">
            <w:pPr>
              <w:tabs>
                <w:tab w:val="center" w:pos="4680"/>
              </w:tabs>
              <w:suppressAutoHyphens/>
              <w:rPr>
                <w:spacing w:val="-2"/>
              </w:rPr>
            </w:pPr>
          </w:p>
        </w:tc>
        <w:tc>
          <w:tcPr>
            <w:tcW w:w="4248" w:type="dxa"/>
          </w:tcPr>
          <w:p w14:paraId="3644924A" w14:textId="77777777" w:rsidR="00843A5F" w:rsidRDefault="00843A5F" w:rsidP="00076C13">
            <w:pPr>
              <w:tabs>
                <w:tab w:val="center" w:pos="4680"/>
              </w:tabs>
              <w:suppressAutoHyphens/>
              <w:ind w:left="432"/>
              <w:rPr>
                <w:spacing w:val="-2"/>
                <w:szCs w:val="22"/>
              </w:rPr>
            </w:pPr>
          </w:p>
          <w:p w14:paraId="3644924B" w14:textId="77777777" w:rsidR="00843A5F" w:rsidRDefault="00843A5F" w:rsidP="0001692B">
            <w:pPr>
              <w:tabs>
                <w:tab w:val="center" w:pos="4680"/>
              </w:tabs>
              <w:suppressAutoHyphens/>
              <w:rPr>
                <w:spacing w:val="-2"/>
                <w:szCs w:val="22"/>
              </w:rPr>
            </w:pPr>
          </w:p>
          <w:p w14:paraId="3644924C" w14:textId="4E0A9316" w:rsidR="005B4F0E" w:rsidRPr="007C0B39" w:rsidRDefault="00E22653" w:rsidP="00076C13">
            <w:pPr>
              <w:tabs>
                <w:tab w:val="center" w:pos="4680"/>
              </w:tabs>
              <w:suppressAutoHyphens/>
              <w:ind w:left="432"/>
              <w:rPr>
                <w:spacing w:val="-2"/>
                <w:szCs w:val="22"/>
              </w:rPr>
            </w:pPr>
            <w:r w:rsidRPr="007C0B39">
              <w:rPr>
                <w:spacing w:val="-2"/>
                <w:szCs w:val="22"/>
              </w:rPr>
              <w:t xml:space="preserve">File No.:  </w:t>
            </w:r>
            <w:r w:rsidR="006D6A25">
              <w:rPr>
                <w:spacing w:val="-2"/>
                <w:szCs w:val="22"/>
              </w:rPr>
              <w:t>EB-SED-16-0002</w:t>
            </w:r>
            <w:r w:rsidR="001D0436">
              <w:rPr>
                <w:spacing w:val="-2"/>
                <w:szCs w:val="22"/>
              </w:rPr>
              <w:t>1833</w:t>
            </w:r>
          </w:p>
          <w:p w14:paraId="3644924D" w14:textId="37407F0F" w:rsidR="00C43E4A" w:rsidRPr="007C0B39" w:rsidRDefault="005B4F0E" w:rsidP="00076C13">
            <w:pPr>
              <w:ind w:left="432"/>
              <w:rPr>
                <w:spacing w:val="-2"/>
                <w:szCs w:val="22"/>
              </w:rPr>
            </w:pPr>
            <w:r w:rsidRPr="007C0B39">
              <w:rPr>
                <w:spacing w:val="-2"/>
                <w:szCs w:val="22"/>
              </w:rPr>
              <w:t xml:space="preserve">Acct. No.:  </w:t>
            </w:r>
            <w:r w:rsidR="00025BD1" w:rsidRPr="00025BD1">
              <w:t>201632100009</w:t>
            </w:r>
          </w:p>
          <w:p w14:paraId="36449250" w14:textId="4DDB2A2D" w:rsidR="005B4F0E" w:rsidRPr="007C0B39" w:rsidRDefault="00FD0F9C" w:rsidP="00076C13">
            <w:pPr>
              <w:tabs>
                <w:tab w:val="center" w:pos="4680"/>
              </w:tabs>
              <w:suppressAutoHyphens/>
              <w:ind w:left="432"/>
              <w:rPr>
                <w:spacing w:val="-2"/>
              </w:rPr>
            </w:pPr>
            <w:r w:rsidRPr="007C0B39">
              <w:rPr>
                <w:szCs w:val="22"/>
              </w:rPr>
              <w:t>FRN</w:t>
            </w:r>
            <w:r w:rsidR="005B4F0E" w:rsidRPr="007C0B39">
              <w:rPr>
                <w:szCs w:val="22"/>
              </w:rPr>
              <w:t xml:space="preserve">:  </w:t>
            </w:r>
            <w:r w:rsidR="00E46600">
              <w:rPr>
                <w:color w:val="000000" w:themeColor="text1"/>
                <w:spacing w:val="-2"/>
                <w:szCs w:val="22"/>
              </w:rPr>
              <w:t>0024475212</w:t>
            </w:r>
          </w:p>
        </w:tc>
      </w:tr>
    </w:tbl>
    <w:p w14:paraId="36449252" w14:textId="77777777" w:rsidR="00064ADC" w:rsidRPr="007C0B39" w:rsidRDefault="00BD08D2" w:rsidP="00FD0F9C">
      <w:pPr>
        <w:pStyle w:val="StyleBoldCentered"/>
      </w:pPr>
      <w:r w:rsidRPr="007C0B39">
        <w:t>CONSENT DECREE</w:t>
      </w:r>
    </w:p>
    <w:p w14:paraId="36449253" w14:textId="77777777" w:rsidR="00064ADC" w:rsidRPr="007C0B39" w:rsidRDefault="00064ADC" w:rsidP="00064ADC">
      <w:pPr>
        <w:pStyle w:val="StyleBoldCentered"/>
      </w:pPr>
    </w:p>
    <w:p w14:paraId="36449254" w14:textId="352C60E5" w:rsidR="00E02214" w:rsidRPr="007C0B39" w:rsidRDefault="00BD08D2" w:rsidP="00ED419F">
      <w:pPr>
        <w:pStyle w:val="ParaNum"/>
      </w:pPr>
      <w:r w:rsidRPr="007C0B39">
        <w:t>The Enforcement Bureau of the Federal Communications Commission and</w:t>
      </w:r>
      <w:r w:rsidR="00302835" w:rsidRPr="007C0B39">
        <w:t xml:space="preserve"> </w:t>
      </w:r>
      <w:r w:rsidR="006D6A25">
        <w:t>ClipperData LLC (ClipperData),</w:t>
      </w:r>
      <w:r w:rsidRPr="007C0B39">
        <w:t xml:space="preserve"> by their authorized representatives, hereby enter into this Consent Decree for the purpose of terminating the </w:t>
      </w:r>
      <w:r w:rsidR="00FD0F9C" w:rsidRPr="007C0B39">
        <w:t xml:space="preserve">Enforcement </w:t>
      </w:r>
      <w:r w:rsidR="00B709FD" w:rsidRPr="007C0B39">
        <w:t xml:space="preserve">Bureau’s </w:t>
      </w:r>
      <w:r w:rsidR="00D65117" w:rsidRPr="007C0B39">
        <w:t>investigation into</w:t>
      </w:r>
      <w:r w:rsidRPr="007C0B39">
        <w:t xml:space="preserve"> </w:t>
      </w:r>
      <w:r w:rsidR="00073450" w:rsidRPr="007C0B39">
        <w:t>whether</w:t>
      </w:r>
      <w:r w:rsidR="00EF5FE2" w:rsidRPr="007C0B39">
        <w:t xml:space="preserve"> </w:t>
      </w:r>
      <w:r w:rsidR="006D6A25">
        <w:t>ClipperData</w:t>
      </w:r>
      <w:r w:rsidRPr="007C0B39">
        <w:t xml:space="preserve"> </w:t>
      </w:r>
      <w:r w:rsidR="00073450" w:rsidRPr="007C0B39">
        <w:t>violated</w:t>
      </w:r>
      <w:r w:rsidR="00EF5FE2" w:rsidRPr="007C0B39">
        <w:t xml:space="preserve"> </w:t>
      </w:r>
      <w:r w:rsidR="006D6A25">
        <w:t>Section 301 of the Communi</w:t>
      </w:r>
      <w:r w:rsidR="00E46600">
        <w:t>cations Act of 1934, as amended</w:t>
      </w:r>
      <w:r w:rsidR="00E46600">
        <w:rPr>
          <w:rStyle w:val="FootnoteReference"/>
        </w:rPr>
        <w:footnoteReference w:id="7"/>
      </w:r>
      <w:r w:rsidR="00E46600">
        <w:t xml:space="preserve"> and Section 1.903(a) of the Commission’s rules</w:t>
      </w:r>
      <w:r w:rsidR="000E5C6E">
        <w:t>,</w:t>
      </w:r>
      <w:r w:rsidR="00E46600">
        <w:rPr>
          <w:rStyle w:val="FootnoteReference"/>
        </w:rPr>
        <w:footnoteReference w:id="8"/>
      </w:r>
      <w:r w:rsidR="00302835" w:rsidRPr="007C0B39">
        <w:t xml:space="preserve"> </w:t>
      </w:r>
      <w:r w:rsidR="00EF5FE2" w:rsidRPr="007C0B39">
        <w:rPr>
          <w:szCs w:val="22"/>
        </w:rPr>
        <w:t xml:space="preserve">in connection with </w:t>
      </w:r>
      <w:r w:rsidR="00B56C0A">
        <w:rPr>
          <w:szCs w:val="22"/>
        </w:rPr>
        <w:t>its operation of Radio Frequency Identification readers without authorization.</w:t>
      </w:r>
      <w:r w:rsidR="00B56C0A">
        <w:t xml:space="preserve"> </w:t>
      </w:r>
    </w:p>
    <w:p w14:paraId="36449255" w14:textId="77777777" w:rsidR="00BD08D2" w:rsidRPr="007C0B39" w:rsidRDefault="00BD08D2" w:rsidP="00E02214">
      <w:pPr>
        <w:pStyle w:val="Heading1"/>
      </w:pPr>
      <w:r w:rsidRPr="007C0B39">
        <w:t>DEFINITIONS</w:t>
      </w:r>
    </w:p>
    <w:p w14:paraId="36449256" w14:textId="77777777" w:rsidR="00BD08D2" w:rsidRPr="007C0B39" w:rsidRDefault="00BD08D2" w:rsidP="00ED419F">
      <w:pPr>
        <w:pStyle w:val="ParaNum"/>
      </w:pPr>
      <w:r w:rsidRPr="007C0B39">
        <w:t>For the purposes of this Consent Decree, the following definitions shall apply:</w:t>
      </w:r>
    </w:p>
    <w:p w14:paraId="36449257" w14:textId="77777777" w:rsidR="00BD08D2" w:rsidRPr="007C0B39" w:rsidRDefault="00BD08D2" w:rsidP="00EF1B1B">
      <w:pPr>
        <w:numPr>
          <w:ilvl w:val="0"/>
          <w:numId w:val="5"/>
        </w:numPr>
        <w:tabs>
          <w:tab w:val="clear" w:pos="1224"/>
        </w:tabs>
        <w:spacing w:after="120"/>
        <w:ind w:left="1890"/>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 amended</w:t>
      </w:r>
      <w:r w:rsidR="00610208">
        <w:rPr>
          <w:szCs w:val="22"/>
        </w:rPr>
        <w:t>.</w:t>
      </w:r>
      <w:r w:rsidR="00843A5F">
        <w:rPr>
          <w:rStyle w:val="FootnoteReference"/>
          <w:szCs w:val="22"/>
        </w:rPr>
        <w:footnoteReference w:id="9"/>
      </w:r>
    </w:p>
    <w:p w14:paraId="36449258" w14:textId="59C5AF2D" w:rsidR="00BD08D2" w:rsidRPr="007C0B39" w:rsidRDefault="00AC6F1C" w:rsidP="00EF1B1B">
      <w:pPr>
        <w:numPr>
          <w:ilvl w:val="0"/>
          <w:numId w:val="5"/>
        </w:numPr>
        <w:tabs>
          <w:tab w:val="clear" w:pos="1224"/>
        </w:tabs>
        <w:spacing w:after="120"/>
        <w:ind w:left="1890"/>
        <w:rPr>
          <w:szCs w:val="22"/>
        </w:rPr>
      </w:pPr>
      <w:r w:rsidRPr="007C0B39">
        <w:rPr>
          <w:szCs w:val="22"/>
        </w:rPr>
        <w:t xml:space="preserve"> </w:t>
      </w:r>
      <w:r w:rsidR="00BD08D2" w:rsidRPr="007C0B39">
        <w:rPr>
          <w:szCs w:val="22"/>
        </w:rPr>
        <w:t>“</w:t>
      </w:r>
      <w:r w:rsidR="00BD08D2" w:rsidRPr="007C0B39">
        <w:t>Adopting</w:t>
      </w:r>
      <w:r w:rsidR="00246786" w:rsidRPr="007C0B39">
        <w:rPr>
          <w:szCs w:val="22"/>
        </w:rPr>
        <w:t xml:space="preserve"> Order” means an o</w:t>
      </w:r>
      <w:r w:rsidR="00BD08D2" w:rsidRPr="007C0B39">
        <w:rPr>
          <w:szCs w:val="22"/>
        </w:rPr>
        <w:t>rder of the Bureau adopting the terms of this Consent Decree without change, addition, deletion, or modification.</w:t>
      </w:r>
    </w:p>
    <w:p w14:paraId="36449259" w14:textId="77777777" w:rsidR="00BD08D2" w:rsidRPr="007C0B39" w:rsidRDefault="00BD08D2" w:rsidP="00EF1B1B">
      <w:pPr>
        <w:numPr>
          <w:ilvl w:val="0"/>
          <w:numId w:val="5"/>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14:paraId="1FBEA529" w14:textId="47379AA4" w:rsidR="00496812" w:rsidRPr="007C0B39" w:rsidRDefault="00496812" w:rsidP="00496812">
      <w:pPr>
        <w:numPr>
          <w:ilvl w:val="0"/>
          <w:numId w:val="5"/>
        </w:numPr>
        <w:tabs>
          <w:tab w:val="clear" w:pos="1224"/>
        </w:tabs>
        <w:spacing w:after="120"/>
        <w:ind w:left="1890"/>
        <w:rPr>
          <w:szCs w:val="22"/>
        </w:rPr>
      </w:pPr>
      <w:r w:rsidRPr="007C0B39">
        <w:rPr>
          <w:szCs w:val="22"/>
        </w:rPr>
        <w:t>“</w:t>
      </w:r>
      <w:r>
        <w:rPr>
          <w:szCs w:val="22"/>
        </w:rPr>
        <w:t>ClipperData”</w:t>
      </w:r>
      <w:r w:rsidRPr="007C0B39">
        <w:rPr>
          <w:szCs w:val="22"/>
        </w:rPr>
        <w:t xml:space="preserve"> means</w:t>
      </w:r>
      <w:r>
        <w:rPr>
          <w:szCs w:val="22"/>
        </w:rPr>
        <w:t xml:space="preserve"> ClipperData LLC</w:t>
      </w:r>
      <w:r w:rsidRPr="007C0B39">
        <w:rPr>
          <w:szCs w:val="22"/>
        </w:rPr>
        <w:t xml:space="preserve"> and its affiliates, subsidiaries, predecessors-in-interest, and successors-in-interest.</w:t>
      </w:r>
    </w:p>
    <w:p w14:paraId="3644925A" w14:textId="6FD2C82B" w:rsidR="00BD08D2" w:rsidRPr="007C0B39" w:rsidRDefault="00496812" w:rsidP="00496812">
      <w:pPr>
        <w:numPr>
          <w:ilvl w:val="0"/>
          <w:numId w:val="5"/>
        </w:numPr>
        <w:tabs>
          <w:tab w:val="clear" w:pos="1224"/>
        </w:tabs>
        <w:spacing w:after="120"/>
        <w:ind w:left="1890"/>
        <w:rPr>
          <w:szCs w:val="22"/>
        </w:rPr>
      </w:pPr>
      <w:r w:rsidRPr="007C0B39">
        <w:rPr>
          <w:szCs w:val="22"/>
        </w:rPr>
        <w:t xml:space="preserve"> </w:t>
      </w:r>
      <w:r w:rsidR="00BD08D2" w:rsidRPr="007C0B39">
        <w:rPr>
          <w:szCs w:val="22"/>
        </w:rPr>
        <w:t>“</w:t>
      </w:r>
      <w:r w:rsidR="00BD08D2" w:rsidRPr="007C0B39">
        <w:t>Commission</w:t>
      </w:r>
      <w:r w:rsidR="00BD08D2" w:rsidRPr="007C0B39">
        <w:rPr>
          <w:szCs w:val="22"/>
        </w:rPr>
        <w:t>” and “FCC” mean the Federal Communications Commission and all of its bureaus and offices.</w:t>
      </w:r>
    </w:p>
    <w:p w14:paraId="3644925B" w14:textId="159C0CE2" w:rsidR="00BD08D2" w:rsidRPr="007C0B39" w:rsidRDefault="00BD08D2" w:rsidP="00EF1B1B">
      <w:pPr>
        <w:numPr>
          <w:ilvl w:val="0"/>
          <w:numId w:val="5"/>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w:t>
      </w:r>
      <w:r w:rsidR="00302835" w:rsidRPr="007C0B39">
        <w:rPr>
          <w:szCs w:val="22"/>
        </w:rPr>
        <w:t xml:space="preserve">s of the Commission to which </w:t>
      </w:r>
      <w:r w:rsidR="00496812">
        <w:rPr>
          <w:szCs w:val="22"/>
        </w:rPr>
        <w:t>ClipperData</w:t>
      </w:r>
      <w:r w:rsidRPr="007C0B39">
        <w:rPr>
          <w:szCs w:val="22"/>
        </w:rPr>
        <w:t xml:space="preserve"> is subject by vi</w:t>
      </w:r>
      <w:r w:rsidR="00246786" w:rsidRPr="007C0B39">
        <w:rPr>
          <w:szCs w:val="22"/>
        </w:rPr>
        <w:t>rtue of its business activities</w:t>
      </w:r>
      <w:r w:rsidR="008155A1" w:rsidRPr="007C0B39">
        <w:rPr>
          <w:szCs w:val="22"/>
        </w:rPr>
        <w:t xml:space="preserve">, including but not limited to the </w:t>
      </w:r>
      <w:r w:rsidR="00D966F2">
        <w:rPr>
          <w:szCs w:val="22"/>
        </w:rPr>
        <w:t>Licensing</w:t>
      </w:r>
      <w:r w:rsidR="008155A1" w:rsidRPr="007C0B39">
        <w:rPr>
          <w:szCs w:val="22"/>
        </w:rPr>
        <w:t xml:space="preserve"> Rules</w:t>
      </w:r>
      <w:r w:rsidRPr="007C0B39">
        <w:rPr>
          <w:szCs w:val="22"/>
        </w:rPr>
        <w:t>.</w:t>
      </w:r>
    </w:p>
    <w:p w14:paraId="25067B54" w14:textId="180C9855" w:rsidR="00496812" w:rsidRPr="00496812" w:rsidRDefault="00496812" w:rsidP="00496812">
      <w:pPr>
        <w:numPr>
          <w:ilvl w:val="0"/>
          <w:numId w:val="5"/>
        </w:numPr>
        <w:tabs>
          <w:tab w:val="clear" w:pos="1224"/>
        </w:tabs>
        <w:spacing w:after="120"/>
        <w:ind w:left="1890"/>
        <w:rPr>
          <w:szCs w:val="22"/>
        </w:rPr>
      </w:pPr>
      <w:r w:rsidRPr="00496812">
        <w:t>“</w:t>
      </w:r>
      <w:r w:rsidR="000E5C6E">
        <w:t xml:space="preserve">Contingent </w:t>
      </w:r>
      <w:r w:rsidRPr="00496812">
        <w:t>Compliance Plan” means the compliance obligations described in this Consent Decree at paragraph</w:t>
      </w:r>
      <w:r w:rsidR="00597F7D">
        <w:t>s</w:t>
      </w:r>
      <w:r w:rsidRPr="00496812">
        <w:t xml:space="preserve"> </w:t>
      </w:r>
      <w:r w:rsidR="00B116C9">
        <w:t>1</w:t>
      </w:r>
      <w:r w:rsidR="00FC3C1A">
        <w:t>2</w:t>
      </w:r>
      <w:r w:rsidR="00B116C9">
        <w:t xml:space="preserve"> through 1</w:t>
      </w:r>
      <w:r w:rsidR="00FC3C1A">
        <w:t>4</w:t>
      </w:r>
      <w:r w:rsidR="00B116C9">
        <w:t xml:space="preserve"> herein</w:t>
      </w:r>
      <w:r w:rsidRPr="00496812">
        <w:t>.</w:t>
      </w:r>
    </w:p>
    <w:p w14:paraId="3644925D" w14:textId="159440D4" w:rsidR="00BD08D2" w:rsidRPr="007C0B39" w:rsidRDefault="00BD08D2" w:rsidP="00EF1B1B">
      <w:pPr>
        <w:numPr>
          <w:ilvl w:val="0"/>
          <w:numId w:val="5"/>
        </w:numPr>
        <w:tabs>
          <w:tab w:val="clear" w:pos="1224"/>
        </w:tabs>
        <w:spacing w:after="120"/>
        <w:ind w:left="1890"/>
        <w:rPr>
          <w:szCs w:val="22"/>
        </w:rPr>
      </w:pPr>
      <w:r w:rsidRPr="007C0B39">
        <w:rPr>
          <w:szCs w:val="22"/>
        </w:rPr>
        <w:t>“</w:t>
      </w:r>
      <w:r w:rsidRPr="007C0B39">
        <w:t>Covered</w:t>
      </w:r>
      <w:r w:rsidRPr="007C0B39">
        <w:rPr>
          <w:szCs w:val="22"/>
        </w:rPr>
        <w:t xml:space="preserve"> </w:t>
      </w:r>
      <w:r w:rsidRPr="007C0B39">
        <w:t>Employees</w:t>
      </w:r>
      <w:r w:rsidRPr="007C0B39">
        <w:rPr>
          <w:szCs w:val="22"/>
        </w:rPr>
        <w:t>” me</w:t>
      </w:r>
      <w:r w:rsidR="00FB39CB" w:rsidRPr="007C0B39">
        <w:rPr>
          <w:szCs w:val="22"/>
        </w:rPr>
        <w:t xml:space="preserve">ans all employees and agents of </w:t>
      </w:r>
      <w:r w:rsidR="00496812">
        <w:rPr>
          <w:szCs w:val="22"/>
        </w:rPr>
        <w:t>ClipperData</w:t>
      </w:r>
      <w:r w:rsidR="00FB39CB" w:rsidRPr="007C0B39">
        <w:rPr>
          <w:szCs w:val="22"/>
        </w:rPr>
        <w:t xml:space="preserve"> </w:t>
      </w:r>
      <w:r w:rsidRPr="007C0B39">
        <w:rPr>
          <w:szCs w:val="22"/>
        </w:rPr>
        <w:t xml:space="preserve">who perform, or supervise, oversee, or manage the performance of, duties that relate to </w:t>
      </w:r>
      <w:r w:rsidR="00496812">
        <w:rPr>
          <w:szCs w:val="22"/>
        </w:rPr>
        <w:t>ClipperData</w:t>
      </w:r>
      <w:r w:rsidRPr="007C0B39">
        <w:rPr>
          <w:szCs w:val="22"/>
        </w:rPr>
        <w:t xml:space="preserve">’s responsibilities under the Communications Laws, including the </w:t>
      </w:r>
      <w:r w:rsidR="00D966F2">
        <w:rPr>
          <w:szCs w:val="22"/>
        </w:rPr>
        <w:t>Licensing</w:t>
      </w:r>
      <w:r w:rsidR="00FB39CB" w:rsidRPr="007C0B39">
        <w:rPr>
          <w:szCs w:val="22"/>
        </w:rPr>
        <w:t xml:space="preserve"> </w:t>
      </w:r>
      <w:r w:rsidRPr="007C0B39">
        <w:rPr>
          <w:szCs w:val="22"/>
        </w:rPr>
        <w:t>Rules.</w:t>
      </w:r>
    </w:p>
    <w:p w14:paraId="3644925E" w14:textId="4D137C83" w:rsidR="00BD08D2" w:rsidRPr="007C0B39" w:rsidRDefault="00BD08D2" w:rsidP="00EF1B1B">
      <w:pPr>
        <w:numPr>
          <w:ilvl w:val="0"/>
          <w:numId w:val="5"/>
        </w:numPr>
        <w:tabs>
          <w:tab w:val="clear" w:pos="1224"/>
        </w:tabs>
        <w:spacing w:after="120"/>
        <w:ind w:left="1890"/>
        <w:rPr>
          <w:szCs w:val="22"/>
        </w:rPr>
      </w:pPr>
      <w:r w:rsidRPr="007C0B39">
        <w:rPr>
          <w:szCs w:val="22"/>
        </w:rPr>
        <w:t>“</w:t>
      </w:r>
      <w:r w:rsidRPr="007C0B39">
        <w:t>Effective</w:t>
      </w:r>
      <w:r w:rsidR="00CE68FE" w:rsidRPr="007C0B39">
        <w:rPr>
          <w:szCs w:val="22"/>
        </w:rPr>
        <w:t xml:space="preserve"> Date” means the date by</w:t>
      </w:r>
      <w:r w:rsidR="00C04651" w:rsidRPr="007C0B39">
        <w:rPr>
          <w:szCs w:val="22"/>
        </w:rPr>
        <w:t xml:space="preserve"> which </w:t>
      </w:r>
      <w:r w:rsidR="00CE68FE" w:rsidRPr="007C0B39">
        <w:rPr>
          <w:szCs w:val="22"/>
        </w:rPr>
        <w:t xml:space="preserve">both </w:t>
      </w:r>
      <w:r w:rsidR="00C04651" w:rsidRPr="007C0B39">
        <w:rPr>
          <w:szCs w:val="22"/>
        </w:rPr>
        <w:t xml:space="preserve">the Bureau </w:t>
      </w:r>
      <w:r w:rsidR="00CE68FE" w:rsidRPr="007C0B39">
        <w:rPr>
          <w:szCs w:val="22"/>
        </w:rPr>
        <w:t xml:space="preserve">and </w:t>
      </w:r>
      <w:r w:rsidR="00496812">
        <w:rPr>
          <w:szCs w:val="22"/>
        </w:rPr>
        <w:t>ClipperData</w:t>
      </w:r>
      <w:r w:rsidR="00CE68FE" w:rsidRPr="007C0B39">
        <w:rPr>
          <w:szCs w:val="22"/>
        </w:rPr>
        <w:t xml:space="preserve"> have signed the Consent Decree</w:t>
      </w:r>
      <w:r w:rsidR="00C04651" w:rsidRPr="007C0B39">
        <w:rPr>
          <w:szCs w:val="22"/>
        </w:rPr>
        <w:t>.</w:t>
      </w:r>
    </w:p>
    <w:p w14:paraId="170FB295" w14:textId="363CAC8D" w:rsidR="00AC6F1C" w:rsidRDefault="00AC6F1C" w:rsidP="003010FA">
      <w:pPr>
        <w:numPr>
          <w:ilvl w:val="0"/>
          <w:numId w:val="5"/>
        </w:numPr>
        <w:tabs>
          <w:tab w:val="clear" w:pos="1224"/>
        </w:tabs>
        <w:spacing w:after="120"/>
        <w:ind w:left="1890"/>
        <w:rPr>
          <w:szCs w:val="22"/>
        </w:rPr>
      </w:pPr>
      <w:r>
        <w:rPr>
          <w:szCs w:val="22"/>
        </w:rPr>
        <w:t xml:space="preserve">“Grant Date” means the date that ClipperData first obtains any further </w:t>
      </w:r>
      <w:r w:rsidR="00312B11">
        <w:rPr>
          <w:szCs w:val="22"/>
        </w:rPr>
        <w:t xml:space="preserve">License </w:t>
      </w:r>
      <w:r>
        <w:rPr>
          <w:szCs w:val="22"/>
        </w:rPr>
        <w:t>from the Commission</w:t>
      </w:r>
      <w:r w:rsidR="00ED102B">
        <w:rPr>
          <w:szCs w:val="22"/>
        </w:rPr>
        <w:t xml:space="preserve"> after relinquishing its </w:t>
      </w:r>
      <w:r w:rsidR="00255479">
        <w:rPr>
          <w:szCs w:val="22"/>
        </w:rPr>
        <w:t>L</w:t>
      </w:r>
      <w:r w:rsidR="00ED102B">
        <w:rPr>
          <w:szCs w:val="22"/>
        </w:rPr>
        <w:t>icense for station WQWH244</w:t>
      </w:r>
      <w:r w:rsidR="000E5C6E">
        <w:rPr>
          <w:szCs w:val="22"/>
        </w:rPr>
        <w:t>, but only if such date occurs within thirty-six (36) months of the Effective Date</w:t>
      </w:r>
      <w:r>
        <w:rPr>
          <w:szCs w:val="22"/>
        </w:rPr>
        <w:t>.</w:t>
      </w:r>
    </w:p>
    <w:p w14:paraId="36449260" w14:textId="5042BD25" w:rsidR="00BD08D2" w:rsidRPr="007C0B39" w:rsidRDefault="00BD08D2" w:rsidP="003010FA">
      <w:pPr>
        <w:numPr>
          <w:ilvl w:val="0"/>
          <w:numId w:val="5"/>
        </w:numPr>
        <w:tabs>
          <w:tab w:val="clear" w:pos="1224"/>
        </w:tabs>
        <w:spacing w:after="120"/>
        <w:ind w:left="1890"/>
        <w:rPr>
          <w:szCs w:val="22"/>
        </w:rPr>
      </w:pPr>
      <w:r w:rsidRPr="007C0B39">
        <w:rPr>
          <w:szCs w:val="22"/>
        </w:rPr>
        <w:t>“</w:t>
      </w:r>
      <w:r w:rsidRPr="007C0B39">
        <w:t>Investigation</w:t>
      </w:r>
      <w:r w:rsidRPr="007C0B39">
        <w:rPr>
          <w:szCs w:val="22"/>
        </w:rPr>
        <w:t>” m</w:t>
      </w:r>
      <w:r w:rsidR="00073450" w:rsidRPr="007C0B39">
        <w:rPr>
          <w:szCs w:val="22"/>
        </w:rPr>
        <w:t>eans the investigation commenced</w:t>
      </w:r>
      <w:r w:rsidRPr="007C0B39">
        <w:rPr>
          <w:szCs w:val="22"/>
        </w:rPr>
        <w:t xml:space="preserve"> by the Bureau in </w:t>
      </w:r>
      <w:r w:rsidR="00496812">
        <w:rPr>
          <w:spacing w:val="-2"/>
          <w:szCs w:val="22"/>
        </w:rPr>
        <w:t>EB-SED-16-00020925</w:t>
      </w:r>
      <w:r w:rsidR="00AD6D76" w:rsidRPr="007C0B39">
        <w:rPr>
          <w:szCs w:val="22"/>
        </w:rPr>
        <w:t xml:space="preserve"> </w:t>
      </w:r>
      <w:r w:rsidRPr="007C0B39">
        <w:rPr>
          <w:szCs w:val="22"/>
        </w:rPr>
        <w:t xml:space="preserve">regarding </w:t>
      </w:r>
      <w:r w:rsidR="00073450" w:rsidRPr="007C0B39">
        <w:rPr>
          <w:szCs w:val="22"/>
        </w:rPr>
        <w:t xml:space="preserve">whether </w:t>
      </w:r>
      <w:r w:rsidR="00496812">
        <w:rPr>
          <w:szCs w:val="22"/>
        </w:rPr>
        <w:t>ClipperData</w:t>
      </w:r>
      <w:r w:rsidR="00CF1B2D" w:rsidRPr="007C0B39">
        <w:rPr>
          <w:szCs w:val="22"/>
        </w:rPr>
        <w:t xml:space="preserve"> </w:t>
      </w:r>
      <w:r w:rsidR="00073450" w:rsidRPr="007C0B39">
        <w:rPr>
          <w:szCs w:val="22"/>
        </w:rPr>
        <w:t xml:space="preserve">violated </w:t>
      </w:r>
      <w:r w:rsidRPr="007C0B39">
        <w:rPr>
          <w:szCs w:val="22"/>
        </w:rPr>
        <w:t xml:space="preserve">the </w:t>
      </w:r>
      <w:r w:rsidR="00D966F2">
        <w:rPr>
          <w:szCs w:val="22"/>
        </w:rPr>
        <w:t>Licensing</w:t>
      </w:r>
      <w:r w:rsidR="00AD6D76" w:rsidRPr="007C0B39">
        <w:rPr>
          <w:szCs w:val="22"/>
        </w:rPr>
        <w:t xml:space="preserve"> Rules</w:t>
      </w:r>
      <w:r w:rsidRPr="007C0B39">
        <w:rPr>
          <w:szCs w:val="22"/>
        </w:rPr>
        <w:t>.</w:t>
      </w:r>
    </w:p>
    <w:p w14:paraId="707F926E" w14:textId="1354F331" w:rsidR="00255479" w:rsidRDefault="00255479" w:rsidP="00D966F2">
      <w:pPr>
        <w:numPr>
          <w:ilvl w:val="0"/>
          <w:numId w:val="5"/>
        </w:numPr>
        <w:tabs>
          <w:tab w:val="clear" w:pos="1224"/>
        </w:tabs>
        <w:spacing w:after="120"/>
        <w:ind w:left="1890"/>
        <w:rPr>
          <w:szCs w:val="22"/>
        </w:rPr>
      </w:pPr>
      <w:r>
        <w:rPr>
          <w:szCs w:val="22"/>
        </w:rPr>
        <w:t>“License” shall have the same meaning defined in Section 153(49) of the Communications Act, 47 U.S.C. 153(49).</w:t>
      </w:r>
    </w:p>
    <w:p w14:paraId="5CBB961D" w14:textId="77777777" w:rsidR="00D966F2" w:rsidRDefault="00D966F2" w:rsidP="00D966F2">
      <w:pPr>
        <w:numPr>
          <w:ilvl w:val="0"/>
          <w:numId w:val="5"/>
        </w:numPr>
        <w:tabs>
          <w:tab w:val="clear" w:pos="1224"/>
        </w:tabs>
        <w:spacing w:after="120"/>
        <w:ind w:left="1890"/>
        <w:rPr>
          <w:szCs w:val="22"/>
        </w:rPr>
      </w:pPr>
      <w:r w:rsidRPr="00D966F2">
        <w:rPr>
          <w:szCs w:val="22"/>
        </w:rPr>
        <w:t>“Licensing Rules” means Section 301 of the Communications Act of 1934, as amended, and Sections 1.903(a) of the Commission's rules and other provisions of the Act, the Rules, and Commission orders that prohibit the use or operation of a wireless radio station in a manner inconsistent with its licensed parameters.</w:t>
      </w:r>
    </w:p>
    <w:p w14:paraId="57C9C7DF" w14:textId="246D27A0" w:rsidR="00597F7D" w:rsidRPr="007C0B39" w:rsidRDefault="00597F7D" w:rsidP="00D966F2">
      <w:pPr>
        <w:numPr>
          <w:ilvl w:val="0"/>
          <w:numId w:val="5"/>
        </w:numPr>
        <w:tabs>
          <w:tab w:val="clear" w:pos="1224"/>
        </w:tabs>
        <w:spacing w:after="120"/>
        <w:ind w:left="1890"/>
        <w:rPr>
          <w:szCs w:val="22"/>
        </w:rPr>
      </w:pPr>
      <w:r>
        <w:rPr>
          <w:szCs w:val="22"/>
        </w:rPr>
        <w:t>“LOI” means the Letter of Inquiry issued by the Bureau to ClipperData on Apr</w:t>
      </w:r>
      <w:r w:rsidR="000C5557">
        <w:rPr>
          <w:szCs w:val="22"/>
        </w:rPr>
        <w:t>il</w:t>
      </w:r>
      <w:r>
        <w:rPr>
          <w:szCs w:val="22"/>
        </w:rPr>
        <w:t xml:space="preserve"> 27, 2016 in connection with the </w:t>
      </w:r>
      <w:r w:rsidR="00BC0134">
        <w:rPr>
          <w:szCs w:val="22"/>
        </w:rPr>
        <w:t>I</w:t>
      </w:r>
      <w:r>
        <w:rPr>
          <w:szCs w:val="22"/>
        </w:rPr>
        <w:t>nvestigation.</w:t>
      </w:r>
    </w:p>
    <w:p w14:paraId="36449261" w14:textId="49E1ABBC" w:rsidR="00BD08D2" w:rsidRPr="007C0B39" w:rsidRDefault="00D966F2" w:rsidP="00D966F2">
      <w:pPr>
        <w:numPr>
          <w:ilvl w:val="0"/>
          <w:numId w:val="5"/>
        </w:numPr>
        <w:tabs>
          <w:tab w:val="clear" w:pos="1224"/>
        </w:tabs>
        <w:spacing w:after="120"/>
        <w:ind w:left="1890"/>
        <w:rPr>
          <w:szCs w:val="22"/>
        </w:rPr>
      </w:pPr>
      <w:r w:rsidRPr="007C0B39">
        <w:rPr>
          <w:szCs w:val="22"/>
        </w:rPr>
        <w:t xml:space="preserve"> </w:t>
      </w:r>
      <w:r w:rsidR="00BD08D2" w:rsidRPr="007C0B39">
        <w:rPr>
          <w:szCs w:val="22"/>
        </w:rPr>
        <w:t>“</w:t>
      </w:r>
      <w:r w:rsidR="00BD08D2" w:rsidRPr="007C0B39">
        <w:t>Operating</w:t>
      </w:r>
      <w:r w:rsidR="00BD08D2" w:rsidRPr="007C0B39">
        <w:rPr>
          <w:szCs w:val="22"/>
        </w:rPr>
        <w:t xml:space="preserve"> Procedures” mean</w:t>
      </w:r>
      <w:r w:rsidR="003010FA" w:rsidRPr="007C0B39">
        <w:rPr>
          <w:szCs w:val="22"/>
        </w:rPr>
        <w:t>s</w:t>
      </w:r>
      <w:r w:rsidR="00683B2D" w:rsidRPr="007C0B39">
        <w:rPr>
          <w:szCs w:val="22"/>
        </w:rPr>
        <w:t xml:space="preserve"> the standard</w:t>
      </w:r>
      <w:r w:rsidR="00BD08D2" w:rsidRPr="007C0B39">
        <w:rPr>
          <w:szCs w:val="22"/>
        </w:rPr>
        <w:t xml:space="preserve"> internal operating procedures and compliance pol</w:t>
      </w:r>
      <w:r w:rsidR="00AD6D76" w:rsidRPr="007C0B39">
        <w:rPr>
          <w:szCs w:val="22"/>
        </w:rPr>
        <w:t xml:space="preserve">icies established by </w:t>
      </w:r>
      <w:r w:rsidR="00496812">
        <w:rPr>
          <w:szCs w:val="22"/>
        </w:rPr>
        <w:t>ClipperData</w:t>
      </w:r>
      <w:r w:rsidR="00BD08D2" w:rsidRPr="007C0B39">
        <w:rPr>
          <w:szCs w:val="22"/>
        </w:rPr>
        <w:t xml:space="preserve"> to implement the </w:t>
      </w:r>
      <w:r>
        <w:rPr>
          <w:szCs w:val="22"/>
        </w:rPr>
        <w:t xml:space="preserve">Contingent </w:t>
      </w:r>
      <w:r w:rsidR="00BD08D2" w:rsidRPr="007C0B39">
        <w:rPr>
          <w:szCs w:val="22"/>
        </w:rPr>
        <w:t>Compliance Plan.</w:t>
      </w:r>
    </w:p>
    <w:p w14:paraId="36449262" w14:textId="1B0041D8" w:rsidR="00BD08D2" w:rsidRDefault="00BD08D2" w:rsidP="00EF1B1B">
      <w:pPr>
        <w:numPr>
          <w:ilvl w:val="0"/>
          <w:numId w:val="5"/>
        </w:numPr>
        <w:tabs>
          <w:tab w:val="clear" w:pos="1224"/>
        </w:tabs>
        <w:spacing w:after="120"/>
        <w:ind w:left="1890"/>
        <w:rPr>
          <w:szCs w:val="22"/>
        </w:rPr>
      </w:pPr>
      <w:r w:rsidRPr="007C0B39">
        <w:rPr>
          <w:szCs w:val="22"/>
        </w:rPr>
        <w:t>“</w:t>
      </w:r>
      <w:r w:rsidRPr="007C0B39">
        <w:t>Parties</w:t>
      </w:r>
      <w:r w:rsidRPr="007C0B39">
        <w:rPr>
          <w:szCs w:val="22"/>
        </w:rPr>
        <w:t>” mean</w:t>
      </w:r>
      <w:r w:rsidR="003010FA" w:rsidRPr="007C0B39">
        <w:rPr>
          <w:szCs w:val="22"/>
        </w:rPr>
        <w:t>s</w:t>
      </w:r>
      <w:r w:rsidRPr="007C0B39">
        <w:rPr>
          <w:szCs w:val="22"/>
        </w:rPr>
        <w:t xml:space="preserve"> </w:t>
      </w:r>
      <w:r w:rsidR="00496812">
        <w:rPr>
          <w:szCs w:val="22"/>
        </w:rPr>
        <w:t>ClipperData</w:t>
      </w:r>
      <w:r w:rsidR="00AD6D76" w:rsidRPr="007C0B39">
        <w:rPr>
          <w:szCs w:val="22"/>
        </w:rPr>
        <w:t xml:space="preserve"> </w:t>
      </w:r>
      <w:r w:rsidRPr="007C0B39">
        <w:rPr>
          <w:szCs w:val="22"/>
        </w:rPr>
        <w:t>and the Bureau, each of which is a “Party.”</w:t>
      </w:r>
    </w:p>
    <w:p w14:paraId="3A32A2F1" w14:textId="3AFB9C4D" w:rsidR="00BC0134" w:rsidRPr="007C0B39" w:rsidRDefault="00BC0134" w:rsidP="00EF1B1B">
      <w:pPr>
        <w:numPr>
          <w:ilvl w:val="0"/>
          <w:numId w:val="5"/>
        </w:numPr>
        <w:tabs>
          <w:tab w:val="clear" w:pos="1224"/>
        </w:tabs>
        <w:spacing w:after="120"/>
        <w:ind w:left="1890"/>
        <w:rPr>
          <w:szCs w:val="22"/>
        </w:rPr>
      </w:pPr>
      <w:r>
        <w:rPr>
          <w:szCs w:val="22"/>
        </w:rPr>
        <w:t>“RFID</w:t>
      </w:r>
      <w:r w:rsidR="000C5557">
        <w:rPr>
          <w:szCs w:val="22"/>
        </w:rPr>
        <w:t xml:space="preserve"> readers</w:t>
      </w:r>
      <w:r>
        <w:rPr>
          <w:szCs w:val="22"/>
        </w:rPr>
        <w:t xml:space="preserve">” means </w:t>
      </w:r>
      <w:r w:rsidR="000C5557">
        <w:rPr>
          <w:szCs w:val="22"/>
        </w:rPr>
        <w:t>R</w:t>
      </w:r>
      <w:r>
        <w:rPr>
          <w:szCs w:val="22"/>
        </w:rPr>
        <w:t xml:space="preserve">adio </w:t>
      </w:r>
      <w:r w:rsidR="000C5557">
        <w:rPr>
          <w:szCs w:val="22"/>
        </w:rPr>
        <w:t>F</w:t>
      </w:r>
      <w:r>
        <w:rPr>
          <w:szCs w:val="22"/>
        </w:rPr>
        <w:t xml:space="preserve">requency </w:t>
      </w:r>
      <w:r w:rsidR="000C5557">
        <w:rPr>
          <w:szCs w:val="22"/>
        </w:rPr>
        <w:t>I</w:t>
      </w:r>
      <w:r>
        <w:rPr>
          <w:szCs w:val="22"/>
        </w:rPr>
        <w:t>dentification</w:t>
      </w:r>
      <w:r w:rsidR="000C5557">
        <w:rPr>
          <w:szCs w:val="22"/>
        </w:rPr>
        <w:t xml:space="preserve"> readers subject to </w:t>
      </w:r>
      <w:r w:rsidR="00027EC4">
        <w:rPr>
          <w:szCs w:val="22"/>
        </w:rPr>
        <w:t xml:space="preserve">Subpart M </w:t>
      </w:r>
      <w:r w:rsidR="00D93281">
        <w:rPr>
          <w:szCs w:val="22"/>
        </w:rPr>
        <w:t xml:space="preserve">of </w:t>
      </w:r>
      <w:r w:rsidR="000C5557">
        <w:rPr>
          <w:szCs w:val="22"/>
        </w:rPr>
        <w:t>Part 90 of the Rules</w:t>
      </w:r>
      <w:r w:rsidR="00723B38">
        <w:rPr>
          <w:szCs w:val="22"/>
        </w:rPr>
        <w:t>.</w:t>
      </w:r>
      <w:r w:rsidR="00723B38">
        <w:rPr>
          <w:rStyle w:val="FootnoteReference"/>
          <w:szCs w:val="22"/>
        </w:rPr>
        <w:footnoteReference w:id="10"/>
      </w:r>
    </w:p>
    <w:p w14:paraId="36449263" w14:textId="77777777" w:rsidR="00BD08D2" w:rsidRPr="007C0B39" w:rsidRDefault="00BD08D2" w:rsidP="00EF1B1B">
      <w:pPr>
        <w:numPr>
          <w:ilvl w:val="0"/>
          <w:numId w:val="5"/>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w:t>
      </w:r>
      <w:r w:rsidR="003010FA" w:rsidRPr="007C0B39">
        <w:t>s</w:t>
      </w:r>
      <w:r w:rsidRPr="007C0B39">
        <w:rPr>
          <w:szCs w:val="22"/>
        </w:rPr>
        <w:t xml:space="preserve"> the Commission’s regulations found in Title 47 of the Code of Federal Regulations.</w:t>
      </w:r>
    </w:p>
    <w:p w14:paraId="36449271" w14:textId="77777777" w:rsidR="00E02214" w:rsidRPr="007C0B39" w:rsidRDefault="00E02214" w:rsidP="00E24E9F">
      <w:pPr>
        <w:pStyle w:val="Heading1"/>
        <w:rPr>
          <w:szCs w:val="22"/>
        </w:rPr>
      </w:pPr>
      <w:r w:rsidRPr="007C0B39">
        <w:t>BACKGROUND</w:t>
      </w:r>
    </w:p>
    <w:p w14:paraId="36449272" w14:textId="7CAB738E" w:rsidR="00040BB5" w:rsidRPr="007C0B39" w:rsidRDefault="0001692B" w:rsidP="00ED419F">
      <w:pPr>
        <w:pStyle w:val="ParaNum"/>
      </w:pPr>
      <w:r w:rsidRPr="0001692B">
        <w:t>Section 301 of the Act and Section 1.903(a) of the Rules prohibit the use or operation of any radio transmitting equipment within the United States, except under and in accordance with the Act and with a C</w:t>
      </w:r>
      <w:r>
        <w:t>ommission-granted authorization.</w:t>
      </w:r>
      <w:r>
        <w:rPr>
          <w:rStyle w:val="FootnoteReference"/>
        </w:rPr>
        <w:footnoteReference w:id="11"/>
      </w:r>
    </w:p>
    <w:p w14:paraId="1CB3855B" w14:textId="64B8CC78" w:rsidR="000673F5" w:rsidRDefault="00B56C0A" w:rsidP="000673F5">
      <w:pPr>
        <w:pStyle w:val="ParaNum"/>
      </w:pPr>
      <w:r w:rsidRPr="006A3116">
        <w:t xml:space="preserve">ClipperData is a small energy data company that collects and aggregates real-time data regarding the supply and movement of commodities in the energy </w:t>
      </w:r>
      <w:r>
        <w:t>market</w:t>
      </w:r>
      <w:r w:rsidRPr="006A3116">
        <w:t xml:space="preserve"> and sells data and analysis to investors, oil companies, and </w:t>
      </w:r>
      <w:r>
        <w:t>interested parties</w:t>
      </w:r>
      <w:r w:rsidRPr="006A3116">
        <w:t xml:space="preserve">.  </w:t>
      </w:r>
      <w:r>
        <w:t xml:space="preserve">In order to </w:t>
      </w:r>
      <w:r w:rsidR="000E5C6E">
        <w:t xml:space="preserve">test RFID as a possible technology to </w:t>
      </w:r>
      <w:r>
        <w:t xml:space="preserve">gather data, </w:t>
      </w:r>
      <w:r w:rsidRPr="006A3116">
        <w:t xml:space="preserve">ClipperData </w:t>
      </w:r>
      <w:r w:rsidR="003536CA">
        <w:t>operated</w:t>
      </w:r>
      <w:r w:rsidRPr="006A3116">
        <w:t xml:space="preserve"> a </w:t>
      </w:r>
      <w:r>
        <w:t>constellation</w:t>
      </w:r>
      <w:r w:rsidRPr="006A3116">
        <w:t xml:space="preserve"> of RFID readers</w:t>
      </w:r>
      <w:r>
        <w:t xml:space="preserve"> </w:t>
      </w:r>
      <w:r w:rsidRPr="006A3116">
        <w:t>near railways to monitor rail traffic in real time</w:t>
      </w:r>
      <w:r>
        <w:t>.</w:t>
      </w:r>
      <w:r w:rsidR="000673F5">
        <w:t xml:space="preserve">  </w:t>
      </w:r>
      <w:r w:rsidR="000673F5" w:rsidRPr="001A03D3">
        <w:t xml:space="preserve">While ClipperData obtained a </w:t>
      </w:r>
      <w:r w:rsidR="00255479">
        <w:t>L</w:t>
      </w:r>
      <w:r w:rsidR="000673F5" w:rsidRPr="001A03D3">
        <w:t xml:space="preserve">icense </w:t>
      </w:r>
      <w:r w:rsidR="000E5C6E">
        <w:t>to operate</w:t>
      </w:r>
      <w:r w:rsidR="000673F5" w:rsidRPr="001A03D3">
        <w:t xml:space="preserve"> </w:t>
      </w:r>
      <w:r w:rsidR="003536CA">
        <w:t>one of its</w:t>
      </w:r>
      <w:r w:rsidR="003A17B9">
        <w:t xml:space="preserve"> RFID reader</w:t>
      </w:r>
      <w:r w:rsidR="003536CA">
        <w:t>s</w:t>
      </w:r>
      <w:r w:rsidR="00C430B2">
        <w:t>, station WQWH244</w:t>
      </w:r>
      <w:r w:rsidR="000673F5" w:rsidRPr="001A03D3">
        <w:t xml:space="preserve">, ClipperData </w:t>
      </w:r>
      <w:r w:rsidR="0011733C">
        <w:t xml:space="preserve">did not </w:t>
      </w:r>
      <w:r w:rsidR="000E5C6E">
        <w:t xml:space="preserve">obtain </w:t>
      </w:r>
      <w:r w:rsidR="00255479">
        <w:t xml:space="preserve">Licenses </w:t>
      </w:r>
      <w:r w:rsidR="0011733C">
        <w:t>for the remainder of its RFID reader system</w:t>
      </w:r>
      <w:r w:rsidR="000673F5" w:rsidRPr="001A03D3">
        <w:t>.</w:t>
      </w:r>
      <w:r w:rsidR="003536CA">
        <w:rPr>
          <w:rStyle w:val="FootnoteReference"/>
        </w:rPr>
        <w:footnoteReference w:id="12"/>
      </w:r>
      <w:r w:rsidR="003536CA">
        <w:t xml:space="preserve"> </w:t>
      </w:r>
    </w:p>
    <w:p w14:paraId="675B4AF1" w14:textId="20891075" w:rsidR="00D51949" w:rsidRDefault="00D51949" w:rsidP="00B56C0A">
      <w:pPr>
        <w:pStyle w:val="ParaNum"/>
      </w:pPr>
      <w:r>
        <w:t>In response to a complaint</w:t>
      </w:r>
      <w:r w:rsidR="003536CA">
        <w:t xml:space="preserve"> alleging </w:t>
      </w:r>
      <w:r w:rsidR="00B25CDB">
        <w:t>that ClipperData was operating RFID readers without authorization</w:t>
      </w:r>
      <w:r>
        <w:t>, t</w:t>
      </w:r>
      <w:r w:rsidRPr="006A3116">
        <w:t xml:space="preserve">he Bureau </w:t>
      </w:r>
      <w:r>
        <w:t>issued</w:t>
      </w:r>
      <w:r w:rsidRPr="006A3116">
        <w:t xml:space="preserve"> a</w:t>
      </w:r>
      <w:r w:rsidR="00C430B2">
        <w:t>n LOI</w:t>
      </w:r>
      <w:r w:rsidR="003A2088">
        <w:t xml:space="preserve"> </w:t>
      </w:r>
      <w:r w:rsidRPr="006A3116">
        <w:t>to ClipperData on April 27, 2016.</w:t>
      </w:r>
      <w:r>
        <w:rPr>
          <w:rStyle w:val="FootnoteReference"/>
          <w:spacing w:val="-2"/>
        </w:rPr>
        <w:footnoteReference w:id="13"/>
      </w:r>
      <w:r w:rsidRPr="006A3116">
        <w:t xml:space="preserve">  ClipperData responded to the LOI on May 27, 2016</w:t>
      </w:r>
      <w:r>
        <w:t xml:space="preserve">, </w:t>
      </w:r>
      <w:r w:rsidR="0011733C">
        <w:t>stating</w:t>
      </w:r>
      <w:r>
        <w:t xml:space="preserve"> that it </w:t>
      </w:r>
      <w:r w:rsidR="000E5C6E">
        <w:t xml:space="preserve">did not fully understand the Licensing Rules, resulting in the operation of </w:t>
      </w:r>
      <w:r>
        <w:t>39 of its RFID readers without authorization.</w:t>
      </w:r>
      <w:r>
        <w:rPr>
          <w:rStyle w:val="FootnoteReference"/>
          <w:spacing w:val="-2"/>
        </w:rPr>
        <w:footnoteReference w:id="14"/>
      </w:r>
      <w:r w:rsidR="0011733C">
        <w:t xml:space="preserve">  The Bureau and ClipperData subsequently entered into settlement negotiations to resolve this matter.</w:t>
      </w:r>
    </w:p>
    <w:p w14:paraId="36449275" w14:textId="77777777" w:rsidR="00E02214" w:rsidRPr="007C0B39" w:rsidRDefault="00E02214" w:rsidP="00F23D03">
      <w:pPr>
        <w:pStyle w:val="Heading1"/>
        <w:spacing w:after="0"/>
      </w:pPr>
      <w:bookmarkStart w:id="1" w:name="FN[FN18]"/>
      <w:bookmarkEnd w:id="1"/>
      <w:r w:rsidRPr="007C0B39">
        <w:t>TERMS OF AGREEMENT</w:t>
      </w:r>
    </w:p>
    <w:p w14:paraId="36449276" w14:textId="77777777" w:rsidR="00E02214" w:rsidRPr="007C0B39" w:rsidRDefault="00E02214" w:rsidP="00ED419F">
      <w:pPr>
        <w:pStyle w:val="ParaNum"/>
        <w:rPr>
          <w:szCs w:val="22"/>
        </w:rPr>
      </w:pPr>
      <w:r w:rsidRPr="007C0B39">
        <w:rPr>
          <w:b/>
          <w:szCs w:val="22"/>
          <w:u w:val="single"/>
        </w:rPr>
        <w:t>Adopting Order</w:t>
      </w:r>
      <w:r w:rsidR="00CE68FE" w:rsidRPr="007C0B39">
        <w:rPr>
          <w:szCs w:val="22"/>
        </w:rPr>
        <w:t>.  The provisions of this Consent Decree shall be incorporated by the Bureau in an Adopting Order</w:t>
      </w:r>
      <w:r w:rsidRPr="007C0B39">
        <w:rPr>
          <w:szCs w:val="22"/>
        </w:rPr>
        <w:t>.</w:t>
      </w:r>
    </w:p>
    <w:p w14:paraId="36449277" w14:textId="3698687B" w:rsidR="00E02214" w:rsidRPr="007C0B39" w:rsidRDefault="00E02214" w:rsidP="00ED419F">
      <w:pPr>
        <w:pStyle w:val="ParaNum"/>
        <w:rPr>
          <w:szCs w:val="22"/>
        </w:rPr>
      </w:pPr>
      <w:r w:rsidRPr="007C0B39">
        <w:rPr>
          <w:b/>
          <w:szCs w:val="22"/>
          <w:u w:val="single"/>
        </w:rPr>
        <w:t>Jurisdiction</w:t>
      </w:r>
      <w:r w:rsidRPr="007C0B39">
        <w:rPr>
          <w:szCs w:val="22"/>
        </w:rPr>
        <w:t xml:space="preserve">.  </w:t>
      </w:r>
      <w:r w:rsidR="00496812">
        <w:rPr>
          <w:szCs w:val="22"/>
        </w:rPr>
        <w:t>ClipperData</w:t>
      </w:r>
      <w:r w:rsidR="00EF30D3" w:rsidRPr="007C0B39">
        <w:rPr>
          <w:szCs w:val="22"/>
        </w:rPr>
        <w:t xml:space="preserve"> </w:t>
      </w:r>
      <w:r w:rsidRPr="007C0B39">
        <w:rPr>
          <w:szCs w:val="22"/>
        </w:rPr>
        <w:t>agrees that the Bureau has jurisdiction over it and the matters contained in this Con</w:t>
      </w:r>
      <w:r w:rsidR="00073450" w:rsidRPr="007C0B39">
        <w:rPr>
          <w:szCs w:val="22"/>
        </w:rPr>
        <w:t xml:space="preserve">sent Decree and </w:t>
      </w:r>
      <w:r w:rsidRPr="007C0B39">
        <w:rPr>
          <w:szCs w:val="22"/>
        </w:rPr>
        <w:t xml:space="preserve">has the </w:t>
      </w:r>
      <w:r w:rsidRPr="00ED419F">
        <w:t>authority</w:t>
      </w:r>
      <w:r w:rsidRPr="007C0B39">
        <w:rPr>
          <w:szCs w:val="22"/>
        </w:rPr>
        <w:t xml:space="preserve"> to enter into and adopt this Consent Decree.</w:t>
      </w:r>
    </w:p>
    <w:p w14:paraId="36449278" w14:textId="77777777" w:rsidR="0013249B" w:rsidRPr="007C0B39" w:rsidRDefault="00E02214" w:rsidP="00ED419F">
      <w:pPr>
        <w:pStyle w:val="ParaNum"/>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w:t>
      </w:r>
      <w:r w:rsidR="00CE68FE" w:rsidRPr="007C0B39">
        <w:rPr>
          <w:szCs w:val="22"/>
        </w:rPr>
        <w:t xml:space="preserve">Parties agree that </w:t>
      </w:r>
      <w:r w:rsidRPr="007C0B39">
        <w:rPr>
          <w:szCs w:val="22"/>
        </w:rPr>
        <w:t xml:space="preserve">this Consent Decree shall have the same force and effect as any other order of the Commission.  </w:t>
      </w:r>
    </w:p>
    <w:p w14:paraId="36449279" w14:textId="597D7DA7" w:rsidR="006B3C40" w:rsidRPr="00C566EC" w:rsidRDefault="00E02214" w:rsidP="006B3C40">
      <w:pPr>
        <w:pStyle w:val="ParaNum"/>
        <w:rPr>
          <w:szCs w:val="22"/>
        </w:rPr>
      </w:pPr>
      <w:r w:rsidRPr="007C0B39">
        <w:rPr>
          <w:b/>
          <w:szCs w:val="22"/>
          <w:u w:val="single"/>
        </w:rPr>
        <w:t>Termination of 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Investigation.  In consideration for </w:t>
      </w:r>
      <w:r w:rsidR="007A541A" w:rsidRPr="007C0B39">
        <w:rPr>
          <w:szCs w:val="22"/>
        </w:rPr>
        <w:t xml:space="preserve">the </w:t>
      </w:r>
      <w:r w:rsidRPr="007C0B39">
        <w:rPr>
          <w:szCs w:val="22"/>
        </w:rPr>
        <w:t xml:space="preserve">termination of the Investigation, </w:t>
      </w:r>
      <w:r w:rsidR="00496812">
        <w:rPr>
          <w:szCs w:val="22"/>
        </w:rPr>
        <w:t>ClipperData</w:t>
      </w:r>
      <w:r w:rsidR="00076C13" w:rsidRPr="007C0B39">
        <w:rPr>
          <w:szCs w:val="22"/>
        </w:rPr>
        <w:t xml:space="preserve"> </w:t>
      </w:r>
      <w:r w:rsidR="006A0CCD" w:rsidRPr="007C0B39">
        <w:rPr>
          <w:szCs w:val="22"/>
        </w:rPr>
        <w:t>a</w:t>
      </w:r>
      <w:r w:rsidRPr="007C0B39">
        <w:rPr>
          <w:szCs w:val="22"/>
        </w:rPr>
        <w:t xml:space="preserve">grees to the terms, conditions, and procedures contained herein. </w:t>
      </w:r>
      <w:r w:rsidR="00073450" w:rsidRPr="007C0B39">
        <w:rPr>
          <w:szCs w:val="22"/>
        </w:rPr>
        <w:t xml:space="preserve"> The Bureau further agrees that,</w:t>
      </w:r>
      <w:r w:rsidRPr="007C0B39">
        <w:rPr>
          <w:szCs w:val="22"/>
        </w:rPr>
        <w:t xml:space="preserve"> in the absence of n</w:t>
      </w:r>
      <w:r w:rsidR="00076C13" w:rsidRPr="007C0B39">
        <w:rPr>
          <w:szCs w:val="22"/>
        </w:rPr>
        <w:t>ew material evidence, it</w:t>
      </w:r>
      <w:r w:rsidRPr="007C0B39">
        <w:rPr>
          <w:szCs w:val="22"/>
        </w:rPr>
        <w:t xml:space="preserve"> will not</w:t>
      </w:r>
      <w:r w:rsidR="00683B2D" w:rsidRPr="007C0B39">
        <w:rPr>
          <w:szCs w:val="22"/>
        </w:rPr>
        <w:t xml:space="preserve"> use the facts developed in the</w:t>
      </w:r>
      <w:r w:rsidRPr="007C0B39">
        <w:rPr>
          <w:szCs w:val="22"/>
        </w:rPr>
        <w:t xml:space="preserve"> Investigation through the Effective Date, or the existence of this Consent Decree, to institute, on its own motion, any new proceeding, formal or informal, or take any action on its own motion against </w:t>
      </w:r>
      <w:r w:rsidR="00496812">
        <w:rPr>
          <w:szCs w:val="22"/>
        </w:rPr>
        <w:t>ClipperData</w:t>
      </w:r>
      <w:r w:rsidR="00076C13" w:rsidRPr="007C0B39">
        <w:rPr>
          <w:szCs w:val="22"/>
        </w:rPr>
        <w:t xml:space="preserve"> </w:t>
      </w:r>
      <w:r w:rsidRPr="007C0B39">
        <w:rPr>
          <w:szCs w:val="22"/>
        </w:rPr>
        <w:t xml:space="preserve">concerning the matters that were the subject of the Investigation.  </w:t>
      </w:r>
      <w:r w:rsidR="006B3C40">
        <w:t xml:space="preserve">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w:t>
      </w:r>
      <w:r w:rsidR="00496812">
        <w:rPr>
          <w:szCs w:val="22"/>
        </w:rPr>
        <w:t>ClipperData</w:t>
      </w:r>
      <w:r w:rsidR="006B3C40">
        <w:t xml:space="preserve">’s basic qualifications to be a Commission licensee or hold Commission </w:t>
      </w:r>
      <w:r w:rsidR="00255479">
        <w:t>L</w:t>
      </w:r>
      <w:r w:rsidR="006B3C40">
        <w:t>icenses or authorizations.</w:t>
      </w:r>
      <w:r w:rsidR="006B3C40">
        <w:rPr>
          <w:rStyle w:val="FootnoteReference"/>
        </w:rPr>
        <w:footnoteReference w:id="15"/>
      </w:r>
    </w:p>
    <w:p w14:paraId="3644927B" w14:textId="45490B75" w:rsidR="00F16CFE" w:rsidRPr="00496812" w:rsidRDefault="00F16CFE" w:rsidP="00496812">
      <w:pPr>
        <w:pStyle w:val="ParaNum"/>
        <w:rPr>
          <w:szCs w:val="22"/>
        </w:rPr>
      </w:pPr>
      <w:r w:rsidRPr="007C0B39">
        <w:rPr>
          <w:b/>
          <w:u w:val="single"/>
        </w:rPr>
        <w:t>Admission of Liability</w:t>
      </w:r>
      <w:r w:rsidRPr="007C0B39">
        <w:t xml:space="preserve">.  </w:t>
      </w:r>
      <w:r w:rsidR="00496812">
        <w:rPr>
          <w:szCs w:val="22"/>
        </w:rPr>
        <w:t>ClipperData</w:t>
      </w:r>
      <w:r w:rsidRPr="007C0B39">
        <w:t xml:space="preserve"> admits for the purpose of this Consent Decree and for Commission civil enforcement </w:t>
      </w:r>
      <w:r w:rsidR="000E5C6E">
        <w:t>thereof</w:t>
      </w:r>
      <w:r w:rsidRPr="007C0B39">
        <w:t xml:space="preserve">, and in express reliance on the provisions of paragraph </w:t>
      </w:r>
      <w:r w:rsidR="00B116C9">
        <w:t>9</w:t>
      </w:r>
      <w:r w:rsidRPr="007C0B39">
        <w:t xml:space="preserve"> herein,</w:t>
      </w:r>
      <w:r w:rsidR="00496812">
        <w:rPr>
          <w:szCs w:val="22"/>
        </w:rPr>
        <w:t xml:space="preserve"> </w:t>
      </w:r>
      <w:r w:rsidRPr="00496812">
        <w:rPr>
          <w:szCs w:val="22"/>
        </w:rPr>
        <w:t xml:space="preserve">that its </w:t>
      </w:r>
      <w:r w:rsidR="00496812">
        <w:rPr>
          <w:szCs w:val="22"/>
        </w:rPr>
        <w:t>operation of RFID readers without authorization</w:t>
      </w:r>
      <w:r w:rsidRPr="00496812">
        <w:rPr>
          <w:szCs w:val="22"/>
        </w:rPr>
        <w:t xml:space="preserve"> violated the</w:t>
      </w:r>
      <w:r w:rsidRPr="00496812">
        <w:rPr>
          <w:i/>
          <w:szCs w:val="22"/>
        </w:rPr>
        <w:t xml:space="preserve"> </w:t>
      </w:r>
      <w:r w:rsidR="00D966F2">
        <w:rPr>
          <w:szCs w:val="22"/>
        </w:rPr>
        <w:t>Licensing</w:t>
      </w:r>
      <w:r w:rsidRPr="00D966F2">
        <w:rPr>
          <w:szCs w:val="22"/>
        </w:rPr>
        <w:t xml:space="preserve"> Rules.</w:t>
      </w:r>
    </w:p>
    <w:p w14:paraId="36449282" w14:textId="1E494EC3" w:rsidR="00BD5BEC" w:rsidRPr="00496812" w:rsidRDefault="002E1346" w:rsidP="00953B45">
      <w:pPr>
        <w:pStyle w:val="ParaNum"/>
      </w:pPr>
      <w:r w:rsidRPr="0065074D">
        <w:rPr>
          <w:b/>
          <w:u w:val="single"/>
        </w:rPr>
        <w:t>Relinquishment of License</w:t>
      </w:r>
      <w:r w:rsidRPr="0065074D">
        <w:t xml:space="preserve">. In consideration for the termination of the Investigation, and in express reliance on the provisions of paragraph </w:t>
      </w:r>
      <w:r w:rsidR="00B116C9">
        <w:t>9</w:t>
      </w:r>
      <w:r w:rsidRPr="0065074D">
        <w:t xml:space="preserve"> herein, ClipperData agrees to relinquish </w:t>
      </w:r>
      <w:r w:rsidR="00C5691C">
        <w:t xml:space="preserve">its </w:t>
      </w:r>
      <w:r w:rsidR="00255479">
        <w:t>L</w:t>
      </w:r>
      <w:r w:rsidR="00C5691C">
        <w:t>icense for station WQWH244</w:t>
      </w:r>
      <w:r w:rsidRPr="0065074D">
        <w:t xml:space="preserve">.  ClipperData has </w:t>
      </w:r>
      <w:r w:rsidR="00CB3D76">
        <w:t>submitted a</w:t>
      </w:r>
      <w:r w:rsidR="00023D26">
        <w:t>n online</w:t>
      </w:r>
      <w:r w:rsidR="00CB3D76">
        <w:t xml:space="preserve"> request via the </w:t>
      </w:r>
      <w:r w:rsidR="00023D26">
        <w:t xml:space="preserve">Commission’s </w:t>
      </w:r>
      <w:r w:rsidR="00CB3D76" w:rsidRPr="00CB3D76">
        <w:rPr>
          <w:szCs w:val="22"/>
        </w:rPr>
        <w:t>Universal Licensing S</w:t>
      </w:r>
      <w:r w:rsidR="00023D26">
        <w:rPr>
          <w:szCs w:val="22"/>
        </w:rPr>
        <w:t>ystem</w:t>
      </w:r>
      <w:r w:rsidR="00023D26">
        <w:t xml:space="preserve"> to</w:t>
      </w:r>
      <w:r w:rsidR="00C5691C">
        <w:t xml:space="preserve"> cancel the </w:t>
      </w:r>
      <w:r w:rsidR="00255479">
        <w:t>L</w:t>
      </w:r>
      <w:r w:rsidR="00C5691C">
        <w:t>icense for station WQWH244</w:t>
      </w:r>
      <w:r w:rsidRPr="0065074D">
        <w:t>.</w:t>
      </w:r>
      <w:r w:rsidR="00E57CCF">
        <w:rPr>
          <w:szCs w:val="22"/>
        </w:rPr>
        <w:t xml:space="preserve">  C</w:t>
      </w:r>
      <w:r w:rsidR="00496812" w:rsidRPr="00953B45">
        <w:rPr>
          <w:szCs w:val="22"/>
        </w:rPr>
        <w:t>lipperData</w:t>
      </w:r>
      <w:r w:rsidR="00BD5BEC" w:rsidRPr="00953B45">
        <w:rPr>
          <w:i/>
          <w:szCs w:val="22"/>
        </w:rPr>
        <w:t xml:space="preserve"> </w:t>
      </w:r>
      <w:r w:rsidR="00BE103C" w:rsidRPr="00953B45">
        <w:rPr>
          <w:szCs w:val="22"/>
        </w:rPr>
        <w:t xml:space="preserve">agrees if it </w:t>
      </w:r>
      <w:r w:rsidR="000E5C6E">
        <w:rPr>
          <w:szCs w:val="22"/>
        </w:rPr>
        <w:t>is granted</w:t>
      </w:r>
      <w:r w:rsidR="000E5C6E" w:rsidRPr="00953B45">
        <w:rPr>
          <w:szCs w:val="22"/>
        </w:rPr>
        <w:t xml:space="preserve"> </w:t>
      </w:r>
      <w:r w:rsidR="00286347" w:rsidRPr="00953B45">
        <w:rPr>
          <w:szCs w:val="22"/>
        </w:rPr>
        <w:t xml:space="preserve">a </w:t>
      </w:r>
      <w:r w:rsidR="00E57CCF">
        <w:rPr>
          <w:szCs w:val="22"/>
        </w:rPr>
        <w:t xml:space="preserve">further </w:t>
      </w:r>
      <w:r w:rsidR="00286347" w:rsidRPr="00953B45">
        <w:rPr>
          <w:szCs w:val="22"/>
        </w:rPr>
        <w:t>Commission</w:t>
      </w:r>
      <w:r w:rsidR="00286347" w:rsidRPr="00496812">
        <w:t xml:space="preserve"> </w:t>
      </w:r>
      <w:r w:rsidR="00255479">
        <w:t>L</w:t>
      </w:r>
      <w:r w:rsidR="00286347" w:rsidRPr="00496812">
        <w:t>icense</w:t>
      </w:r>
      <w:r w:rsidR="009D0A62">
        <w:t xml:space="preserve"> before the date set forth in paragraph 16,</w:t>
      </w:r>
      <w:r w:rsidR="00BD5BEC" w:rsidRPr="00953B45">
        <w:rPr>
          <w:color w:val="000000"/>
        </w:rPr>
        <w:t xml:space="preserve"> </w:t>
      </w:r>
      <w:r w:rsidR="00286347" w:rsidRPr="00953B45">
        <w:rPr>
          <w:color w:val="000000"/>
        </w:rPr>
        <w:t xml:space="preserve">it will </w:t>
      </w:r>
      <w:r w:rsidR="00286347" w:rsidRPr="00496812">
        <w:t xml:space="preserve">accept the compliance obligations set forth in paragraphs </w:t>
      </w:r>
      <w:r w:rsidR="00FC3C1A">
        <w:t xml:space="preserve">12 </w:t>
      </w:r>
      <w:r w:rsidR="00B116C9">
        <w:t xml:space="preserve">through </w:t>
      </w:r>
      <w:r w:rsidR="00FC3C1A">
        <w:t>14</w:t>
      </w:r>
      <w:r w:rsidR="00FC3C1A" w:rsidRPr="00496812">
        <w:t xml:space="preserve"> </w:t>
      </w:r>
      <w:r w:rsidR="00286347" w:rsidRPr="00496812">
        <w:t>herein</w:t>
      </w:r>
      <w:r w:rsidR="00496812">
        <w:t>.</w:t>
      </w:r>
    </w:p>
    <w:p w14:paraId="36449283" w14:textId="5D02763C" w:rsidR="00E02214" w:rsidRPr="007C0B39" w:rsidRDefault="00E02214" w:rsidP="00ED419F">
      <w:pPr>
        <w:pStyle w:val="ParaNum"/>
        <w:rPr>
          <w:szCs w:val="22"/>
        </w:rPr>
      </w:pPr>
      <w:bookmarkStart w:id="2" w:name="_Ref379202869"/>
      <w:r w:rsidRPr="007C0B39">
        <w:rPr>
          <w:b/>
          <w:szCs w:val="22"/>
          <w:u w:val="single"/>
        </w:rPr>
        <w:t>Compliance Officer</w:t>
      </w:r>
      <w:r w:rsidRPr="007C0B39">
        <w:rPr>
          <w:szCs w:val="22"/>
        </w:rPr>
        <w:t xml:space="preserve">.  Within thirty (30) </w:t>
      </w:r>
      <w:r w:rsidRPr="007C0B39">
        <w:t>calendar</w:t>
      </w:r>
      <w:r w:rsidRPr="007C0B39">
        <w:rPr>
          <w:szCs w:val="22"/>
        </w:rPr>
        <w:t xml:space="preserve"> days after the </w:t>
      </w:r>
      <w:r w:rsidR="00AC6F1C">
        <w:rPr>
          <w:szCs w:val="22"/>
        </w:rPr>
        <w:t>Grant</w:t>
      </w:r>
      <w:r w:rsidRPr="007C0B39">
        <w:rPr>
          <w:szCs w:val="22"/>
        </w:rPr>
        <w:t xml:space="preserve"> Date, </w:t>
      </w:r>
      <w:r w:rsidR="00496812">
        <w:rPr>
          <w:szCs w:val="22"/>
        </w:rPr>
        <w:t>ClipperData</w:t>
      </w:r>
      <w:r w:rsidR="00EF30D3" w:rsidRPr="007C0B39">
        <w:rPr>
          <w:szCs w:val="22"/>
        </w:rPr>
        <w:t xml:space="preserve"> </w:t>
      </w:r>
      <w:r w:rsidRPr="007C0B39">
        <w:rPr>
          <w:szCs w:val="22"/>
        </w:rPr>
        <w:t xml:space="preserve">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sidR="00496812">
        <w:rPr>
          <w:szCs w:val="22"/>
        </w:rPr>
        <w:t>ClipperData</w:t>
      </w:r>
      <w:r w:rsidR="00302C38" w:rsidRPr="007C0B39">
        <w:t xml:space="preserve"> </w:t>
      </w:r>
      <w:r w:rsidRPr="007C0B39">
        <w:rPr>
          <w:szCs w:val="22"/>
        </w:rPr>
        <w:t>complies with the terms and conditions of the Compliance Plan and this Consent Decree.</w:t>
      </w:r>
      <w:r w:rsidR="00B0044E" w:rsidRPr="007C0B39">
        <w:rPr>
          <w:szCs w:val="22"/>
        </w:rPr>
        <w:t xml:space="preserve"> </w:t>
      </w:r>
      <w:r w:rsidRPr="007C0B39">
        <w:rPr>
          <w:szCs w:val="22"/>
        </w:rPr>
        <w:t xml:space="preserve">  In </w:t>
      </w:r>
      <w:r w:rsidRPr="00ED419F">
        <w:t>addition</w:t>
      </w:r>
      <w:r w:rsidRPr="007C0B39">
        <w:rPr>
          <w:szCs w:val="22"/>
        </w:rPr>
        <w:t xml:space="preserve"> to the general knowledge of the Communications Laws necessary to discharge his</w:t>
      </w:r>
      <w:r w:rsidR="00B0044E" w:rsidRPr="007C0B39">
        <w:rPr>
          <w:szCs w:val="22"/>
        </w:rPr>
        <w:t xml:space="preserve"> or </w:t>
      </w:r>
      <w:r w:rsidRPr="007C0B39">
        <w:rPr>
          <w:szCs w:val="22"/>
        </w:rPr>
        <w:t>her duties under this Consent Decree, the Compliance Officer shall have specifi</w:t>
      </w:r>
      <w:r w:rsidR="00302C38" w:rsidRPr="007C0B39">
        <w:rPr>
          <w:szCs w:val="22"/>
        </w:rPr>
        <w:t xml:space="preserve">c knowledge of the </w:t>
      </w:r>
      <w:r w:rsidR="00D966F2">
        <w:rPr>
          <w:szCs w:val="22"/>
        </w:rPr>
        <w:t>Licensing</w:t>
      </w:r>
      <w:r w:rsidRPr="007C0B39">
        <w:rPr>
          <w:szCs w:val="22"/>
        </w:rPr>
        <w:t xml:space="preserve"> Rules prior to assuming his/her duties.</w:t>
      </w:r>
      <w:bookmarkEnd w:id="2"/>
    </w:p>
    <w:p w14:paraId="36449285" w14:textId="2F9008EB" w:rsidR="00E02214" w:rsidRPr="007C0B39" w:rsidRDefault="000E5C6E" w:rsidP="00D573EC">
      <w:pPr>
        <w:pStyle w:val="ParaNum"/>
        <w:spacing w:after="0"/>
        <w:rPr>
          <w:szCs w:val="22"/>
        </w:rPr>
      </w:pPr>
      <w:bookmarkStart w:id="3" w:name="_Ref357521857"/>
      <w:r>
        <w:rPr>
          <w:b/>
          <w:szCs w:val="22"/>
          <w:u w:val="single"/>
        </w:rPr>
        <w:t xml:space="preserve">Contingent </w:t>
      </w:r>
      <w:r w:rsidR="00E02214" w:rsidRPr="007C0B39">
        <w:rPr>
          <w:b/>
          <w:szCs w:val="22"/>
          <w:u w:val="single"/>
        </w:rPr>
        <w:t>Compliance Plan</w:t>
      </w:r>
      <w:r w:rsidR="00E02214" w:rsidRPr="007C0B39">
        <w:rPr>
          <w:szCs w:val="22"/>
        </w:rPr>
        <w:t xml:space="preserve">.  For purposes of settling the matters set forth herein, </w:t>
      </w:r>
      <w:r w:rsidR="0065074D">
        <w:rPr>
          <w:szCs w:val="22"/>
        </w:rPr>
        <w:t>ClipperData</w:t>
      </w:r>
      <w:r w:rsidR="0065074D" w:rsidRPr="007C0B39">
        <w:rPr>
          <w:szCs w:val="22"/>
        </w:rPr>
        <w:t xml:space="preserve"> </w:t>
      </w:r>
      <w:r w:rsidR="00E02214" w:rsidRPr="007C0B39">
        <w:rPr>
          <w:szCs w:val="22"/>
        </w:rPr>
        <w:t xml:space="preserve">agrees that it shall, within sixty (60) calendar days after the </w:t>
      </w:r>
      <w:r w:rsidR="00AC6F1C">
        <w:rPr>
          <w:szCs w:val="22"/>
        </w:rPr>
        <w:t>Grant</w:t>
      </w:r>
      <w:r w:rsidR="00E02214" w:rsidRPr="007C0B39">
        <w:rPr>
          <w:szCs w:val="22"/>
        </w:rPr>
        <w:t xml:space="preserve"> Date, develop and implement a Compliance Plan designed to ensure future compliance with the Communications Laws and with the terms and conditions of this Consent Decree.  W</w:t>
      </w:r>
      <w:r w:rsidR="00302C38" w:rsidRPr="007C0B39">
        <w:rPr>
          <w:szCs w:val="22"/>
        </w:rPr>
        <w:t xml:space="preserve">ith respect to the </w:t>
      </w:r>
      <w:r w:rsidR="00D966F2">
        <w:rPr>
          <w:szCs w:val="22"/>
        </w:rPr>
        <w:t>Licensing</w:t>
      </w:r>
      <w:r w:rsidR="00E02214" w:rsidRPr="007C0B39">
        <w:rPr>
          <w:szCs w:val="22"/>
        </w:rPr>
        <w:t xml:space="preserve"> Rules, </w:t>
      </w:r>
      <w:r w:rsidR="0065074D">
        <w:rPr>
          <w:szCs w:val="22"/>
        </w:rPr>
        <w:t>ClipperData</w:t>
      </w:r>
      <w:r w:rsidR="00302C38" w:rsidRPr="007C0B39">
        <w:rPr>
          <w:szCs w:val="22"/>
        </w:rPr>
        <w:t xml:space="preserve"> will</w:t>
      </w:r>
      <w:r w:rsidR="00E02214" w:rsidRPr="007C0B39">
        <w:rPr>
          <w:szCs w:val="22"/>
        </w:rPr>
        <w:t xml:space="preserve"> implement</w:t>
      </w:r>
      <w:r w:rsidR="00073450" w:rsidRPr="007C0B39">
        <w:rPr>
          <w:szCs w:val="22"/>
        </w:rPr>
        <w:t>, at a minimum,</w:t>
      </w:r>
      <w:r w:rsidR="00E02214" w:rsidRPr="007C0B39">
        <w:rPr>
          <w:szCs w:val="22"/>
        </w:rPr>
        <w:t xml:space="preserve"> the following procedures:</w:t>
      </w:r>
      <w:bookmarkEnd w:id="3"/>
    </w:p>
    <w:p w14:paraId="36449287" w14:textId="527A8FAC" w:rsidR="0055035F" w:rsidRPr="005F5583" w:rsidRDefault="00E02214" w:rsidP="00C914BB">
      <w:pPr>
        <w:widowControl/>
        <w:numPr>
          <w:ilvl w:val="0"/>
          <w:numId w:val="6"/>
        </w:numPr>
        <w:spacing w:after="120"/>
        <w:rPr>
          <w:szCs w:val="22"/>
        </w:rPr>
      </w:pPr>
      <w:r w:rsidRPr="005F5583">
        <w:rPr>
          <w:b/>
          <w:szCs w:val="22"/>
          <w:u w:val="single"/>
        </w:rPr>
        <w:t>Operating Procedures</w:t>
      </w:r>
      <w:r w:rsidR="00BD779B" w:rsidRPr="005F5583">
        <w:rPr>
          <w:szCs w:val="22"/>
        </w:rPr>
        <w:t xml:space="preserve">.  Within </w:t>
      </w:r>
      <w:r w:rsidR="000E5C6E">
        <w:rPr>
          <w:szCs w:val="22"/>
        </w:rPr>
        <w:t>sixty</w:t>
      </w:r>
      <w:r w:rsidR="000E5C6E" w:rsidRPr="005F5583">
        <w:rPr>
          <w:szCs w:val="22"/>
        </w:rPr>
        <w:t xml:space="preserve"> </w:t>
      </w:r>
      <w:r w:rsidR="00BD779B" w:rsidRPr="005F5583">
        <w:rPr>
          <w:szCs w:val="22"/>
        </w:rPr>
        <w:t>(</w:t>
      </w:r>
      <w:r w:rsidR="000E5C6E">
        <w:rPr>
          <w:szCs w:val="22"/>
        </w:rPr>
        <w:t>6</w:t>
      </w:r>
      <w:r w:rsidRPr="005F5583">
        <w:rPr>
          <w:szCs w:val="22"/>
        </w:rPr>
        <w:t xml:space="preserve">0) calendar days after the </w:t>
      </w:r>
      <w:r w:rsidR="00AC6F1C">
        <w:rPr>
          <w:szCs w:val="22"/>
        </w:rPr>
        <w:t>Grant</w:t>
      </w:r>
      <w:r w:rsidRPr="005F5583">
        <w:rPr>
          <w:szCs w:val="22"/>
        </w:rPr>
        <w:t xml:space="preserve"> Date, </w:t>
      </w:r>
      <w:r w:rsidR="0065074D" w:rsidRPr="005F5583">
        <w:rPr>
          <w:szCs w:val="22"/>
        </w:rPr>
        <w:t>ClipperData</w:t>
      </w:r>
      <w:r w:rsidRPr="005F5583">
        <w:rPr>
          <w:szCs w:val="22"/>
        </w:rPr>
        <w:t xml:space="preserve"> shall establish Operating Procedures that all Covered Employees must follow to help ensure </w:t>
      </w:r>
      <w:r w:rsidR="0065074D" w:rsidRPr="005F5583">
        <w:rPr>
          <w:szCs w:val="22"/>
        </w:rPr>
        <w:t>ClipperData</w:t>
      </w:r>
      <w:r w:rsidR="00EA12C6" w:rsidRPr="005F5583">
        <w:rPr>
          <w:szCs w:val="22"/>
        </w:rPr>
        <w:t>’</w:t>
      </w:r>
      <w:r w:rsidRPr="005F5583">
        <w:rPr>
          <w:szCs w:val="22"/>
        </w:rPr>
        <w:t>s c</w:t>
      </w:r>
      <w:r w:rsidR="00302C38" w:rsidRPr="005F5583">
        <w:rPr>
          <w:szCs w:val="22"/>
        </w:rPr>
        <w:t xml:space="preserve">ompliance with the </w:t>
      </w:r>
      <w:r w:rsidR="00D966F2" w:rsidRPr="005F5583">
        <w:rPr>
          <w:szCs w:val="22"/>
        </w:rPr>
        <w:t>Licensing</w:t>
      </w:r>
      <w:r w:rsidRPr="005F5583">
        <w:rPr>
          <w:szCs w:val="22"/>
        </w:rPr>
        <w:t xml:space="preserve"> Rules.  </w:t>
      </w:r>
      <w:r w:rsidR="005F5583" w:rsidRPr="005F5583">
        <w:rPr>
          <w:szCs w:val="22"/>
        </w:rPr>
        <w:t xml:space="preserve">As part of its Operating Procedures, the Compliance Officer shall designate a Covered Employee (or outside counsel or consultant who is knowledgeable in FCC licensing </w:t>
      </w:r>
      <w:r w:rsidR="005F5583">
        <w:rPr>
          <w:szCs w:val="22"/>
        </w:rPr>
        <w:t xml:space="preserve">issues) to be responsible for developing and maintaining a database of all FCC </w:t>
      </w:r>
      <w:r w:rsidR="00255479">
        <w:rPr>
          <w:szCs w:val="22"/>
        </w:rPr>
        <w:t>L</w:t>
      </w:r>
      <w:r w:rsidR="005F5583">
        <w:rPr>
          <w:szCs w:val="22"/>
        </w:rPr>
        <w:t xml:space="preserve">icenses held by ClipperData and </w:t>
      </w:r>
      <w:r w:rsidR="005F5583" w:rsidRPr="005F5583">
        <w:rPr>
          <w:szCs w:val="22"/>
        </w:rPr>
        <w:t xml:space="preserve">the </w:t>
      </w:r>
      <w:r w:rsidR="005F5583">
        <w:rPr>
          <w:szCs w:val="22"/>
        </w:rPr>
        <w:t xml:space="preserve">scope </w:t>
      </w:r>
      <w:r w:rsidR="005F5583" w:rsidRPr="005F5583">
        <w:rPr>
          <w:szCs w:val="22"/>
        </w:rPr>
        <w:t xml:space="preserve">of each such </w:t>
      </w:r>
      <w:r w:rsidR="00255479">
        <w:rPr>
          <w:szCs w:val="22"/>
        </w:rPr>
        <w:t>L</w:t>
      </w:r>
      <w:r w:rsidR="005F5583" w:rsidRPr="005F5583">
        <w:rPr>
          <w:szCs w:val="22"/>
        </w:rPr>
        <w:t xml:space="preserve">icense. </w:t>
      </w:r>
      <w:r w:rsidR="0065074D" w:rsidRPr="005F5583">
        <w:rPr>
          <w:szCs w:val="22"/>
        </w:rPr>
        <w:t>ClipperData</w:t>
      </w:r>
      <w:r w:rsidR="00302C38" w:rsidRPr="007C0B39">
        <w:t xml:space="preserve"> </w:t>
      </w:r>
      <w:r w:rsidRPr="005F5583">
        <w:rPr>
          <w:szCs w:val="22"/>
        </w:rPr>
        <w:t xml:space="preserve">shall also develop a Compliance Checklist that describes the steps </w:t>
      </w:r>
      <w:r w:rsidR="006E4E12" w:rsidRPr="005F5583">
        <w:rPr>
          <w:szCs w:val="22"/>
        </w:rPr>
        <w:t xml:space="preserve">that </w:t>
      </w:r>
      <w:r w:rsidRPr="005F5583">
        <w:rPr>
          <w:szCs w:val="22"/>
        </w:rPr>
        <w:t xml:space="preserve">a Covered Employee must follow to ensure compliance </w:t>
      </w:r>
      <w:r w:rsidR="00302C38" w:rsidRPr="005F5583">
        <w:rPr>
          <w:szCs w:val="22"/>
        </w:rPr>
        <w:t xml:space="preserve">with the </w:t>
      </w:r>
      <w:r w:rsidR="00D966F2" w:rsidRPr="005F5583">
        <w:rPr>
          <w:szCs w:val="22"/>
        </w:rPr>
        <w:t>Licensing</w:t>
      </w:r>
      <w:r w:rsidRPr="005F5583">
        <w:rPr>
          <w:szCs w:val="22"/>
        </w:rPr>
        <w:t xml:space="preserve"> Rules.</w:t>
      </w:r>
    </w:p>
    <w:p w14:paraId="36449288" w14:textId="318CA668" w:rsidR="0055035F" w:rsidRPr="007C0B39" w:rsidRDefault="00E02214" w:rsidP="00F60217">
      <w:pPr>
        <w:widowControl/>
        <w:numPr>
          <w:ilvl w:val="0"/>
          <w:numId w:val="6"/>
        </w:numPr>
        <w:spacing w:after="120"/>
        <w:ind w:left="1886"/>
        <w:rPr>
          <w:szCs w:val="22"/>
        </w:rPr>
      </w:pPr>
      <w:r w:rsidRPr="007C0B39">
        <w:rPr>
          <w:b/>
          <w:szCs w:val="22"/>
          <w:u w:val="single"/>
        </w:rPr>
        <w:t>Compliance Manual</w:t>
      </w:r>
      <w:r w:rsidRPr="007C0B39">
        <w:rPr>
          <w:szCs w:val="22"/>
        </w:rPr>
        <w:t xml:space="preserve">.  Within sixty (60) calendar days after the </w:t>
      </w:r>
      <w:r w:rsidR="00AC6F1C">
        <w:rPr>
          <w:szCs w:val="22"/>
        </w:rPr>
        <w:t>Grant</w:t>
      </w:r>
      <w:r w:rsidRPr="007C0B39">
        <w:rPr>
          <w:szCs w:val="22"/>
        </w:rPr>
        <w:t xml:space="preserve"> Date, the Compliance Officer shall develop and distribute a Compliance Manual to all Covered Employees.  The Compliance Manual</w:t>
      </w:r>
      <w:r w:rsidR="00302C38" w:rsidRPr="007C0B39">
        <w:rPr>
          <w:szCs w:val="22"/>
        </w:rPr>
        <w:t xml:space="preserve"> shall explain the </w:t>
      </w:r>
      <w:r w:rsidR="00D966F2">
        <w:rPr>
          <w:szCs w:val="22"/>
        </w:rPr>
        <w:t>Licensing</w:t>
      </w:r>
      <w:r w:rsidRPr="007C0B39">
        <w:rPr>
          <w:szCs w:val="22"/>
        </w:rPr>
        <w:t xml:space="preserve"> Rules and set forth the Operating Procedures that Covered Employees shall follow to help ensure </w:t>
      </w:r>
      <w:r w:rsidR="0065074D">
        <w:rPr>
          <w:szCs w:val="22"/>
        </w:rPr>
        <w:t>ClipperData</w:t>
      </w:r>
      <w:r w:rsidR="00EA12C6" w:rsidRPr="007C0B39">
        <w:rPr>
          <w:szCs w:val="22"/>
        </w:rPr>
        <w:t>’</w:t>
      </w:r>
      <w:r w:rsidRPr="007C0B39">
        <w:rPr>
          <w:szCs w:val="22"/>
        </w:rPr>
        <w:t>s co</w:t>
      </w:r>
      <w:r w:rsidR="00302C38" w:rsidRPr="007C0B39">
        <w:rPr>
          <w:szCs w:val="22"/>
        </w:rPr>
        <w:t xml:space="preserve">mpliance with the </w:t>
      </w:r>
      <w:r w:rsidR="00D966F2">
        <w:rPr>
          <w:szCs w:val="22"/>
        </w:rPr>
        <w:t>Licensing</w:t>
      </w:r>
      <w:r w:rsidR="00302C38" w:rsidRPr="007C0B39">
        <w:rPr>
          <w:szCs w:val="22"/>
        </w:rPr>
        <w:t xml:space="preserve"> </w:t>
      </w:r>
      <w:r w:rsidRPr="007C0B39">
        <w:rPr>
          <w:szCs w:val="22"/>
        </w:rPr>
        <w:t xml:space="preserve">Rules.  </w:t>
      </w:r>
      <w:r w:rsidR="0065074D">
        <w:rPr>
          <w:szCs w:val="22"/>
        </w:rPr>
        <w:t>ClipperData</w:t>
      </w:r>
      <w:r w:rsidR="0065074D" w:rsidRPr="007C0B39">
        <w:rPr>
          <w:szCs w:val="22"/>
        </w:rPr>
        <w:t xml:space="preserve"> </w:t>
      </w:r>
      <w:r w:rsidRPr="007C0B39">
        <w:rPr>
          <w:szCs w:val="22"/>
        </w:rPr>
        <w:t xml:space="preserve">shall periodically review and revise the Compliance Manual as necessary to ensure that the information set forth therein remains current and accurate.  </w:t>
      </w:r>
      <w:r w:rsidR="0065074D">
        <w:rPr>
          <w:szCs w:val="22"/>
        </w:rPr>
        <w:t>ClipperData</w:t>
      </w:r>
      <w:r w:rsidR="00EA12C6" w:rsidRPr="007C0B39">
        <w:rPr>
          <w:szCs w:val="22"/>
        </w:rPr>
        <w:t xml:space="preserve"> </w:t>
      </w:r>
      <w:r w:rsidRPr="007C0B39">
        <w:rPr>
          <w:szCs w:val="22"/>
        </w:rPr>
        <w:t xml:space="preserve">shall distribute any revisions to the Compliance Manual promptly to </w:t>
      </w:r>
      <w:r w:rsidR="006E4E12" w:rsidRPr="007C0B39">
        <w:rPr>
          <w:szCs w:val="22"/>
        </w:rPr>
        <w:t xml:space="preserve">all </w:t>
      </w:r>
      <w:r w:rsidRPr="007C0B39">
        <w:rPr>
          <w:szCs w:val="22"/>
        </w:rPr>
        <w:t>Covered Employees.</w:t>
      </w:r>
    </w:p>
    <w:p w14:paraId="36449289" w14:textId="42E68A1B" w:rsidR="0055035F" w:rsidRPr="007C0B39" w:rsidRDefault="00E02214" w:rsidP="00F60217">
      <w:pPr>
        <w:widowControl/>
        <w:numPr>
          <w:ilvl w:val="0"/>
          <w:numId w:val="6"/>
        </w:numPr>
        <w:spacing w:after="120"/>
        <w:ind w:left="1886"/>
      </w:pPr>
      <w:r w:rsidRPr="007C0B39">
        <w:rPr>
          <w:b/>
          <w:szCs w:val="22"/>
          <w:u w:val="single"/>
        </w:rPr>
        <w:t>Compliance Training Program</w:t>
      </w:r>
      <w:r w:rsidRPr="007C0B39">
        <w:rPr>
          <w:szCs w:val="22"/>
        </w:rPr>
        <w:t xml:space="preserve">.  </w:t>
      </w:r>
      <w:r w:rsidR="0065074D">
        <w:rPr>
          <w:szCs w:val="22"/>
        </w:rPr>
        <w:t>ClipperData</w:t>
      </w:r>
      <w:r w:rsidR="00EA12C6" w:rsidRPr="007C0B39">
        <w:rPr>
          <w:szCs w:val="22"/>
        </w:rPr>
        <w:t xml:space="preserve"> </w:t>
      </w:r>
      <w:r w:rsidRPr="007C0B39">
        <w:rPr>
          <w:szCs w:val="22"/>
        </w:rPr>
        <w:t>shall establish and implement a Compliance Training Program on c</w:t>
      </w:r>
      <w:r w:rsidR="00302C38" w:rsidRPr="007C0B39">
        <w:rPr>
          <w:szCs w:val="22"/>
        </w:rPr>
        <w:t xml:space="preserve">ompliance with the </w:t>
      </w:r>
      <w:r w:rsidR="00D966F2">
        <w:rPr>
          <w:szCs w:val="22"/>
        </w:rPr>
        <w:t>Licensing</w:t>
      </w:r>
      <w:r w:rsidRPr="007C0B39">
        <w:rPr>
          <w:szCs w:val="22"/>
        </w:rPr>
        <w:t xml:space="preserve"> Rules and the Operating Procedures.  As part of the Compliance Training Program, Covered Employees shall be advised of </w:t>
      </w:r>
      <w:r w:rsidR="0065074D">
        <w:rPr>
          <w:szCs w:val="22"/>
        </w:rPr>
        <w:t>ClipperData</w:t>
      </w:r>
      <w:r w:rsidR="00EA12C6" w:rsidRPr="007C0B39">
        <w:rPr>
          <w:szCs w:val="22"/>
        </w:rPr>
        <w:t>’</w:t>
      </w:r>
      <w:r w:rsidRPr="007C0B39">
        <w:rPr>
          <w:szCs w:val="22"/>
        </w:rPr>
        <w:t>s obligation to report any noncomplia</w:t>
      </w:r>
      <w:r w:rsidR="00302C38" w:rsidRPr="007C0B39">
        <w:rPr>
          <w:szCs w:val="22"/>
        </w:rPr>
        <w:t xml:space="preserve">nce with the </w:t>
      </w:r>
      <w:r w:rsidR="00D966F2">
        <w:rPr>
          <w:szCs w:val="22"/>
        </w:rPr>
        <w:t>Licensing</w:t>
      </w:r>
      <w:r w:rsidRPr="007C0B39">
        <w:rPr>
          <w:szCs w:val="22"/>
        </w:rPr>
        <w:t xml:space="preserve"> Rules under paragraph </w:t>
      </w:r>
      <w:r w:rsidR="00B116C9">
        <w:rPr>
          <w:szCs w:val="22"/>
        </w:rPr>
        <w:t>1</w:t>
      </w:r>
      <w:r w:rsidR="00FC3C1A">
        <w:rPr>
          <w:szCs w:val="22"/>
        </w:rPr>
        <w:t>5</w:t>
      </w:r>
      <w:r w:rsidRPr="007C0B39">
        <w:rPr>
          <w:szCs w:val="22"/>
        </w:rPr>
        <w:t xml:space="preserve"> of this Consent Decree and shall be instructed on how to disclose noncompliance to the Compliance Officer.  All Covered Employees shall be trained pursuant to the Compliance Training Program within </w:t>
      </w:r>
      <w:r w:rsidR="000E5C6E">
        <w:rPr>
          <w:szCs w:val="22"/>
        </w:rPr>
        <w:t>ninety</w:t>
      </w:r>
      <w:r w:rsidR="000E5C6E" w:rsidRPr="007C0B39">
        <w:rPr>
          <w:szCs w:val="22"/>
        </w:rPr>
        <w:t xml:space="preserve"> </w:t>
      </w:r>
      <w:r w:rsidRPr="007C0B39">
        <w:rPr>
          <w:szCs w:val="22"/>
        </w:rPr>
        <w:t>(</w:t>
      </w:r>
      <w:r w:rsidR="000E5C6E">
        <w:rPr>
          <w:szCs w:val="22"/>
        </w:rPr>
        <w:t>9</w:t>
      </w:r>
      <w:r w:rsidRPr="007C0B39">
        <w:rPr>
          <w:szCs w:val="22"/>
        </w:rPr>
        <w:t xml:space="preserve">0) calendar days after the </w:t>
      </w:r>
      <w:r w:rsidR="00AC6F1C">
        <w:rPr>
          <w:szCs w:val="22"/>
        </w:rPr>
        <w:t>Grant</w:t>
      </w:r>
      <w:r w:rsidR="00302C38" w:rsidRPr="007C0B39">
        <w:rPr>
          <w:szCs w:val="22"/>
        </w:rPr>
        <w:t xml:space="preserve"> Date, except</w:t>
      </w:r>
      <w:r w:rsidR="00BD5BEC" w:rsidRPr="007C0B39">
        <w:rPr>
          <w:szCs w:val="22"/>
        </w:rPr>
        <w:t xml:space="preserve"> that a</w:t>
      </w:r>
      <w:r w:rsidRPr="007C0B39">
        <w:rPr>
          <w:szCs w:val="22"/>
        </w:rPr>
        <w:t xml:space="preserve">ny person who becomes a Covered </w:t>
      </w:r>
      <w:r w:rsidR="00036B37" w:rsidRPr="007C0B39">
        <w:rPr>
          <w:szCs w:val="22"/>
        </w:rPr>
        <w:t>Employee at any time after the i</w:t>
      </w:r>
      <w:r w:rsidRPr="007C0B39">
        <w:rPr>
          <w:szCs w:val="22"/>
        </w:rPr>
        <w:t xml:space="preserve">nitial </w:t>
      </w:r>
      <w:r w:rsidR="006F7147" w:rsidRPr="007C0B39">
        <w:rPr>
          <w:szCs w:val="22"/>
        </w:rPr>
        <w:t xml:space="preserve">Compliance </w:t>
      </w:r>
      <w:r w:rsidRPr="007C0B39">
        <w:rPr>
          <w:szCs w:val="22"/>
        </w:rPr>
        <w:t xml:space="preserve">Training Program shall be trained within thirty (30) calendar days after the date such person becomes a Covered Employee.  </w:t>
      </w:r>
      <w:r w:rsidR="0065074D">
        <w:rPr>
          <w:szCs w:val="22"/>
        </w:rPr>
        <w:t>ClipperData</w:t>
      </w:r>
      <w:r w:rsidR="00EA12C6" w:rsidRPr="007C0B39">
        <w:rPr>
          <w:szCs w:val="22"/>
        </w:rPr>
        <w:t xml:space="preserve"> </w:t>
      </w:r>
      <w:r w:rsidR="00036B37" w:rsidRPr="007C0B39">
        <w:rPr>
          <w:szCs w:val="22"/>
        </w:rPr>
        <w:t>shall repeat</w:t>
      </w:r>
      <w:r w:rsidRPr="007C0B39">
        <w:rPr>
          <w:szCs w:val="22"/>
        </w:rPr>
        <w:t xml:space="preserve"> compliance training on an annual basis, and shall periodically review and revise the Compliance Training Program as necessary to ensure that it remains current and complete and to enhance its effectiveness.</w:t>
      </w:r>
    </w:p>
    <w:p w14:paraId="3644928B" w14:textId="19985E30" w:rsidR="00E02214" w:rsidRPr="007C0B39" w:rsidRDefault="00E02214" w:rsidP="00E87A34">
      <w:pPr>
        <w:pStyle w:val="ParaNum"/>
        <w:spacing w:after="0"/>
        <w:rPr>
          <w:caps/>
        </w:rPr>
      </w:pPr>
      <w:bookmarkStart w:id="4" w:name="_Ref379202892"/>
      <w:r w:rsidRPr="007C0B39">
        <w:rPr>
          <w:b/>
          <w:u w:val="single"/>
        </w:rPr>
        <w:t>Compliance Reports</w:t>
      </w:r>
      <w:r w:rsidRPr="007C0B39">
        <w:t xml:space="preserve">.  </w:t>
      </w:r>
      <w:r w:rsidR="000E5C6E">
        <w:t xml:space="preserve">In the event that ClipperData implements a </w:t>
      </w:r>
      <w:r w:rsidR="008D26BD">
        <w:t xml:space="preserve">Contingent </w:t>
      </w:r>
      <w:r w:rsidR="000E5C6E">
        <w:t xml:space="preserve">Compliance Program pursuant to paragraph 13, </w:t>
      </w:r>
      <w:r w:rsidR="0065074D">
        <w:rPr>
          <w:szCs w:val="22"/>
        </w:rPr>
        <w:t>ClipperData</w:t>
      </w:r>
      <w:r w:rsidR="003533DC" w:rsidRPr="007C0B39">
        <w:t xml:space="preserve"> </w:t>
      </w:r>
      <w:r w:rsidRPr="007C0B39">
        <w:t xml:space="preserve">shall file </w:t>
      </w:r>
      <w:r w:rsidR="00014484" w:rsidRPr="007C0B39">
        <w:t>c</w:t>
      </w:r>
      <w:r w:rsidRPr="007C0B39">
        <w:t xml:space="preserve">ompliance </w:t>
      </w:r>
      <w:r w:rsidR="00014484" w:rsidRPr="007C0B39">
        <w:t>r</w:t>
      </w:r>
      <w:r w:rsidRPr="007C0B39">
        <w:t xml:space="preserve">eports with the Commission ninety (90) calendar days after the </w:t>
      </w:r>
      <w:r w:rsidR="00AC6F1C">
        <w:rPr>
          <w:szCs w:val="22"/>
        </w:rPr>
        <w:t>Grant</w:t>
      </w:r>
      <w:r w:rsidRPr="007C0B39">
        <w:t xml:space="preserve"> Date, twelve (12) months after the </w:t>
      </w:r>
      <w:r w:rsidR="00AC6F1C">
        <w:rPr>
          <w:szCs w:val="22"/>
        </w:rPr>
        <w:t>Grant</w:t>
      </w:r>
      <w:r w:rsidRPr="007C0B39">
        <w:t xml:space="preserve"> Date, twenty-four (24) months after the </w:t>
      </w:r>
      <w:r w:rsidR="00AC6F1C">
        <w:rPr>
          <w:szCs w:val="22"/>
        </w:rPr>
        <w:t>Grant</w:t>
      </w:r>
      <w:r w:rsidRPr="007C0B39">
        <w:t xml:space="preserve"> Date, and thirty-six (36) months after the </w:t>
      </w:r>
      <w:r w:rsidR="00AC6F1C">
        <w:rPr>
          <w:szCs w:val="22"/>
        </w:rPr>
        <w:t>Grant</w:t>
      </w:r>
      <w:r w:rsidRPr="007C0B39">
        <w:t xml:space="preserve"> Date.</w:t>
      </w:r>
      <w:bookmarkEnd w:id="4"/>
    </w:p>
    <w:p w14:paraId="3644928C" w14:textId="6DC303E2" w:rsidR="00E02214" w:rsidRPr="007C0B39" w:rsidRDefault="00E02214" w:rsidP="00F60217">
      <w:pPr>
        <w:widowControl/>
        <w:numPr>
          <w:ilvl w:val="0"/>
          <w:numId w:val="7"/>
        </w:numPr>
        <w:tabs>
          <w:tab w:val="clear" w:pos="1782"/>
        </w:tabs>
        <w:spacing w:after="120"/>
        <w:ind w:left="1886"/>
        <w:rPr>
          <w:szCs w:val="22"/>
        </w:rPr>
      </w:pPr>
      <w:r w:rsidRPr="007C0B39">
        <w:rPr>
          <w:szCs w:val="22"/>
        </w:rPr>
        <w:t xml:space="preserve">Each Compliance Report shall include a detailed description of </w:t>
      </w:r>
      <w:r w:rsidR="0065074D">
        <w:rPr>
          <w:szCs w:val="22"/>
        </w:rPr>
        <w:t>ClipperData</w:t>
      </w:r>
      <w:r w:rsidR="00EA12C6" w:rsidRPr="007C0B39">
        <w:rPr>
          <w:szCs w:val="22"/>
        </w:rPr>
        <w:t>’</w:t>
      </w:r>
      <w:r w:rsidRPr="007C0B39">
        <w:rPr>
          <w:szCs w:val="22"/>
        </w:rPr>
        <w:t xml:space="preserve">s efforts during the relevant period to comply with the terms and conditions of this Consent Decree and the </w:t>
      </w:r>
      <w:r w:rsidR="00D966F2">
        <w:rPr>
          <w:szCs w:val="22"/>
        </w:rPr>
        <w:t>Licensing</w:t>
      </w:r>
      <w:r w:rsidRPr="007C0B39">
        <w:rPr>
          <w:szCs w:val="22"/>
        </w:rPr>
        <w:t xml:space="preserve"> Rules.  In addition, each Compliance Report shall include a certification by the Compliance Officer, as an agent of and on behalf of </w:t>
      </w:r>
      <w:r w:rsidR="0065074D">
        <w:rPr>
          <w:szCs w:val="22"/>
        </w:rPr>
        <w:t>ClipperData</w:t>
      </w:r>
      <w:r w:rsidRPr="007C0B39">
        <w:rPr>
          <w:szCs w:val="22"/>
        </w:rPr>
        <w:t xml:space="preserve">, stating that the Compliance Officer has personal knowledge that </w:t>
      </w:r>
      <w:r w:rsidR="0065074D">
        <w:rPr>
          <w:szCs w:val="22"/>
        </w:rPr>
        <w:t>ClipperData</w:t>
      </w:r>
      <w:r w:rsidR="003533DC" w:rsidRPr="007C0B39">
        <w:t>:</w:t>
      </w:r>
      <w:r w:rsidR="00EA12C6" w:rsidRPr="007C0B39">
        <w:rPr>
          <w:szCs w:val="22"/>
        </w:rPr>
        <w:t xml:space="preserve"> </w:t>
      </w:r>
      <w:r w:rsidR="003533DC" w:rsidRPr="007C0B39">
        <w:rPr>
          <w:szCs w:val="22"/>
        </w:rPr>
        <w:t xml:space="preserve"> </w:t>
      </w:r>
      <w:r w:rsidRPr="007C0B39">
        <w:rPr>
          <w:szCs w:val="22"/>
        </w:rPr>
        <w:t xml:space="preserve">(i)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B116C9">
        <w:rPr>
          <w:szCs w:val="22"/>
        </w:rPr>
        <w:t>1</w:t>
      </w:r>
      <w:r w:rsidR="00FC3C1A">
        <w:rPr>
          <w:szCs w:val="22"/>
        </w:rPr>
        <w:t>5</w:t>
      </w:r>
      <w:r w:rsidRPr="007C0B39">
        <w:rPr>
          <w:b/>
          <w:szCs w:val="22"/>
        </w:rPr>
        <w:t xml:space="preserve"> </w:t>
      </w:r>
      <w:r w:rsidRPr="007C0B39">
        <w:rPr>
          <w:szCs w:val="22"/>
        </w:rPr>
        <w:t>of this Consent Decree.</w:t>
      </w:r>
    </w:p>
    <w:p w14:paraId="3644928D" w14:textId="77777777" w:rsidR="00E02214" w:rsidRPr="007C0B39" w:rsidRDefault="00E02214" w:rsidP="00F60217">
      <w:pPr>
        <w:widowControl/>
        <w:numPr>
          <w:ilvl w:val="0"/>
          <w:numId w:val="7"/>
        </w:numPr>
        <w:tabs>
          <w:tab w:val="clear" w:pos="1782"/>
        </w:tabs>
        <w:spacing w:after="120"/>
        <w:ind w:left="1886"/>
        <w:rPr>
          <w:szCs w:val="22"/>
        </w:rPr>
      </w:pPr>
      <w:r w:rsidRPr="007C0B39">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7C0B39">
        <w:rPr>
          <w:rStyle w:val="FootnoteReference"/>
          <w:szCs w:val="22"/>
        </w:rPr>
        <w:footnoteReference w:id="16"/>
      </w:r>
    </w:p>
    <w:p w14:paraId="3644928E" w14:textId="5EB154A3" w:rsidR="00E02214" w:rsidRPr="007C0B39" w:rsidRDefault="00E02214" w:rsidP="00F60217">
      <w:pPr>
        <w:widowControl/>
        <w:numPr>
          <w:ilvl w:val="0"/>
          <w:numId w:val="7"/>
        </w:numPr>
        <w:tabs>
          <w:tab w:val="clear" w:pos="1782"/>
        </w:tabs>
        <w:spacing w:after="120"/>
        <w:ind w:left="1886"/>
        <w:rPr>
          <w:szCs w:val="22"/>
        </w:rPr>
      </w:pPr>
      <w:r w:rsidRPr="007C0B39">
        <w:rPr>
          <w:szCs w:val="22"/>
        </w:rPr>
        <w:t xml:space="preserve">If the Compliance Officer cannot provide the requisite certification, the Compliance Officer, as an agent of and on behalf of </w:t>
      </w:r>
      <w:r w:rsidR="0065074D">
        <w:rPr>
          <w:szCs w:val="22"/>
        </w:rPr>
        <w:t>ClipperData</w:t>
      </w:r>
      <w:r w:rsidRPr="007C0B39">
        <w:rPr>
          <w:szCs w:val="22"/>
        </w:rPr>
        <w:t>, shall provide the Commission with a detailed explanation of the reason(s) why and describe fully</w:t>
      </w:r>
      <w:r w:rsidR="003533DC" w:rsidRPr="007C0B39">
        <w:rPr>
          <w:szCs w:val="22"/>
        </w:rPr>
        <w:t>:</w:t>
      </w:r>
      <w:r w:rsidRPr="007C0B39">
        <w:rPr>
          <w:szCs w:val="22"/>
        </w:rPr>
        <w:t xml:space="preserve"> </w:t>
      </w:r>
      <w:r w:rsidR="003533DC" w:rsidRPr="007C0B39">
        <w:rPr>
          <w:szCs w:val="22"/>
        </w:rPr>
        <w:t xml:space="preserve"> </w:t>
      </w:r>
      <w:r w:rsidRPr="007C0B39">
        <w:rPr>
          <w:szCs w:val="22"/>
        </w:rPr>
        <w:t xml:space="preserve">(i) each instance of noncompliance; (ii) the steps that </w:t>
      </w:r>
      <w:r w:rsidR="0065074D">
        <w:rPr>
          <w:szCs w:val="22"/>
        </w:rPr>
        <w:t>ClipperData</w:t>
      </w:r>
      <w:r w:rsidRPr="007C0B39">
        <w:rPr>
          <w:szCs w:val="22"/>
        </w:rPr>
        <w:t xml:space="preserve"> has taken or will take to remedy such noncompliance, including the schedule on which proposed remedial actions will be taken; and (iii) the steps that </w:t>
      </w:r>
      <w:r w:rsidR="0065074D">
        <w:rPr>
          <w:szCs w:val="22"/>
        </w:rPr>
        <w:t>ClipperData</w:t>
      </w:r>
      <w:r w:rsidRPr="007C0B39">
        <w:rPr>
          <w:szCs w:val="22"/>
        </w:rPr>
        <w:t xml:space="preserve"> has taken or will take to prevent the recurrence of any such noncompliance, including the schedule on which such preventive action will be taken.</w:t>
      </w:r>
    </w:p>
    <w:p w14:paraId="4118484A" w14:textId="1A528068" w:rsidR="00FA1410" w:rsidRPr="00FA1410" w:rsidRDefault="00E02214" w:rsidP="00FA1410">
      <w:pPr>
        <w:widowControl/>
        <w:numPr>
          <w:ilvl w:val="0"/>
          <w:numId w:val="7"/>
        </w:numPr>
        <w:tabs>
          <w:tab w:val="clear" w:pos="1782"/>
        </w:tabs>
        <w:spacing w:after="120"/>
        <w:ind w:left="1886" w:hanging="450"/>
        <w:rPr>
          <w:szCs w:val="22"/>
        </w:rPr>
      </w:pPr>
      <w:r w:rsidRPr="007C0B39">
        <w:rPr>
          <w:szCs w:val="22"/>
        </w:rPr>
        <w:t xml:space="preserve">All Compliance Reports shall be submitted </w:t>
      </w:r>
      <w:r w:rsidR="00FA1410" w:rsidRPr="007C0B39">
        <w:t xml:space="preserve">to </w:t>
      </w:r>
      <w:r w:rsidR="00FA1410" w:rsidRPr="00E82B3B">
        <w:t xml:space="preserve">Chief, Spectrum Enforcement Division, Enforcement Bureau, Federal Communications Commission, 445 12th Street, S.W., Washington, DC 20554, with a copy submitted electronically to </w:t>
      </w:r>
      <w:r w:rsidR="00FA1410">
        <w:t>Ricardo Durham</w:t>
      </w:r>
      <w:r w:rsidR="00FA1410" w:rsidRPr="00E82B3B">
        <w:t xml:space="preserve"> at ricardo.durham@fcc.gov</w:t>
      </w:r>
      <w:r w:rsidR="00FA1410">
        <w:t xml:space="preserve"> and Sean Robinson</w:t>
      </w:r>
      <w:r w:rsidR="00FA1410" w:rsidRPr="00E82B3B">
        <w:t xml:space="preserve"> at </w:t>
      </w:r>
      <w:r w:rsidR="00FA1410">
        <w:t>sean.robinson</w:t>
      </w:r>
      <w:r w:rsidR="00FA1410" w:rsidRPr="00E82B3B">
        <w:t>@fcc.gov.</w:t>
      </w:r>
    </w:p>
    <w:p w14:paraId="2B77663D" w14:textId="77777777" w:rsidR="00C35FF9" w:rsidRPr="007C0B39" w:rsidRDefault="00C35FF9" w:rsidP="00C35FF9">
      <w:pPr>
        <w:pStyle w:val="ParaNum"/>
      </w:pPr>
      <w:r w:rsidRPr="007C0B39">
        <w:rPr>
          <w:b/>
          <w:u w:val="single"/>
        </w:rPr>
        <w:t>Reporting Noncompliance</w:t>
      </w:r>
      <w:r w:rsidRPr="007C0B39">
        <w:t xml:space="preserve">.  </w:t>
      </w:r>
      <w:r>
        <w:rPr>
          <w:szCs w:val="22"/>
        </w:rPr>
        <w:t>ClipperData</w:t>
      </w:r>
      <w:r w:rsidRPr="007C0B39">
        <w:t xml:space="preserve"> shall report any noncompliance with the </w:t>
      </w:r>
      <w:r>
        <w:t>Licensing</w:t>
      </w:r>
      <w:r w:rsidRPr="007C0B39">
        <w:t xml:space="preserve"> Rules and with the terms and conditions of this Consent Decree within fifteen (15) calendar days after discovery of such noncompliance.  Such reports shall include a detailed explanation of:  (i) each instance of noncompliance; (ii) the steps that </w:t>
      </w:r>
      <w:r>
        <w:rPr>
          <w:szCs w:val="22"/>
        </w:rPr>
        <w:t>ClipperData</w:t>
      </w:r>
      <w:r w:rsidRPr="007C0B39">
        <w:t xml:space="preserve"> has taken or will take to remedy such noncompliance; (iii) the schedule on which such remedial actions will be taken; and (iv) the steps that the </w:t>
      </w:r>
      <w:r>
        <w:rPr>
          <w:szCs w:val="22"/>
        </w:rPr>
        <w:t>ClipperData</w:t>
      </w:r>
      <w:r w:rsidRPr="007C0B39">
        <w:t xml:space="preserve"> has taken or will take to prevent the recurrence of any such noncompliance.  All reports of noncompliance shall be submitted to </w:t>
      </w:r>
      <w:r w:rsidRPr="00E82B3B">
        <w:t xml:space="preserve">Chief, Spectrum Enforcement Division, Enforcement Bureau, Federal Communications Commission, 445 12th Street, S.W., Washington, DC 20554, with a copy submitted electronically to </w:t>
      </w:r>
      <w:r>
        <w:t>Ricardo Durham</w:t>
      </w:r>
      <w:r w:rsidRPr="00E82B3B">
        <w:t xml:space="preserve"> at ricardo.durham@fcc.gov</w:t>
      </w:r>
      <w:r>
        <w:t xml:space="preserve"> and Sean Robinson</w:t>
      </w:r>
      <w:r w:rsidRPr="00E82B3B">
        <w:t xml:space="preserve"> at </w:t>
      </w:r>
      <w:r>
        <w:t>sean.robinson</w:t>
      </w:r>
      <w:r w:rsidRPr="00E82B3B">
        <w:t>@fcc.gov.</w:t>
      </w:r>
    </w:p>
    <w:p w14:paraId="36449290" w14:textId="27F60A72" w:rsidR="008A2AD9" w:rsidRPr="007C0B39" w:rsidRDefault="00E02214" w:rsidP="0070112A">
      <w:pPr>
        <w:pStyle w:val="ParaNum"/>
        <w:rPr>
          <w:szCs w:val="22"/>
        </w:rPr>
      </w:pPr>
      <w:r w:rsidRPr="007C0B39">
        <w:rPr>
          <w:b/>
          <w:szCs w:val="22"/>
          <w:u w:val="single"/>
        </w:rPr>
        <w:t>Termination Date</w:t>
      </w:r>
      <w:r w:rsidRPr="007C0B39">
        <w:rPr>
          <w:szCs w:val="22"/>
        </w:rPr>
        <w:t xml:space="preserve">. </w:t>
      </w:r>
      <w:r w:rsidRPr="007C0B39">
        <w:rPr>
          <w:b/>
          <w:szCs w:val="22"/>
        </w:rPr>
        <w:t xml:space="preserve"> </w:t>
      </w:r>
      <w:r w:rsidRPr="007C0B39">
        <w:rPr>
          <w:szCs w:val="22"/>
        </w:rPr>
        <w:t xml:space="preserve">Unless stated otherwise, the </w:t>
      </w:r>
      <w:r w:rsidR="00C3652C" w:rsidRPr="007C0B39">
        <w:t>requirement</w:t>
      </w:r>
      <w:r w:rsidRPr="007C0B39">
        <w:t>s</w:t>
      </w:r>
      <w:r w:rsidRPr="007C0B39">
        <w:rPr>
          <w:szCs w:val="22"/>
        </w:rPr>
        <w:t xml:space="preserve"> set forth in paragraphs </w:t>
      </w:r>
      <w:r w:rsidR="00FC3C1A">
        <w:rPr>
          <w:szCs w:val="22"/>
        </w:rPr>
        <w:t>12</w:t>
      </w:r>
      <w:r w:rsidR="00FC3C1A" w:rsidRPr="007C0B39">
        <w:rPr>
          <w:szCs w:val="22"/>
        </w:rPr>
        <w:t xml:space="preserve"> </w:t>
      </w:r>
      <w:r w:rsidRPr="007C0B39">
        <w:rPr>
          <w:szCs w:val="22"/>
        </w:rPr>
        <w:t xml:space="preserve">through </w:t>
      </w:r>
      <w:r w:rsidR="00FC3C1A">
        <w:rPr>
          <w:szCs w:val="22"/>
        </w:rPr>
        <w:t>15</w:t>
      </w:r>
      <w:r w:rsidR="00FC3C1A" w:rsidRPr="007C0B39">
        <w:rPr>
          <w:szCs w:val="22"/>
        </w:rPr>
        <w:t xml:space="preserve"> </w:t>
      </w:r>
      <w:r w:rsidRPr="007C0B39">
        <w:rPr>
          <w:szCs w:val="22"/>
        </w:rPr>
        <w:t>of this Consent Decree shall expire thirty-six (36) months after the Effective Date</w:t>
      </w:r>
      <w:r w:rsidR="00AC6F1C">
        <w:rPr>
          <w:szCs w:val="22"/>
        </w:rPr>
        <w:t xml:space="preserve"> or Grant Date</w:t>
      </w:r>
      <w:r w:rsidR="000E5C6E">
        <w:rPr>
          <w:szCs w:val="22"/>
        </w:rPr>
        <w:t xml:space="preserve"> (if the Grant Date occurs within thirty-six (36) months after the Effective Date)</w:t>
      </w:r>
      <w:r w:rsidR="00AC6F1C">
        <w:rPr>
          <w:szCs w:val="22"/>
        </w:rPr>
        <w:t>, whichever is later</w:t>
      </w:r>
      <w:r w:rsidRPr="007C0B39">
        <w:rPr>
          <w:szCs w:val="22"/>
        </w:rPr>
        <w:t>.</w:t>
      </w:r>
    </w:p>
    <w:p w14:paraId="36449292" w14:textId="5E6DDEA6" w:rsidR="00F8748A" w:rsidRDefault="0065074D" w:rsidP="00BC0134">
      <w:pPr>
        <w:pStyle w:val="ParaNum"/>
      </w:pPr>
      <w:bookmarkStart w:id="5" w:name="_Ref357521957"/>
      <w:r w:rsidRPr="007C0B39">
        <w:rPr>
          <w:b/>
        </w:rPr>
        <w:t xml:space="preserve"> </w:t>
      </w:r>
      <w:r w:rsidR="003C4A20" w:rsidRPr="0065074D">
        <w:rPr>
          <w:b/>
          <w:u w:val="single"/>
        </w:rPr>
        <w:t xml:space="preserve">Civil </w:t>
      </w:r>
      <w:r w:rsidR="006C3459" w:rsidRPr="0065074D">
        <w:rPr>
          <w:b/>
          <w:u w:val="single"/>
        </w:rPr>
        <w:t>Penalt</w:t>
      </w:r>
      <w:r w:rsidR="008B628C" w:rsidRPr="0065074D">
        <w:rPr>
          <w:b/>
          <w:u w:val="single"/>
        </w:rPr>
        <w:t>y</w:t>
      </w:r>
      <w:r w:rsidR="00E02214" w:rsidRPr="007C0B39">
        <w:t xml:space="preserve">.  </w:t>
      </w:r>
      <w:r>
        <w:rPr>
          <w:szCs w:val="22"/>
        </w:rPr>
        <w:t>ClipperData</w:t>
      </w:r>
      <w:r w:rsidR="003C4A20" w:rsidRPr="007C0B39">
        <w:t xml:space="preserve"> </w:t>
      </w:r>
      <w:r w:rsidR="003533DC" w:rsidRPr="007C0B39">
        <w:t xml:space="preserve">will </w:t>
      </w:r>
      <w:r w:rsidR="00276A71" w:rsidRPr="007C0B39">
        <w:t>pay a civil penalty</w:t>
      </w:r>
      <w:r w:rsidR="00220A10" w:rsidRPr="007C0B39">
        <w:t xml:space="preserve"> </w:t>
      </w:r>
      <w:r w:rsidR="00E02214" w:rsidRPr="007C0B39">
        <w:t xml:space="preserve">to the United States Treasury in the amount of </w:t>
      </w:r>
      <w:r w:rsidR="00E02214" w:rsidRPr="002755D1">
        <w:t>($</w:t>
      </w:r>
      <w:r w:rsidR="00B116C9">
        <w:rPr>
          <w:szCs w:val="22"/>
        </w:rPr>
        <w:t>195</w:t>
      </w:r>
      <w:r w:rsidR="00B56C0A">
        <w:rPr>
          <w:szCs w:val="22"/>
        </w:rPr>
        <w:t>,000</w:t>
      </w:r>
      <w:r w:rsidR="00E02214" w:rsidRPr="002755D1">
        <w:rPr>
          <w:szCs w:val="22"/>
        </w:rPr>
        <w:t>)</w:t>
      </w:r>
      <w:r w:rsidR="00B56C0A">
        <w:rPr>
          <w:szCs w:val="22"/>
        </w:rPr>
        <w:t>.</w:t>
      </w:r>
      <w:r w:rsidR="009D7FB5" w:rsidRPr="007C0B39">
        <w:t xml:space="preserve"> </w:t>
      </w:r>
      <w:r w:rsidR="0007720D">
        <w:t xml:space="preserve"> </w:t>
      </w:r>
      <w:r w:rsidR="00BC0134" w:rsidRPr="00BC0134">
        <w:t xml:space="preserve">Such payment shall be made in </w:t>
      </w:r>
      <w:r w:rsidR="00B116C9">
        <w:t>3</w:t>
      </w:r>
      <w:r w:rsidR="00BC0134" w:rsidRPr="00BC0134">
        <w:t xml:space="preserve"> installments (each an Installment Payment).  The first Installment Payment in the amount of </w:t>
      </w:r>
      <w:r w:rsidR="00B116C9">
        <w:t>$65,000</w:t>
      </w:r>
      <w:r w:rsidR="00BC0134" w:rsidRPr="00BC0134">
        <w:t xml:space="preserve"> is due </w:t>
      </w:r>
      <w:r w:rsidR="00B116C9">
        <w:t>with 30 days of the Effective Date</w:t>
      </w:r>
      <w:r w:rsidR="00BC0134" w:rsidRPr="00BC0134">
        <w:t xml:space="preserve">.  Thereafter, subsequent Installment Payments of </w:t>
      </w:r>
      <w:r w:rsidR="00B116C9">
        <w:t>$65,000</w:t>
      </w:r>
      <w:r w:rsidR="00BC0134" w:rsidRPr="00BC0134">
        <w:t xml:space="preserve"> will be due on </w:t>
      </w:r>
      <w:r w:rsidR="00B116C9">
        <w:t>the first and second anniversary of the Effective Date</w:t>
      </w:r>
      <w:r w:rsidR="00BC0134" w:rsidRPr="00BC0134">
        <w:t xml:space="preserve">.  </w:t>
      </w:r>
      <w:r w:rsidR="00BC0134">
        <w:t>ClipperData</w:t>
      </w:r>
      <w:r w:rsidR="00BC0134" w:rsidRPr="00BC0134">
        <w:t xml:space="preserve"> acknowledges and agrees that upon execution of this Consent Decree, the civil penalty and each Installment Payment shall become a “Claim” or “Debt” as defined in 31 U.S.C. § 3701(b)(1).   Upon an Event of Default (as defined below), all procedures for collection as permitted by law may, at the Commission’s discretion, be initiated</w:t>
      </w:r>
      <w:r w:rsidR="00BC0134">
        <w:t>.</w:t>
      </w:r>
    </w:p>
    <w:p w14:paraId="36449295" w14:textId="7BD8A1CD" w:rsidR="00F82AC0" w:rsidRPr="007C0B39" w:rsidRDefault="0065074D" w:rsidP="00F82AC0">
      <w:pPr>
        <w:pStyle w:val="ParaNum"/>
        <w:numPr>
          <w:ilvl w:val="0"/>
          <w:numId w:val="0"/>
        </w:numPr>
      </w:pPr>
      <w:r>
        <w:rPr>
          <w:szCs w:val="22"/>
        </w:rPr>
        <w:t>ClipperData</w:t>
      </w:r>
      <w:r w:rsidR="00F82AC0" w:rsidRPr="007C0B39">
        <w:rPr>
          <w:szCs w:val="22"/>
        </w:rPr>
        <w:t xml:space="preserve"> </w:t>
      </w:r>
      <w:r w:rsidR="00F82AC0" w:rsidRPr="007C0B39">
        <w:t xml:space="preserve">shall send electronic notification of payment to </w:t>
      </w:r>
      <w:r w:rsidR="00FA1410">
        <w:t>Ricardo Durham</w:t>
      </w:r>
      <w:r w:rsidR="00FA1410" w:rsidRPr="00E82B3B">
        <w:t xml:space="preserve"> at </w:t>
      </w:r>
      <w:r w:rsidR="00FA1410" w:rsidRPr="00FA1410">
        <w:t>ricardo.durham@fcc.gov</w:t>
      </w:r>
      <w:r w:rsidR="00FA1410">
        <w:t>, Sean Robinson</w:t>
      </w:r>
      <w:r w:rsidR="00FA1410" w:rsidRPr="00E82B3B">
        <w:t xml:space="preserve"> at </w:t>
      </w:r>
      <w:r w:rsidR="00FA1410" w:rsidRPr="00FA1410">
        <w:t>sean.robinson@fcc.gov</w:t>
      </w:r>
      <w:r w:rsidR="00FA1410">
        <w:t>, and Sam</w:t>
      </w:r>
      <w:r w:rsidR="00B116C9">
        <w:t>antha</w:t>
      </w:r>
      <w:r w:rsidR="00FA1410">
        <w:t xml:space="preserve"> Peoples at </w:t>
      </w:r>
      <w:r w:rsidR="00E96CB1">
        <w:t>sam.peoples@fcc.gov</w:t>
      </w:r>
      <w:r w:rsidR="00F82AC0" w:rsidRPr="007C0B39">
        <w:t xml:space="preserve"> on the date said payment is made.  </w:t>
      </w:r>
      <w:r w:rsidR="00F82AC0" w:rsidRPr="007C0B39">
        <w:rPr>
          <w:szCs w:val="22"/>
        </w:rPr>
        <w:t xml:space="preserve">The </w:t>
      </w:r>
      <w:r w:rsidR="00F82AC0" w:rsidRPr="007C0B39">
        <w:t xml:space="preserve">payment </w:t>
      </w:r>
      <w:r w:rsidR="00F82AC0" w:rsidRPr="007C0B39">
        <w:rPr>
          <w:szCs w:val="22"/>
        </w:rPr>
        <w:t>must be made by check or similar instrument, wire transfer, or credit card, and must include the Account Number and FRN referenced above</w:t>
      </w:r>
      <w:r w:rsidR="00F82AC0" w:rsidRPr="0065074D">
        <w:rPr>
          <w:szCs w:val="22"/>
        </w:rPr>
        <w:t>.</w:t>
      </w:r>
      <w:r w:rsidR="00F82AC0" w:rsidRPr="0004267E">
        <w:rPr>
          <w:szCs w:val="22"/>
        </w:rPr>
        <w:t xml:space="preserve">  </w:t>
      </w:r>
      <w:r w:rsidR="00F82AC0" w:rsidRPr="007C0B39">
        <w:rPr>
          <w:szCs w:val="22"/>
        </w:rPr>
        <w:t>Regardless of the form of payment, a completed FCC Form 159 (Remittance Advice) must be submitted.</w:t>
      </w:r>
      <w:r w:rsidR="00F82AC0" w:rsidRPr="007C0B39">
        <w:rPr>
          <w:rStyle w:val="FootnoteReference"/>
          <w:szCs w:val="22"/>
        </w:rPr>
        <w:footnoteReference w:id="17"/>
      </w:r>
      <w:r w:rsidR="00F82AC0" w:rsidRPr="007C0B39">
        <w:rPr>
          <w:szCs w:val="22"/>
        </w:rPr>
        <w:t xml:space="preserve">  When completing the FCC Form 159, enter the Account Number in block number 23A (call sign/other ID) and enter the letters “FORF” in block number 24A (payment type code).  Below are additional instructions </w:t>
      </w:r>
      <w:r w:rsidR="00F82AC0">
        <w:rPr>
          <w:szCs w:val="22"/>
        </w:rPr>
        <w:t>that should be followed based on the form of payment selected</w:t>
      </w:r>
      <w:r w:rsidR="00F82AC0" w:rsidRPr="007C0B39">
        <w:rPr>
          <w:szCs w:val="22"/>
        </w:rPr>
        <w:t>:</w:t>
      </w:r>
    </w:p>
    <w:p w14:paraId="36449296" w14:textId="77777777" w:rsidR="00F82AC0" w:rsidRPr="007C0B39" w:rsidRDefault="00F82AC0" w:rsidP="00F82AC0">
      <w:pPr>
        <w:pStyle w:val="ParaNum"/>
        <w:numPr>
          <w:ilvl w:val="0"/>
          <w:numId w:val="9"/>
        </w:numPr>
        <w:rPr>
          <w:rFonts w:eastAsia="MS Mincho"/>
          <w:szCs w:val="22"/>
        </w:rPr>
      </w:pPr>
      <w:r w:rsidRPr="007C0B39">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7C0B39">
        <w:rPr>
          <w:rFonts w:eastAsia="MS Mincho"/>
          <w:szCs w:val="22"/>
        </w:rPr>
        <w:noBreakHyphen/>
        <w:t>MO</w:t>
      </w:r>
      <w:r w:rsidRPr="007C0B39">
        <w:rPr>
          <w:rFonts w:eastAsia="MS Mincho"/>
          <w:szCs w:val="22"/>
        </w:rPr>
        <w:noBreakHyphen/>
        <w:t>C2</w:t>
      </w:r>
      <w:r w:rsidRPr="007C0B39">
        <w:rPr>
          <w:rFonts w:eastAsia="MS Mincho"/>
          <w:szCs w:val="22"/>
        </w:rPr>
        <w:noBreakHyphen/>
        <w:t>GL, 1005 Convention Plaza, St. Louis, MO 63101.</w:t>
      </w:r>
    </w:p>
    <w:p w14:paraId="36449297" w14:textId="77777777" w:rsidR="00F82AC0" w:rsidRPr="007C0B39" w:rsidRDefault="00F82AC0" w:rsidP="00757216">
      <w:pPr>
        <w:pStyle w:val="ParaNum"/>
        <w:widowControl/>
        <w:numPr>
          <w:ilvl w:val="0"/>
          <w:numId w:val="9"/>
        </w:numPr>
        <w:rPr>
          <w:rFonts w:eastAsia="MS Mincho"/>
          <w:szCs w:val="22"/>
        </w:rPr>
      </w:pPr>
      <w:r w:rsidRPr="007C0B39">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36449298" w14:textId="77777777" w:rsidR="00F82AC0" w:rsidRPr="007C0B39" w:rsidRDefault="00F82AC0" w:rsidP="00742ACB">
      <w:pPr>
        <w:pStyle w:val="ParaNum"/>
        <w:widowControl/>
        <w:numPr>
          <w:ilvl w:val="0"/>
          <w:numId w:val="9"/>
        </w:numPr>
        <w:spacing w:after="0"/>
        <w:rPr>
          <w:rFonts w:eastAsia="MS Mincho"/>
          <w:szCs w:val="22"/>
        </w:rPr>
      </w:pPr>
      <w:r w:rsidRPr="007C0B39">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36449299" w14:textId="4E9A99FB" w:rsidR="00F82AC0" w:rsidRDefault="00F82AC0" w:rsidP="00F82AC0">
      <w:pPr>
        <w:pStyle w:val="ParaNum"/>
        <w:numPr>
          <w:ilvl w:val="0"/>
          <w:numId w:val="0"/>
        </w:numPr>
        <w:ind w:firstLine="720"/>
        <w:rPr>
          <w:rFonts w:eastAsia="MS Mincho"/>
        </w:rPr>
      </w:pPr>
      <w:r w:rsidRPr="007C0B39">
        <w:rPr>
          <w:rFonts w:eastAsia="MS Mincho"/>
        </w:rPr>
        <w:t xml:space="preserve">Questions regarding payment procedures should be addressed to the Financial Operations Group Help Desk by phone, 1-877-480-3201, or by e-mail, </w:t>
      </w:r>
      <w:r w:rsidR="004F44BB" w:rsidRPr="00D9106D">
        <w:rPr>
          <w:rFonts w:eastAsia="MS Mincho"/>
        </w:rPr>
        <w:t>ARINQUIRIES@fcc.gov</w:t>
      </w:r>
      <w:r w:rsidRPr="007C0B39">
        <w:rPr>
          <w:rFonts w:eastAsia="MS Mincho"/>
        </w:rPr>
        <w:t>.</w:t>
      </w:r>
    </w:p>
    <w:p w14:paraId="022990EC" w14:textId="5E84B6AF" w:rsidR="00BC0134" w:rsidRPr="00BC0134" w:rsidRDefault="00BC0134" w:rsidP="00D9106D">
      <w:pPr>
        <w:pStyle w:val="ParaNum"/>
      </w:pPr>
      <w:r w:rsidRPr="00BC0134">
        <w:rPr>
          <w:b/>
          <w:u w:val="single"/>
        </w:rPr>
        <w:t>Event of Default</w:t>
      </w:r>
      <w:r w:rsidRPr="00BC0134">
        <w:t xml:space="preserve">.  ClipperData agrees that an Event of Default shall occur upon the failure by </w:t>
      </w:r>
      <w:r>
        <w:t xml:space="preserve">ClipperData </w:t>
      </w:r>
      <w:r w:rsidRPr="00BC0134">
        <w:t>to pay the full amount of any Installment Payment on or before the due date sp</w:t>
      </w:r>
      <w:r>
        <w:t>ecified in this Consent Decree.</w:t>
      </w:r>
    </w:p>
    <w:p w14:paraId="0FA96017" w14:textId="59DB7393" w:rsidR="00BC0134" w:rsidRPr="00BC0134" w:rsidRDefault="00BC0134" w:rsidP="00D9106D">
      <w:pPr>
        <w:pStyle w:val="ParaNum"/>
      </w:pPr>
      <w:r w:rsidRPr="00BC0134">
        <w:rPr>
          <w:b/>
          <w:u w:val="single"/>
        </w:rPr>
        <w:t>Interest, Charges for Collection, and Acceleration of Maturity Date</w:t>
      </w:r>
      <w:r w:rsidRPr="00BC0134">
        <w:t xml:space="preserve">.  After an Event of Default has occurred under this Consent Decree, the then unpaid amount of the civil penalty shall accrue interest, computed using the U.S. Prime Rate in effect on the date of the Event of Default plus 4.75 percent,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w:t>
      </w:r>
      <w:r>
        <w:t>ClipperData</w:t>
      </w:r>
      <w:r w:rsidRPr="00BC0134">
        <w:t>.</w:t>
      </w:r>
    </w:p>
    <w:bookmarkEnd w:id="5"/>
    <w:p w14:paraId="3644929D" w14:textId="6116DA20" w:rsidR="00E02214" w:rsidRPr="007C0B39" w:rsidRDefault="00E02214" w:rsidP="001B74D4">
      <w:pPr>
        <w:pStyle w:val="ParaNum"/>
      </w:pPr>
      <w:r w:rsidRPr="007C0B39">
        <w:rPr>
          <w:b/>
          <w:u w:val="single"/>
        </w:rPr>
        <w:t>Waivers</w:t>
      </w:r>
      <w:r w:rsidRPr="007C0B39">
        <w:t xml:space="preserve">.  </w:t>
      </w:r>
      <w:r w:rsidR="00CE68FE" w:rsidRPr="007C0B39">
        <w:t xml:space="preserve">As of the Effective Date, </w:t>
      </w:r>
      <w:r w:rsidR="0065074D">
        <w:rPr>
          <w:szCs w:val="22"/>
        </w:rPr>
        <w:t>ClipperData</w:t>
      </w:r>
      <w:r w:rsidRPr="007C0B39">
        <w:t xml:space="preserve"> waives any and all rights it may have to seek administrative or judicial reconsideration, review, appeal or stay, or to otherwise challenge or contest the validity of this Consent Decree and the Adoptin</w:t>
      </w:r>
      <w:r w:rsidR="00CE68FE" w:rsidRPr="007C0B39">
        <w:t>g Order</w:t>
      </w:r>
      <w:r w:rsidRPr="007C0B39">
        <w:t xml:space="preserve">.  </w:t>
      </w:r>
      <w:r w:rsidR="0065074D">
        <w:rPr>
          <w:szCs w:val="22"/>
        </w:rPr>
        <w:t>ClipperData</w:t>
      </w:r>
      <w:r w:rsidR="00F26C20" w:rsidRPr="007C0B39">
        <w:t xml:space="preserve"> </w:t>
      </w:r>
      <w:r w:rsidRPr="007C0B39">
        <w:t xml:space="preserve">shall retain the right to challenge Commission interpretation of the Consent Decree or any terms contained herein.  If either Party (or the United States on behalf of the Commission) brings a judicial action to enforce the terms of the </w:t>
      </w:r>
      <w:r w:rsidR="00CE68FE" w:rsidRPr="007C0B39">
        <w:t xml:space="preserve">Consent Decree or </w:t>
      </w:r>
      <w:r w:rsidR="00582BA0" w:rsidRPr="007C0B39">
        <w:t xml:space="preserve">the </w:t>
      </w:r>
      <w:r w:rsidRPr="007C0B39">
        <w:t xml:space="preserve">Adopting Order, neither </w:t>
      </w:r>
      <w:r w:rsidR="0065074D">
        <w:rPr>
          <w:szCs w:val="22"/>
        </w:rPr>
        <w:t>ClipperData</w:t>
      </w:r>
      <w:r w:rsidR="00E03587" w:rsidRPr="007C0B39">
        <w:t xml:space="preserve"> </w:t>
      </w:r>
      <w:r w:rsidRPr="007C0B39">
        <w:t xml:space="preserve">nor the Commission shall contest the validity of the Consent Decree or the Adopting Order, and </w:t>
      </w:r>
      <w:r w:rsidR="0065074D">
        <w:rPr>
          <w:szCs w:val="22"/>
        </w:rPr>
        <w:t>ClipperData</w:t>
      </w:r>
      <w:r w:rsidR="0065074D" w:rsidRPr="007C0B39">
        <w:t xml:space="preserve"> </w:t>
      </w:r>
      <w:r w:rsidR="0065074D">
        <w:t>s</w:t>
      </w:r>
      <w:r w:rsidRPr="007C0B39">
        <w:t xml:space="preserve">hall waive any statutory right to a trial </w:t>
      </w:r>
      <w:r w:rsidRPr="007C0B39">
        <w:rPr>
          <w:i/>
        </w:rPr>
        <w:t>de novo</w:t>
      </w:r>
      <w:r w:rsidRPr="007C0B39">
        <w:t xml:space="preserve">.  </w:t>
      </w:r>
      <w:r w:rsidR="0065074D">
        <w:rPr>
          <w:szCs w:val="22"/>
        </w:rPr>
        <w:t>ClipperData</w:t>
      </w:r>
      <w:r w:rsidR="00E03587" w:rsidRPr="007C0B39">
        <w:t xml:space="preserve"> </w:t>
      </w:r>
      <w:r w:rsidRPr="007C0B39">
        <w:t>hereby agrees to waive any claims it may otherwise have under the Equal Access to Justice Act</w:t>
      </w:r>
      <w:r w:rsidRPr="007C0B39">
        <w:rPr>
          <w:rStyle w:val="FootnoteReference"/>
          <w:szCs w:val="22"/>
        </w:rPr>
        <w:footnoteReference w:id="18"/>
      </w:r>
      <w:r w:rsidRPr="007C0B39">
        <w:t xml:space="preserve"> relating to the matters addressed in this Consent Decree.</w:t>
      </w:r>
    </w:p>
    <w:p w14:paraId="3644929E" w14:textId="77777777" w:rsidR="003F5CF7" w:rsidRPr="007C0B39" w:rsidRDefault="003F5CF7" w:rsidP="001B74D4">
      <w:pPr>
        <w:pStyle w:val="ParaNum"/>
        <w:rPr>
          <w:szCs w:val="22"/>
        </w:rPr>
      </w:pPr>
      <w:r w:rsidRPr="007C0B39">
        <w:rPr>
          <w:b/>
          <w:szCs w:val="22"/>
          <w:u w:val="single"/>
        </w:rPr>
        <w:t>Severability</w:t>
      </w:r>
      <w:r w:rsidRPr="007C0B39">
        <w:rPr>
          <w:szCs w:val="22"/>
        </w:rPr>
        <w:t>.  The Parties agree that if any of the provisio</w:t>
      </w:r>
      <w:r w:rsidR="00E3009C" w:rsidRPr="007C0B39">
        <w:rPr>
          <w:szCs w:val="22"/>
        </w:rPr>
        <w:t xml:space="preserve">ns of the </w:t>
      </w:r>
      <w:r w:rsidRPr="007C0B39">
        <w:rPr>
          <w:szCs w:val="22"/>
        </w:rPr>
        <w:t xml:space="preserve">Consent Decree shall be </w:t>
      </w:r>
      <w:r w:rsidR="00926FC4" w:rsidRPr="007C0B39">
        <w:rPr>
          <w:szCs w:val="22"/>
        </w:rPr>
        <w:t xml:space="preserve">held </w:t>
      </w:r>
      <w:r w:rsidRPr="007C0B39">
        <w:rPr>
          <w:szCs w:val="22"/>
        </w:rPr>
        <w:t>unenforceable</w:t>
      </w:r>
      <w:r w:rsidR="00926FC4" w:rsidRPr="007C0B39">
        <w:rPr>
          <w:szCs w:val="22"/>
        </w:rPr>
        <w:t xml:space="preserve"> by any court of competent jurisdiction</w:t>
      </w:r>
      <w:r w:rsidRPr="007C0B39">
        <w:rPr>
          <w:szCs w:val="22"/>
        </w:rPr>
        <w:t>, such unenforceability shall not render unenforceab</w:t>
      </w:r>
      <w:r w:rsidR="00E3009C" w:rsidRPr="007C0B39">
        <w:rPr>
          <w:szCs w:val="22"/>
        </w:rPr>
        <w:t xml:space="preserve">le the entire </w:t>
      </w:r>
      <w:r w:rsidRPr="007C0B39">
        <w:rPr>
          <w:szCs w:val="22"/>
        </w:rPr>
        <w:t>Consent Decree, but rath</w:t>
      </w:r>
      <w:r w:rsidR="00E3009C" w:rsidRPr="007C0B39">
        <w:rPr>
          <w:szCs w:val="22"/>
        </w:rPr>
        <w:t xml:space="preserve">er the entire </w:t>
      </w:r>
      <w:r w:rsidRPr="007C0B39">
        <w:rPr>
          <w:szCs w:val="22"/>
        </w:rPr>
        <w:t>Consent Decree shall be construed as if not containing the particular unenforceable provision or provisions, and the rights and obligations of the Parties shall be construed and enforced accordingly.</w:t>
      </w:r>
    </w:p>
    <w:p w14:paraId="3644929F" w14:textId="77777777" w:rsidR="00E02214" w:rsidRPr="007C0B39" w:rsidRDefault="00E02214" w:rsidP="001B74D4">
      <w:pPr>
        <w:pStyle w:val="ParaNum"/>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14:paraId="364492A0" w14:textId="5CCEAF10" w:rsidR="00E02214" w:rsidRPr="007C0B39" w:rsidRDefault="00E02214" w:rsidP="001B74D4">
      <w:pPr>
        <w:pStyle w:val="ParaNum"/>
      </w:pPr>
      <w:r w:rsidRPr="007C0B39">
        <w:rPr>
          <w:b/>
          <w:u w:val="single"/>
        </w:rPr>
        <w:t>Subsequent Rule or Order</w:t>
      </w:r>
      <w:r w:rsidRPr="007C0B39">
        <w:t>.  The Parties agree that if any provision of the Consent Decree</w:t>
      </w:r>
      <w:r w:rsidR="00F26C20" w:rsidRPr="007C0B39">
        <w:t xml:space="preserve"> conflicts with any subsequent Rule or O</w:t>
      </w:r>
      <w:r w:rsidRPr="007C0B39">
        <w:t>rder adopted by the Commission (e</w:t>
      </w:r>
      <w:r w:rsidR="00F26C20" w:rsidRPr="007C0B39">
        <w:t>xcept an O</w:t>
      </w:r>
      <w:r w:rsidRPr="007C0B39">
        <w:t xml:space="preserve">rder specifically intended to revise the terms of this Consent Decree to which </w:t>
      </w:r>
      <w:r w:rsidR="0065074D">
        <w:rPr>
          <w:szCs w:val="22"/>
        </w:rPr>
        <w:t>ClipperData</w:t>
      </w:r>
      <w:r w:rsidR="00E03587" w:rsidRPr="007C0B39">
        <w:rPr>
          <w:szCs w:val="22"/>
        </w:rPr>
        <w:t xml:space="preserve"> </w:t>
      </w:r>
      <w:r w:rsidRPr="007C0B39">
        <w:t xml:space="preserve">does not expressly consent) that provision will be superseded by such </w:t>
      </w:r>
      <w:r w:rsidR="00F26C20" w:rsidRPr="007C0B39">
        <w:t>R</w:t>
      </w:r>
      <w:r w:rsidR="0096758E" w:rsidRPr="007C0B39">
        <w:t xml:space="preserve">ule or </w:t>
      </w:r>
      <w:r w:rsidR="00F26C20" w:rsidRPr="007C0B39">
        <w:t>O</w:t>
      </w:r>
      <w:r w:rsidRPr="007C0B39">
        <w:t>rder.</w:t>
      </w:r>
    </w:p>
    <w:p w14:paraId="364492A1" w14:textId="4FC33813" w:rsidR="00E02214" w:rsidRPr="007C0B39" w:rsidRDefault="00E02214" w:rsidP="001B74D4">
      <w:pPr>
        <w:pStyle w:val="ParaNum"/>
      </w:pPr>
      <w:r w:rsidRPr="007C0B39">
        <w:rPr>
          <w:b/>
          <w:u w:val="single"/>
        </w:rPr>
        <w:t>Successors and Assigns</w:t>
      </w:r>
      <w:r w:rsidRPr="007C0B39">
        <w:t xml:space="preserve">.  </w:t>
      </w:r>
      <w:r w:rsidR="0065074D">
        <w:rPr>
          <w:szCs w:val="22"/>
        </w:rPr>
        <w:t>ClipperData</w:t>
      </w:r>
      <w:r w:rsidR="00E03587" w:rsidRPr="007C0B39">
        <w:rPr>
          <w:szCs w:val="22"/>
        </w:rPr>
        <w:t xml:space="preserve"> </w:t>
      </w:r>
      <w:r w:rsidRPr="007C0B39">
        <w:t>agrees that the provisions of this Consent Decree shall be binding on its successors, assigns, and transferees.</w:t>
      </w:r>
    </w:p>
    <w:p w14:paraId="364492A2" w14:textId="2152DC68" w:rsidR="00E02214" w:rsidRPr="007C0B39" w:rsidRDefault="00E02214" w:rsidP="001B74D4">
      <w:pPr>
        <w:pStyle w:val="ParaNum"/>
        <w:rPr>
          <w:szCs w:val="22"/>
        </w:rPr>
      </w:pPr>
      <w:r w:rsidRPr="007C0B39">
        <w:rPr>
          <w:b/>
          <w:szCs w:val="22"/>
          <w:u w:val="single"/>
        </w:rPr>
        <w:t>Final Settlement</w:t>
      </w:r>
      <w:r w:rsidRPr="007C0B39">
        <w:rPr>
          <w:szCs w:val="22"/>
        </w:rPr>
        <w:t>.  The Parties agree and acknowledge that this Consent Decree shall constitute a final settlement between the Parties with</w:t>
      </w:r>
      <w:r w:rsidR="0065074D">
        <w:rPr>
          <w:szCs w:val="22"/>
        </w:rPr>
        <w:t xml:space="preserve"> respect to the Investigation.</w:t>
      </w:r>
    </w:p>
    <w:p w14:paraId="364492A3" w14:textId="77777777" w:rsidR="00E02214" w:rsidRPr="007C0B39" w:rsidRDefault="00E02214" w:rsidP="00C923A9">
      <w:pPr>
        <w:pStyle w:val="ParaNum"/>
        <w:keepNext/>
        <w:keepLines/>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14:paraId="364492A4" w14:textId="77777777" w:rsidR="00E02214" w:rsidRPr="007C0B39" w:rsidRDefault="00E02214" w:rsidP="008A2AD9">
      <w:pPr>
        <w:pStyle w:val="ParaNum"/>
        <w:widowControl/>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14:paraId="364492A5" w14:textId="77777777" w:rsidR="003329C5" w:rsidRPr="007C0B39" w:rsidRDefault="00E02214" w:rsidP="00E43C74">
      <w:pPr>
        <w:pStyle w:val="ParaNum"/>
        <w:widowControl/>
        <w:rPr>
          <w:szCs w:val="22"/>
        </w:rPr>
      </w:pPr>
      <w:r w:rsidRPr="007C0B39">
        <w:rPr>
          <w:b/>
          <w:szCs w:val="22"/>
          <w:u w:val="single"/>
        </w:rPr>
        <w:t>Authorized Representative</w:t>
      </w:r>
      <w:r w:rsidRPr="007C0B39">
        <w:rPr>
          <w:szCs w:val="22"/>
        </w:rPr>
        <w:t xml:space="preserve">. </w:t>
      </w:r>
      <w:r w:rsidR="00B73A30" w:rsidRPr="007C0B39">
        <w:rPr>
          <w:szCs w:val="22"/>
        </w:rPr>
        <w:t xml:space="preserve"> </w:t>
      </w:r>
      <w:r w:rsidR="005D5341" w:rsidRPr="007C0B39">
        <w:rPr>
          <w:szCs w:val="22"/>
        </w:rPr>
        <w:t xml:space="preserve">Each Party </w:t>
      </w:r>
      <w:r w:rsidR="005D5341" w:rsidRPr="007C0B39">
        <w:t>represents</w:t>
      </w:r>
      <w:r w:rsidR="005D5341" w:rsidRPr="007C0B39">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364492A6" w14:textId="77777777" w:rsidR="00E02214" w:rsidRPr="007C0B39" w:rsidRDefault="00E02214" w:rsidP="001B74D4">
      <w:pPr>
        <w:pStyle w:val="ParaNum"/>
        <w:rPr>
          <w:szCs w:val="22"/>
        </w:rPr>
      </w:pPr>
      <w:r w:rsidRPr="007C0B39">
        <w:rPr>
          <w:b/>
          <w:u w:val="single"/>
        </w:rPr>
        <w:t>Counterparts</w:t>
      </w:r>
      <w:r w:rsidRPr="007C0B39">
        <w:rPr>
          <w:szCs w:val="22"/>
        </w:rPr>
        <w:t xml:space="preserve">.  </w:t>
      </w:r>
      <w:r w:rsidR="00BB440F" w:rsidRPr="007C0B39">
        <w:rPr>
          <w:szCs w:val="22"/>
        </w:rPr>
        <w:t xml:space="preserve">This Consent Decree may be </w:t>
      </w:r>
      <w:r w:rsidR="00BB440F" w:rsidRPr="007C0B39">
        <w:t>signed</w:t>
      </w:r>
      <w:r w:rsidR="00BB440F" w:rsidRPr="007C0B39">
        <w:rPr>
          <w:szCs w:val="22"/>
        </w:rPr>
        <w:t xml:space="preserve"> in counterpart (including </w:t>
      </w:r>
      <w:r w:rsidR="008A2AD9" w:rsidRPr="007C0B39">
        <w:rPr>
          <w:szCs w:val="22"/>
        </w:rPr>
        <w:t xml:space="preserve">electronically or </w:t>
      </w:r>
      <w:r w:rsidR="00BB440F" w:rsidRPr="007C0B39">
        <w:rPr>
          <w:szCs w:val="22"/>
        </w:rPr>
        <w:t>by facsimile).  Each counterpart, when executed and delivered, shall be an original, and all of the counterparts together shall constitute one and the same fully executed instrument.</w:t>
      </w:r>
    </w:p>
    <w:p w14:paraId="364492A7" w14:textId="77777777" w:rsidR="00E24E9F" w:rsidRPr="007C0B39" w:rsidRDefault="00E24E9F" w:rsidP="009A17A5">
      <w:pPr>
        <w:keepNext/>
        <w:keepLines/>
      </w:pPr>
    </w:p>
    <w:p w14:paraId="364492A8" w14:textId="77777777" w:rsidR="00E24E9F" w:rsidRPr="007C0B39" w:rsidRDefault="00E24E9F" w:rsidP="009A17A5">
      <w:pPr>
        <w:keepNext/>
        <w:keepLines/>
      </w:pPr>
    </w:p>
    <w:p w14:paraId="364492A9" w14:textId="77777777" w:rsidR="00E24E9F" w:rsidRPr="007C0B39" w:rsidRDefault="00E24E9F" w:rsidP="009A17A5">
      <w:pPr>
        <w:keepNext/>
        <w:keepLines/>
      </w:pPr>
      <w:r w:rsidRPr="007C0B39">
        <w:t>________________________________</w:t>
      </w:r>
    </w:p>
    <w:p w14:paraId="364492AA" w14:textId="29F945DD" w:rsidR="00EE1291" w:rsidRPr="007C0B39" w:rsidRDefault="00A35ED1" w:rsidP="009A17A5">
      <w:pPr>
        <w:keepNext/>
        <w:keepLines/>
      </w:pPr>
      <w:r>
        <w:t>Travis LeBlanc</w:t>
      </w:r>
    </w:p>
    <w:p w14:paraId="364492AB" w14:textId="1B3D7CF0" w:rsidR="00E24E9F" w:rsidRPr="007C0B39" w:rsidRDefault="00A35ED1" w:rsidP="009A17A5">
      <w:pPr>
        <w:keepNext/>
        <w:keepLines/>
      </w:pPr>
      <w:r>
        <w:t>Chief</w:t>
      </w:r>
    </w:p>
    <w:p w14:paraId="364492AC" w14:textId="77777777" w:rsidR="00E24E9F" w:rsidRPr="007C0B39" w:rsidRDefault="00E24E9F" w:rsidP="009A17A5">
      <w:pPr>
        <w:keepNext/>
        <w:keepLines/>
      </w:pPr>
      <w:r w:rsidRPr="007C0B39">
        <w:t>Enforcement Bureau</w:t>
      </w:r>
    </w:p>
    <w:p w14:paraId="364492AD" w14:textId="77777777" w:rsidR="00E24E9F" w:rsidRPr="007C0B39" w:rsidRDefault="00E24E9F" w:rsidP="009A17A5">
      <w:pPr>
        <w:keepNext/>
        <w:keepLines/>
      </w:pPr>
    </w:p>
    <w:p w14:paraId="364492AE" w14:textId="77777777" w:rsidR="00E24E9F" w:rsidRPr="007C0B39" w:rsidRDefault="00E24E9F" w:rsidP="009A17A5">
      <w:pPr>
        <w:keepNext/>
        <w:keepLines/>
      </w:pPr>
    </w:p>
    <w:p w14:paraId="364492AF" w14:textId="77777777" w:rsidR="00E24E9F" w:rsidRPr="007C0B39" w:rsidRDefault="00E24E9F" w:rsidP="009A17A5">
      <w:pPr>
        <w:keepNext/>
        <w:keepLines/>
      </w:pPr>
      <w:r w:rsidRPr="007C0B39">
        <w:t>________________________________</w:t>
      </w:r>
    </w:p>
    <w:p w14:paraId="364492B0" w14:textId="77777777" w:rsidR="00E24E9F" w:rsidRPr="007C0B39" w:rsidRDefault="00E24E9F" w:rsidP="009A17A5">
      <w:pPr>
        <w:keepNext/>
        <w:keepLines/>
      </w:pPr>
      <w:r w:rsidRPr="007C0B39">
        <w:t>Date</w:t>
      </w:r>
    </w:p>
    <w:p w14:paraId="364492B1" w14:textId="77777777" w:rsidR="00E24E9F" w:rsidRPr="007C0B39" w:rsidRDefault="00E24E9F" w:rsidP="009A17A5">
      <w:pPr>
        <w:keepNext/>
        <w:keepLines/>
      </w:pPr>
    </w:p>
    <w:p w14:paraId="364492B2" w14:textId="77777777" w:rsidR="00E24E9F" w:rsidRPr="007C0B39" w:rsidRDefault="00E24E9F" w:rsidP="00710CC1">
      <w:pPr>
        <w:keepLines/>
      </w:pPr>
    </w:p>
    <w:p w14:paraId="364492B3" w14:textId="77777777" w:rsidR="00E24E9F" w:rsidRPr="007C0B39" w:rsidRDefault="00E24E9F" w:rsidP="00710CC1">
      <w:pPr>
        <w:keepLines/>
      </w:pPr>
    </w:p>
    <w:p w14:paraId="364492B4" w14:textId="77777777" w:rsidR="00E24E9F" w:rsidRPr="007C0B39" w:rsidRDefault="00E24E9F" w:rsidP="00710CC1">
      <w:pPr>
        <w:keepLines/>
      </w:pPr>
      <w:r w:rsidRPr="007C0B39">
        <w:t>________________________________</w:t>
      </w:r>
    </w:p>
    <w:p w14:paraId="364492B5" w14:textId="5A8D0E38" w:rsidR="00EE1291" w:rsidRPr="007C0B39" w:rsidRDefault="00E33BCF" w:rsidP="00710CC1">
      <w:pPr>
        <w:keepLines/>
      </w:pPr>
      <w:r>
        <w:t>Sterling Lapinski</w:t>
      </w:r>
    </w:p>
    <w:p w14:paraId="364492B6" w14:textId="3792FD92" w:rsidR="00EE1291" w:rsidRPr="007C0B39" w:rsidRDefault="00E33BCF" w:rsidP="00710CC1">
      <w:pPr>
        <w:keepLines/>
      </w:pPr>
      <w:r>
        <w:t>Executive Chairman</w:t>
      </w:r>
    </w:p>
    <w:p w14:paraId="364492B7" w14:textId="24FB6DF7" w:rsidR="00E24E9F" w:rsidRPr="007C0B39" w:rsidRDefault="00DA7A50" w:rsidP="00710CC1">
      <w:pPr>
        <w:keepLines/>
      </w:pPr>
      <w:r>
        <w:t>ClipperData LLC</w:t>
      </w:r>
    </w:p>
    <w:p w14:paraId="364492B8" w14:textId="77777777" w:rsidR="00E24E9F" w:rsidRPr="007C0B39" w:rsidRDefault="00E24E9F" w:rsidP="00710CC1">
      <w:pPr>
        <w:keepLines/>
      </w:pPr>
    </w:p>
    <w:p w14:paraId="364492B9" w14:textId="77777777" w:rsidR="00E24E9F" w:rsidRPr="007C0B39" w:rsidRDefault="00E24E9F" w:rsidP="00710CC1">
      <w:pPr>
        <w:keepLines/>
      </w:pPr>
      <w:r w:rsidRPr="007C0B39">
        <w:t>________________________________</w:t>
      </w:r>
    </w:p>
    <w:p w14:paraId="364492BA" w14:textId="77777777" w:rsidR="00E24E9F" w:rsidRPr="002C00E8" w:rsidRDefault="00E24E9F" w:rsidP="002755D1">
      <w:pPr>
        <w:keepLines/>
      </w:pPr>
      <w:r w:rsidRPr="007C0B39">
        <w:t>Date</w:t>
      </w:r>
    </w:p>
    <w:sectPr w:rsidR="00E24E9F" w:rsidRPr="002C00E8" w:rsidSect="00302835">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9BF0C" w14:textId="77777777" w:rsidR="00D2319D" w:rsidRDefault="00D2319D">
      <w:pPr>
        <w:spacing w:line="20" w:lineRule="exact"/>
      </w:pPr>
    </w:p>
  </w:endnote>
  <w:endnote w:type="continuationSeparator" w:id="0">
    <w:p w14:paraId="48B4707B" w14:textId="77777777" w:rsidR="00D2319D" w:rsidRDefault="00D2319D">
      <w:r>
        <w:t xml:space="preserve"> </w:t>
      </w:r>
    </w:p>
  </w:endnote>
  <w:endnote w:type="continuationNotice" w:id="1">
    <w:p w14:paraId="77F42E0E" w14:textId="77777777" w:rsidR="00D2319D" w:rsidRDefault="00D231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5EE3" w14:textId="77777777" w:rsidR="00C507FF" w:rsidRDefault="00C50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0819"/>
      <w:docPartObj>
        <w:docPartGallery w:val="Page Numbers (Bottom of Page)"/>
        <w:docPartUnique/>
      </w:docPartObj>
    </w:sdtPr>
    <w:sdtEndPr>
      <w:rPr>
        <w:noProof/>
      </w:rPr>
    </w:sdtEndPr>
    <w:sdtContent>
      <w:p w14:paraId="364492C2" w14:textId="77777777" w:rsidR="00153AAA" w:rsidRDefault="00453A9E" w:rsidP="00453A9E">
        <w:pPr>
          <w:pStyle w:val="Footer"/>
          <w:jc w:val="center"/>
        </w:pPr>
        <w:r>
          <w:fldChar w:fldCharType="begin"/>
        </w:r>
        <w:r>
          <w:instrText xml:space="preserve"> PAGE   \* MERGEFORMAT </w:instrText>
        </w:r>
        <w:r>
          <w:fldChar w:fldCharType="separate"/>
        </w:r>
        <w:r w:rsidR="00742ACB">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492C6" w14:textId="77777777" w:rsidR="009E51C5" w:rsidRDefault="009E51C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FD090" w14:textId="77777777" w:rsidR="00D2319D" w:rsidRDefault="00D2319D">
      <w:r>
        <w:separator/>
      </w:r>
    </w:p>
  </w:footnote>
  <w:footnote w:type="continuationSeparator" w:id="0">
    <w:p w14:paraId="2DFEB18A" w14:textId="77777777" w:rsidR="00D2319D" w:rsidRDefault="00D2319D" w:rsidP="00C721AC">
      <w:pPr>
        <w:spacing w:before="120"/>
        <w:rPr>
          <w:sz w:val="20"/>
        </w:rPr>
      </w:pPr>
      <w:r>
        <w:rPr>
          <w:sz w:val="20"/>
        </w:rPr>
        <w:t xml:space="preserve">(Continued from previous page)  </w:t>
      </w:r>
      <w:r>
        <w:rPr>
          <w:sz w:val="20"/>
        </w:rPr>
        <w:separator/>
      </w:r>
    </w:p>
  </w:footnote>
  <w:footnote w:type="continuationNotice" w:id="1">
    <w:p w14:paraId="228C431A" w14:textId="77777777" w:rsidR="00D2319D" w:rsidRDefault="00D2319D" w:rsidP="00C721AC">
      <w:pPr>
        <w:jc w:val="right"/>
        <w:rPr>
          <w:sz w:val="20"/>
        </w:rPr>
      </w:pPr>
      <w:r>
        <w:rPr>
          <w:sz w:val="20"/>
        </w:rPr>
        <w:t>(continued….)</w:t>
      </w:r>
    </w:p>
  </w:footnote>
  <w:footnote w:id="2">
    <w:p w14:paraId="166604C8" w14:textId="77777777" w:rsidR="009B55BA" w:rsidRDefault="009B55BA" w:rsidP="009B55BA">
      <w:pPr>
        <w:pStyle w:val="FootnoteText"/>
      </w:pPr>
      <w:r>
        <w:rPr>
          <w:rStyle w:val="FootnoteReference"/>
        </w:rPr>
        <w:footnoteRef/>
      </w:r>
      <w:r>
        <w:t xml:space="preserve"> </w:t>
      </w:r>
      <w:r>
        <w:rPr>
          <w:snapToGrid w:val="0"/>
        </w:rPr>
        <w:t>47 U.S.C. § 301.</w:t>
      </w:r>
    </w:p>
  </w:footnote>
  <w:footnote w:id="3">
    <w:p w14:paraId="62D22E97" w14:textId="77777777" w:rsidR="009B55BA" w:rsidRPr="00D84548" w:rsidRDefault="009B55BA" w:rsidP="009B55BA">
      <w:pPr>
        <w:pStyle w:val="FootnoteText"/>
      </w:pPr>
      <w:r w:rsidRPr="00D84548">
        <w:rPr>
          <w:rStyle w:val="FootnoteReference"/>
        </w:rPr>
        <w:footnoteRef/>
      </w:r>
      <w:r w:rsidRPr="00D84548">
        <w:t xml:space="preserve"> </w:t>
      </w:r>
      <w:r>
        <w:rPr>
          <w:szCs w:val="22"/>
        </w:rPr>
        <w:t>47 CFR § 1.903(a)</w:t>
      </w:r>
      <w:r w:rsidRPr="00D84548">
        <w:rPr>
          <w:szCs w:val="22"/>
        </w:rPr>
        <w:t>.</w:t>
      </w:r>
    </w:p>
  </w:footnote>
  <w:footnote w:id="4">
    <w:p w14:paraId="34525111" w14:textId="77777777" w:rsidR="009B55BA" w:rsidRPr="00F74D07" w:rsidRDefault="009B55BA" w:rsidP="009B55BA">
      <w:pPr>
        <w:pStyle w:val="FootnoteText"/>
      </w:pPr>
      <w:r>
        <w:rPr>
          <w:rStyle w:val="FootnoteReference"/>
        </w:rPr>
        <w:footnoteRef/>
      </w:r>
      <w:r>
        <w:t xml:space="preserve"> </w:t>
      </w:r>
      <w:r>
        <w:rPr>
          <w:i/>
        </w:rPr>
        <w:t xml:space="preserve">See </w:t>
      </w:r>
      <w:r>
        <w:t>47 CFR § 1.93(b).</w:t>
      </w:r>
    </w:p>
  </w:footnote>
  <w:footnote w:id="5">
    <w:p w14:paraId="54FCB677" w14:textId="77777777" w:rsidR="009B55BA" w:rsidRPr="00D84548" w:rsidRDefault="009B55BA" w:rsidP="009B55BA">
      <w:pPr>
        <w:pStyle w:val="FootnoteText"/>
      </w:pPr>
      <w:r w:rsidRPr="00D84548">
        <w:rPr>
          <w:rStyle w:val="FootnoteReference"/>
        </w:rPr>
        <w:footnoteRef/>
      </w:r>
      <w:r w:rsidRPr="00D84548">
        <w:t xml:space="preserve"> </w:t>
      </w:r>
      <w:r w:rsidRPr="00D84548">
        <w:rPr>
          <w:szCs w:val="22"/>
        </w:rPr>
        <w:t>47 U.S.C. § 154(i)</w:t>
      </w:r>
      <w:r>
        <w:rPr>
          <w:szCs w:val="22"/>
        </w:rPr>
        <w:t>.</w:t>
      </w:r>
    </w:p>
  </w:footnote>
  <w:footnote w:id="6">
    <w:p w14:paraId="7DF0E365" w14:textId="77777777" w:rsidR="009B55BA" w:rsidRDefault="009B55BA" w:rsidP="009B55BA">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7">
    <w:p w14:paraId="1D3C923F" w14:textId="6FECA70C" w:rsidR="00E46600" w:rsidRDefault="00E46600">
      <w:pPr>
        <w:pStyle w:val="FootnoteText"/>
      </w:pPr>
      <w:r>
        <w:rPr>
          <w:rStyle w:val="FootnoteReference"/>
        </w:rPr>
        <w:footnoteRef/>
      </w:r>
      <w:r>
        <w:t xml:space="preserve"> 47 U.S.C. </w:t>
      </w:r>
      <w:r w:rsidRPr="001B63BB">
        <w:rPr>
          <w:szCs w:val="22"/>
        </w:rPr>
        <w:t>§ </w:t>
      </w:r>
      <w:r>
        <w:t>301.</w:t>
      </w:r>
    </w:p>
  </w:footnote>
  <w:footnote w:id="8">
    <w:p w14:paraId="52149730" w14:textId="3C0B293B" w:rsidR="00E46600" w:rsidRDefault="00E46600">
      <w:pPr>
        <w:pStyle w:val="FootnoteText"/>
      </w:pPr>
      <w:r>
        <w:rPr>
          <w:rStyle w:val="FootnoteReference"/>
        </w:rPr>
        <w:footnoteRef/>
      </w:r>
      <w:r>
        <w:t xml:space="preserve"> 47 CFR </w:t>
      </w:r>
      <w:r w:rsidRPr="001B63BB">
        <w:rPr>
          <w:szCs w:val="22"/>
        </w:rPr>
        <w:t>§ </w:t>
      </w:r>
      <w:r>
        <w:t>1.903(a).</w:t>
      </w:r>
    </w:p>
  </w:footnote>
  <w:footnote w:id="9">
    <w:p w14:paraId="364492CB" w14:textId="77777777" w:rsidR="00843A5F" w:rsidRDefault="00843A5F">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0">
    <w:p w14:paraId="742CE014" w14:textId="3D19AF79" w:rsidR="00723B38" w:rsidRDefault="00723B38">
      <w:pPr>
        <w:pStyle w:val="FootnoteText"/>
      </w:pPr>
      <w:r>
        <w:rPr>
          <w:rStyle w:val="FootnoteReference"/>
        </w:rPr>
        <w:footnoteRef/>
      </w:r>
      <w:r>
        <w:t xml:space="preserve"> </w:t>
      </w:r>
      <w:r w:rsidRPr="00723B38">
        <w:t xml:space="preserve">47 </w:t>
      </w:r>
      <w:r w:rsidR="00312B11">
        <w:t>CFR</w:t>
      </w:r>
      <w:r w:rsidRPr="00723B38">
        <w:t xml:space="preserve"> §§ 90.350 – 90.383.</w:t>
      </w:r>
    </w:p>
  </w:footnote>
  <w:footnote w:id="11">
    <w:p w14:paraId="587D00B3" w14:textId="4E549397" w:rsidR="0001692B" w:rsidRDefault="0001692B">
      <w:pPr>
        <w:pStyle w:val="FootnoteText"/>
      </w:pPr>
      <w:r>
        <w:rPr>
          <w:rStyle w:val="FootnoteReference"/>
        </w:rPr>
        <w:footnoteRef/>
      </w:r>
      <w:r>
        <w:t xml:space="preserve"> 47 U.S.C. </w:t>
      </w:r>
      <w:r w:rsidRPr="001B63BB">
        <w:rPr>
          <w:szCs w:val="22"/>
        </w:rPr>
        <w:t>§ </w:t>
      </w:r>
      <w:r>
        <w:t xml:space="preserve">301; 47 CFR </w:t>
      </w:r>
      <w:r w:rsidRPr="001B63BB">
        <w:rPr>
          <w:szCs w:val="22"/>
        </w:rPr>
        <w:t>§ </w:t>
      </w:r>
      <w:r>
        <w:t>1.903(a).</w:t>
      </w:r>
    </w:p>
  </w:footnote>
  <w:footnote w:id="12">
    <w:p w14:paraId="4628D449" w14:textId="1D6D7DCA" w:rsidR="003536CA" w:rsidRDefault="003536CA" w:rsidP="003536CA">
      <w:pPr>
        <w:pStyle w:val="FootnoteText"/>
      </w:pPr>
      <w:r>
        <w:rPr>
          <w:rStyle w:val="FootnoteReference"/>
        </w:rPr>
        <w:footnoteRef/>
      </w:r>
      <w:r>
        <w:t xml:space="preserve"> </w:t>
      </w:r>
      <w:r w:rsidRPr="003536CA">
        <w:t xml:space="preserve">A listing of </w:t>
      </w:r>
      <w:r>
        <w:t>ClipperData</w:t>
      </w:r>
      <w:r w:rsidRPr="003536CA">
        <w:t xml:space="preserve">’s radio </w:t>
      </w:r>
      <w:r w:rsidR="00255479">
        <w:t>L</w:t>
      </w:r>
      <w:r w:rsidRPr="003536CA">
        <w:t>icenses issued by the Commission can be foun</w:t>
      </w:r>
      <w:r>
        <w:t xml:space="preserve">d at the Commission’s Universal </w:t>
      </w:r>
      <w:r w:rsidRPr="003536CA">
        <w:t>Licensing Service database at http://wireless2.fcc.gov/UlsApp/ApplicationSearch/searchAppl.jsp.</w:t>
      </w:r>
    </w:p>
  </w:footnote>
  <w:footnote w:id="13">
    <w:p w14:paraId="39F77EC6" w14:textId="3BEBE6DF" w:rsidR="00D51949" w:rsidRDefault="00D51949" w:rsidP="00D51949">
      <w:pPr>
        <w:pStyle w:val="FootnoteText"/>
      </w:pPr>
      <w:r>
        <w:rPr>
          <w:rStyle w:val="FootnoteReference"/>
        </w:rPr>
        <w:footnoteRef/>
      </w:r>
      <w:r>
        <w:t xml:space="preserve"> Letter from Bruce D. Jacobs, Chief, Spectrum Enforcement Division, FCC Enforcement Bureau, to Sterling Lapinski, Chief Executive Officer, ClipperData (Apr. 27, 2016) (on file in EB-SED-</w:t>
      </w:r>
      <w:r>
        <w:rPr>
          <w:color w:val="000000" w:themeColor="text1"/>
          <w:spacing w:val="-2"/>
          <w:szCs w:val="22"/>
        </w:rPr>
        <w:t>16-00021833</w:t>
      </w:r>
      <w:r w:rsidR="003536CA">
        <w:t>)</w:t>
      </w:r>
      <w:r>
        <w:t>.</w:t>
      </w:r>
    </w:p>
  </w:footnote>
  <w:footnote w:id="14">
    <w:p w14:paraId="66C73357" w14:textId="296FD77B" w:rsidR="00D51949" w:rsidRDefault="00D51949" w:rsidP="00D51949">
      <w:pPr>
        <w:pStyle w:val="FootnoteText"/>
      </w:pPr>
      <w:r>
        <w:rPr>
          <w:rStyle w:val="FootnoteReference"/>
        </w:rPr>
        <w:footnoteRef/>
      </w:r>
      <w:r>
        <w:t xml:space="preserve"> </w:t>
      </w:r>
      <w:r w:rsidR="003536CA">
        <w:t>Letter from Jonathan V. Cohen, Counsel for ClipperData, to William Reed, Spectrum Enforcement Division, FCC Enforcement Bureau, at 1 (May 27, 2016) (on file in EB-SED-</w:t>
      </w:r>
      <w:r w:rsidR="003536CA">
        <w:rPr>
          <w:color w:val="000000" w:themeColor="text1"/>
          <w:spacing w:val="-2"/>
          <w:szCs w:val="22"/>
        </w:rPr>
        <w:t>16-00021833</w:t>
      </w:r>
      <w:r w:rsidR="003536CA">
        <w:t>)</w:t>
      </w:r>
      <w:r>
        <w:t>, at Response to Inquiry 8.</w:t>
      </w:r>
    </w:p>
  </w:footnote>
  <w:footnote w:id="15">
    <w:p w14:paraId="364492CC" w14:textId="308D219F" w:rsidR="006B3C40" w:rsidRDefault="006B3C40">
      <w:pPr>
        <w:pStyle w:val="FootnoteText"/>
      </w:pPr>
      <w:r>
        <w:rPr>
          <w:rStyle w:val="FootnoteReference"/>
        </w:rPr>
        <w:footnoteRef/>
      </w:r>
      <w:r>
        <w:t xml:space="preserve"> </w:t>
      </w:r>
      <w:r w:rsidRPr="00C566EC">
        <w:rPr>
          <w:i/>
        </w:rPr>
        <w:t>See</w:t>
      </w:r>
      <w:r>
        <w:t xml:space="preserve"> 47 CFR </w:t>
      </w:r>
      <w:r w:rsidR="00612214">
        <w:t xml:space="preserve">§ </w:t>
      </w:r>
      <w:r>
        <w:t>1.93(b).</w:t>
      </w:r>
    </w:p>
  </w:footnote>
  <w:footnote w:id="16">
    <w:p w14:paraId="364492CD" w14:textId="77777777" w:rsidR="00E02214" w:rsidRDefault="00E02214" w:rsidP="00E02214">
      <w:pPr>
        <w:pStyle w:val="FootnoteText"/>
      </w:pPr>
      <w:r w:rsidRPr="00A07FCB">
        <w:rPr>
          <w:rStyle w:val="FootnoteReference"/>
        </w:rPr>
        <w:footnoteRef/>
      </w:r>
      <w:r w:rsidRPr="00A07FCB">
        <w:t xml:space="preserve"> 47 CFR § 1.16.</w:t>
      </w:r>
    </w:p>
  </w:footnote>
  <w:footnote w:id="17">
    <w:p w14:paraId="364492D0" w14:textId="77777777" w:rsidR="00F82AC0" w:rsidRPr="00042447" w:rsidRDefault="00F82AC0" w:rsidP="00F82AC0">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18">
    <w:p w14:paraId="364492D1" w14:textId="77777777" w:rsidR="00E02214" w:rsidRDefault="00E02214" w:rsidP="00E02214">
      <w:pPr>
        <w:pStyle w:val="FootnoteText"/>
        <w:tabs>
          <w:tab w:val="left" w:pos="810"/>
        </w:tabs>
      </w:pPr>
      <w:r w:rsidRPr="003F6349">
        <w:rPr>
          <w:rStyle w:val="FootnoteReference"/>
        </w:rPr>
        <w:footnoteRef/>
      </w:r>
      <w:r w:rsidRPr="003F6349">
        <w:t xml:space="preserve"> </w:t>
      </w:r>
      <w:r w:rsidR="00936B23">
        <w:rPr>
          <w:i/>
        </w:rPr>
        <w:t xml:space="preserve">See </w:t>
      </w:r>
      <w:r w:rsidRPr="003F6349">
        <w:t>5 U.S.C. § 504; 47 CFR</w:t>
      </w:r>
      <w:r w:rsidR="003F5CF7">
        <w:t xml:space="preserve"> </w:t>
      </w:r>
      <w:r w:rsidR="008B628C">
        <w:t>§</w:t>
      </w:r>
      <w:r w:rsidR="00E43C74">
        <w:t>§</w:t>
      </w:r>
      <w:r w:rsidR="008B628C">
        <w:t xml:space="preserve"> </w:t>
      </w:r>
      <w:r w:rsidR="00E43C74">
        <w:t>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880D4" w14:textId="77777777" w:rsidR="00C507FF" w:rsidRDefault="00C50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492C1" w14:textId="658E9ED9" w:rsidR="00153AAA" w:rsidRDefault="00153AAA" w:rsidP="00153AAA">
    <w:pPr>
      <w:pStyle w:val="Header"/>
      <w:rPr>
        <w:b w:val="0"/>
      </w:rPr>
    </w:pPr>
    <w:r w:rsidRPr="00843A5F">
      <w:rPr>
        <w:noProof/>
        <w:snapToGrid/>
      </w:rPr>
      <mc:AlternateContent>
        <mc:Choice Requires="wps">
          <w:drawing>
            <wp:anchor distT="0" distB="0" distL="114300" distR="114300" simplePos="0" relativeHeight="251661312" behindDoc="1" locked="0" layoutInCell="0" allowOverlap="1" wp14:anchorId="364492C7" wp14:editId="364492C8">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48453E"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sidR="00A44EB5">
      <w:rPr>
        <w:spacing w:val="-2"/>
      </w:rPr>
      <w:t>16</w:t>
    </w:r>
    <w:r w:rsidR="00D66953" w:rsidRPr="002755D1">
      <w:rPr>
        <w:spacing w:val="-2"/>
      </w:rPr>
      <w:t>-</w:t>
    </w:r>
    <w:r w:rsidR="001D0436">
      <w:rPr>
        <w:spacing w:val="-2"/>
      </w:rPr>
      <w:t>960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492C5" w14:textId="0B50073C" w:rsidR="00153AAA" w:rsidRDefault="00153AAA" w:rsidP="00153AAA">
    <w:pPr>
      <w:pStyle w:val="Header"/>
      <w:rPr>
        <w:b w:val="0"/>
      </w:rPr>
    </w:pPr>
    <w:r w:rsidRPr="00843A5F">
      <w:rPr>
        <w:noProof/>
        <w:snapToGrid/>
      </w:rPr>
      <mc:AlternateContent>
        <mc:Choice Requires="wps">
          <w:drawing>
            <wp:anchor distT="0" distB="0" distL="114300" distR="114300" simplePos="0" relativeHeight="251659264" behindDoc="1" locked="0" layoutInCell="0" allowOverlap="1" wp14:anchorId="364492C9" wp14:editId="364492C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9C1819"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00D66953" w:rsidRPr="002755D1">
      <w:rPr>
        <w:spacing w:val="-2"/>
      </w:rPr>
      <w:t xml:space="preserve">DA </w:t>
    </w:r>
    <w:r w:rsidR="00124476">
      <w:rPr>
        <w:spacing w:val="-2"/>
      </w:rPr>
      <w:t>16</w:t>
    </w:r>
    <w:r w:rsidR="00D66953" w:rsidRPr="002755D1">
      <w:rPr>
        <w:spacing w:val="-2"/>
      </w:rPr>
      <w:t>-</w:t>
    </w:r>
    <w:r w:rsidR="001D0436">
      <w:rPr>
        <w:spacing w:val="-2"/>
      </w:rPr>
      <w:t>960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2">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3">
    <w:nsid w:val="76253019"/>
    <w:multiLevelType w:val="hybridMultilevel"/>
    <w:tmpl w:val="A3068D84"/>
    <w:lvl w:ilvl="0" w:tplc="78B41958">
      <w:start w:val="1"/>
      <w:numFmt w:val="lowerLetter"/>
      <w:lvlText w:val="(%1)"/>
      <w:lvlJc w:val="left"/>
      <w:pPr>
        <w:tabs>
          <w:tab w:val="num" w:pos="1872"/>
        </w:tabs>
        <w:ind w:left="1872" w:hanging="432"/>
      </w:pPr>
      <w:rPr>
        <w:rFonts w:cs="Times New Roman" w:hint="default"/>
        <w:b w:val="0"/>
        <w:i w:val="0"/>
        <w:sz w:val="22"/>
        <w:szCs w:val="22"/>
      </w:rPr>
    </w:lvl>
    <w:lvl w:ilvl="1" w:tplc="04090019" w:tentative="1">
      <w:start w:val="1"/>
      <w:numFmt w:val="lowerLetter"/>
      <w:lvlText w:val="%2."/>
      <w:lvlJc w:val="left"/>
      <w:pPr>
        <w:tabs>
          <w:tab w:val="num" w:pos="2088"/>
        </w:tabs>
        <w:ind w:left="2088" w:hanging="360"/>
      </w:pPr>
      <w:rPr>
        <w:rFonts w:cs="Times New Roman"/>
      </w:rPr>
    </w:lvl>
    <w:lvl w:ilvl="2" w:tplc="0409001B" w:tentative="1">
      <w:start w:val="1"/>
      <w:numFmt w:val="lowerRoman"/>
      <w:lvlText w:val="%3."/>
      <w:lvlJc w:val="right"/>
      <w:pPr>
        <w:tabs>
          <w:tab w:val="num" w:pos="2808"/>
        </w:tabs>
        <w:ind w:left="2808" w:hanging="180"/>
      </w:pPr>
      <w:rPr>
        <w:rFonts w:cs="Times New Roman"/>
      </w:rPr>
    </w:lvl>
    <w:lvl w:ilvl="3" w:tplc="0409000F" w:tentative="1">
      <w:start w:val="1"/>
      <w:numFmt w:val="decimal"/>
      <w:lvlText w:val="%4."/>
      <w:lvlJc w:val="left"/>
      <w:pPr>
        <w:tabs>
          <w:tab w:val="num" w:pos="3528"/>
        </w:tabs>
        <w:ind w:left="3528" w:hanging="360"/>
      </w:pPr>
      <w:rPr>
        <w:rFonts w:cs="Times New Roman"/>
      </w:rPr>
    </w:lvl>
    <w:lvl w:ilvl="4" w:tplc="04090019" w:tentative="1">
      <w:start w:val="1"/>
      <w:numFmt w:val="lowerLetter"/>
      <w:lvlText w:val="%5."/>
      <w:lvlJc w:val="left"/>
      <w:pPr>
        <w:tabs>
          <w:tab w:val="num" w:pos="4248"/>
        </w:tabs>
        <w:ind w:left="4248" w:hanging="360"/>
      </w:pPr>
      <w:rPr>
        <w:rFonts w:cs="Times New Roman"/>
      </w:rPr>
    </w:lvl>
    <w:lvl w:ilvl="5" w:tplc="0409001B" w:tentative="1">
      <w:start w:val="1"/>
      <w:numFmt w:val="lowerRoman"/>
      <w:lvlText w:val="%6."/>
      <w:lvlJc w:val="right"/>
      <w:pPr>
        <w:tabs>
          <w:tab w:val="num" w:pos="4968"/>
        </w:tabs>
        <w:ind w:left="4968" w:hanging="180"/>
      </w:pPr>
      <w:rPr>
        <w:rFonts w:cs="Times New Roman"/>
      </w:rPr>
    </w:lvl>
    <w:lvl w:ilvl="6" w:tplc="0409000F" w:tentative="1">
      <w:start w:val="1"/>
      <w:numFmt w:val="decimal"/>
      <w:lvlText w:val="%7."/>
      <w:lvlJc w:val="left"/>
      <w:pPr>
        <w:tabs>
          <w:tab w:val="num" w:pos="5688"/>
        </w:tabs>
        <w:ind w:left="5688" w:hanging="360"/>
      </w:pPr>
      <w:rPr>
        <w:rFonts w:cs="Times New Roman"/>
      </w:rPr>
    </w:lvl>
    <w:lvl w:ilvl="7" w:tplc="04090019" w:tentative="1">
      <w:start w:val="1"/>
      <w:numFmt w:val="lowerLetter"/>
      <w:lvlText w:val="%8."/>
      <w:lvlJc w:val="left"/>
      <w:pPr>
        <w:tabs>
          <w:tab w:val="num" w:pos="6408"/>
        </w:tabs>
        <w:ind w:left="6408" w:hanging="360"/>
      </w:pPr>
      <w:rPr>
        <w:rFonts w:cs="Times New Roman"/>
      </w:rPr>
    </w:lvl>
    <w:lvl w:ilvl="8" w:tplc="0409001B" w:tentative="1">
      <w:start w:val="1"/>
      <w:numFmt w:val="lowerRoman"/>
      <w:lvlText w:val="%9."/>
      <w:lvlJc w:val="right"/>
      <w:pPr>
        <w:tabs>
          <w:tab w:val="num" w:pos="7128"/>
        </w:tabs>
        <w:ind w:left="7128" w:hanging="180"/>
      </w:pPr>
      <w:rPr>
        <w:rFonts w:cs="Times New Roman"/>
      </w:rPr>
    </w:lvl>
  </w:abstractNum>
  <w:num w:numId="1">
    <w:abstractNumId w:val="10"/>
  </w:num>
  <w:num w:numId="2">
    <w:abstractNumId w:val="6"/>
  </w:num>
  <w:num w:numId="3">
    <w:abstractNumId w:val="12"/>
  </w:num>
  <w:num w:numId="4">
    <w:abstractNumId w:val="11"/>
  </w:num>
  <w:num w:numId="5">
    <w:abstractNumId w:val="2"/>
  </w:num>
  <w:num w:numId="6">
    <w:abstractNumId w:val="13"/>
  </w:num>
  <w:num w:numId="7">
    <w:abstractNumId w:val="1"/>
  </w:num>
  <w:num w:numId="8">
    <w:abstractNumId w:val="10"/>
    <w:lvlOverride w:ilvl="0">
      <w:startOverride w:val="1"/>
    </w:lvlOverride>
  </w:num>
  <w:num w:numId="9">
    <w:abstractNumId w:val="7"/>
  </w:num>
  <w:num w:numId="10">
    <w:abstractNumId w:val="4"/>
  </w:num>
  <w:num w:numId="11">
    <w:abstractNumId w:val="9"/>
  </w:num>
  <w:num w:numId="12">
    <w:abstractNumId w:val="5"/>
  </w:num>
  <w:num w:numId="13">
    <w:abstractNumId w:val="0"/>
  </w:num>
  <w:num w:numId="14">
    <w:abstractNumId w:val="3"/>
  </w:num>
  <w:num w:numId="15">
    <w:abstractNumId w:val="10"/>
    <w:lvlOverride w:ilvl="0">
      <w:startOverride w:val="4"/>
    </w:lvlOverride>
  </w:num>
  <w:num w:numId="16">
    <w:abstractNumId w:val="10"/>
    <w:lvlOverride w:ilvl="0">
      <w:startOverride w:val="22"/>
    </w:lvlOverride>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1CB4"/>
    <w:rsid w:val="00014484"/>
    <w:rsid w:val="0001692B"/>
    <w:rsid w:val="000216AD"/>
    <w:rsid w:val="00023D26"/>
    <w:rsid w:val="00024902"/>
    <w:rsid w:val="000251D3"/>
    <w:rsid w:val="00025BD1"/>
    <w:rsid w:val="000262C0"/>
    <w:rsid w:val="00026D97"/>
    <w:rsid w:val="00027EC4"/>
    <w:rsid w:val="00036039"/>
    <w:rsid w:val="00036B37"/>
    <w:rsid w:val="00037F90"/>
    <w:rsid w:val="00040BB5"/>
    <w:rsid w:val="0004154A"/>
    <w:rsid w:val="0004267E"/>
    <w:rsid w:val="000514F1"/>
    <w:rsid w:val="00051558"/>
    <w:rsid w:val="00061A57"/>
    <w:rsid w:val="00064ADC"/>
    <w:rsid w:val="000668DA"/>
    <w:rsid w:val="000673F5"/>
    <w:rsid w:val="0007059D"/>
    <w:rsid w:val="000728FF"/>
    <w:rsid w:val="00073450"/>
    <w:rsid w:val="00073561"/>
    <w:rsid w:val="00075906"/>
    <w:rsid w:val="00076C13"/>
    <w:rsid w:val="0007720D"/>
    <w:rsid w:val="0008718F"/>
    <w:rsid w:val="000875BF"/>
    <w:rsid w:val="00090E63"/>
    <w:rsid w:val="00096D8C"/>
    <w:rsid w:val="000971AC"/>
    <w:rsid w:val="000A053B"/>
    <w:rsid w:val="000A5F07"/>
    <w:rsid w:val="000B00E8"/>
    <w:rsid w:val="000B17A6"/>
    <w:rsid w:val="000B622D"/>
    <w:rsid w:val="000C0B65"/>
    <w:rsid w:val="000C5557"/>
    <w:rsid w:val="000D5798"/>
    <w:rsid w:val="000E05FE"/>
    <w:rsid w:val="000E3D42"/>
    <w:rsid w:val="000E5C6E"/>
    <w:rsid w:val="000E655A"/>
    <w:rsid w:val="000E6874"/>
    <w:rsid w:val="000F64DF"/>
    <w:rsid w:val="0011427B"/>
    <w:rsid w:val="0011733C"/>
    <w:rsid w:val="00122296"/>
    <w:rsid w:val="0012234C"/>
    <w:rsid w:val="00122BD5"/>
    <w:rsid w:val="00124476"/>
    <w:rsid w:val="00126CA2"/>
    <w:rsid w:val="001278CC"/>
    <w:rsid w:val="001314FC"/>
    <w:rsid w:val="0013249B"/>
    <w:rsid w:val="00133F79"/>
    <w:rsid w:val="001438DA"/>
    <w:rsid w:val="0015122B"/>
    <w:rsid w:val="0015224A"/>
    <w:rsid w:val="00153AAA"/>
    <w:rsid w:val="00154477"/>
    <w:rsid w:val="00155C0B"/>
    <w:rsid w:val="00161D89"/>
    <w:rsid w:val="00176594"/>
    <w:rsid w:val="00182304"/>
    <w:rsid w:val="00186182"/>
    <w:rsid w:val="00190C82"/>
    <w:rsid w:val="0019214A"/>
    <w:rsid w:val="001933D7"/>
    <w:rsid w:val="00194A66"/>
    <w:rsid w:val="001A5288"/>
    <w:rsid w:val="001B2424"/>
    <w:rsid w:val="001B2EE2"/>
    <w:rsid w:val="001B74D4"/>
    <w:rsid w:val="001C1346"/>
    <w:rsid w:val="001C29B4"/>
    <w:rsid w:val="001C4926"/>
    <w:rsid w:val="001C71E0"/>
    <w:rsid w:val="001D0436"/>
    <w:rsid w:val="001D37A4"/>
    <w:rsid w:val="001D41E6"/>
    <w:rsid w:val="001D4CD4"/>
    <w:rsid w:val="001D6BCF"/>
    <w:rsid w:val="001E01CA"/>
    <w:rsid w:val="00204103"/>
    <w:rsid w:val="00207E47"/>
    <w:rsid w:val="002173DF"/>
    <w:rsid w:val="00220A10"/>
    <w:rsid w:val="002436B5"/>
    <w:rsid w:val="00246786"/>
    <w:rsid w:val="00255479"/>
    <w:rsid w:val="00255E80"/>
    <w:rsid w:val="00262C95"/>
    <w:rsid w:val="00263706"/>
    <w:rsid w:val="002755D1"/>
    <w:rsid w:val="00275CF5"/>
    <w:rsid w:val="00276774"/>
    <w:rsid w:val="00276A71"/>
    <w:rsid w:val="0028301F"/>
    <w:rsid w:val="00284D50"/>
    <w:rsid w:val="00285017"/>
    <w:rsid w:val="00286347"/>
    <w:rsid w:val="00291D68"/>
    <w:rsid w:val="002A2D2E"/>
    <w:rsid w:val="002B1765"/>
    <w:rsid w:val="002B5AA5"/>
    <w:rsid w:val="002C00E8"/>
    <w:rsid w:val="002C08E4"/>
    <w:rsid w:val="002C14B4"/>
    <w:rsid w:val="002C1AC5"/>
    <w:rsid w:val="002C1DDB"/>
    <w:rsid w:val="002D6E3C"/>
    <w:rsid w:val="002E1346"/>
    <w:rsid w:val="002E46B8"/>
    <w:rsid w:val="002E4E09"/>
    <w:rsid w:val="002F0A22"/>
    <w:rsid w:val="002F7012"/>
    <w:rsid w:val="003010FA"/>
    <w:rsid w:val="003027C5"/>
    <w:rsid w:val="00302835"/>
    <w:rsid w:val="00302AC4"/>
    <w:rsid w:val="00302C38"/>
    <w:rsid w:val="00312B11"/>
    <w:rsid w:val="00327FAD"/>
    <w:rsid w:val="003329C5"/>
    <w:rsid w:val="00340066"/>
    <w:rsid w:val="00343749"/>
    <w:rsid w:val="00344C16"/>
    <w:rsid w:val="003533DC"/>
    <w:rsid w:val="003536CA"/>
    <w:rsid w:val="003660ED"/>
    <w:rsid w:val="00375E8E"/>
    <w:rsid w:val="003909A2"/>
    <w:rsid w:val="00394828"/>
    <w:rsid w:val="003A17B9"/>
    <w:rsid w:val="003A2088"/>
    <w:rsid w:val="003A48B2"/>
    <w:rsid w:val="003B0550"/>
    <w:rsid w:val="003B4047"/>
    <w:rsid w:val="003B59AC"/>
    <w:rsid w:val="003B694F"/>
    <w:rsid w:val="003C4A20"/>
    <w:rsid w:val="003C4BCC"/>
    <w:rsid w:val="003D7A7D"/>
    <w:rsid w:val="003E268B"/>
    <w:rsid w:val="003F171C"/>
    <w:rsid w:val="003F5CF7"/>
    <w:rsid w:val="00412FC5"/>
    <w:rsid w:val="00422276"/>
    <w:rsid w:val="004242F1"/>
    <w:rsid w:val="00426D94"/>
    <w:rsid w:val="004305E9"/>
    <w:rsid w:val="00440A39"/>
    <w:rsid w:val="0044203A"/>
    <w:rsid w:val="00445A00"/>
    <w:rsid w:val="00451B0F"/>
    <w:rsid w:val="00453A9E"/>
    <w:rsid w:val="00461AC5"/>
    <w:rsid w:val="004620CB"/>
    <w:rsid w:val="004676BE"/>
    <w:rsid w:val="00473543"/>
    <w:rsid w:val="00474905"/>
    <w:rsid w:val="00485C9F"/>
    <w:rsid w:val="00486AAF"/>
    <w:rsid w:val="00487DA4"/>
    <w:rsid w:val="004919B9"/>
    <w:rsid w:val="00496812"/>
    <w:rsid w:val="004A5FBA"/>
    <w:rsid w:val="004A7F18"/>
    <w:rsid w:val="004C10C0"/>
    <w:rsid w:val="004C2B6B"/>
    <w:rsid w:val="004C2EE3"/>
    <w:rsid w:val="004C303F"/>
    <w:rsid w:val="004E4A22"/>
    <w:rsid w:val="004E4F32"/>
    <w:rsid w:val="004E5ED4"/>
    <w:rsid w:val="004F44BB"/>
    <w:rsid w:val="0050112D"/>
    <w:rsid w:val="00511968"/>
    <w:rsid w:val="0051761D"/>
    <w:rsid w:val="0052112B"/>
    <w:rsid w:val="005219BC"/>
    <w:rsid w:val="0055035F"/>
    <w:rsid w:val="00552E46"/>
    <w:rsid w:val="00554498"/>
    <w:rsid w:val="00555C8A"/>
    <w:rsid w:val="0055614C"/>
    <w:rsid w:val="00560DA5"/>
    <w:rsid w:val="00562DFF"/>
    <w:rsid w:val="00565042"/>
    <w:rsid w:val="00566E9B"/>
    <w:rsid w:val="005675C2"/>
    <w:rsid w:val="00572F28"/>
    <w:rsid w:val="00582BA0"/>
    <w:rsid w:val="00583A1A"/>
    <w:rsid w:val="005902EF"/>
    <w:rsid w:val="00593EAD"/>
    <w:rsid w:val="00597F7D"/>
    <w:rsid w:val="005A571A"/>
    <w:rsid w:val="005A5F36"/>
    <w:rsid w:val="005A5FC7"/>
    <w:rsid w:val="005B4F0E"/>
    <w:rsid w:val="005D2C62"/>
    <w:rsid w:val="005D5341"/>
    <w:rsid w:val="005E10F1"/>
    <w:rsid w:val="005E14C2"/>
    <w:rsid w:val="005E36D5"/>
    <w:rsid w:val="005E6193"/>
    <w:rsid w:val="005F5583"/>
    <w:rsid w:val="00605F22"/>
    <w:rsid w:val="0060622A"/>
    <w:rsid w:val="00607BA5"/>
    <w:rsid w:val="00610208"/>
    <w:rsid w:val="0061180A"/>
    <w:rsid w:val="00612214"/>
    <w:rsid w:val="00623967"/>
    <w:rsid w:val="00626EB6"/>
    <w:rsid w:val="006459B1"/>
    <w:rsid w:val="00646C36"/>
    <w:rsid w:val="0064767E"/>
    <w:rsid w:val="0065074D"/>
    <w:rsid w:val="00652649"/>
    <w:rsid w:val="0065270B"/>
    <w:rsid w:val="006534CA"/>
    <w:rsid w:val="00655D03"/>
    <w:rsid w:val="00665547"/>
    <w:rsid w:val="00683388"/>
    <w:rsid w:val="00683B2D"/>
    <w:rsid w:val="00683F1F"/>
    <w:rsid w:val="00683F84"/>
    <w:rsid w:val="006918C5"/>
    <w:rsid w:val="0069341E"/>
    <w:rsid w:val="006A0CCD"/>
    <w:rsid w:val="006A16B3"/>
    <w:rsid w:val="006A551D"/>
    <w:rsid w:val="006A6A81"/>
    <w:rsid w:val="006B3C40"/>
    <w:rsid w:val="006C1C2C"/>
    <w:rsid w:val="006C3459"/>
    <w:rsid w:val="006C5C0B"/>
    <w:rsid w:val="006D133D"/>
    <w:rsid w:val="006D6A25"/>
    <w:rsid w:val="006E207C"/>
    <w:rsid w:val="006E4E12"/>
    <w:rsid w:val="006F3758"/>
    <w:rsid w:val="006F7147"/>
    <w:rsid w:val="006F7393"/>
    <w:rsid w:val="0070112A"/>
    <w:rsid w:val="0070224F"/>
    <w:rsid w:val="00703BD1"/>
    <w:rsid w:val="00710CC1"/>
    <w:rsid w:val="007115F7"/>
    <w:rsid w:val="00712B39"/>
    <w:rsid w:val="00712FE9"/>
    <w:rsid w:val="00716D5D"/>
    <w:rsid w:val="00723B38"/>
    <w:rsid w:val="00727342"/>
    <w:rsid w:val="00742ACB"/>
    <w:rsid w:val="0075000B"/>
    <w:rsid w:val="007563C6"/>
    <w:rsid w:val="00757216"/>
    <w:rsid w:val="00770B53"/>
    <w:rsid w:val="0077779F"/>
    <w:rsid w:val="0078084A"/>
    <w:rsid w:val="00782F47"/>
    <w:rsid w:val="00785689"/>
    <w:rsid w:val="0078789C"/>
    <w:rsid w:val="0079754B"/>
    <w:rsid w:val="007A1E6D"/>
    <w:rsid w:val="007A541A"/>
    <w:rsid w:val="007B0D37"/>
    <w:rsid w:val="007B0E95"/>
    <w:rsid w:val="007B0EB2"/>
    <w:rsid w:val="007B469A"/>
    <w:rsid w:val="007B5620"/>
    <w:rsid w:val="007C0B2B"/>
    <w:rsid w:val="007C0B39"/>
    <w:rsid w:val="007C4242"/>
    <w:rsid w:val="007C473D"/>
    <w:rsid w:val="007D19A5"/>
    <w:rsid w:val="007D2615"/>
    <w:rsid w:val="007D7BED"/>
    <w:rsid w:val="007E2EBD"/>
    <w:rsid w:val="007F2132"/>
    <w:rsid w:val="007F766D"/>
    <w:rsid w:val="00805BF5"/>
    <w:rsid w:val="00806024"/>
    <w:rsid w:val="008062B4"/>
    <w:rsid w:val="0080718C"/>
    <w:rsid w:val="00810B6F"/>
    <w:rsid w:val="008155A1"/>
    <w:rsid w:val="00822CE0"/>
    <w:rsid w:val="008257A7"/>
    <w:rsid w:val="00830A41"/>
    <w:rsid w:val="00832DE8"/>
    <w:rsid w:val="008335CC"/>
    <w:rsid w:val="0083587E"/>
    <w:rsid w:val="00841AB1"/>
    <w:rsid w:val="00842EF2"/>
    <w:rsid w:val="00843A5F"/>
    <w:rsid w:val="00852593"/>
    <w:rsid w:val="00883524"/>
    <w:rsid w:val="008A1C76"/>
    <w:rsid w:val="008A2AD9"/>
    <w:rsid w:val="008A3BFE"/>
    <w:rsid w:val="008A7975"/>
    <w:rsid w:val="008A7AD7"/>
    <w:rsid w:val="008B501D"/>
    <w:rsid w:val="008B628C"/>
    <w:rsid w:val="008C68F1"/>
    <w:rsid w:val="008D26BD"/>
    <w:rsid w:val="008D3C3F"/>
    <w:rsid w:val="008D6611"/>
    <w:rsid w:val="008D79FA"/>
    <w:rsid w:val="008E3790"/>
    <w:rsid w:val="008E4EBF"/>
    <w:rsid w:val="008E5A04"/>
    <w:rsid w:val="008F2DBF"/>
    <w:rsid w:val="008F542B"/>
    <w:rsid w:val="00901E3F"/>
    <w:rsid w:val="009068C2"/>
    <w:rsid w:val="00913231"/>
    <w:rsid w:val="009150AB"/>
    <w:rsid w:val="009207F2"/>
    <w:rsid w:val="00921803"/>
    <w:rsid w:val="00926503"/>
    <w:rsid w:val="00926FC4"/>
    <w:rsid w:val="009279FD"/>
    <w:rsid w:val="00927B1B"/>
    <w:rsid w:val="0093006C"/>
    <w:rsid w:val="009341CC"/>
    <w:rsid w:val="00936B23"/>
    <w:rsid w:val="009476B1"/>
    <w:rsid w:val="00953B45"/>
    <w:rsid w:val="0096758E"/>
    <w:rsid w:val="00971733"/>
    <w:rsid w:val="009726D8"/>
    <w:rsid w:val="00980648"/>
    <w:rsid w:val="00982541"/>
    <w:rsid w:val="009850EA"/>
    <w:rsid w:val="00993743"/>
    <w:rsid w:val="009A17A5"/>
    <w:rsid w:val="009B31C8"/>
    <w:rsid w:val="009B55BA"/>
    <w:rsid w:val="009C46DE"/>
    <w:rsid w:val="009C6343"/>
    <w:rsid w:val="009D0A62"/>
    <w:rsid w:val="009D193D"/>
    <w:rsid w:val="009D7FB5"/>
    <w:rsid w:val="009E1DE8"/>
    <w:rsid w:val="009E2673"/>
    <w:rsid w:val="009E51C5"/>
    <w:rsid w:val="009E7676"/>
    <w:rsid w:val="009F76DB"/>
    <w:rsid w:val="00A02DB4"/>
    <w:rsid w:val="00A13790"/>
    <w:rsid w:val="00A13EEC"/>
    <w:rsid w:val="00A17DF1"/>
    <w:rsid w:val="00A32C3B"/>
    <w:rsid w:val="00A34BAD"/>
    <w:rsid w:val="00A35ED1"/>
    <w:rsid w:val="00A44EB5"/>
    <w:rsid w:val="00A45B71"/>
    <w:rsid w:val="00A45F4F"/>
    <w:rsid w:val="00A475EF"/>
    <w:rsid w:val="00A51F7B"/>
    <w:rsid w:val="00A547F8"/>
    <w:rsid w:val="00A5613E"/>
    <w:rsid w:val="00A600A9"/>
    <w:rsid w:val="00A66B78"/>
    <w:rsid w:val="00A8149F"/>
    <w:rsid w:val="00A87DA5"/>
    <w:rsid w:val="00AA1A67"/>
    <w:rsid w:val="00AA55B7"/>
    <w:rsid w:val="00AA5B9E"/>
    <w:rsid w:val="00AB2407"/>
    <w:rsid w:val="00AB43B3"/>
    <w:rsid w:val="00AB53DF"/>
    <w:rsid w:val="00AB6ADC"/>
    <w:rsid w:val="00AC67DE"/>
    <w:rsid w:val="00AC6F1C"/>
    <w:rsid w:val="00AC7DEE"/>
    <w:rsid w:val="00AD0401"/>
    <w:rsid w:val="00AD552D"/>
    <w:rsid w:val="00AD6D76"/>
    <w:rsid w:val="00AE01C2"/>
    <w:rsid w:val="00AE0EED"/>
    <w:rsid w:val="00AE24D5"/>
    <w:rsid w:val="00AE2F16"/>
    <w:rsid w:val="00B0044E"/>
    <w:rsid w:val="00B023FF"/>
    <w:rsid w:val="00B067FE"/>
    <w:rsid w:val="00B07974"/>
    <w:rsid w:val="00B07E5C"/>
    <w:rsid w:val="00B116C9"/>
    <w:rsid w:val="00B1444F"/>
    <w:rsid w:val="00B213CA"/>
    <w:rsid w:val="00B25CDB"/>
    <w:rsid w:val="00B2646D"/>
    <w:rsid w:val="00B26748"/>
    <w:rsid w:val="00B43FC1"/>
    <w:rsid w:val="00B4634E"/>
    <w:rsid w:val="00B51B28"/>
    <w:rsid w:val="00B56C0A"/>
    <w:rsid w:val="00B709FD"/>
    <w:rsid w:val="00B7146B"/>
    <w:rsid w:val="00B73A30"/>
    <w:rsid w:val="00B76F47"/>
    <w:rsid w:val="00B810D1"/>
    <w:rsid w:val="00B811F7"/>
    <w:rsid w:val="00B8387C"/>
    <w:rsid w:val="00B905A7"/>
    <w:rsid w:val="00B94251"/>
    <w:rsid w:val="00BA5DC6"/>
    <w:rsid w:val="00BA6196"/>
    <w:rsid w:val="00BB440F"/>
    <w:rsid w:val="00BC0134"/>
    <w:rsid w:val="00BC67CB"/>
    <w:rsid w:val="00BC6D8C"/>
    <w:rsid w:val="00BC7821"/>
    <w:rsid w:val="00BD08D2"/>
    <w:rsid w:val="00BD4EBC"/>
    <w:rsid w:val="00BD5BEC"/>
    <w:rsid w:val="00BD779B"/>
    <w:rsid w:val="00BE103C"/>
    <w:rsid w:val="00BE2F62"/>
    <w:rsid w:val="00BE7E75"/>
    <w:rsid w:val="00BF5002"/>
    <w:rsid w:val="00BF684A"/>
    <w:rsid w:val="00C014DA"/>
    <w:rsid w:val="00C01E1F"/>
    <w:rsid w:val="00C04651"/>
    <w:rsid w:val="00C0631B"/>
    <w:rsid w:val="00C11CEF"/>
    <w:rsid w:val="00C236AC"/>
    <w:rsid w:val="00C277CC"/>
    <w:rsid w:val="00C27BF9"/>
    <w:rsid w:val="00C34006"/>
    <w:rsid w:val="00C353B8"/>
    <w:rsid w:val="00C35FF9"/>
    <w:rsid w:val="00C3652C"/>
    <w:rsid w:val="00C426B1"/>
    <w:rsid w:val="00C430B2"/>
    <w:rsid w:val="00C43E4A"/>
    <w:rsid w:val="00C507FF"/>
    <w:rsid w:val="00C566EC"/>
    <w:rsid w:val="00C5691C"/>
    <w:rsid w:val="00C575BD"/>
    <w:rsid w:val="00C6383F"/>
    <w:rsid w:val="00C66160"/>
    <w:rsid w:val="00C7140C"/>
    <w:rsid w:val="00C721AC"/>
    <w:rsid w:val="00C841D5"/>
    <w:rsid w:val="00C907ED"/>
    <w:rsid w:val="00C90D6A"/>
    <w:rsid w:val="00C923A9"/>
    <w:rsid w:val="00CA247E"/>
    <w:rsid w:val="00CB0D02"/>
    <w:rsid w:val="00CB3D76"/>
    <w:rsid w:val="00CC72B6"/>
    <w:rsid w:val="00CD3870"/>
    <w:rsid w:val="00CD596C"/>
    <w:rsid w:val="00CE68FE"/>
    <w:rsid w:val="00CE79A0"/>
    <w:rsid w:val="00CE7D37"/>
    <w:rsid w:val="00CF1B2D"/>
    <w:rsid w:val="00D0218D"/>
    <w:rsid w:val="00D07A93"/>
    <w:rsid w:val="00D2319D"/>
    <w:rsid w:val="00D24CB0"/>
    <w:rsid w:val="00D25FB5"/>
    <w:rsid w:val="00D341FE"/>
    <w:rsid w:val="00D37120"/>
    <w:rsid w:val="00D44223"/>
    <w:rsid w:val="00D4452F"/>
    <w:rsid w:val="00D45A54"/>
    <w:rsid w:val="00D503BA"/>
    <w:rsid w:val="00D51949"/>
    <w:rsid w:val="00D560CD"/>
    <w:rsid w:val="00D56A4B"/>
    <w:rsid w:val="00D573EC"/>
    <w:rsid w:val="00D612FE"/>
    <w:rsid w:val="00D627A6"/>
    <w:rsid w:val="00D65117"/>
    <w:rsid w:val="00D66953"/>
    <w:rsid w:val="00D80103"/>
    <w:rsid w:val="00D80B1F"/>
    <w:rsid w:val="00D83696"/>
    <w:rsid w:val="00D84F78"/>
    <w:rsid w:val="00D9021A"/>
    <w:rsid w:val="00D9106D"/>
    <w:rsid w:val="00D93281"/>
    <w:rsid w:val="00D966F2"/>
    <w:rsid w:val="00DA1426"/>
    <w:rsid w:val="00DA176A"/>
    <w:rsid w:val="00DA2529"/>
    <w:rsid w:val="00DA7A50"/>
    <w:rsid w:val="00DB0955"/>
    <w:rsid w:val="00DB0C03"/>
    <w:rsid w:val="00DB130A"/>
    <w:rsid w:val="00DB178E"/>
    <w:rsid w:val="00DB2EBB"/>
    <w:rsid w:val="00DC10A1"/>
    <w:rsid w:val="00DC2111"/>
    <w:rsid w:val="00DC655F"/>
    <w:rsid w:val="00DD0B59"/>
    <w:rsid w:val="00DD1F61"/>
    <w:rsid w:val="00DD4456"/>
    <w:rsid w:val="00DD7EBD"/>
    <w:rsid w:val="00DF2595"/>
    <w:rsid w:val="00DF2769"/>
    <w:rsid w:val="00DF62B6"/>
    <w:rsid w:val="00DF747E"/>
    <w:rsid w:val="00E0195B"/>
    <w:rsid w:val="00E01E06"/>
    <w:rsid w:val="00E02214"/>
    <w:rsid w:val="00E02D1D"/>
    <w:rsid w:val="00E03587"/>
    <w:rsid w:val="00E067E9"/>
    <w:rsid w:val="00E07225"/>
    <w:rsid w:val="00E1090A"/>
    <w:rsid w:val="00E1401A"/>
    <w:rsid w:val="00E22653"/>
    <w:rsid w:val="00E24E9F"/>
    <w:rsid w:val="00E3009C"/>
    <w:rsid w:val="00E32B72"/>
    <w:rsid w:val="00E33BCF"/>
    <w:rsid w:val="00E3593E"/>
    <w:rsid w:val="00E40F40"/>
    <w:rsid w:val="00E43C74"/>
    <w:rsid w:val="00E4501C"/>
    <w:rsid w:val="00E46600"/>
    <w:rsid w:val="00E5409F"/>
    <w:rsid w:val="00E55D00"/>
    <w:rsid w:val="00E5745E"/>
    <w:rsid w:val="00E57CCF"/>
    <w:rsid w:val="00E66F37"/>
    <w:rsid w:val="00E8027E"/>
    <w:rsid w:val="00E82B3B"/>
    <w:rsid w:val="00E861B3"/>
    <w:rsid w:val="00E8630A"/>
    <w:rsid w:val="00E87A34"/>
    <w:rsid w:val="00E92743"/>
    <w:rsid w:val="00E96CB1"/>
    <w:rsid w:val="00EA12C6"/>
    <w:rsid w:val="00EB20A8"/>
    <w:rsid w:val="00ED102B"/>
    <w:rsid w:val="00ED419F"/>
    <w:rsid w:val="00EE1291"/>
    <w:rsid w:val="00EE5964"/>
    <w:rsid w:val="00EE6488"/>
    <w:rsid w:val="00EF1B1B"/>
    <w:rsid w:val="00EF30D3"/>
    <w:rsid w:val="00EF5FE2"/>
    <w:rsid w:val="00F021FA"/>
    <w:rsid w:val="00F02B8E"/>
    <w:rsid w:val="00F071DB"/>
    <w:rsid w:val="00F14180"/>
    <w:rsid w:val="00F14CA6"/>
    <w:rsid w:val="00F16CFE"/>
    <w:rsid w:val="00F21F87"/>
    <w:rsid w:val="00F22FBF"/>
    <w:rsid w:val="00F23B6A"/>
    <w:rsid w:val="00F23D03"/>
    <w:rsid w:val="00F26C20"/>
    <w:rsid w:val="00F32845"/>
    <w:rsid w:val="00F364D3"/>
    <w:rsid w:val="00F56A65"/>
    <w:rsid w:val="00F60217"/>
    <w:rsid w:val="00F629DB"/>
    <w:rsid w:val="00F62E97"/>
    <w:rsid w:val="00F64209"/>
    <w:rsid w:val="00F660CB"/>
    <w:rsid w:val="00F7063C"/>
    <w:rsid w:val="00F764C3"/>
    <w:rsid w:val="00F8143D"/>
    <w:rsid w:val="00F82AC0"/>
    <w:rsid w:val="00F8503B"/>
    <w:rsid w:val="00F8748A"/>
    <w:rsid w:val="00F93BF5"/>
    <w:rsid w:val="00FA1410"/>
    <w:rsid w:val="00FA47A0"/>
    <w:rsid w:val="00FA5B59"/>
    <w:rsid w:val="00FB3458"/>
    <w:rsid w:val="00FB39CB"/>
    <w:rsid w:val="00FB4615"/>
    <w:rsid w:val="00FC3C1A"/>
    <w:rsid w:val="00FD0E89"/>
    <w:rsid w:val="00FD0F9C"/>
    <w:rsid w:val="00FD47F6"/>
    <w:rsid w:val="00FE482A"/>
    <w:rsid w:val="00FE5B2B"/>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44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80"/>
    <w:pPr>
      <w:widowControl w:val="0"/>
    </w:pPr>
    <w:rPr>
      <w:snapToGrid w:val="0"/>
      <w:kern w:val="28"/>
      <w:sz w:val="22"/>
    </w:rPr>
  </w:style>
  <w:style w:type="paragraph" w:styleId="Heading1">
    <w:name w:val="heading 1"/>
    <w:basedOn w:val="Normal"/>
    <w:next w:val="ParaNum"/>
    <w:link w:val="Heading1Char"/>
    <w:qFormat/>
    <w:rsid w:val="00255E8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55E80"/>
    <w:pPr>
      <w:keepNext/>
      <w:numPr>
        <w:ilvl w:val="1"/>
        <w:numId w:val="2"/>
      </w:numPr>
      <w:spacing w:after="120"/>
      <w:outlineLvl w:val="1"/>
    </w:pPr>
    <w:rPr>
      <w:b/>
    </w:rPr>
  </w:style>
  <w:style w:type="paragraph" w:styleId="Heading3">
    <w:name w:val="heading 3"/>
    <w:basedOn w:val="Normal"/>
    <w:next w:val="ParaNum"/>
    <w:qFormat/>
    <w:rsid w:val="00255E80"/>
    <w:pPr>
      <w:keepNext/>
      <w:numPr>
        <w:ilvl w:val="2"/>
        <w:numId w:val="2"/>
      </w:numPr>
      <w:tabs>
        <w:tab w:val="left" w:pos="2160"/>
      </w:tabs>
      <w:spacing w:after="120"/>
      <w:outlineLvl w:val="2"/>
    </w:pPr>
    <w:rPr>
      <w:b/>
    </w:rPr>
  </w:style>
  <w:style w:type="paragraph" w:styleId="Heading4">
    <w:name w:val="heading 4"/>
    <w:basedOn w:val="Normal"/>
    <w:next w:val="ParaNum"/>
    <w:qFormat/>
    <w:rsid w:val="00255E80"/>
    <w:pPr>
      <w:keepNext/>
      <w:numPr>
        <w:ilvl w:val="3"/>
        <w:numId w:val="2"/>
      </w:numPr>
      <w:tabs>
        <w:tab w:val="left" w:pos="2880"/>
      </w:tabs>
      <w:spacing w:after="120"/>
      <w:outlineLvl w:val="3"/>
    </w:pPr>
    <w:rPr>
      <w:b/>
    </w:rPr>
  </w:style>
  <w:style w:type="paragraph" w:styleId="Heading5">
    <w:name w:val="heading 5"/>
    <w:basedOn w:val="Normal"/>
    <w:next w:val="ParaNum"/>
    <w:qFormat/>
    <w:rsid w:val="00255E80"/>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255E80"/>
    <w:pPr>
      <w:numPr>
        <w:ilvl w:val="5"/>
        <w:numId w:val="2"/>
      </w:numPr>
      <w:tabs>
        <w:tab w:val="left" w:pos="4320"/>
      </w:tabs>
      <w:spacing w:after="120"/>
      <w:outlineLvl w:val="5"/>
    </w:pPr>
    <w:rPr>
      <w:b/>
    </w:rPr>
  </w:style>
  <w:style w:type="paragraph" w:styleId="Heading7">
    <w:name w:val="heading 7"/>
    <w:basedOn w:val="Normal"/>
    <w:next w:val="ParaNum"/>
    <w:qFormat/>
    <w:rsid w:val="00255E80"/>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255E8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255E8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55E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5E80"/>
  </w:style>
  <w:style w:type="paragraph" w:customStyle="1" w:styleId="ParaNum">
    <w:name w:val="ParaNum"/>
    <w:basedOn w:val="Normal"/>
    <w:link w:val="ParaNumChar"/>
    <w:rsid w:val="00255E80"/>
    <w:pPr>
      <w:numPr>
        <w:numId w:val="1"/>
      </w:numPr>
      <w:tabs>
        <w:tab w:val="clear" w:pos="1080"/>
        <w:tab w:val="num" w:pos="1440"/>
      </w:tabs>
      <w:spacing w:after="120"/>
    </w:pPr>
  </w:style>
  <w:style w:type="paragraph" w:styleId="EndnoteText">
    <w:name w:val="endnote text"/>
    <w:basedOn w:val="Normal"/>
    <w:semiHidden/>
    <w:rsid w:val="00255E80"/>
    <w:rPr>
      <w:sz w:val="20"/>
    </w:rPr>
  </w:style>
  <w:style w:type="character" w:styleId="EndnoteReference">
    <w:name w:val="endnote reference"/>
    <w:semiHidden/>
    <w:rsid w:val="00255E80"/>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255E80"/>
    <w:pPr>
      <w:spacing w:after="120"/>
    </w:pPr>
  </w:style>
  <w:style w:type="character" w:styleId="FootnoteReference">
    <w:name w:val="footnote reference"/>
    <w:aliases w:val="Style 4,Style 12,(NECG) Footnote Reference,Appel note de bas de p,Style 124,Style 13,o,fr,Style 3,FR,Style 17,Footnote Reference/,Style 6,Footnote Reference1"/>
    <w:rsid w:val="00255E80"/>
    <w:rPr>
      <w:rFonts w:ascii="Times New Roman" w:hAnsi="Times New Roman"/>
      <w:dstrike w:val="0"/>
      <w:color w:val="auto"/>
      <w:sz w:val="20"/>
      <w:vertAlign w:val="superscript"/>
    </w:rPr>
  </w:style>
  <w:style w:type="paragraph" w:styleId="TOC1">
    <w:name w:val="toc 1"/>
    <w:basedOn w:val="Normal"/>
    <w:next w:val="Normal"/>
    <w:semiHidden/>
    <w:rsid w:val="00255E8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55E80"/>
    <w:pPr>
      <w:tabs>
        <w:tab w:val="left" w:pos="720"/>
        <w:tab w:val="right" w:leader="dot" w:pos="9360"/>
      </w:tabs>
      <w:suppressAutoHyphens/>
      <w:ind w:left="720" w:right="720" w:hanging="360"/>
    </w:pPr>
    <w:rPr>
      <w:noProof/>
    </w:rPr>
  </w:style>
  <w:style w:type="paragraph" w:styleId="TOC3">
    <w:name w:val="toc 3"/>
    <w:basedOn w:val="Normal"/>
    <w:next w:val="Normal"/>
    <w:semiHidden/>
    <w:rsid w:val="00255E8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55E8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55E8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55E8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55E8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55E8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55E8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55E80"/>
    <w:pPr>
      <w:tabs>
        <w:tab w:val="right" w:pos="9360"/>
      </w:tabs>
      <w:suppressAutoHyphens/>
    </w:pPr>
  </w:style>
  <w:style w:type="character" w:customStyle="1" w:styleId="EquationCaption">
    <w:name w:val="_Equation Caption"/>
    <w:rsid w:val="00255E80"/>
  </w:style>
  <w:style w:type="paragraph" w:styleId="Header">
    <w:name w:val="header"/>
    <w:basedOn w:val="Normal"/>
    <w:link w:val="HeaderChar"/>
    <w:autoRedefine/>
    <w:rsid w:val="00255E80"/>
    <w:pPr>
      <w:tabs>
        <w:tab w:val="center" w:pos="4680"/>
        <w:tab w:val="right" w:pos="9360"/>
      </w:tabs>
    </w:pPr>
    <w:rPr>
      <w:b/>
    </w:rPr>
  </w:style>
  <w:style w:type="paragraph" w:styleId="Footer">
    <w:name w:val="footer"/>
    <w:basedOn w:val="Normal"/>
    <w:link w:val="FooterChar"/>
    <w:rsid w:val="00255E80"/>
    <w:pPr>
      <w:tabs>
        <w:tab w:val="center" w:pos="4320"/>
        <w:tab w:val="right" w:pos="8640"/>
      </w:tabs>
    </w:pPr>
  </w:style>
  <w:style w:type="character" w:styleId="PageNumber">
    <w:name w:val="page number"/>
    <w:basedOn w:val="DefaultParagraphFont"/>
    <w:rsid w:val="00255E80"/>
  </w:style>
  <w:style w:type="paragraph" w:styleId="BlockText">
    <w:name w:val="Block Text"/>
    <w:basedOn w:val="Normal"/>
    <w:rsid w:val="00255E80"/>
    <w:pPr>
      <w:spacing w:after="240"/>
      <w:ind w:left="1440" w:right="1440"/>
    </w:pPr>
  </w:style>
  <w:style w:type="paragraph" w:customStyle="1" w:styleId="Paratitle">
    <w:name w:val="Para title"/>
    <w:basedOn w:val="Normal"/>
    <w:rsid w:val="00255E80"/>
    <w:pPr>
      <w:tabs>
        <w:tab w:val="center" w:pos="9270"/>
      </w:tabs>
      <w:spacing w:after="240"/>
    </w:pPr>
    <w:rPr>
      <w:spacing w:val="-2"/>
    </w:rPr>
  </w:style>
  <w:style w:type="paragraph" w:customStyle="1" w:styleId="Bullet">
    <w:name w:val="Bullet"/>
    <w:basedOn w:val="Normal"/>
    <w:rsid w:val="00255E80"/>
    <w:pPr>
      <w:tabs>
        <w:tab w:val="left" w:pos="2160"/>
      </w:tabs>
      <w:spacing w:after="220"/>
      <w:ind w:left="2160" w:hanging="720"/>
    </w:pPr>
  </w:style>
  <w:style w:type="paragraph" w:customStyle="1" w:styleId="TableFormat">
    <w:name w:val="TableFormat"/>
    <w:basedOn w:val="Bullet"/>
    <w:rsid w:val="00255E80"/>
    <w:pPr>
      <w:tabs>
        <w:tab w:val="clear" w:pos="2160"/>
        <w:tab w:val="left" w:pos="5040"/>
      </w:tabs>
      <w:ind w:left="5040" w:hanging="3600"/>
    </w:pPr>
  </w:style>
  <w:style w:type="paragraph" w:customStyle="1" w:styleId="TOCTitle">
    <w:name w:val="TOC Title"/>
    <w:basedOn w:val="Normal"/>
    <w:rsid w:val="00255E8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55E80"/>
    <w:pPr>
      <w:jc w:val="center"/>
    </w:pPr>
    <w:rPr>
      <w:rFonts w:ascii="Times New Roman Bold" w:hAnsi="Times New Roman Bold"/>
      <w:b/>
      <w:bCs/>
      <w:caps/>
      <w:szCs w:val="22"/>
    </w:rPr>
  </w:style>
  <w:style w:type="character" w:styleId="Hyperlink">
    <w:name w:val="Hyperlink"/>
    <w:rsid w:val="00255E80"/>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80"/>
    <w:pPr>
      <w:widowControl w:val="0"/>
    </w:pPr>
    <w:rPr>
      <w:snapToGrid w:val="0"/>
      <w:kern w:val="28"/>
      <w:sz w:val="22"/>
    </w:rPr>
  </w:style>
  <w:style w:type="paragraph" w:styleId="Heading1">
    <w:name w:val="heading 1"/>
    <w:basedOn w:val="Normal"/>
    <w:next w:val="ParaNum"/>
    <w:link w:val="Heading1Char"/>
    <w:qFormat/>
    <w:rsid w:val="00255E8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55E80"/>
    <w:pPr>
      <w:keepNext/>
      <w:numPr>
        <w:ilvl w:val="1"/>
        <w:numId w:val="2"/>
      </w:numPr>
      <w:spacing w:after="120"/>
      <w:outlineLvl w:val="1"/>
    </w:pPr>
    <w:rPr>
      <w:b/>
    </w:rPr>
  </w:style>
  <w:style w:type="paragraph" w:styleId="Heading3">
    <w:name w:val="heading 3"/>
    <w:basedOn w:val="Normal"/>
    <w:next w:val="ParaNum"/>
    <w:qFormat/>
    <w:rsid w:val="00255E80"/>
    <w:pPr>
      <w:keepNext/>
      <w:numPr>
        <w:ilvl w:val="2"/>
        <w:numId w:val="2"/>
      </w:numPr>
      <w:tabs>
        <w:tab w:val="left" w:pos="2160"/>
      </w:tabs>
      <w:spacing w:after="120"/>
      <w:outlineLvl w:val="2"/>
    </w:pPr>
    <w:rPr>
      <w:b/>
    </w:rPr>
  </w:style>
  <w:style w:type="paragraph" w:styleId="Heading4">
    <w:name w:val="heading 4"/>
    <w:basedOn w:val="Normal"/>
    <w:next w:val="ParaNum"/>
    <w:qFormat/>
    <w:rsid w:val="00255E80"/>
    <w:pPr>
      <w:keepNext/>
      <w:numPr>
        <w:ilvl w:val="3"/>
        <w:numId w:val="2"/>
      </w:numPr>
      <w:tabs>
        <w:tab w:val="left" w:pos="2880"/>
      </w:tabs>
      <w:spacing w:after="120"/>
      <w:outlineLvl w:val="3"/>
    </w:pPr>
    <w:rPr>
      <w:b/>
    </w:rPr>
  </w:style>
  <w:style w:type="paragraph" w:styleId="Heading5">
    <w:name w:val="heading 5"/>
    <w:basedOn w:val="Normal"/>
    <w:next w:val="ParaNum"/>
    <w:qFormat/>
    <w:rsid w:val="00255E80"/>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255E80"/>
    <w:pPr>
      <w:numPr>
        <w:ilvl w:val="5"/>
        <w:numId w:val="2"/>
      </w:numPr>
      <w:tabs>
        <w:tab w:val="left" w:pos="4320"/>
      </w:tabs>
      <w:spacing w:after="120"/>
      <w:outlineLvl w:val="5"/>
    </w:pPr>
    <w:rPr>
      <w:b/>
    </w:rPr>
  </w:style>
  <w:style w:type="paragraph" w:styleId="Heading7">
    <w:name w:val="heading 7"/>
    <w:basedOn w:val="Normal"/>
    <w:next w:val="ParaNum"/>
    <w:qFormat/>
    <w:rsid w:val="00255E80"/>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255E8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255E8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55E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5E80"/>
  </w:style>
  <w:style w:type="paragraph" w:customStyle="1" w:styleId="ParaNum">
    <w:name w:val="ParaNum"/>
    <w:basedOn w:val="Normal"/>
    <w:link w:val="ParaNumChar"/>
    <w:rsid w:val="00255E80"/>
    <w:pPr>
      <w:numPr>
        <w:numId w:val="1"/>
      </w:numPr>
      <w:tabs>
        <w:tab w:val="clear" w:pos="1080"/>
        <w:tab w:val="num" w:pos="1440"/>
      </w:tabs>
      <w:spacing w:after="120"/>
    </w:pPr>
  </w:style>
  <w:style w:type="paragraph" w:styleId="EndnoteText">
    <w:name w:val="endnote text"/>
    <w:basedOn w:val="Normal"/>
    <w:semiHidden/>
    <w:rsid w:val="00255E80"/>
    <w:rPr>
      <w:sz w:val="20"/>
    </w:rPr>
  </w:style>
  <w:style w:type="character" w:styleId="EndnoteReference">
    <w:name w:val="endnote reference"/>
    <w:semiHidden/>
    <w:rsid w:val="00255E80"/>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255E80"/>
    <w:pPr>
      <w:spacing w:after="120"/>
    </w:pPr>
  </w:style>
  <w:style w:type="character" w:styleId="FootnoteReference">
    <w:name w:val="footnote reference"/>
    <w:aliases w:val="Style 4,Style 12,(NECG) Footnote Reference,Appel note de bas de p,Style 124,Style 13,o,fr,Style 3,FR,Style 17,Footnote Reference/,Style 6,Footnote Reference1"/>
    <w:rsid w:val="00255E80"/>
    <w:rPr>
      <w:rFonts w:ascii="Times New Roman" w:hAnsi="Times New Roman"/>
      <w:dstrike w:val="0"/>
      <w:color w:val="auto"/>
      <w:sz w:val="20"/>
      <w:vertAlign w:val="superscript"/>
    </w:rPr>
  </w:style>
  <w:style w:type="paragraph" w:styleId="TOC1">
    <w:name w:val="toc 1"/>
    <w:basedOn w:val="Normal"/>
    <w:next w:val="Normal"/>
    <w:semiHidden/>
    <w:rsid w:val="00255E8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55E80"/>
    <w:pPr>
      <w:tabs>
        <w:tab w:val="left" w:pos="720"/>
        <w:tab w:val="right" w:leader="dot" w:pos="9360"/>
      </w:tabs>
      <w:suppressAutoHyphens/>
      <w:ind w:left="720" w:right="720" w:hanging="360"/>
    </w:pPr>
    <w:rPr>
      <w:noProof/>
    </w:rPr>
  </w:style>
  <w:style w:type="paragraph" w:styleId="TOC3">
    <w:name w:val="toc 3"/>
    <w:basedOn w:val="Normal"/>
    <w:next w:val="Normal"/>
    <w:semiHidden/>
    <w:rsid w:val="00255E8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55E8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55E8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55E8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55E8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55E8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55E8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55E80"/>
    <w:pPr>
      <w:tabs>
        <w:tab w:val="right" w:pos="9360"/>
      </w:tabs>
      <w:suppressAutoHyphens/>
    </w:pPr>
  </w:style>
  <w:style w:type="character" w:customStyle="1" w:styleId="EquationCaption">
    <w:name w:val="_Equation Caption"/>
    <w:rsid w:val="00255E80"/>
  </w:style>
  <w:style w:type="paragraph" w:styleId="Header">
    <w:name w:val="header"/>
    <w:basedOn w:val="Normal"/>
    <w:link w:val="HeaderChar"/>
    <w:autoRedefine/>
    <w:rsid w:val="00255E80"/>
    <w:pPr>
      <w:tabs>
        <w:tab w:val="center" w:pos="4680"/>
        <w:tab w:val="right" w:pos="9360"/>
      </w:tabs>
    </w:pPr>
    <w:rPr>
      <w:b/>
    </w:rPr>
  </w:style>
  <w:style w:type="paragraph" w:styleId="Footer">
    <w:name w:val="footer"/>
    <w:basedOn w:val="Normal"/>
    <w:link w:val="FooterChar"/>
    <w:rsid w:val="00255E80"/>
    <w:pPr>
      <w:tabs>
        <w:tab w:val="center" w:pos="4320"/>
        <w:tab w:val="right" w:pos="8640"/>
      </w:tabs>
    </w:pPr>
  </w:style>
  <w:style w:type="character" w:styleId="PageNumber">
    <w:name w:val="page number"/>
    <w:basedOn w:val="DefaultParagraphFont"/>
    <w:rsid w:val="00255E80"/>
  </w:style>
  <w:style w:type="paragraph" w:styleId="BlockText">
    <w:name w:val="Block Text"/>
    <w:basedOn w:val="Normal"/>
    <w:rsid w:val="00255E80"/>
    <w:pPr>
      <w:spacing w:after="240"/>
      <w:ind w:left="1440" w:right="1440"/>
    </w:pPr>
  </w:style>
  <w:style w:type="paragraph" w:customStyle="1" w:styleId="Paratitle">
    <w:name w:val="Para title"/>
    <w:basedOn w:val="Normal"/>
    <w:rsid w:val="00255E80"/>
    <w:pPr>
      <w:tabs>
        <w:tab w:val="center" w:pos="9270"/>
      </w:tabs>
      <w:spacing w:after="240"/>
    </w:pPr>
    <w:rPr>
      <w:spacing w:val="-2"/>
    </w:rPr>
  </w:style>
  <w:style w:type="paragraph" w:customStyle="1" w:styleId="Bullet">
    <w:name w:val="Bullet"/>
    <w:basedOn w:val="Normal"/>
    <w:rsid w:val="00255E80"/>
    <w:pPr>
      <w:tabs>
        <w:tab w:val="left" w:pos="2160"/>
      </w:tabs>
      <w:spacing w:after="220"/>
      <w:ind w:left="2160" w:hanging="720"/>
    </w:pPr>
  </w:style>
  <w:style w:type="paragraph" w:customStyle="1" w:styleId="TableFormat">
    <w:name w:val="TableFormat"/>
    <w:basedOn w:val="Bullet"/>
    <w:rsid w:val="00255E80"/>
    <w:pPr>
      <w:tabs>
        <w:tab w:val="clear" w:pos="2160"/>
        <w:tab w:val="left" w:pos="5040"/>
      </w:tabs>
      <w:ind w:left="5040" w:hanging="3600"/>
    </w:pPr>
  </w:style>
  <w:style w:type="paragraph" w:customStyle="1" w:styleId="TOCTitle">
    <w:name w:val="TOC Title"/>
    <w:basedOn w:val="Normal"/>
    <w:rsid w:val="00255E8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55E80"/>
    <w:pPr>
      <w:jc w:val="center"/>
    </w:pPr>
    <w:rPr>
      <w:rFonts w:ascii="Times New Roman Bold" w:hAnsi="Times New Roman Bold"/>
      <w:b/>
      <w:bCs/>
      <w:caps/>
      <w:szCs w:val="22"/>
    </w:rPr>
  </w:style>
  <w:style w:type="character" w:styleId="Hyperlink">
    <w:name w:val="Hyperlink"/>
    <w:rsid w:val="00255E80"/>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557379">
      <w:bodyDiv w:val="1"/>
      <w:marLeft w:val="0"/>
      <w:marRight w:val="0"/>
      <w:marTop w:val="0"/>
      <w:marBottom w:val="0"/>
      <w:divBdr>
        <w:top w:val="none" w:sz="0" w:space="0" w:color="auto"/>
        <w:left w:val="none" w:sz="0" w:space="0" w:color="auto"/>
        <w:bottom w:val="none" w:sz="0" w:space="0" w:color="auto"/>
        <w:right w:val="none" w:sz="0" w:space="0" w:color="auto"/>
      </w:divBdr>
    </w:div>
    <w:div w:id="1273895912">
      <w:bodyDiv w:val="1"/>
      <w:marLeft w:val="0"/>
      <w:marRight w:val="0"/>
      <w:marTop w:val="0"/>
      <w:marBottom w:val="0"/>
      <w:divBdr>
        <w:top w:val="none" w:sz="0" w:space="0" w:color="auto"/>
        <w:left w:val="none" w:sz="0" w:space="0" w:color="auto"/>
        <w:bottom w:val="none" w:sz="0" w:space="0" w:color="auto"/>
        <w:right w:val="none" w:sz="0" w:space="0" w:color="auto"/>
      </w:divBdr>
    </w:div>
    <w:div w:id="1470434720">
      <w:bodyDiv w:val="1"/>
      <w:marLeft w:val="0"/>
      <w:marRight w:val="0"/>
      <w:marTop w:val="0"/>
      <w:marBottom w:val="0"/>
      <w:divBdr>
        <w:top w:val="none" w:sz="0" w:space="0" w:color="auto"/>
        <w:left w:val="none" w:sz="0" w:space="0" w:color="auto"/>
        <w:bottom w:val="none" w:sz="0" w:space="0" w:color="auto"/>
        <w:right w:val="none" w:sz="0" w:space="0" w:color="auto"/>
      </w:divBdr>
    </w:div>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3698</Words>
  <Characters>20679</Characters>
  <Application>Microsoft Office Word</Application>
  <DocSecurity>0</DocSecurity>
  <Lines>413</Lines>
  <Paragraphs>117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24380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2016-08-23T17:37:00Z</cp:lastPrinted>
  <dcterms:created xsi:type="dcterms:W3CDTF">2016-08-29T15:37:00Z</dcterms:created>
  <dcterms:modified xsi:type="dcterms:W3CDTF">2016-08-29T15:37:00Z</dcterms:modified>
  <cp:category> </cp:category>
  <cp:contentStatus> </cp:contentStatus>
</cp:coreProperties>
</file>