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62054" w14:textId="77777777" w:rsidR="003B4976" w:rsidRDefault="003B4976" w:rsidP="003B4976">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5032D6D" w14:textId="77777777" w:rsidR="003B4976" w:rsidRDefault="003B4976" w:rsidP="003B4976">
      <w:pPr>
        <w:pStyle w:val="StyleBoldCentered"/>
      </w:pPr>
      <w:r>
        <w:t>F</w:t>
      </w:r>
      <w:r>
        <w:rPr>
          <w:caps w:val="0"/>
        </w:rPr>
        <w:t>ederal Communications Commission</w:t>
      </w:r>
    </w:p>
    <w:p w14:paraId="25F292A1" w14:textId="77777777" w:rsidR="003B4976" w:rsidRDefault="00D95BF5" w:rsidP="00D95BF5">
      <w:pPr>
        <w:pStyle w:val="StyleBoldCentered"/>
        <w:tabs>
          <w:tab w:val="center" w:pos="4680"/>
          <w:tab w:val="left" w:pos="7524"/>
        </w:tabs>
        <w:jc w:val="left"/>
      </w:pPr>
      <w:r>
        <w:rPr>
          <w:caps w:val="0"/>
        </w:rPr>
        <w:tab/>
      </w:r>
      <w:r w:rsidR="003B4976">
        <w:rPr>
          <w:caps w:val="0"/>
        </w:rPr>
        <w:t>Washington, DC 20554</w:t>
      </w:r>
    </w:p>
    <w:p w14:paraId="65EFF0C5" w14:textId="77777777" w:rsidR="003B4976" w:rsidRDefault="003B4976" w:rsidP="003B4976"/>
    <w:p w14:paraId="40F49DF1" w14:textId="77777777" w:rsidR="003B4976" w:rsidRDefault="003B4976" w:rsidP="003B4976"/>
    <w:tbl>
      <w:tblPr>
        <w:tblW w:w="0" w:type="auto"/>
        <w:tblLayout w:type="fixed"/>
        <w:tblLook w:val="0000" w:firstRow="0" w:lastRow="0" w:firstColumn="0" w:lastColumn="0" w:noHBand="0" w:noVBand="0"/>
      </w:tblPr>
      <w:tblGrid>
        <w:gridCol w:w="4698"/>
        <w:gridCol w:w="630"/>
        <w:gridCol w:w="4248"/>
      </w:tblGrid>
      <w:tr w:rsidR="003B4976" w14:paraId="0E11938F" w14:textId="77777777" w:rsidTr="00343CC9">
        <w:tc>
          <w:tcPr>
            <w:tcW w:w="4698" w:type="dxa"/>
          </w:tcPr>
          <w:p w14:paraId="035C015E" w14:textId="77777777" w:rsidR="003B4976" w:rsidRDefault="003B4976" w:rsidP="00343CC9">
            <w:pPr>
              <w:tabs>
                <w:tab w:val="center" w:pos="4680"/>
              </w:tabs>
              <w:suppressAutoHyphens/>
              <w:rPr>
                <w:spacing w:val="-2"/>
              </w:rPr>
            </w:pPr>
            <w:r>
              <w:rPr>
                <w:spacing w:val="-2"/>
              </w:rPr>
              <w:t>In the Matter of</w:t>
            </w:r>
          </w:p>
          <w:p w14:paraId="7BAD2C51" w14:textId="77777777" w:rsidR="003B4976" w:rsidRDefault="003B4976" w:rsidP="00343CC9">
            <w:pPr>
              <w:tabs>
                <w:tab w:val="center" w:pos="4680"/>
              </w:tabs>
              <w:suppressAutoHyphens/>
              <w:rPr>
                <w:spacing w:val="-2"/>
              </w:rPr>
            </w:pPr>
          </w:p>
          <w:p w14:paraId="3D8A0FF8" w14:textId="77777777" w:rsidR="003B4976" w:rsidRPr="007115F7" w:rsidRDefault="003B7014" w:rsidP="007E4E3E">
            <w:pPr>
              <w:tabs>
                <w:tab w:val="center" w:pos="4680"/>
              </w:tabs>
              <w:suppressAutoHyphens/>
              <w:rPr>
                <w:spacing w:val="-2"/>
              </w:rPr>
            </w:pPr>
            <w:r>
              <w:rPr>
                <w:spacing w:val="-2"/>
              </w:rPr>
              <w:t xml:space="preserve">Siemens </w:t>
            </w:r>
            <w:r w:rsidR="00AA03A6">
              <w:rPr>
                <w:spacing w:val="-2"/>
              </w:rPr>
              <w:t>Corporation</w:t>
            </w:r>
            <w:r w:rsidR="00816683">
              <w:rPr>
                <w:spacing w:val="-2"/>
              </w:rPr>
              <w:t xml:space="preserve">, </w:t>
            </w:r>
            <w:r w:rsidR="007E4E3E" w:rsidRPr="001F2D3B">
              <w:rPr>
                <w:i/>
                <w:spacing w:val="-2"/>
              </w:rPr>
              <w:t>et al</w:t>
            </w:r>
            <w:r w:rsidR="007E4E3E">
              <w:rPr>
                <w:spacing w:val="-2"/>
              </w:rPr>
              <w:t>.</w:t>
            </w:r>
          </w:p>
        </w:tc>
        <w:tc>
          <w:tcPr>
            <w:tcW w:w="630" w:type="dxa"/>
          </w:tcPr>
          <w:p w14:paraId="74937056" w14:textId="77777777" w:rsidR="003B4976" w:rsidRDefault="003B4976" w:rsidP="00343CC9">
            <w:pPr>
              <w:tabs>
                <w:tab w:val="center" w:pos="4680"/>
              </w:tabs>
              <w:suppressAutoHyphens/>
              <w:rPr>
                <w:b/>
                <w:spacing w:val="-2"/>
              </w:rPr>
            </w:pPr>
            <w:r>
              <w:rPr>
                <w:b/>
                <w:spacing w:val="-2"/>
              </w:rPr>
              <w:t>)</w:t>
            </w:r>
          </w:p>
          <w:p w14:paraId="57498BE0" w14:textId="77777777" w:rsidR="003B4976" w:rsidRDefault="003B4976" w:rsidP="00343CC9">
            <w:pPr>
              <w:tabs>
                <w:tab w:val="center" w:pos="4680"/>
              </w:tabs>
              <w:suppressAutoHyphens/>
              <w:rPr>
                <w:b/>
                <w:spacing w:val="-2"/>
              </w:rPr>
            </w:pPr>
            <w:r>
              <w:rPr>
                <w:b/>
                <w:spacing w:val="-2"/>
              </w:rPr>
              <w:t>)</w:t>
            </w:r>
          </w:p>
          <w:p w14:paraId="3B87FB4C" w14:textId="77777777" w:rsidR="003B4976" w:rsidRDefault="003B4976" w:rsidP="00343CC9">
            <w:pPr>
              <w:tabs>
                <w:tab w:val="center" w:pos="4680"/>
              </w:tabs>
              <w:suppressAutoHyphens/>
              <w:rPr>
                <w:b/>
                <w:spacing w:val="-2"/>
              </w:rPr>
            </w:pPr>
            <w:r>
              <w:rPr>
                <w:b/>
                <w:spacing w:val="-2"/>
              </w:rPr>
              <w:t>)</w:t>
            </w:r>
          </w:p>
          <w:p w14:paraId="6AC0742A" w14:textId="77777777" w:rsidR="003B4976" w:rsidRDefault="003B4976" w:rsidP="00343CC9">
            <w:pPr>
              <w:tabs>
                <w:tab w:val="center" w:pos="4680"/>
              </w:tabs>
              <w:suppressAutoHyphens/>
              <w:rPr>
                <w:b/>
                <w:spacing w:val="-2"/>
              </w:rPr>
            </w:pPr>
            <w:r>
              <w:rPr>
                <w:b/>
                <w:spacing w:val="-2"/>
              </w:rPr>
              <w:t>)</w:t>
            </w:r>
          </w:p>
          <w:p w14:paraId="74355C20" w14:textId="77777777" w:rsidR="003B4976" w:rsidRDefault="003B4976" w:rsidP="00343CC9">
            <w:pPr>
              <w:tabs>
                <w:tab w:val="center" w:pos="4680"/>
              </w:tabs>
              <w:suppressAutoHyphens/>
              <w:rPr>
                <w:b/>
                <w:spacing w:val="-2"/>
              </w:rPr>
            </w:pPr>
            <w:r>
              <w:rPr>
                <w:b/>
                <w:spacing w:val="-2"/>
              </w:rPr>
              <w:t>)</w:t>
            </w:r>
          </w:p>
          <w:p w14:paraId="3E1C34E8" w14:textId="77777777" w:rsidR="003B4976" w:rsidRDefault="003B4976" w:rsidP="00343CC9">
            <w:pPr>
              <w:tabs>
                <w:tab w:val="center" w:pos="4680"/>
              </w:tabs>
              <w:suppressAutoHyphens/>
              <w:rPr>
                <w:b/>
                <w:spacing w:val="-2"/>
              </w:rPr>
            </w:pPr>
            <w:r>
              <w:rPr>
                <w:b/>
                <w:spacing w:val="-2"/>
              </w:rPr>
              <w:t>)</w:t>
            </w:r>
          </w:p>
          <w:p w14:paraId="5B2676BB" w14:textId="77777777" w:rsidR="003B4976" w:rsidRPr="00732166" w:rsidRDefault="00732166" w:rsidP="00343CC9">
            <w:pPr>
              <w:tabs>
                <w:tab w:val="center" w:pos="4680"/>
              </w:tabs>
              <w:suppressAutoHyphens/>
              <w:rPr>
                <w:b/>
                <w:spacing w:val="-2"/>
              </w:rPr>
            </w:pPr>
            <w:r w:rsidRPr="00732166">
              <w:rPr>
                <w:b/>
                <w:spacing w:val="-2"/>
              </w:rPr>
              <w:t>)</w:t>
            </w:r>
          </w:p>
        </w:tc>
        <w:tc>
          <w:tcPr>
            <w:tcW w:w="4248" w:type="dxa"/>
          </w:tcPr>
          <w:p w14:paraId="6DA5C497" w14:textId="77777777" w:rsidR="003B4976" w:rsidRPr="00AE7FB1" w:rsidRDefault="003B4976" w:rsidP="00343CC9">
            <w:pPr>
              <w:pStyle w:val="TOAHeading"/>
              <w:widowControl/>
              <w:tabs>
                <w:tab w:val="clear" w:pos="9360"/>
                <w:tab w:val="center" w:pos="4680"/>
              </w:tabs>
              <w:ind w:firstLine="522"/>
              <w:rPr>
                <w:spacing w:val="-2"/>
                <w:szCs w:val="22"/>
                <w:lang w:val="es-ES_tradnl"/>
              </w:rPr>
            </w:pPr>
          </w:p>
          <w:p w14:paraId="0B73BAD6" w14:textId="77777777" w:rsidR="003B4976" w:rsidRDefault="00F12316" w:rsidP="00343CC9">
            <w:pPr>
              <w:pStyle w:val="TOAHeading"/>
              <w:widowControl/>
              <w:tabs>
                <w:tab w:val="clear" w:pos="9360"/>
                <w:tab w:val="center" w:pos="4680"/>
              </w:tabs>
              <w:ind w:firstLine="522"/>
              <w:rPr>
                <w:spacing w:val="-2"/>
                <w:szCs w:val="22"/>
                <w:lang w:val="es-ES_tradnl"/>
              </w:rPr>
            </w:pPr>
            <w:r>
              <w:rPr>
                <w:spacing w:val="-2"/>
                <w:szCs w:val="22"/>
                <w:lang w:val="es-ES_tradnl"/>
              </w:rPr>
              <w:t xml:space="preserve">File No.: </w:t>
            </w:r>
            <w:r w:rsidR="003B4976" w:rsidRPr="00AE7FB1">
              <w:rPr>
                <w:spacing w:val="-2"/>
                <w:szCs w:val="22"/>
                <w:lang w:val="es-ES_tradnl"/>
              </w:rPr>
              <w:t>EB-</w:t>
            </w:r>
            <w:r w:rsidR="003B7014">
              <w:rPr>
                <w:spacing w:val="-2"/>
                <w:szCs w:val="22"/>
                <w:lang w:val="es-ES_tradnl"/>
              </w:rPr>
              <w:t>IHD</w:t>
            </w:r>
            <w:r w:rsidR="003B4976" w:rsidRPr="00AE7FB1">
              <w:rPr>
                <w:spacing w:val="-2"/>
                <w:szCs w:val="22"/>
                <w:lang w:val="es-ES_tradnl"/>
              </w:rPr>
              <w:t>-16-</w:t>
            </w:r>
            <w:r w:rsidRPr="00F12316">
              <w:rPr>
                <w:spacing w:val="-2"/>
                <w:szCs w:val="22"/>
                <w:lang w:val="es-ES_tradnl"/>
              </w:rPr>
              <w:t>00021037</w:t>
            </w:r>
          </w:p>
          <w:p w14:paraId="71D35F75" w14:textId="77777777" w:rsidR="003B4976" w:rsidRPr="00176959" w:rsidRDefault="003B4976" w:rsidP="00343CC9">
            <w:pPr>
              <w:rPr>
                <w:lang w:val="es-ES_tradnl"/>
              </w:rPr>
            </w:pPr>
          </w:p>
          <w:p w14:paraId="550202CA" w14:textId="77777777" w:rsidR="003B4976" w:rsidRDefault="003B4976" w:rsidP="00343CC9">
            <w:pPr>
              <w:pStyle w:val="TOAHeading"/>
              <w:widowControl/>
              <w:tabs>
                <w:tab w:val="clear" w:pos="9360"/>
                <w:tab w:val="center" w:pos="4680"/>
              </w:tabs>
              <w:ind w:firstLine="522"/>
              <w:rPr>
                <w:spacing w:val="-2"/>
                <w:szCs w:val="22"/>
                <w:lang w:val="es-ES_tradnl"/>
              </w:rPr>
            </w:pPr>
            <w:r w:rsidRPr="00994E33">
              <w:rPr>
                <w:spacing w:val="-2"/>
                <w:szCs w:val="22"/>
                <w:lang w:val="es-ES_tradnl"/>
              </w:rPr>
              <w:t>Acct. No</w:t>
            </w:r>
            <w:r w:rsidRPr="00AA03A6">
              <w:rPr>
                <w:spacing w:val="-2"/>
                <w:szCs w:val="22"/>
                <w:lang w:val="es-ES_tradnl"/>
              </w:rPr>
              <w:t xml:space="preserve">.: </w:t>
            </w:r>
            <w:r w:rsidR="007E4E3E">
              <w:rPr>
                <w:spacing w:val="-2"/>
                <w:szCs w:val="22"/>
                <w:lang w:val="es-ES_tradnl"/>
              </w:rPr>
              <w:t>2016320800010</w:t>
            </w:r>
          </w:p>
          <w:p w14:paraId="4931DFD1" w14:textId="77777777" w:rsidR="003B4976" w:rsidRPr="00AE7FB1" w:rsidRDefault="003B4976" w:rsidP="00343CC9">
            <w:pPr>
              <w:pStyle w:val="TOAHeading"/>
              <w:widowControl/>
              <w:tabs>
                <w:tab w:val="clear" w:pos="9360"/>
                <w:tab w:val="center" w:pos="4680"/>
              </w:tabs>
              <w:ind w:firstLine="522"/>
              <w:rPr>
                <w:spacing w:val="-2"/>
                <w:szCs w:val="22"/>
                <w:lang w:val="es-ES_tradnl"/>
              </w:rPr>
            </w:pPr>
          </w:p>
          <w:p w14:paraId="19642600" w14:textId="77777777" w:rsidR="00732166" w:rsidRPr="00732166" w:rsidRDefault="003B4976" w:rsidP="00732166">
            <w:pPr>
              <w:pStyle w:val="TOAHeading"/>
              <w:widowControl/>
              <w:tabs>
                <w:tab w:val="clear" w:pos="9360"/>
                <w:tab w:val="center" w:pos="4680"/>
              </w:tabs>
              <w:ind w:firstLine="522"/>
              <w:rPr>
                <w:spacing w:val="-2"/>
                <w:szCs w:val="22"/>
                <w:lang w:val="es-ES_tradnl"/>
              </w:rPr>
            </w:pPr>
            <w:r w:rsidRPr="00994E33">
              <w:rPr>
                <w:spacing w:val="-2"/>
                <w:szCs w:val="22"/>
                <w:lang w:val="es-ES_tradnl"/>
              </w:rPr>
              <w:t xml:space="preserve">FRN: </w:t>
            </w:r>
            <w:r w:rsidR="00816683">
              <w:rPr>
                <w:spacing w:val="-2"/>
                <w:szCs w:val="22"/>
                <w:lang w:val="es-ES_tradnl"/>
              </w:rPr>
              <w:t>0024729832</w:t>
            </w:r>
            <w:r w:rsidR="00816683" w:rsidDel="00816683">
              <w:rPr>
                <w:spacing w:val="-2"/>
                <w:szCs w:val="22"/>
                <w:lang w:val="es-ES_tradnl"/>
              </w:rPr>
              <w:t xml:space="preserve"> </w:t>
            </w:r>
          </w:p>
          <w:p w14:paraId="32129602" w14:textId="77777777" w:rsidR="003B4976" w:rsidRPr="00D45F75" w:rsidRDefault="003B4976" w:rsidP="00343CC9">
            <w:pPr>
              <w:pStyle w:val="TOAHeading"/>
              <w:widowControl/>
              <w:tabs>
                <w:tab w:val="clear" w:pos="9360"/>
                <w:tab w:val="center" w:pos="4680"/>
              </w:tabs>
              <w:ind w:firstLine="522"/>
              <w:rPr>
                <w:spacing w:val="-2"/>
                <w:szCs w:val="22"/>
                <w:lang w:val="es-ES_tradnl"/>
              </w:rPr>
            </w:pPr>
          </w:p>
        </w:tc>
      </w:tr>
    </w:tbl>
    <w:p w14:paraId="53569DB4" w14:textId="77777777" w:rsidR="00732166" w:rsidRDefault="00732166" w:rsidP="003B4976">
      <w:pPr>
        <w:pStyle w:val="StyleBoldCentered"/>
        <w:rPr>
          <w:b w:val="0"/>
        </w:rPr>
      </w:pPr>
    </w:p>
    <w:p w14:paraId="3CECEA8B" w14:textId="77777777" w:rsidR="003B4976" w:rsidRDefault="003B4976" w:rsidP="003B4976">
      <w:pPr>
        <w:pStyle w:val="StyleBoldCentered"/>
      </w:pPr>
      <w:r>
        <w:t>Order</w:t>
      </w:r>
    </w:p>
    <w:p w14:paraId="67EE9C67" w14:textId="77777777" w:rsidR="003B4976" w:rsidRDefault="003B4976" w:rsidP="003B4976">
      <w:pPr>
        <w:tabs>
          <w:tab w:val="left" w:pos="-720"/>
        </w:tabs>
        <w:suppressAutoHyphens/>
        <w:spacing w:line="227" w:lineRule="auto"/>
        <w:jc w:val="center"/>
        <w:rPr>
          <w:spacing w:val="-2"/>
        </w:rPr>
      </w:pPr>
    </w:p>
    <w:p w14:paraId="47F30751" w14:textId="77777777" w:rsidR="003B4976" w:rsidRDefault="003B4976" w:rsidP="003B4976">
      <w:pPr>
        <w:tabs>
          <w:tab w:val="left" w:pos="720"/>
          <w:tab w:val="right" w:pos="9360"/>
        </w:tabs>
        <w:suppressAutoHyphens/>
        <w:spacing w:line="227" w:lineRule="auto"/>
        <w:rPr>
          <w:spacing w:val="-2"/>
        </w:rPr>
      </w:pPr>
      <w:r>
        <w:rPr>
          <w:b/>
          <w:spacing w:val="-2"/>
        </w:rPr>
        <w:t xml:space="preserve">Adopted: </w:t>
      </w:r>
      <w:r w:rsidR="004B2D6A">
        <w:rPr>
          <w:b/>
          <w:spacing w:val="-2"/>
        </w:rPr>
        <w:t>September 20</w:t>
      </w:r>
      <w:r w:rsidR="003B7014">
        <w:rPr>
          <w:b/>
          <w:spacing w:val="-2"/>
        </w:rPr>
        <w:t>, 2016</w:t>
      </w:r>
      <w:r w:rsidR="003B7014">
        <w:rPr>
          <w:b/>
          <w:spacing w:val="-2"/>
        </w:rPr>
        <w:tab/>
        <w:t xml:space="preserve">Released:  </w:t>
      </w:r>
      <w:r w:rsidR="00E51238">
        <w:rPr>
          <w:b/>
          <w:spacing w:val="-2"/>
        </w:rPr>
        <w:t>September 22, 2016</w:t>
      </w:r>
    </w:p>
    <w:p w14:paraId="516C777B" w14:textId="77777777" w:rsidR="003B4976" w:rsidRDefault="003B4976" w:rsidP="003B4976"/>
    <w:p w14:paraId="49308758" w14:textId="77777777" w:rsidR="003B4976" w:rsidRDefault="003B4976" w:rsidP="003B4976">
      <w:pPr>
        <w:rPr>
          <w:spacing w:val="-2"/>
        </w:rPr>
      </w:pPr>
      <w:r>
        <w:t xml:space="preserve">By the </w:t>
      </w:r>
      <w:r>
        <w:rPr>
          <w:spacing w:val="-2"/>
        </w:rPr>
        <w:t>Chief, Enforcement Bureau:</w:t>
      </w:r>
    </w:p>
    <w:p w14:paraId="65C516C1" w14:textId="77777777" w:rsidR="003B4976" w:rsidRDefault="003B4976" w:rsidP="003B4976">
      <w:pPr>
        <w:pStyle w:val="MediumGrid21"/>
      </w:pPr>
    </w:p>
    <w:p w14:paraId="5506D782" w14:textId="77777777" w:rsidR="003B4976" w:rsidRPr="008B7AB7" w:rsidRDefault="003B4976" w:rsidP="003B4976">
      <w:pPr>
        <w:pStyle w:val="Paranum0"/>
        <w:tabs>
          <w:tab w:val="clear" w:pos="1080"/>
          <w:tab w:val="num" w:pos="1440"/>
        </w:tabs>
        <w:spacing w:after="120"/>
        <w:jc w:val="left"/>
        <w:rPr>
          <w:szCs w:val="22"/>
        </w:rPr>
      </w:pPr>
      <w:r w:rsidRPr="00C8124A">
        <w:rPr>
          <w:szCs w:val="22"/>
        </w:rPr>
        <w:t xml:space="preserve">The </w:t>
      </w:r>
      <w:r w:rsidRPr="00C8124A">
        <w:rPr>
          <w:bCs/>
          <w:szCs w:val="22"/>
        </w:rPr>
        <w:t xml:space="preserve">Enforcement Bureau (Bureau) </w:t>
      </w:r>
      <w:r w:rsidRPr="00C8124A">
        <w:rPr>
          <w:szCs w:val="22"/>
        </w:rPr>
        <w:t>of the Federal Communications Commission (</w:t>
      </w:r>
      <w:r w:rsidR="006E4498">
        <w:rPr>
          <w:szCs w:val="22"/>
        </w:rPr>
        <w:t xml:space="preserve">FCC or </w:t>
      </w:r>
      <w:r w:rsidRPr="00C8124A">
        <w:rPr>
          <w:szCs w:val="22"/>
        </w:rPr>
        <w:t xml:space="preserve">Commission) has entered into a Consent Decree to resolve its investigation into whether </w:t>
      </w:r>
      <w:r w:rsidR="006E4498">
        <w:t xml:space="preserve">Siemens </w:t>
      </w:r>
      <w:r w:rsidR="00AA03A6">
        <w:t>Corporation (Siemens) and Siemens Medical Solutions USA, Inc. (Siemens Medical)</w:t>
      </w:r>
      <w:r w:rsidR="006E4498">
        <w:t xml:space="preserve">, </w:t>
      </w:r>
      <w:r w:rsidR="00847343">
        <w:t xml:space="preserve">on behalf of </w:t>
      </w:r>
      <w:r w:rsidR="007122FB">
        <w:t xml:space="preserve">their </w:t>
      </w:r>
      <w:r w:rsidR="006E4498">
        <w:t>subsidiary companies</w:t>
      </w:r>
      <w:r w:rsidR="007122FB">
        <w:t xml:space="preserve"> (Companies)</w:t>
      </w:r>
      <w:r w:rsidR="00BB6BDD">
        <w:t>,</w:t>
      </w:r>
      <w:r w:rsidR="006E4498">
        <w:t xml:space="preserve"> </w:t>
      </w:r>
      <w:r w:rsidR="006E4498">
        <w:rPr>
          <w:szCs w:val="22"/>
        </w:rPr>
        <w:t>failed to disclose two corporate felony convictions on numerous FCC wireless license applications in violation of 47 C.F.R §</w:t>
      </w:r>
      <w:r w:rsidR="007B7E7F">
        <w:t xml:space="preserve"> </w:t>
      </w:r>
      <w:r w:rsidR="006E4498">
        <w:rPr>
          <w:szCs w:val="22"/>
        </w:rPr>
        <w:t>1.17</w:t>
      </w:r>
      <w:r>
        <w:t xml:space="preserve">. </w:t>
      </w:r>
      <w:r w:rsidRPr="00D84548">
        <w:rPr>
          <w:szCs w:val="22"/>
        </w:rPr>
        <w:t xml:space="preserve"> Th</w:t>
      </w:r>
      <w:r w:rsidR="007B7E7F">
        <w:rPr>
          <w:szCs w:val="22"/>
        </w:rPr>
        <w:t>is</w:t>
      </w:r>
      <w:r>
        <w:rPr>
          <w:szCs w:val="22"/>
        </w:rPr>
        <w:t xml:space="preserve"> regulation </w:t>
      </w:r>
      <w:r w:rsidRPr="00D84548">
        <w:rPr>
          <w:szCs w:val="22"/>
        </w:rPr>
        <w:t>ensure</w:t>
      </w:r>
      <w:r w:rsidR="007A0CE5">
        <w:rPr>
          <w:szCs w:val="22"/>
        </w:rPr>
        <w:t>s</w:t>
      </w:r>
      <w:r w:rsidRPr="00D84548">
        <w:rPr>
          <w:szCs w:val="22"/>
        </w:rPr>
        <w:t xml:space="preserve"> that </w:t>
      </w:r>
      <w:r w:rsidR="006E4498">
        <w:rPr>
          <w:szCs w:val="22"/>
        </w:rPr>
        <w:t xml:space="preserve">wireless license applicants do not provide the Commission </w:t>
      </w:r>
      <w:r w:rsidR="008D671D">
        <w:rPr>
          <w:szCs w:val="22"/>
        </w:rPr>
        <w:t xml:space="preserve">with </w:t>
      </w:r>
      <w:r w:rsidR="006E4498">
        <w:rPr>
          <w:szCs w:val="22"/>
        </w:rPr>
        <w:t xml:space="preserve">material factual information </w:t>
      </w:r>
      <w:r w:rsidR="00A36CAC">
        <w:rPr>
          <w:szCs w:val="22"/>
        </w:rPr>
        <w:t>that is incorrect</w:t>
      </w:r>
      <w:r w:rsidR="005B0A9B">
        <w:rPr>
          <w:szCs w:val="22"/>
        </w:rPr>
        <w:t xml:space="preserve"> or misleading</w:t>
      </w:r>
      <w:r w:rsidR="008D671D">
        <w:rPr>
          <w:szCs w:val="22"/>
        </w:rPr>
        <w:t>,</w:t>
      </w:r>
      <w:r w:rsidR="00A36CAC">
        <w:rPr>
          <w:szCs w:val="22"/>
        </w:rPr>
        <w:t xml:space="preserve"> </w:t>
      </w:r>
      <w:r w:rsidR="006E4498">
        <w:rPr>
          <w:szCs w:val="22"/>
        </w:rPr>
        <w:t xml:space="preserve">or omit material information.  </w:t>
      </w:r>
    </w:p>
    <w:p w14:paraId="02867790" w14:textId="77777777" w:rsidR="00764AE3" w:rsidRPr="00925C65" w:rsidRDefault="00732411" w:rsidP="003B4976">
      <w:pPr>
        <w:pStyle w:val="Paranum0"/>
        <w:tabs>
          <w:tab w:val="clear" w:pos="1080"/>
          <w:tab w:val="num" w:pos="1440"/>
        </w:tabs>
        <w:spacing w:after="120"/>
        <w:jc w:val="left"/>
        <w:rPr>
          <w:szCs w:val="22"/>
        </w:rPr>
      </w:pPr>
      <w:r w:rsidRPr="00925C65">
        <w:rPr>
          <w:szCs w:val="22"/>
        </w:rPr>
        <w:t>In 2008, Siemens AG</w:t>
      </w:r>
      <w:r w:rsidR="000D2211" w:rsidRPr="00925C65">
        <w:rPr>
          <w:szCs w:val="22"/>
        </w:rPr>
        <w:t>, the ultimate corporate parent of Siemens and Siemens Medical,</w:t>
      </w:r>
      <w:r w:rsidRPr="0048675F">
        <w:rPr>
          <w:szCs w:val="22"/>
        </w:rPr>
        <w:t xml:space="preserve"> </w:t>
      </w:r>
      <w:r w:rsidRPr="00925C65">
        <w:rPr>
          <w:szCs w:val="22"/>
        </w:rPr>
        <w:t xml:space="preserve">pleaded guilty to criminal charges of violating the accounting provisions of the Foreign Corrupt Practices Act (FCPA) and certain of </w:t>
      </w:r>
      <w:r w:rsidR="00ED70A0">
        <w:rPr>
          <w:szCs w:val="22"/>
        </w:rPr>
        <w:t xml:space="preserve">Siemens AG’s subsidiaries </w:t>
      </w:r>
      <w:r w:rsidRPr="00925C65">
        <w:rPr>
          <w:szCs w:val="22"/>
        </w:rPr>
        <w:t>pleaded guilty to criminal charges for conspiracy to violate certain provisions of the FCPA</w:t>
      </w:r>
      <w:r w:rsidR="002A474D">
        <w:rPr>
          <w:szCs w:val="22"/>
        </w:rPr>
        <w:t xml:space="preserve"> through bribery of foreign government employees, including communications regulatory officials</w:t>
      </w:r>
      <w:r w:rsidR="00A54FD5" w:rsidRPr="00925C65">
        <w:rPr>
          <w:szCs w:val="22"/>
        </w:rPr>
        <w:t>.  Th</w:t>
      </w:r>
      <w:r w:rsidR="001705BE">
        <w:rPr>
          <w:szCs w:val="22"/>
        </w:rPr>
        <w:t>at</w:t>
      </w:r>
      <w:r w:rsidR="00A54FD5" w:rsidRPr="00925C65">
        <w:rPr>
          <w:szCs w:val="22"/>
        </w:rPr>
        <w:t xml:space="preserve"> case settled</w:t>
      </w:r>
      <w:r w:rsidR="00A7278B" w:rsidRPr="00925C65">
        <w:rPr>
          <w:szCs w:val="22"/>
        </w:rPr>
        <w:t xml:space="preserve"> in 2008</w:t>
      </w:r>
      <w:r w:rsidR="00A54FD5" w:rsidRPr="00925C65">
        <w:rPr>
          <w:szCs w:val="22"/>
        </w:rPr>
        <w:t xml:space="preserve"> with Siemens AG paying $</w:t>
      </w:r>
      <w:r w:rsidR="00A72213" w:rsidRPr="00925C65">
        <w:rPr>
          <w:szCs w:val="22"/>
        </w:rPr>
        <w:t xml:space="preserve">450 million in criminal fines to the United States Department of Justice and </w:t>
      </w:r>
      <w:r w:rsidR="00A54FD5" w:rsidRPr="00925C65">
        <w:rPr>
          <w:szCs w:val="22"/>
        </w:rPr>
        <w:t xml:space="preserve">a </w:t>
      </w:r>
      <w:r w:rsidR="00A72213" w:rsidRPr="00925C65">
        <w:rPr>
          <w:szCs w:val="22"/>
        </w:rPr>
        <w:t>$350 million</w:t>
      </w:r>
      <w:r w:rsidR="00F35F8D" w:rsidRPr="00925C65">
        <w:rPr>
          <w:szCs w:val="22"/>
        </w:rPr>
        <w:t xml:space="preserve"> </w:t>
      </w:r>
      <w:r w:rsidR="00A72213" w:rsidRPr="00925C65">
        <w:rPr>
          <w:szCs w:val="22"/>
        </w:rPr>
        <w:t xml:space="preserve">disgorgement to the </w:t>
      </w:r>
      <w:r w:rsidR="007122FB">
        <w:rPr>
          <w:szCs w:val="22"/>
        </w:rPr>
        <w:t xml:space="preserve">United States </w:t>
      </w:r>
      <w:r w:rsidR="00A72213" w:rsidRPr="00925C65">
        <w:rPr>
          <w:szCs w:val="22"/>
        </w:rPr>
        <w:t>Securities and Exchange Commission</w:t>
      </w:r>
      <w:r w:rsidRPr="00925C65">
        <w:rPr>
          <w:szCs w:val="22"/>
        </w:rPr>
        <w:t xml:space="preserve">.  In addition, in 2007, Siemens Medical pleaded guilty to a single federal charge of obstruction of justice in connection with a </w:t>
      </w:r>
      <w:r w:rsidR="00A314C4" w:rsidRPr="00925C65">
        <w:rPr>
          <w:szCs w:val="22"/>
        </w:rPr>
        <w:t>2000-</w:t>
      </w:r>
      <w:r w:rsidRPr="00925C65">
        <w:rPr>
          <w:szCs w:val="22"/>
        </w:rPr>
        <w:t xml:space="preserve">2001 civil </w:t>
      </w:r>
      <w:r w:rsidR="00AC6A49">
        <w:rPr>
          <w:szCs w:val="22"/>
        </w:rPr>
        <w:t>matter</w:t>
      </w:r>
      <w:r w:rsidRPr="00925C65">
        <w:rPr>
          <w:szCs w:val="22"/>
        </w:rPr>
        <w:t>.</w:t>
      </w:r>
      <w:r w:rsidR="00D05BB9" w:rsidRPr="00925C65">
        <w:rPr>
          <w:szCs w:val="22"/>
        </w:rPr>
        <w:t xml:space="preserve">  Th</w:t>
      </w:r>
      <w:r w:rsidR="001705BE">
        <w:rPr>
          <w:szCs w:val="22"/>
        </w:rPr>
        <w:t>at</w:t>
      </w:r>
      <w:r w:rsidR="00D05BB9" w:rsidRPr="00925C65">
        <w:rPr>
          <w:szCs w:val="22"/>
        </w:rPr>
        <w:t xml:space="preserve"> case </w:t>
      </w:r>
      <w:r w:rsidR="001D10A4">
        <w:rPr>
          <w:szCs w:val="22"/>
        </w:rPr>
        <w:t xml:space="preserve">settled </w:t>
      </w:r>
      <w:r w:rsidR="00095B21">
        <w:rPr>
          <w:szCs w:val="22"/>
        </w:rPr>
        <w:t xml:space="preserve">in 2007 </w:t>
      </w:r>
      <w:r w:rsidR="001D10A4">
        <w:rPr>
          <w:szCs w:val="22"/>
        </w:rPr>
        <w:t xml:space="preserve">with </w:t>
      </w:r>
      <w:r w:rsidR="00D05BB9" w:rsidRPr="00925C65">
        <w:rPr>
          <w:szCs w:val="22"/>
        </w:rPr>
        <w:t>Siemens Medical pay</w:t>
      </w:r>
      <w:r w:rsidR="001D10A4">
        <w:rPr>
          <w:szCs w:val="22"/>
        </w:rPr>
        <w:t>ing</w:t>
      </w:r>
      <w:r w:rsidR="00D05BB9" w:rsidRPr="00925C65">
        <w:rPr>
          <w:szCs w:val="22"/>
        </w:rPr>
        <w:t xml:space="preserve"> </w:t>
      </w:r>
      <w:r w:rsidR="00C92B9C">
        <w:rPr>
          <w:szCs w:val="22"/>
        </w:rPr>
        <w:t>$</w:t>
      </w:r>
      <w:r w:rsidR="001D10A4">
        <w:rPr>
          <w:szCs w:val="22"/>
        </w:rPr>
        <w:t xml:space="preserve">2.5 </w:t>
      </w:r>
      <w:r w:rsidR="00F26373">
        <w:rPr>
          <w:szCs w:val="22"/>
        </w:rPr>
        <w:t>million dollars in fines and restitution</w:t>
      </w:r>
      <w:r w:rsidR="007E0BAA">
        <w:rPr>
          <w:szCs w:val="22"/>
        </w:rPr>
        <w:t xml:space="preserve">.  </w:t>
      </w:r>
      <w:r w:rsidR="00A314C4" w:rsidRPr="00925C65">
        <w:rPr>
          <w:szCs w:val="22"/>
        </w:rPr>
        <w:t xml:space="preserve"> </w:t>
      </w:r>
    </w:p>
    <w:p w14:paraId="7BA580E9" w14:textId="77777777" w:rsidR="00816683" w:rsidRDefault="005974A6" w:rsidP="003B4976">
      <w:pPr>
        <w:pStyle w:val="Paranum0"/>
        <w:tabs>
          <w:tab w:val="clear" w:pos="1080"/>
          <w:tab w:val="num" w:pos="1440"/>
        </w:tabs>
        <w:spacing w:after="120"/>
        <w:jc w:val="left"/>
        <w:rPr>
          <w:szCs w:val="22"/>
        </w:rPr>
      </w:pPr>
      <w:r>
        <w:rPr>
          <w:szCs w:val="22"/>
        </w:rPr>
        <w:t xml:space="preserve">The Commission must </w:t>
      </w:r>
      <w:r w:rsidR="009A7681">
        <w:rPr>
          <w:szCs w:val="22"/>
        </w:rPr>
        <w:t xml:space="preserve">be able to </w:t>
      </w:r>
      <w:r>
        <w:rPr>
          <w:szCs w:val="22"/>
        </w:rPr>
        <w:t xml:space="preserve">rely on the completeness and accuracy of </w:t>
      </w:r>
      <w:r w:rsidR="00386F22">
        <w:rPr>
          <w:szCs w:val="22"/>
        </w:rPr>
        <w:t xml:space="preserve">its regulatees’ </w:t>
      </w:r>
      <w:r>
        <w:rPr>
          <w:szCs w:val="22"/>
        </w:rPr>
        <w:t xml:space="preserve">submissions.  </w:t>
      </w:r>
      <w:r w:rsidR="00076DF2">
        <w:rPr>
          <w:szCs w:val="22"/>
        </w:rPr>
        <w:t>E</w:t>
      </w:r>
      <w:r w:rsidR="00816683">
        <w:rPr>
          <w:szCs w:val="22"/>
        </w:rPr>
        <w:t>ven large organizations whose primary line</w:t>
      </w:r>
      <w:r w:rsidR="004C2165">
        <w:rPr>
          <w:szCs w:val="22"/>
        </w:rPr>
        <w:t>s</w:t>
      </w:r>
      <w:r w:rsidR="00816683">
        <w:rPr>
          <w:szCs w:val="22"/>
        </w:rPr>
        <w:t xml:space="preserve"> of business </w:t>
      </w:r>
      <w:r w:rsidR="004C2165">
        <w:rPr>
          <w:szCs w:val="22"/>
        </w:rPr>
        <w:t>are</w:t>
      </w:r>
      <w:r w:rsidR="00816683">
        <w:rPr>
          <w:szCs w:val="22"/>
        </w:rPr>
        <w:t xml:space="preserve"> not </w:t>
      </w:r>
      <w:r w:rsidR="006F4623">
        <w:rPr>
          <w:szCs w:val="22"/>
        </w:rPr>
        <w:t xml:space="preserve">subject to the Commission’s jurisdiction </w:t>
      </w:r>
      <w:r w:rsidR="00816683">
        <w:rPr>
          <w:szCs w:val="22"/>
        </w:rPr>
        <w:t>must</w:t>
      </w:r>
      <w:r w:rsidR="00732411">
        <w:rPr>
          <w:szCs w:val="22"/>
        </w:rPr>
        <w:t xml:space="preserve"> </w:t>
      </w:r>
      <w:r w:rsidR="006F4623">
        <w:rPr>
          <w:szCs w:val="22"/>
        </w:rPr>
        <w:t xml:space="preserve">file </w:t>
      </w:r>
      <w:r w:rsidR="004C2165">
        <w:rPr>
          <w:szCs w:val="22"/>
        </w:rPr>
        <w:t xml:space="preserve">complete and </w:t>
      </w:r>
      <w:r w:rsidR="00732411">
        <w:rPr>
          <w:szCs w:val="22"/>
        </w:rPr>
        <w:t xml:space="preserve">accurate </w:t>
      </w:r>
      <w:r w:rsidR="00816683">
        <w:rPr>
          <w:szCs w:val="22"/>
        </w:rPr>
        <w:t xml:space="preserve">wireless license applications.  </w:t>
      </w:r>
      <w:r w:rsidR="00576F02">
        <w:rPr>
          <w:szCs w:val="22"/>
        </w:rPr>
        <w:t>T</w:t>
      </w:r>
      <w:r w:rsidR="008A3C0B">
        <w:rPr>
          <w:szCs w:val="22"/>
        </w:rPr>
        <w:t xml:space="preserve">he </w:t>
      </w:r>
      <w:r w:rsidR="007122FB">
        <w:rPr>
          <w:szCs w:val="22"/>
        </w:rPr>
        <w:t>Companies</w:t>
      </w:r>
      <w:r w:rsidR="008A3C0B">
        <w:rPr>
          <w:szCs w:val="22"/>
        </w:rPr>
        <w:t xml:space="preserve"> had a statutory and regulatory ob</w:t>
      </w:r>
      <w:r w:rsidR="00576F02">
        <w:rPr>
          <w:szCs w:val="22"/>
        </w:rPr>
        <w:t>ligation to disclose the felony convictions</w:t>
      </w:r>
      <w:r w:rsidR="008A3C0B">
        <w:rPr>
          <w:szCs w:val="22"/>
        </w:rPr>
        <w:t xml:space="preserve"> on their wireless license applications </w:t>
      </w:r>
      <w:r w:rsidR="007F62A1">
        <w:rPr>
          <w:szCs w:val="22"/>
        </w:rPr>
        <w:t xml:space="preserve">when they </w:t>
      </w:r>
      <w:r w:rsidR="008A3C0B">
        <w:rPr>
          <w:szCs w:val="22"/>
        </w:rPr>
        <w:t xml:space="preserve">were filed </w:t>
      </w:r>
      <w:r w:rsidR="005B0A9B">
        <w:rPr>
          <w:szCs w:val="22"/>
        </w:rPr>
        <w:t xml:space="preserve">with </w:t>
      </w:r>
      <w:r w:rsidR="008A3C0B">
        <w:rPr>
          <w:szCs w:val="22"/>
        </w:rPr>
        <w:t>the Commission.</w:t>
      </w:r>
      <w:r w:rsidR="002C56AB">
        <w:rPr>
          <w:szCs w:val="22"/>
        </w:rPr>
        <w:t xml:space="preserve">  </w:t>
      </w:r>
      <w:r w:rsidR="007122FB">
        <w:rPr>
          <w:szCs w:val="22"/>
        </w:rPr>
        <w:t xml:space="preserve">The Companies’ </w:t>
      </w:r>
      <w:r w:rsidR="002C56AB">
        <w:rPr>
          <w:szCs w:val="22"/>
        </w:rPr>
        <w:t xml:space="preserve">failure to disclose these convictions is particularly troubling because the underlying acts </w:t>
      </w:r>
      <w:r w:rsidR="009F7503">
        <w:rPr>
          <w:szCs w:val="22"/>
        </w:rPr>
        <w:t xml:space="preserve">included </w:t>
      </w:r>
      <w:r w:rsidR="006E6329">
        <w:rPr>
          <w:szCs w:val="22"/>
        </w:rPr>
        <w:t>misdeeds involving foreign tele</w:t>
      </w:r>
      <w:r w:rsidR="002C56AB">
        <w:rPr>
          <w:szCs w:val="22"/>
        </w:rPr>
        <w:t xml:space="preserve">communications </w:t>
      </w:r>
      <w:r w:rsidR="006E6329">
        <w:rPr>
          <w:szCs w:val="22"/>
        </w:rPr>
        <w:t>regulators</w:t>
      </w:r>
      <w:r w:rsidR="00F57F22">
        <w:rPr>
          <w:szCs w:val="22"/>
        </w:rPr>
        <w:t xml:space="preserve">, but </w:t>
      </w:r>
      <w:r w:rsidR="002A474D">
        <w:rPr>
          <w:szCs w:val="22"/>
        </w:rPr>
        <w:t xml:space="preserve">we believe that a Consent Decree is appropriate </w:t>
      </w:r>
      <w:r w:rsidR="00835B1C">
        <w:rPr>
          <w:szCs w:val="22"/>
        </w:rPr>
        <w:t xml:space="preserve">based on </w:t>
      </w:r>
      <w:r w:rsidR="00F57F22">
        <w:rPr>
          <w:szCs w:val="22"/>
        </w:rPr>
        <w:t xml:space="preserve">the totality of the circumstances, including Siemens’s </w:t>
      </w:r>
      <w:r w:rsidR="007122FB">
        <w:rPr>
          <w:szCs w:val="22"/>
        </w:rPr>
        <w:t xml:space="preserve">and Siemens Medical’s </w:t>
      </w:r>
      <w:r w:rsidR="00835B1C">
        <w:rPr>
          <w:szCs w:val="22"/>
        </w:rPr>
        <w:t>correc</w:t>
      </w:r>
      <w:r w:rsidR="0038620A">
        <w:rPr>
          <w:szCs w:val="22"/>
        </w:rPr>
        <w:t>tion</w:t>
      </w:r>
      <w:r w:rsidR="007122FB">
        <w:rPr>
          <w:szCs w:val="22"/>
        </w:rPr>
        <w:t>s</w:t>
      </w:r>
      <w:r w:rsidR="0038620A">
        <w:rPr>
          <w:szCs w:val="22"/>
        </w:rPr>
        <w:t xml:space="preserve"> </w:t>
      </w:r>
      <w:r w:rsidR="00076DF2">
        <w:rPr>
          <w:szCs w:val="22"/>
        </w:rPr>
        <w:t xml:space="preserve">of the Subsidiary Companies’ wireless application submissions </w:t>
      </w:r>
      <w:r w:rsidR="0038620A">
        <w:rPr>
          <w:szCs w:val="22"/>
        </w:rPr>
        <w:t xml:space="preserve">on </w:t>
      </w:r>
      <w:r w:rsidR="001705BE">
        <w:rPr>
          <w:szCs w:val="22"/>
        </w:rPr>
        <w:t xml:space="preserve">their </w:t>
      </w:r>
      <w:r w:rsidR="0038620A">
        <w:rPr>
          <w:szCs w:val="22"/>
        </w:rPr>
        <w:t xml:space="preserve">own initiative, and </w:t>
      </w:r>
      <w:r w:rsidR="00875830">
        <w:rPr>
          <w:szCs w:val="22"/>
        </w:rPr>
        <w:t>Siemens</w:t>
      </w:r>
      <w:r w:rsidR="0038620A">
        <w:rPr>
          <w:szCs w:val="22"/>
        </w:rPr>
        <w:t>’s</w:t>
      </w:r>
      <w:r w:rsidR="001705BE">
        <w:rPr>
          <w:szCs w:val="22"/>
        </w:rPr>
        <w:t xml:space="preserve"> and Siemens Medical’s</w:t>
      </w:r>
      <w:r w:rsidR="0038620A">
        <w:rPr>
          <w:szCs w:val="22"/>
        </w:rPr>
        <w:t xml:space="preserve"> </w:t>
      </w:r>
      <w:r w:rsidR="006E6329">
        <w:rPr>
          <w:szCs w:val="22"/>
        </w:rPr>
        <w:t xml:space="preserve">full </w:t>
      </w:r>
      <w:r w:rsidR="0038620A">
        <w:rPr>
          <w:szCs w:val="22"/>
        </w:rPr>
        <w:t xml:space="preserve">cooperation with the Bureau’s investigation after </w:t>
      </w:r>
      <w:r w:rsidR="001705BE">
        <w:rPr>
          <w:szCs w:val="22"/>
        </w:rPr>
        <w:t>th</w:t>
      </w:r>
      <w:r w:rsidR="002A474D">
        <w:rPr>
          <w:szCs w:val="22"/>
        </w:rPr>
        <w:t>ose</w:t>
      </w:r>
      <w:r w:rsidR="001705BE">
        <w:rPr>
          <w:szCs w:val="22"/>
        </w:rPr>
        <w:t xml:space="preserve"> </w:t>
      </w:r>
      <w:r w:rsidR="0038620A">
        <w:rPr>
          <w:szCs w:val="22"/>
        </w:rPr>
        <w:t>correction</w:t>
      </w:r>
      <w:r w:rsidR="001705BE">
        <w:rPr>
          <w:szCs w:val="22"/>
        </w:rPr>
        <w:t>s</w:t>
      </w:r>
      <w:r w:rsidR="002C56AB">
        <w:rPr>
          <w:szCs w:val="22"/>
        </w:rPr>
        <w:t>.</w:t>
      </w:r>
    </w:p>
    <w:p w14:paraId="174F744B" w14:textId="77777777" w:rsidR="006E6329" w:rsidRDefault="006E6329" w:rsidP="003B4976">
      <w:pPr>
        <w:pStyle w:val="Paranum0"/>
        <w:tabs>
          <w:tab w:val="clear" w:pos="1080"/>
          <w:tab w:val="num" w:pos="1440"/>
        </w:tabs>
        <w:spacing w:after="120"/>
        <w:jc w:val="left"/>
        <w:rPr>
          <w:szCs w:val="22"/>
        </w:rPr>
      </w:pPr>
      <w:r>
        <w:t xml:space="preserve">To settle this matter, Siemens and Siemens Medical admit that their Companies filed several incorrect FCC wireless license applications.  Siemens and Siemens Medical also agree to </w:t>
      </w:r>
      <w:r w:rsidRPr="00C8124A">
        <w:rPr>
          <w:szCs w:val="22"/>
        </w:rPr>
        <w:t xml:space="preserve">pay a </w:t>
      </w:r>
      <w:r w:rsidRPr="008B7AB7">
        <w:rPr>
          <w:szCs w:val="22"/>
        </w:rPr>
        <w:t>$175,000 civil penalty</w:t>
      </w:r>
      <w:r>
        <w:t xml:space="preserve"> and to </w:t>
      </w:r>
      <w:r>
        <w:rPr>
          <w:szCs w:val="22"/>
        </w:rPr>
        <w:t>i</w:t>
      </w:r>
      <w:r w:rsidRPr="00C8124A">
        <w:rPr>
          <w:szCs w:val="22"/>
        </w:rPr>
        <w:t xml:space="preserve">mplement a compliance plan to ensure </w:t>
      </w:r>
      <w:r>
        <w:rPr>
          <w:szCs w:val="22"/>
        </w:rPr>
        <w:t>that these violations do not reoccur</w:t>
      </w:r>
      <w:r w:rsidRPr="008B7AB7">
        <w:t>.</w:t>
      </w:r>
    </w:p>
    <w:p w14:paraId="5E2D1F36" w14:textId="77777777" w:rsidR="003B4976" w:rsidRDefault="003B4976" w:rsidP="003B4976">
      <w:pPr>
        <w:pStyle w:val="Paranum0"/>
        <w:tabs>
          <w:tab w:val="clear" w:pos="1080"/>
          <w:tab w:val="num" w:pos="1440"/>
        </w:tabs>
        <w:spacing w:after="120"/>
        <w:jc w:val="left"/>
        <w:rPr>
          <w:szCs w:val="22"/>
        </w:rPr>
      </w:pPr>
      <w:r>
        <w:rPr>
          <w:szCs w:val="22"/>
        </w:rPr>
        <w:t xml:space="preserve">After reviewing the terms of the Consent Decree and evaluating the facts before us, we find that the public interest would be served by adopting the Consent Decree and terminating the referenced investigation </w:t>
      </w:r>
      <w:r>
        <w:rPr>
          <w:bCs/>
          <w:szCs w:val="22"/>
        </w:rPr>
        <w:t xml:space="preserve">into </w:t>
      </w:r>
      <w:r w:rsidR="008D671D">
        <w:rPr>
          <w:bCs/>
          <w:szCs w:val="22"/>
        </w:rPr>
        <w:t xml:space="preserve">the companies’ </w:t>
      </w:r>
      <w:r>
        <w:rPr>
          <w:szCs w:val="22"/>
        </w:rPr>
        <w:t xml:space="preserve">compliance with </w:t>
      </w:r>
      <w:r>
        <w:t>Section</w:t>
      </w:r>
      <w:r w:rsidR="005508FC">
        <w:t>s</w:t>
      </w:r>
      <w:r>
        <w:t xml:space="preserve"> 1</w:t>
      </w:r>
      <w:r w:rsidR="006E4498">
        <w:t>54</w:t>
      </w:r>
      <w:r>
        <w:t xml:space="preserve"> </w:t>
      </w:r>
      <w:r w:rsidR="005508FC">
        <w:t xml:space="preserve">and 308 </w:t>
      </w:r>
      <w:r>
        <w:t>of the Communications Act, as amended (Act),</w:t>
      </w:r>
      <w:r>
        <w:rPr>
          <w:vertAlign w:val="superscript"/>
        </w:rPr>
        <w:footnoteReference w:id="2"/>
      </w:r>
      <w:r w:rsidR="007B7E7F">
        <w:t xml:space="preserve"> and Section</w:t>
      </w:r>
      <w:r>
        <w:t xml:space="preserve"> 1.</w:t>
      </w:r>
      <w:r w:rsidR="005508FC">
        <w:t>17</w:t>
      </w:r>
      <w:r>
        <w:t xml:space="preserve"> of the Commission’s rules.</w:t>
      </w:r>
      <w:r>
        <w:rPr>
          <w:vertAlign w:val="superscript"/>
        </w:rPr>
        <w:footnoteReference w:id="3"/>
      </w:r>
    </w:p>
    <w:p w14:paraId="04133CC7" w14:textId="77777777" w:rsidR="003B4976" w:rsidRDefault="003B4976" w:rsidP="003B4976">
      <w:pPr>
        <w:pStyle w:val="Paranum0"/>
        <w:tabs>
          <w:tab w:val="clear" w:pos="1080"/>
          <w:tab w:val="num" w:pos="1440"/>
        </w:tabs>
        <w:spacing w:after="120"/>
        <w:jc w:val="left"/>
        <w:rPr>
          <w:szCs w:val="22"/>
        </w:rPr>
      </w:pPr>
      <w:r>
        <w:rPr>
          <w:szCs w:val="22"/>
        </w:rPr>
        <w:t xml:space="preserve">In the absence of material new evidence relating to this matter, we do not set for hearing the question of </w:t>
      </w:r>
      <w:r w:rsidR="00B0096F">
        <w:rPr>
          <w:szCs w:val="22"/>
        </w:rPr>
        <w:t>Siemens</w:t>
      </w:r>
      <w:r w:rsidR="00FC2DDF">
        <w:rPr>
          <w:szCs w:val="22"/>
        </w:rPr>
        <w:t>’</w:t>
      </w:r>
      <w:r w:rsidR="00F57F22">
        <w:rPr>
          <w:szCs w:val="22"/>
        </w:rPr>
        <w:t>s</w:t>
      </w:r>
      <w:r w:rsidR="001705BE">
        <w:rPr>
          <w:szCs w:val="22"/>
        </w:rPr>
        <w:t>,</w:t>
      </w:r>
      <w:r w:rsidR="008D671D">
        <w:rPr>
          <w:szCs w:val="22"/>
        </w:rPr>
        <w:t xml:space="preserve"> </w:t>
      </w:r>
      <w:r w:rsidR="008D671D">
        <w:t>Siemens Medical</w:t>
      </w:r>
      <w:r>
        <w:rPr>
          <w:szCs w:val="22"/>
        </w:rPr>
        <w:t>’s</w:t>
      </w:r>
      <w:r w:rsidR="001705BE">
        <w:rPr>
          <w:szCs w:val="22"/>
        </w:rPr>
        <w:t>, or their Subsidiary Companies’</w:t>
      </w:r>
      <w:r>
        <w:rPr>
          <w:szCs w:val="22"/>
        </w:rPr>
        <w:t xml:space="preserve"> basic qualifications to hold or obtain any Commission license or authorization.</w:t>
      </w:r>
      <w:r>
        <w:rPr>
          <w:rStyle w:val="FootnoteReference"/>
          <w:szCs w:val="22"/>
        </w:rPr>
        <w:footnoteReference w:id="4"/>
      </w:r>
    </w:p>
    <w:p w14:paraId="710F4FD1" w14:textId="77777777" w:rsidR="003B4976" w:rsidRDefault="003B4976" w:rsidP="003B4976">
      <w:pPr>
        <w:pStyle w:val="Paranum0"/>
        <w:tabs>
          <w:tab w:val="clear" w:pos="1080"/>
          <w:tab w:val="num" w:pos="1440"/>
        </w:tabs>
        <w:spacing w:after="120"/>
        <w:jc w:val="left"/>
        <w:rPr>
          <w:szCs w:val="22"/>
        </w:rPr>
      </w:pPr>
      <w:r>
        <w:rPr>
          <w:szCs w:val="22"/>
        </w:rPr>
        <w:t xml:space="preserve">Accordingly, </w:t>
      </w:r>
      <w:r>
        <w:rPr>
          <w:b/>
          <w:szCs w:val="22"/>
        </w:rPr>
        <w:t>IT IS ORDERED</w:t>
      </w:r>
      <w:r>
        <w:rPr>
          <w:szCs w:val="22"/>
        </w:rPr>
        <w:t xml:space="preserve"> that, pursuant to Section 4(i) of the Act,</w:t>
      </w:r>
      <w:r>
        <w:rPr>
          <w:rStyle w:val="FootnoteReference"/>
          <w:szCs w:val="22"/>
        </w:rPr>
        <w:footnoteReference w:id="5"/>
      </w:r>
      <w:r>
        <w:rPr>
          <w:szCs w:val="22"/>
        </w:rPr>
        <w:t xml:space="preserve"> </w:t>
      </w:r>
      <w:r>
        <w:rPr>
          <w:bCs/>
          <w:szCs w:val="22"/>
        </w:rPr>
        <w:t>and the authority delegated by Sections 0.111 and 0.311 of the Commission’s rules,</w:t>
      </w:r>
      <w:r>
        <w:rPr>
          <w:rStyle w:val="FootnoteReference"/>
          <w:bCs/>
          <w:szCs w:val="22"/>
        </w:rPr>
        <w:footnoteReference w:id="6"/>
      </w:r>
      <w:r>
        <w:rPr>
          <w:bCs/>
          <w:szCs w:val="22"/>
        </w:rPr>
        <w:t xml:space="preserve"> the</w:t>
      </w:r>
      <w:r>
        <w:rPr>
          <w:szCs w:val="22"/>
        </w:rPr>
        <w:t xml:space="preserve"> Consent Decree attached to this Order </w:t>
      </w:r>
      <w:r>
        <w:rPr>
          <w:b/>
          <w:szCs w:val="22"/>
        </w:rPr>
        <w:t xml:space="preserve">IS ADOPTED </w:t>
      </w:r>
      <w:r w:rsidRPr="00120AAD">
        <w:rPr>
          <w:szCs w:val="22"/>
        </w:rPr>
        <w:t>and</w:t>
      </w:r>
      <w:r>
        <w:rPr>
          <w:b/>
          <w:szCs w:val="22"/>
        </w:rPr>
        <w:t xml:space="preserve"> </w:t>
      </w:r>
      <w:r>
        <w:rPr>
          <w:szCs w:val="22"/>
        </w:rPr>
        <w:t xml:space="preserve">its terms </w:t>
      </w:r>
      <w:r w:rsidR="00D4074A">
        <w:rPr>
          <w:szCs w:val="22"/>
        </w:rPr>
        <w:t xml:space="preserve">are </w:t>
      </w:r>
      <w:r>
        <w:rPr>
          <w:szCs w:val="22"/>
        </w:rPr>
        <w:t>incorporated by reference.</w:t>
      </w:r>
    </w:p>
    <w:p w14:paraId="73760799" w14:textId="77777777" w:rsidR="003B4976" w:rsidRDefault="003B4976" w:rsidP="003B4976">
      <w:pPr>
        <w:pStyle w:val="Paranum0"/>
        <w:keepNext/>
        <w:keepLines/>
        <w:tabs>
          <w:tab w:val="clear" w:pos="1080"/>
          <w:tab w:val="num" w:pos="1440"/>
        </w:tabs>
        <w:spacing w:after="120"/>
        <w:jc w:val="left"/>
      </w:pPr>
      <w:r w:rsidRPr="00766539">
        <w:rPr>
          <w:b/>
        </w:rPr>
        <w:t>IT IS FURTHER ORDERED</w:t>
      </w:r>
      <w:r>
        <w:t xml:space="preserve"> that the above-captioned matter </w:t>
      </w:r>
      <w:r w:rsidRPr="00766539">
        <w:rPr>
          <w:b/>
        </w:rPr>
        <w:t>IS TERMINATED</w:t>
      </w:r>
      <w:r>
        <w:t>.</w:t>
      </w:r>
    </w:p>
    <w:p w14:paraId="120E7065" w14:textId="77777777" w:rsidR="003B4976" w:rsidRPr="00106592" w:rsidRDefault="003B4976" w:rsidP="00106592">
      <w:pPr>
        <w:pStyle w:val="Paranum0"/>
        <w:keepNext/>
        <w:keepLines/>
        <w:tabs>
          <w:tab w:val="clear" w:pos="1080"/>
          <w:tab w:val="num" w:pos="1440"/>
        </w:tabs>
        <w:spacing w:after="120"/>
        <w:jc w:val="left"/>
        <w:rPr>
          <w:szCs w:val="22"/>
        </w:rPr>
      </w:pPr>
      <w:r w:rsidRPr="00E53D1B">
        <w:rPr>
          <w:b/>
          <w:szCs w:val="22"/>
        </w:rPr>
        <w:t xml:space="preserve">IT IS FURTHER ORDERED </w:t>
      </w:r>
      <w:r w:rsidRPr="00E53D1B">
        <w:rPr>
          <w:szCs w:val="22"/>
        </w:rPr>
        <w:t xml:space="preserve">that a copy of this Order and Consent Decree shall be sent by first class mail and certified mail, return receipt requested, to </w:t>
      </w:r>
      <w:r w:rsidR="00106592">
        <w:rPr>
          <w:szCs w:val="22"/>
        </w:rPr>
        <w:t>Ann D. Fairchild, Associate General Counsel and Head of Legal, U.S</w:t>
      </w:r>
      <w:r w:rsidR="005E6205">
        <w:rPr>
          <w:szCs w:val="22"/>
        </w:rPr>
        <w:t>.</w:t>
      </w:r>
      <w:r w:rsidR="00106592">
        <w:rPr>
          <w:szCs w:val="22"/>
        </w:rPr>
        <w:t xml:space="preserve"> Projects CoE, Siemens Corporation, 4400 Alafaya Trail, Q1-425, Orlando, FL 32826</w:t>
      </w:r>
      <w:r w:rsidR="00717025">
        <w:rPr>
          <w:szCs w:val="22"/>
        </w:rPr>
        <w:t xml:space="preserve">; </w:t>
      </w:r>
      <w:r w:rsidR="00106592">
        <w:rPr>
          <w:szCs w:val="22"/>
        </w:rPr>
        <w:t>Tony D’Adamio, General Counsel, Siemens Medical Solutions USA, Inc., 40 Liberty Boulevard, Malvern, PA 19355</w:t>
      </w:r>
      <w:r w:rsidR="00717025">
        <w:rPr>
          <w:szCs w:val="22"/>
        </w:rPr>
        <w:t>; Elizabeth R. Park, Esq., Latham &amp; Watkins, 555 11</w:t>
      </w:r>
      <w:r w:rsidR="00717025" w:rsidRPr="001A13DA">
        <w:rPr>
          <w:szCs w:val="22"/>
          <w:vertAlign w:val="superscript"/>
        </w:rPr>
        <w:t>th</w:t>
      </w:r>
      <w:r w:rsidR="00717025">
        <w:rPr>
          <w:szCs w:val="22"/>
        </w:rPr>
        <w:t xml:space="preserve"> Street, NW</w:t>
      </w:r>
      <w:r w:rsidR="0079553B">
        <w:rPr>
          <w:szCs w:val="22"/>
        </w:rPr>
        <w:t>,</w:t>
      </w:r>
      <w:r w:rsidR="00717025">
        <w:rPr>
          <w:szCs w:val="22"/>
        </w:rPr>
        <w:t xml:space="preserve"> STE 1000, Washington, DC 20004; and Matthew A. Brill, Esq., Latham &amp; Watkins, 555 11</w:t>
      </w:r>
      <w:r w:rsidR="00717025" w:rsidRPr="00830863">
        <w:rPr>
          <w:szCs w:val="22"/>
          <w:vertAlign w:val="superscript"/>
        </w:rPr>
        <w:t>th</w:t>
      </w:r>
      <w:r w:rsidR="00717025">
        <w:rPr>
          <w:szCs w:val="22"/>
        </w:rPr>
        <w:t xml:space="preserve"> Street, NW</w:t>
      </w:r>
      <w:r w:rsidR="0079553B">
        <w:rPr>
          <w:szCs w:val="22"/>
        </w:rPr>
        <w:t>,</w:t>
      </w:r>
      <w:r w:rsidR="00717025">
        <w:rPr>
          <w:szCs w:val="22"/>
        </w:rPr>
        <w:t xml:space="preserve"> STE 1000, Washington, DC 20004</w:t>
      </w:r>
      <w:r w:rsidRPr="00106592">
        <w:rPr>
          <w:szCs w:val="22"/>
        </w:rPr>
        <w:t>.</w:t>
      </w:r>
    </w:p>
    <w:p w14:paraId="4EFA9740" w14:textId="77777777" w:rsidR="003B4976" w:rsidRDefault="003B4976" w:rsidP="003B4976">
      <w:pPr>
        <w:keepNext/>
        <w:keepLines/>
        <w:widowControl/>
        <w:tabs>
          <w:tab w:val="left" w:pos="0"/>
        </w:tabs>
        <w:suppressAutoHyphens/>
        <w:spacing w:line="240" w:lineRule="atLeast"/>
        <w:jc w:val="both"/>
        <w:rPr>
          <w:szCs w:val="22"/>
        </w:rPr>
      </w:pPr>
    </w:p>
    <w:p w14:paraId="7E8953CE" w14:textId="77777777" w:rsidR="003B4976" w:rsidRDefault="003B4976" w:rsidP="003B4976">
      <w:pPr>
        <w:tabs>
          <w:tab w:val="left" w:pos="0"/>
        </w:tabs>
        <w:suppressAutoHyphens/>
        <w:spacing w:line="240" w:lineRule="atLeast"/>
        <w:jc w:val="both"/>
        <w:rPr>
          <w:szCs w:val="22"/>
        </w:rPr>
      </w:pPr>
    </w:p>
    <w:p w14:paraId="7560F2B4" w14:textId="77777777" w:rsidR="003B4976" w:rsidRDefault="003B4976" w:rsidP="001F7CED">
      <w:pPr>
        <w:widowControl/>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zCs w:val="22"/>
        </w:rPr>
        <w:tab/>
      </w:r>
      <w:r>
        <w:rPr>
          <w:spacing w:val="-2"/>
          <w:szCs w:val="22"/>
        </w:rPr>
        <w:t>FEDERAL COMMUNICATIONS COMMISSION</w:t>
      </w:r>
    </w:p>
    <w:p w14:paraId="234BE0BF" w14:textId="77777777" w:rsidR="003B4976" w:rsidRDefault="003B4976" w:rsidP="003B4976">
      <w:pPr>
        <w:pStyle w:val="MediumGrid21"/>
        <w:rPr>
          <w:sz w:val="22"/>
          <w:szCs w:val="22"/>
        </w:rPr>
      </w:pPr>
    </w:p>
    <w:p w14:paraId="30F9D4E2" w14:textId="77777777" w:rsidR="003B4976" w:rsidRDefault="003B4976" w:rsidP="003B4976">
      <w:pPr>
        <w:pStyle w:val="MediumGrid21"/>
        <w:rPr>
          <w:sz w:val="22"/>
          <w:szCs w:val="22"/>
        </w:rPr>
      </w:pPr>
    </w:p>
    <w:p w14:paraId="7B689F3D" w14:textId="77777777" w:rsidR="003B4976" w:rsidRDefault="003B4976" w:rsidP="003B4976">
      <w:pPr>
        <w:pStyle w:val="MediumGrid21"/>
        <w:rPr>
          <w:sz w:val="22"/>
          <w:szCs w:val="22"/>
        </w:rPr>
      </w:pPr>
    </w:p>
    <w:p w14:paraId="77B1EFC0" w14:textId="77777777" w:rsidR="003B4976" w:rsidRDefault="003B4976" w:rsidP="003B4976">
      <w:pPr>
        <w:pStyle w:val="MediumGrid21"/>
        <w:rPr>
          <w:color w:val="000000"/>
          <w:sz w:val="22"/>
          <w:szCs w:val="22"/>
        </w:rPr>
      </w:pPr>
    </w:p>
    <w:p w14:paraId="00479E0D" w14:textId="77777777" w:rsidR="003B4976" w:rsidRDefault="003B4976" w:rsidP="003B4976">
      <w:pPr>
        <w:pStyle w:val="MediumGrid21"/>
        <w:ind w:left="4320"/>
        <w:rPr>
          <w:color w:val="000000"/>
          <w:sz w:val="22"/>
          <w:szCs w:val="22"/>
        </w:rPr>
      </w:pPr>
      <w:smartTag w:uri="urn:schemas-microsoft-com:office:smarttags" w:element="PersonName">
        <w:r>
          <w:rPr>
            <w:color w:val="000000"/>
            <w:sz w:val="22"/>
            <w:szCs w:val="22"/>
          </w:rPr>
          <w:t>Travis LeBlanc</w:t>
        </w:r>
      </w:smartTag>
    </w:p>
    <w:p w14:paraId="56871198" w14:textId="77777777" w:rsidR="007A0CE5" w:rsidRDefault="003B4976" w:rsidP="00C720C2">
      <w:pPr>
        <w:ind w:left="4320"/>
        <w:rPr>
          <w:color w:val="000000"/>
          <w:szCs w:val="22"/>
        </w:rPr>
      </w:pPr>
      <w:r>
        <w:rPr>
          <w:color w:val="000000"/>
          <w:szCs w:val="22"/>
        </w:rPr>
        <w:t>Chief</w:t>
      </w:r>
    </w:p>
    <w:p w14:paraId="16BAC8E4" w14:textId="77777777" w:rsidR="00C83A10" w:rsidRDefault="003B4976" w:rsidP="00C720C2">
      <w:pPr>
        <w:ind w:left="4320"/>
        <w:rPr>
          <w:color w:val="000000"/>
          <w:szCs w:val="22"/>
        </w:rPr>
        <w:sectPr w:rsidR="00C83A10" w:rsidSect="0041136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r>
        <w:rPr>
          <w:color w:val="000000"/>
          <w:szCs w:val="22"/>
        </w:rPr>
        <w:t>Enforcement</w:t>
      </w:r>
      <w:r>
        <w:rPr>
          <w:color w:val="000000"/>
        </w:rPr>
        <w:t xml:space="preserve"> </w:t>
      </w:r>
      <w:r>
        <w:rPr>
          <w:color w:val="000000"/>
          <w:szCs w:val="22"/>
        </w:rPr>
        <w:t>Bureau</w:t>
      </w:r>
      <w:bookmarkStart w:id="1" w:name="FN[FN18]"/>
      <w:bookmarkEnd w:id="1"/>
    </w:p>
    <w:p w14:paraId="16B99E6F" w14:textId="77777777" w:rsidR="00742222" w:rsidRPr="00F26A95" w:rsidRDefault="00742222" w:rsidP="00742222">
      <w:pPr>
        <w:jc w:val="center"/>
        <w:rPr>
          <w:rFonts w:ascii="Times New Roman Bold" w:hAnsi="Times New Roman Bold"/>
        </w:rPr>
      </w:pPr>
    </w:p>
    <w:p w14:paraId="69FFC65D" w14:textId="77777777" w:rsidR="00742222" w:rsidRPr="00843A5F" w:rsidRDefault="00742222" w:rsidP="00742222">
      <w:pPr>
        <w:jc w:val="center"/>
        <w:rPr>
          <w:b/>
        </w:rPr>
      </w:pPr>
      <w:r w:rsidRPr="00843A5F">
        <w:rPr>
          <w:rFonts w:ascii="Times New Roman Bold" w:hAnsi="Times New Roman Bold"/>
          <w:b/>
        </w:rPr>
        <w:t>Before</w:t>
      </w:r>
      <w:r w:rsidRPr="00843A5F">
        <w:rPr>
          <w:b/>
        </w:rPr>
        <w:t xml:space="preserve"> the</w:t>
      </w:r>
    </w:p>
    <w:p w14:paraId="1469C6EA" w14:textId="77777777" w:rsidR="00742222" w:rsidRPr="00843A5F" w:rsidRDefault="00742222" w:rsidP="00742222">
      <w:pPr>
        <w:pStyle w:val="StyleBoldCentered"/>
      </w:pPr>
      <w:r w:rsidRPr="00843A5F">
        <w:t>F</w:t>
      </w:r>
      <w:r w:rsidRPr="00843A5F">
        <w:rPr>
          <w:caps w:val="0"/>
        </w:rPr>
        <w:t>ederal Communications Commission</w:t>
      </w:r>
    </w:p>
    <w:p w14:paraId="3900AC6A" w14:textId="77777777" w:rsidR="00742222" w:rsidRPr="00843A5F" w:rsidRDefault="00742222" w:rsidP="00742222">
      <w:pPr>
        <w:pStyle w:val="StyleBoldCentered"/>
      </w:pPr>
      <w:r w:rsidRPr="00843A5F">
        <w:rPr>
          <w:caps w:val="0"/>
        </w:rPr>
        <w:t>Washington, DC 20554</w:t>
      </w:r>
    </w:p>
    <w:p w14:paraId="69E33B31" w14:textId="77777777" w:rsidR="00742222" w:rsidRPr="00843A5F" w:rsidRDefault="00742222" w:rsidP="00742222"/>
    <w:tbl>
      <w:tblPr>
        <w:tblW w:w="9576" w:type="dxa"/>
        <w:tblLayout w:type="fixed"/>
        <w:tblLook w:val="0000" w:firstRow="0" w:lastRow="0" w:firstColumn="0" w:lastColumn="0" w:noHBand="0" w:noVBand="0"/>
      </w:tblPr>
      <w:tblGrid>
        <w:gridCol w:w="4698"/>
        <w:gridCol w:w="630"/>
        <w:gridCol w:w="4248"/>
      </w:tblGrid>
      <w:tr w:rsidR="00742222" w14:paraId="23D182B3" w14:textId="77777777" w:rsidTr="00E105FF">
        <w:trPr>
          <w:trHeight w:val="2043"/>
        </w:trPr>
        <w:tc>
          <w:tcPr>
            <w:tcW w:w="4698" w:type="dxa"/>
          </w:tcPr>
          <w:p w14:paraId="4D62BB17" w14:textId="77777777" w:rsidR="00742222" w:rsidRPr="00843A5F" w:rsidRDefault="00742222" w:rsidP="00E105FF">
            <w:pPr>
              <w:tabs>
                <w:tab w:val="center" w:pos="4680"/>
              </w:tabs>
              <w:suppressAutoHyphens/>
              <w:rPr>
                <w:spacing w:val="-2"/>
              </w:rPr>
            </w:pPr>
            <w:r w:rsidRPr="00843A5F">
              <w:rPr>
                <w:spacing w:val="-2"/>
              </w:rPr>
              <w:t>In the Matter of</w:t>
            </w:r>
          </w:p>
          <w:p w14:paraId="5FB03799" w14:textId="77777777" w:rsidR="00742222" w:rsidRPr="00843A5F" w:rsidRDefault="00742222" w:rsidP="00E105FF">
            <w:pPr>
              <w:tabs>
                <w:tab w:val="center" w:pos="4680"/>
              </w:tabs>
              <w:suppressAutoHyphens/>
              <w:rPr>
                <w:spacing w:val="-2"/>
              </w:rPr>
            </w:pPr>
          </w:p>
          <w:p w14:paraId="0651C50C" w14:textId="77777777" w:rsidR="00742222" w:rsidRPr="007C0B39" w:rsidRDefault="00742222" w:rsidP="00E105FF">
            <w:pPr>
              <w:tabs>
                <w:tab w:val="center" w:pos="4680"/>
              </w:tabs>
              <w:suppressAutoHyphens/>
              <w:rPr>
                <w:spacing w:val="-2"/>
              </w:rPr>
            </w:pPr>
            <w:r>
              <w:rPr>
                <w:spacing w:val="-2"/>
              </w:rPr>
              <w:t xml:space="preserve">Siemens Corporation, </w:t>
            </w:r>
            <w:r w:rsidRPr="00FE7D66">
              <w:rPr>
                <w:i/>
                <w:spacing w:val="-2"/>
              </w:rPr>
              <w:t>et al</w:t>
            </w:r>
            <w:r>
              <w:rPr>
                <w:spacing w:val="-2"/>
              </w:rPr>
              <w:t>.</w:t>
            </w:r>
          </w:p>
        </w:tc>
        <w:tc>
          <w:tcPr>
            <w:tcW w:w="630" w:type="dxa"/>
          </w:tcPr>
          <w:p w14:paraId="0A011662" w14:textId="77777777" w:rsidR="00742222" w:rsidRPr="007C0B39" w:rsidRDefault="00742222" w:rsidP="00E105FF">
            <w:pPr>
              <w:tabs>
                <w:tab w:val="center" w:pos="4680"/>
              </w:tabs>
              <w:suppressAutoHyphens/>
              <w:rPr>
                <w:b/>
                <w:spacing w:val="-2"/>
              </w:rPr>
            </w:pPr>
            <w:r w:rsidRPr="007C0B39">
              <w:rPr>
                <w:b/>
                <w:spacing w:val="-2"/>
              </w:rPr>
              <w:t>)</w:t>
            </w:r>
          </w:p>
          <w:p w14:paraId="66C469D8" w14:textId="77777777" w:rsidR="00742222" w:rsidRPr="007C0B39" w:rsidRDefault="00742222" w:rsidP="00E105FF">
            <w:pPr>
              <w:tabs>
                <w:tab w:val="center" w:pos="4680"/>
              </w:tabs>
              <w:suppressAutoHyphens/>
              <w:rPr>
                <w:b/>
                <w:spacing w:val="-2"/>
              </w:rPr>
            </w:pPr>
            <w:r w:rsidRPr="007C0B39">
              <w:rPr>
                <w:b/>
                <w:spacing w:val="-2"/>
              </w:rPr>
              <w:t>)</w:t>
            </w:r>
          </w:p>
          <w:p w14:paraId="181D5ECF" w14:textId="77777777" w:rsidR="00742222" w:rsidRPr="007C0B39" w:rsidRDefault="00742222" w:rsidP="00E105FF">
            <w:pPr>
              <w:tabs>
                <w:tab w:val="center" w:pos="4680"/>
              </w:tabs>
              <w:suppressAutoHyphens/>
              <w:rPr>
                <w:b/>
                <w:spacing w:val="-2"/>
              </w:rPr>
            </w:pPr>
            <w:r w:rsidRPr="007C0B39">
              <w:rPr>
                <w:b/>
                <w:spacing w:val="-2"/>
              </w:rPr>
              <w:t>)</w:t>
            </w:r>
          </w:p>
          <w:p w14:paraId="39CAEEC9" w14:textId="77777777" w:rsidR="00742222" w:rsidRPr="007C0B39" w:rsidRDefault="00742222" w:rsidP="00E105FF">
            <w:pPr>
              <w:tabs>
                <w:tab w:val="center" w:pos="4680"/>
              </w:tabs>
              <w:suppressAutoHyphens/>
              <w:rPr>
                <w:b/>
                <w:spacing w:val="-2"/>
              </w:rPr>
            </w:pPr>
            <w:r w:rsidRPr="007C0B39">
              <w:rPr>
                <w:b/>
                <w:spacing w:val="-2"/>
              </w:rPr>
              <w:t>)</w:t>
            </w:r>
          </w:p>
          <w:p w14:paraId="393768B7" w14:textId="77777777" w:rsidR="00742222" w:rsidRPr="007C0B39" w:rsidRDefault="00742222" w:rsidP="00E105FF">
            <w:pPr>
              <w:tabs>
                <w:tab w:val="center" w:pos="4680"/>
              </w:tabs>
              <w:suppressAutoHyphens/>
              <w:rPr>
                <w:b/>
                <w:spacing w:val="-2"/>
              </w:rPr>
            </w:pPr>
            <w:r w:rsidRPr="007C0B39">
              <w:rPr>
                <w:b/>
                <w:spacing w:val="-2"/>
              </w:rPr>
              <w:t>)</w:t>
            </w:r>
          </w:p>
          <w:p w14:paraId="1DB90A33" w14:textId="77777777" w:rsidR="00742222" w:rsidRDefault="00742222" w:rsidP="00E105FF">
            <w:pPr>
              <w:tabs>
                <w:tab w:val="center" w:pos="4680"/>
              </w:tabs>
              <w:suppressAutoHyphens/>
              <w:rPr>
                <w:b/>
                <w:spacing w:val="-2"/>
              </w:rPr>
            </w:pPr>
            <w:r>
              <w:rPr>
                <w:b/>
                <w:spacing w:val="-2"/>
              </w:rPr>
              <w:t>)</w:t>
            </w:r>
          </w:p>
          <w:p w14:paraId="5EC91893" w14:textId="77777777" w:rsidR="00742222" w:rsidRPr="007C0B39" w:rsidRDefault="00742222" w:rsidP="00E105FF">
            <w:pPr>
              <w:tabs>
                <w:tab w:val="center" w:pos="4680"/>
              </w:tabs>
              <w:suppressAutoHyphens/>
              <w:rPr>
                <w:b/>
                <w:spacing w:val="-2"/>
              </w:rPr>
            </w:pPr>
            <w:r>
              <w:rPr>
                <w:b/>
                <w:spacing w:val="-2"/>
              </w:rPr>
              <w:t>)</w:t>
            </w:r>
          </w:p>
          <w:p w14:paraId="63C09545" w14:textId="77777777" w:rsidR="00742222" w:rsidRPr="007C0B39" w:rsidRDefault="00742222" w:rsidP="00E105FF">
            <w:pPr>
              <w:tabs>
                <w:tab w:val="center" w:pos="4680"/>
              </w:tabs>
              <w:suppressAutoHyphens/>
              <w:rPr>
                <w:b/>
                <w:spacing w:val="-2"/>
              </w:rPr>
            </w:pPr>
            <w:r w:rsidRPr="007C0B39">
              <w:rPr>
                <w:b/>
                <w:spacing w:val="-2"/>
              </w:rPr>
              <w:t>)</w:t>
            </w:r>
          </w:p>
          <w:p w14:paraId="6E2B580C" w14:textId="77777777" w:rsidR="00742222" w:rsidRPr="007C0B39" w:rsidRDefault="00742222" w:rsidP="00E105FF">
            <w:pPr>
              <w:tabs>
                <w:tab w:val="center" w:pos="4680"/>
              </w:tabs>
              <w:suppressAutoHyphens/>
              <w:rPr>
                <w:spacing w:val="-2"/>
              </w:rPr>
            </w:pPr>
          </w:p>
        </w:tc>
        <w:tc>
          <w:tcPr>
            <w:tcW w:w="4248" w:type="dxa"/>
          </w:tcPr>
          <w:p w14:paraId="0FDDB85A" w14:textId="77777777" w:rsidR="00742222" w:rsidRDefault="00742222" w:rsidP="00E105FF">
            <w:pPr>
              <w:tabs>
                <w:tab w:val="center" w:pos="4680"/>
              </w:tabs>
              <w:suppressAutoHyphens/>
              <w:ind w:left="432"/>
              <w:rPr>
                <w:spacing w:val="-2"/>
              </w:rPr>
            </w:pPr>
          </w:p>
          <w:p w14:paraId="47F60F10" w14:textId="77777777" w:rsidR="00742222" w:rsidRDefault="00742222" w:rsidP="00E105FF">
            <w:pPr>
              <w:tabs>
                <w:tab w:val="center" w:pos="4680"/>
              </w:tabs>
              <w:suppressAutoHyphens/>
              <w:ind w:left="432"/>
              <w:rPr>
                <w:spacing w:val="-2"/>
              </w:rPr>
            </w:pPr>
          </w:p>
          <w:p w14:paraId="45ACC5C2" w14:textId="77777777" w:rsidR="00742222" w:rsidRPr="007C0B39" w:rsidRDefault="00742222" w:rsidP="00E105FF">
            <w:pPr>
              <w:tabs>
                <w:tab w:val="center" w:pos="4680"/>
              </w:tabs>
              <w:suppressAutoHyphens/>
              <w:ind w:left="432"/>
              <w:rPr>
                <w:spacing w:val="-2"/>
              </w:rPr>
            </w:pPr>
            <w:r>
              <w:rPr>
                <w:spacing w:val="-2"/>
              </w:rPr>
              <w:t>File No.: EB-IHD-16-00021037</w:t>
            </w:r>
          </w:p>
          <w:p w14:paraId="102B815D" w14:textId="77777777" w:rsidR="00742222" w:rsidRDefault="00742222" w:rsidP="00E105FF">
            <w:pPr>
              <w:ind w:left="432"/>
              <w:rPr>
                <w:spacing w:val="-2"/>
              </w:rPr>
            </w:pPr>
          </w:p>
          <w:p w14:paraId="700E971D" w14:textId="77777777" w:rsidR="00742222" w:rsidRPr="00FE7D66" w:rsidRDefault="00742222" w:rsidP="00E105FF">
            <w:pPr>
              <w:ind w:left="432"/>
              <w:rPr>
                <w:spacing w:val="-2"/>
                <w:szCs w:val="22"/>
              </w:rPr>
            </w:pPr>
            <w:r>
              <w:rPr>
                <w:spacing w:val="-2"/>
              </w:rPr>
              <w:t xml:space="preserve">Acct. No.: </w:t>
            </w:r>
            <w:r w:rsidRPr="00FE7D66">
              <w:rPr>
                <w:szCs w:val="22"/>
              </w:rPr>
              <w:t>201632080010</w:t>
            </w:r>
          </w:p>
          <w:p w14:paraId="7AC81490" w14:textId="77777777" w:rsidR="00742222" w:rsidRDefault="00742222" w:rsidP="00E105FF">
            <w:pPr>
              <w:tabs>
                <w:tab w:val="center" w:pos="4680"/>
              </w:tabs>
              <w:suppressAutoHyphens/>
              <w:ind w:left="432"/>
            </w:pPr>
          </w:p>
          <w:p w14:paraId="68C9E134" w14:textId="77777777" w:rsidR="00742222" w:rsidRPr="007C0B39" w:rsidRDefault="00742222" w:rsidP="00E105FF">
            <w:pPr>
              <w:tabs>
                <w:tab w:val="center" w:pos="4680"/>
              </w:tabs>
              <w:suppressAutoHyphens/>
              <w:ind w:left="432"/>
              <w:rPr>
                <w:spacing w:val="-2"/>
              </w:rPr>
            </w:pPr>
            <w:r w:rsidRPr="007C0B39">
              <w:t xml:space="preserve">FRN: </w:t>
            </w:r>
            <w:r>
              <w:t>0024729832</w:t>
            </w:r>
          </w:p>
        </w:tc>
      </w:tr>
    </w:tbl>
    <w:p w14:paraId="378FDBB4" w14:textId="77777777" w:rsidR="00742222" w:rsidRPr="007C0B39" w:rsidRDefault="00742222" w:rsidP="00742222">
      <w:pPr>
        <w:pStyle w:val="StyleBoldCentered"/>
      </w:pPr>
      <w:r w:rsidRPr="007C0B39">
        <w:t>CONSENT DECREE</w:t>
      </w:r>
    </w:p>
    <w:p w14:paraId="24EC5798" w14:textId="77777777" w:rsidR="00742222" w:rsidRPr="007C0B39" w:rsidRDefault="00742222" w:rsidP="00742222">
      <w:pPr>
        <w:pStyle w:val="StyleBoldCentered"/>
      </w:pPr>
    </w:p>
    <w:p w14:paraId="19E91579" w14:textId="77777777" w:rsidR="00742222" w:rsidRPr="00244029" w:rsidRDefault="00742222" w:rsidP="00742222">
      <w:pPr>
        <w:pStyle w:val="ParaNum"/>
      </w:pPr>
      <w:r w:rsidRPr="007C0B39">
        <w:t xml:space="preserve">The Enforcement Bureau </w:t>
      </w:r>
      <w:r>
        <w:t xml:space="preserve">(Bureau) </w:t>
      </w:r>
      <w:r w:rsidRPr="007C0B39">
        <w:t>of the Federal Communications Commission</w:t>
      </w:r>
      <w:r>
        <w:t xml:space="preserve"> (FCC or Commission)</w:t>
      </w:r>
      <w:r w:rsidRPr="007C0B39">
        <w:t xml:space="preserve"> and </w:t>
      </w:r>
      <w:r>
        <w:t>Siemens Corporation (Siemens) and Siemens Medical Solutions USA, Inc. (Siemens Medical), each on behalf its subsidiary companies (Subsidiaries),</w:t>
      </w:r>
      <w:r w:rsidRPr="007C0B39">
        <w:t xml:space="preserve"> by </w:t>
      </w:r>
      <w:r>
        <w:t>its</w:t>
      </w:r>
      <w:r w:rsidRPr="007C0B39">
        <w:t xml:space="preserve"> authorized representative, hereby enter into this Consent Decree for the purpose of terminating the Enforcement Bureau’s</w:t>
      </w:r>
      <w:r>
        <w:t xml:space="preserve"> </w:t>
      </w:r>
      <w:r w:rsidRPr="007C0B39">
        <w:t xml:space="preserve">investigation into whether </w:t>
      </w:r>
      <w:r>
        <w:t xml:space="preserve">certain Subsidiaries </w:t>
      </w:r>
      <w:r w:rsidRPr="007C0B39">
        <w:t xml:space="preserve">violated </w:t>
      </w:r>
      <w:r w:rsidRPr="00F9498C">
        <w:t xml:space="preserve">47 CFR §§ </w:t>
      </w:r>
      <w:r>
        <w:t xml:space="preserve">1.17 and 1.65 in connection with Commission’s requirement </w:t>
      </w:r>
      <w:r w:rsidRPr="00D84548">
        <w:t xml:space="preserve">that </w:t>
      </w:r>
      <w:r>
        <w:t>entities subject to the Commission’s jurisdiction file accurate and true information in their wireless license applications</w:t>
      </w:r>
      <w:r w:rsidRPr="007C0B39">
        <w:t>.</w:t>
      </w:r>
      <w:r>
        <w:t xml:space="preserve">  The wireless licenses issued by the Commission to the Subsidiaries </w:t>
      </w:r>
      <w:r>
        <w:rPr>
          <w:spacing w:val="-2"/>
        </w:rPr>
        <w:t xml:space="preserve">are maintained </w:t>
      </w:r>
      <w:r w:rsidRPr="00244029">
        <w:rPr>
          <w:spacing w:val="-2"/>
        </w:rPr>
        <w:t xml:space="preserve">for business radios used </w:t>
      </w:r>
      <w:r>
        <w:rPr>
          <w:spacing w:val="-2"/>
        </w:rPr>
        <w:t xml:space="preserve">by the Subsidiaries at various Siemens and Siemens Medical </w:t>
      </w:r>
      <w:r w:rsidRPr="00244029">
        <w:rPr>
          <w:spacing w:val="-2"/>
        </w:rPr>
        <w:t>manufacturing, construction</w:t>
      </w:r>
      <w:r>
        <w:rPr>
          <w:spacing w:val="-2"/>
        </w:rPr>
        <w:t>, and power generation sites in the United States</w:t>
      </w:r>
      <w:r w:rsidRPr="00244029">
        <w:rPr>
          <w:spacing w:val="-2"/>
        </w:rPr>
        <w:t>.</w:t>
      </w:r>
      <w:r>
        <w:rPr>
          <w:rStyle w:val="FootnoteReference"/>
          <w:spacing w:val="-2"/>
        </w:rPr>
        <w:footnoteReference w:id="7"/>
      </w:r>
    </w:p>
    <w:p w14:paraId="1DE97FBA" w14:textId="77777777" w:rsidR="00742222" w:rsidRPr="007C0B39" w:rsidRDefault="00742222" w:rsidP="00742222">
      <w:pPr>
        <w:pStyle w:val="Heading1"/>
      </w:pPr>
      <w:r w:rsidRPr="007C0B39">
        <w:t>DEFINITIONS</w:t>
      </w:r>
    </w:p>
    <w:p w14:paraId="21D5C1F6" w14:textId="77777777" w:rsidR="00742222" w:rsidRPr="007C0B39" w:rsidRDefault="00742222" w:rsidP="00742222">
      <w:pPr>
        <w:pStyle w:val="ParaNum"/>
      </w:pPr>
      <w:r w:rsidRPr="007C0B39">
        <w:t>For the purposes of this Consent Decree, the following definitions shall apply:</w:t>
      </w:r>
    </w:p>
    <w:p w14:paraId="207EC778" w14:textId="77777777" w:rsidR="00742222" w:rsidRPr="007C0B39" w:rsidRDefault="00742222" w:rsidP="00742222">
      <w:pPr>
        <w:numPr>
          <w:ilvl w:val="0"/>
          <w:numId w:val="5"/>
        </w:numPr>
        <w:tabs>
          <w:tab w:val="clear" w:pos="1224"/>
        </w:tabs>
        <w:spacing w:after="120"/>
        <w:ind w:left="1890"/>
      </w:pPr>
      <w:r w:rsidRPr="007C0B39">
        <w:t>“Act”</w:t>
      </w:r>
      <w:r w:rsidRPr="007C0B39">
        <w:rPr>
          <w:rStyle w:val="ParanumChar0"/>
        </w:rPr>
        <w:t xml:space="preserve"> </w:t>
      </w:r>
      <w:r w:rsidRPr="007C0B39">
        <w:t>means the Communications Act of 1934, as amended</w:t>
      </w:r>
      <w:r>
        <w:t>.</w:t>
      </w:r>
      <w:r>
        <w:rPr>
          <w:rStyle w:val="FootnoteReference"/>
        </w:rPr>
        <w:footnoteReference w:id="8"/>
      </w:r>
    </w:p>
    <w:p w14:paraId="3AB71CE9" w14:textId="77777777" w:rsidR="00742222" w:rsidRPr="007C0B39" w:rsidRDefault="00742222" w:rsidP="00742222">
      <w:pPr>
        <w:numPr>
          <w:ilvl w:val="0"/>
          <w:numId w:val="5"/>
        </w:numPr>
        <w:tabs>
          <w:tab w:val="clear" w:pos="1224"/>
        </w:tabs>
        <w:spacing w:after="120"/>
        <w:ind w:left="1890"/>
      </w:pPr>
      <w:r w:rsidRPr="007C0B39">
        <w:t>“Adopting Order” means an order of the Bureau adopting the terms of this Consent Decree without change, addition, deletion, or modification.</w:t>
      </w:r>
    </w:p>
    <w:p w14:paraId="1DDCFA14" w14:textId="77777777" w:rsidR="00742222" w:rsidRPr="007C0B39" w:rsidRDefault="00742222" w:rsidP="00742222">
      <w:pPr>
        <w:numPr>
          <w:ilvl w:val="0"/>
          <w:numId w:val="5"/>
        </w:numPr>
        <w:tabs>
          <w:tab w:val="clear" w:pos="1224"/>
        </w:tabs>
        <w:spacing w:after="120"/>
        <w:ind w:left="1890"/>
      </w:pPr>
      <w:r w:rsidRPr="007C0B39">
        <w:t>“Bureau” means the Enforcement Bureau of the Federal Communications Commission.</w:t>
      </w:r>
    </w:p>
    <w:p w14:paraId="4172862A" w14:textId="77777777" w:rsidR="00742222" w:rsidRPr="007C0B39" w:rsidRDefault="00742222" w:rsidP="00742222">
      <w:pPr>
        <w:numPr>
          <w:ilvl w:val="0"/>
          <w:numId w:val="5"/>
        </w:numPr>
        <w:tabs>
          <w:tab w:val="clear" w:pos="1224"/>
        </w:tabs>
        <w:spacing w:after="120"/>
        <w:ind w:left="1890"/>
      </w:pPr>
      <w:r w:rsidRPr="007C0B39">
        <w:t>“Commission” and “FCC” mean the Federal Communications Commission and all of its bureaus and offices.</w:t>
      </w:r>
    </w:p>
    <w:p w14:paraId="6191DC3D" w14:textId="77777777" w:rsidR="00742222" w:rsidRPr="007C0B39" w:rsidRDefault="00742222" w:rsidP="00742222">
      <w:pPr>
        <w:numPr>
          <w:ilvl w:val="0"/>
          <w:numId w:val="5"/>
        </w:numPr>
        <w:tabs>
          <w:tab w:val="clear" w:pos="1224"/>
        </w:tabs>
        <w:spacing w:after="120"/>
        <w:ind w:left="1890"/>
      </w:pPr>
      <w:r w:rsidRPr="007C0B39">
        <w:t xml:space="preserve">“Communications Laws” means collectively, the Act, the Rules, and the published and promulgated orders and decisions of the Commission to which </w:t>
      </w:r>
      <w:r>
        <w:t>each of Siemens</w:t>
      </w:r>
      <w:r w:rsidRPr="007C0B39">
        <w:t xml:space="preserve"> </w:t>
      </w:r>
      <w:r>
        <w:t>and Siemens Medical</w:t>
      </w:r>
      <w:r w:rsidRPr="007C0B39">
        <w:t xml:space="preserve"> is subject by virtue of its business activities, including</w:t>
      </w:r>
      <w:r>
        <w:t>,</w:t>
      </w:r>
      <w:r w:rsidRPr="007C0B39">
        <w:t xml:space="preserve"> but not limited to the </w:t>
      </w:r>
      <w:r>
        <w:t xml:space="preserve">wireless license application </w:t>
      </w:r>
      <w:r w:rsidRPr="007C0B39">
        <w:t>Rules.</w:t>
      </w:r>
    </w:p>
    <w:p w14:paraId="33BAE7FA" w14:textId="77777777" w:rsidR="00742222" w:rsidRPr="007A106C" w:rsidRDefault="00742222" w:rsidP="00742222">
      <w:pPr>
        <w:numPr>
          <w:ilvl w:val="0"/>
          <w:numId w:val="5"/>
        </w:numPr>
        <w:tabs>
          <w:tab w:val="clear" w:pos="1224"/>
        </w:tabs>
        <w:spacing w:after="120"/>
        <w:ind w:left="1890"/>
      </w:pPr>
      <w:r w:rsidRPr="007A106C">
        <w:t>“Compliance Plan” means the compliance obligations, program, and procedures described in this Consent Decree at paragraph 12.</w:t>
      </w:r>
    </w:p>
    <w:p w14:paraId="2462372A" w14:textId="77777777" w:rsidR="00742222" w:rsidRDefault="00742222" w:rsidP="00790B49">
      <w:pPr>
        <w:widowControl/>
        <w:numPr>
          <w:ilvl w:val="0"/>
          <w:numId w:val="5"/>
        </w:numPr>
        <w:tabs>
          <w:tab w:val="clear" w:pos="1224"/>
        </w:tabs>
        <w:spacing w:after="120"/>
        <w:ind w:left="1886"/>
      </w:pPr>
      <w:r w:rsidRPr="00191A00">
        <w:t xml:space="preserve">“Covered Employees” means all employees of Siemens </w:t>
      </w:r>
      <w:r>
        <w:t xml:space="preserve">and Siemens Medical </w:t>
      </w:r>
      <w:r w:rsidRPr="00191A00">
        <w:t xml:space="preserve">who perform or directly supervise the performance of duties that relate to Siemens’ </w:t>
      </w:r>
      <w:r>
        <w:t xml:space="preserve">or Siemens Medical’s respective </w:t>
      </w:r>
      <w:r w:rsidRPr="00191A00">
        <w:t>responsibilities under the Communications Laws,</w:t>
      </w:r>
      <w:r w:rsidRPr="0022684F">
        <w:t xml:space="preserve"> including the wireless license application Rules.</w:t>
      </w:r>
      <w:r>
        <w:t xml:space="preserve">  </w:t>
      </w:r>
    </w:p>
    <w:p w14:paraId="66EB1BD3" w14:textId="77777777" w:rsidR="00742222" w:rsidRPr="00AB645E" w:rsidRDefault="00742222" w:rsidP="00742222">
      <w:pPr>
        <w:numPr>
          <w:ilvl w:val="0"/>
          <w:numId w:val="5"/>
        </w:numPr>
        <w:tabs>
          <w:tab w:val="clear" w:pos="1224"/>
        </w:tabs>
        <w:spacing w:after="120"/>
        <w:ind w:left="1890"/>
      </w:pPr>
      <w:r w:rsidRPr="0022684F">
        <w:t>“</w:t>
      </w:r>
      <w:r w:rsidRPr="007C0B39">
        <w:t>Effective</w:t>
      </w:r>
      <w:r w:rsidRPr="0022684F">
        <w:t xml:space="preserve"> Date” mean</w:t>
      </w:r>
      <w:r w:rsidRPr="00AB645E">
        <w:t xml:space="preserve">s the date by which </w:t>
      </w:r>
      <w:r>
        <w:t>each of</w:t>
      </w:r>
      <w:r w:rsidRPr="00AB645E">
        <w:t xml:space="preserve"> the Bureau and Siemens </w:t>
      </w:r>
      <w:r>
        <w:t xml:space="preserve">and Siemens Medical </w:t>
      </w:r>
      <w:r w:rsidRPr="00AB645E">
        <w:t>have signed the Consent Decree.</w:t>
      </w:r>
    </w:p>
    <w:p w14:paraId="64975820" w14:textId="77777777" w:rsidR="00742222" w:rsidRPr="007C0B39" w:rsidRDefault="00742222" w:rsidP="00742222">
      <w:pPr>
        <w:numPr>
          <w:ilvl w:val="0"/>
          <w:numId w:val="5"/>
        </w:numPr>
        <w:tabs>
          <w:tab w:val="clear" w:pos="1224"/>
        </w:tabs>
        <w:spacing w:after="120"/>
        <w:ind w:left="1890"/>
      </w:pPr>
      <w:r w:rsidRPr="007C0B39">
        <w:t xml:space="preserve">“Investigation” means the investigation commenced by the Bureau in </w:t>
      </w:r>
      <w:r w:rsidRPr="002755D1">
        <w:t>F</w:t>
      </w:r>
      <w:r>
        <w:t>ile</w:t>
      </w:r>
      <w:r w:rsidRPr="002755D1">
        <w:t xml:space="preserve"> No.</w:t>
      </w:r>
      <w:r w:rsidRPr="007C0B39">
        <w:t xml:space="preserve"> </w:t>
      </w:r>
      <w:r>
        <w:rPr>
          <w:spacing w:val="-2"/>
        </w:rPr>
        <w:t xml:space="preserve">EB-IHD-16-00021037 </w:t>
      </w:r>
      <w:r w:rsidRPr="007C0B39">
        <w:t xml:space="preserve">regarding whether </w:t>
      </w:r>
      <w:r>
        <w:t xml:space="preserve">Siemens, Siemens Medical and/or their Subsidiaries </w:t>
      </w:r>
      <w:r w:rsidRPr="007C0B39">
        <w:t xml:space="preserve">violated the </w:t>
      </w:r>
      <w:r>
        <w:t>wireless license application</w:t>
      </w:r>
      <w:r w:rsidRPr="007C0B39">
        <w:t xml:space="preserve"> Rules.</w:t>
      </w:r>
    </w:p>
    <w:p w14:paraId="1D1CA1BD" w14:textId="77777777" w:rsidR="00742222" w:rsidRPr="007C0B39" w:rsidRDefault="00742222" w:rsidP="00742222">
      <w:pPr>
        <w:numPr>
          <w:ilvl w:val="0"/>
          <w:numId w:val="5"/>
        </w:numPr>
        <w:tabs>
          <w:tab w:val="clear" w:pos="1224"/>
        </w:tabs>
        <w:spacing w:after="120"/>
        <w:ind w:left="1890"/>
      </w:pPr>
      <w:r w:rsidRPr="007C0B39">
        <w:t xml:space="preserve">“Operating Procedures” means the standard internal operating procedures and compliance policies established by </w:t>
      </w:r>
      <w:r>
        <w:t>Siemens</w:t>
      </w:r>
      <w:r w:rsidRPr="007C0B39">
        <w:t xml:space="preserve"> </w:t>
      </w:r>
      <w:r>
        <w:t>and Siemens Medical</w:t>
      </w:r>
      <w:r w:rsidRPr="007C0B39">
        <w:t xml:space="preserve"> to implement the Compliance Plan.</w:t>
      </w:r>
    </w:p>
    <w:p w14:paraId="6E758887" w14:textId="77777777" w:rsidR="00742222" w:rsidRPr="007C0B39" w:rsidRDefault="00742222" w:rsidP="00742222">
      <w:pPr>
        <w:numPr>
          <w:ilvl w:val="0"/>
          <w:numId w:val="5"/>
        </w:numPr>
        <w:tabs>
          <w:tab w:val="clear" w:pos="1224"/>
        </w:tabs>
        <w:spacing w:after="120"/>
        <w:ind w:left="1890"/>
      </w:pPr>
      <w:r w:rsidRPr="007C0B39">
        <w:t xml:space="preserve">“Parties” means </w:t>
      </w:r>
      <w:r>
        <w:t>Siemens and</w:t>
      </w:r>
      <w:r w:rsidRPr="00BB4FDA">
        <w:t xml:space="preserve"> </w:t>
      </w:r>
      <w:r>
        <w:t xml:space="preserve">Siemens Medical </w:t>
      </w:r>
      <w:r w:rsidRPr="007C0B39">
        <w:t>and the Bureau, each of which is a “Party.”</w:t>
      </w:r>
    </w:p>
    <w:p w14:paraId="2E039E14" w14:textId="77777777" w:rsidR="00742222" w:rsidRPr="007C0B39" w:rsidRDefault="00742222" w:rsidP="00742222">
      <w:pPr>
        <w:numPr>
          <w:ilvl w:val="0"/>
          <w:numId w:val="5"/>
        </w:numPr>
        <w:tabs>
          <w:tab w:val="clear" w:pos="1224"/>
        </w:tabs>
        <w:spacing w:after="120"/>
        <w:ind w:left="1890"/>
      </w:pPr>
      <w:r w:rsidRPr="007C0B39">
        <w:t>“Rules” means the Commission’s regulations found in Title 47 of the Code of Federal Regulations.</w:t>
      </w:r>
    </w:p>
    <w:p w14:paraId="5BD422A1" w14:textId="77777777" w:rsidR="00742222" w:rsidRDefault="00742222" w:rsidP="00742222">
      <w:pPr>
        <w:numPr>
          <w:ilvl w:val="0"/>
          <w:numId w:val="5"/>
        </w:numPr>
        <w:tabs>
          <w:tab w:val="clear" w:pos="1224"/>
        </w:tabs>
        <w:spacing w:after="120"/>
        <w:ind w:left="1890"/>
      </w:pPr>
      <w:r w:rsidRPr="007C0B39">
        <w:t>“</w:t>
      </w:r>
      <w:r>
        <w:t>Siemens</w:t>
      </w:r>
      <w:r w:rsidRPr="007C0B39">
        <w:t xml:space="preserve">” means </w:t>
      </w:r>
      <w:r>
        <w:t>Siemens Corporation</w:t>
      </w:r>
      <w:r w:rsidRPr="007C0B39">
        <w:t xml:space="preserve"> </w:t>
      </w:r>
      <w:r>
        <w:t>and</w:t>
      </w:r>
      <w:r w:rsidRPr="007C0B39">
        <w:t xml:space="preserve"> </w:t>
      </w:r>
      <w:r>
        <w:t xml:space="preserve">its corporate </w:t>
      </w:r>
      <w:r w:rsidRPr="007C0B39">
        <w:t>subsidiaries, predecessors-in-interest, and successors-in-interest.</w:t>
      </w:r>
    </w:p>
    <w:p w14:paraId="7441719F" w14:textId="77777777" w:rsidR="00742222" w:rsidRDefault="00742222" w:rsidP="00742222">
      <w:pPr>
        <w:numPr>
          <w:ilvl w:val="0"/>
          <w:numId w:val="5"/>
        </w:numPr>
        <w:tabs>
          <w:tab w:val="clear" w:pos="1224"/>
        </w:tabs>
        <w:spacing w:after="120"/>
        <w:ind w:left="1890"/>
      </w:pPr>
      <w:r w:rsidRPr="007C0B39">
        <w:t>“</w:t>
      </w:r>
      <w:r>
        <w:t>Siemens Medical</w:t>
      </w:r>
      <w:r w:rsidRPr="007C0B39">
        <w:t xml:space="preserve">” means </w:t>
      </w:r>
      <w:r>
        <w:t>Siemens Medical Solutions USA, Inc.</w:t>
      </w:r>
      <w:r w:rsidRPr="007C0B39">
        <w:t xml:space="preserve"> and </w:t>
      </w:r>
      <w:r>
        <w:t>its</w:t>
      </w:r>
      <w:r w:rsidRPr="007C0B39">
        <w:t xml:space="preserve"> </w:t>
      </w:r>
      <w:r>
        <w:t xml:space="preserve">corporate </w:t>
      </w:r>
      <w:r w:rsidRPr="007C0B39">
        <w:t>subsidiaries, predecessors-in-interest, and successors-in-interest.</w:t>
      </w:r>
    </w:p>
    <w:p w14:paraId="0DB0D9A0" w14:textId="77777777" w:rsidR="00742222" w:rsidRDefault="00742222" w:rsidP="00742222">
      <w:pPr>
        <w:numPr>
          <w:ilvl w:val="0"/>
          <w:numId w:val="5"/>
        </w:numPr>
        <w:tabs>
          <w:tab w:val="clear" w:pos="1224"/>
        </w:tabs>
        <w:spacing w:after="120"/>
        <w:ind w:left="1890"/>
      </w:pPr>
      <w:r>
        <w:t>“Subsidiary” means each entity that filed a Wireless License Application between March 11, 2015 and March 10, 2016, for which Siemens or Siemens Medical is the parent company.</w:t>
      </w:r>
    </w:p>
    <w:p w14:paraId="54998226" w14:textId="77777777" w:rsidR="00742222" w:rsidRDefault="00742222" w:rsidP="00742222">
      <w:pPr>
        <w:numPr>
          <w:ilvl w:val="0"/>
          <w:numId w:val="5"/>
        </w:numPr>
        <w:tabs>
          <w:tab w:val="clear" w:pos="1224"/>
        </w:tabs>
        <w:spacing w:after="120"/>
        <w:ind w:left="1890"/>
      </w:pPr>
      <w:r>
        <w:t xml:space="preserve">“Wireless License Application” means </w:t>
      </w:r>
      <w:r w:rsidRPr="00273CF6">
        <w:rPr>
          <w:i/>
        </w:rPr>
        <w:t xml:space="preserve">FCC Application for Radio Service Authorization: Wireless Telecommunications Bureau, Public Safety </w:t>
      </w:r>
      <w:r>
        <w:rPr>
          <w:i/>
        </w:rPr>
        <w:t xml:space="preserve">and Homeland Security </w:t>
      </w:r>
      <w:r w:rsidRPr="00273CF6">
        <w:rPr>
          <w:i/>
        </w:rPr>
        <w:t>Bureau</w:t>
      </w:r>
      <w:r>
        <w:t xml:space="preserve">, FCC Form 601 and </w:t>
      </w:r>
      <w:r w:rsidRPr="00273CF6">
        <w:rPr>
          <w:i/>
        </w:rPr>
        <w:t xml:space="preserve">FCC Application for </w:t>
      </w:r>
      <w:r>
        <w:rPr>
          <w:i/>
        </w:rPr>
        <w:t xml:space="preserve">Assignments of </w:t>
      </w:r>
      <w:r w:rsidRPr="00273CF6">
        <w:rPr>
          <w:i/>
        </w:rPr>
        <w:t>Authorization</w:t>
      </w:r>
      <w:r>
        <w:rPr>
          <w:i/>
        </w:rPr>
        <w:t xml:space="preserve"> or Transfer of Control</w:t>
      </w:r>
      <w:r w:rsidRPr="00273CF6">
        <w:rPr>
          <w:i/>
        </w:rPr>
        <w:t>: Wir</w:t>
      </w:r>
      <w:r>
        <w:rPr>
          <w:i/>
        </w:rPr>
        <w:t>eless Telecommunications Bureau and</w:t>
      </w:r>
      <w:r w:rsidRPr="00273CF6">
        <w:rPr>
          <w:i/>
        </w:rPr>
        <w:t xml:space="preserve"> Public Safet</w:t>
      </w:r>
      <w:r>
        <w:rPr>
          <w:i/>
        </w:rPr>
        <w:t xml:space="preserve">y Homeland Security </w:t>
      </w:r>
      <w:r w:rsidRPr="00273CF6">
        <w:rPr>
          <w:i/>
        </w:rPr>
        <w:t>Bureau</w:t>
      </w:r>
      <w:r>
        <w:t>, FCC Form 603.</w:t>
      </w:r>
    </w:p>
    <w:p w14:paraId="2022E065" w14:textId="77777777" w:rsidR="00742222" w:rsidRPr="007C0B39" w:rsidRDefault="00742222" w:rsidP="00742222">
      <w:pPr>
        <w:numPr>
          <w:ilvl w:val="0"/>
          <w:numId w:val="5"/>
        </w:numPr>
        <w:tabs>
          <w:tab w:val="clear" w:pos="1224"/>
        </w:tabs>
        <w:spacing w:after="120"/>
        <w:ind w:left="1890"/>
      </w:pPr>
      <w:r w:rsidRPr="007C0B39">
        <w:t>“</w:t>
      </w:r>
      <w:r>
        <w:t xml:space="preserve">Wireless License Application </w:t>
      </w:r>
      <w:r w:rsidRPr="007C0B39">
        <w:t xml:space="preserve">Rules” means provisions of the Act, the Rules, and Commission orders related to </w:t>
      </w:r>
      <w:r>
        <w:t>Wireless License Applications.</w:t>
      </w:r>
    </w:p>
    <w:p w14:paraId="75074E71" w14:textId="77777777" w:rsidR="00742222" w:rsidRPr="007C0B39" w:rsidRDefault="00742222" w:rsidP="00742222">
      <w:pPr>
        <w:pStyle w:val="Heading1"/>
      </w:pPr>
      <w:r w:rsidRPr="007C0B39">
        <w:t>BACKGROUND</w:t>
      </w:r>
    </w:p>
    <w:p w14:paraId="34593764" w14:textId="77777777" w:rsidR="00742222" w:rsidRPr="007C0B39" w:rsidRDefault="00742222" w:rsidP="00790B49">
      <w:pPr>
        <w:pStyle w:val="ParaNum"/>
        <w:widowControl/>
      </w:pPr>
      <w:r>
        <w:t>The Commission requires all applicants to file accurate and true information in their Wireless License Applications, which the Commission uses to evaluate whether it is appropriate for the Commission to grant such FCC applications based on the applicants’ basic and other qualifications and technical capabilities.  Section 1.17(a)(2) of the Rules states no one subject to Commission jurisdiction shall provide in writing any “material factual information that is incorrect or omit material information that is necessary to prevent any material factual statement that is made from being incorrect or misleading.”</w:t>
      </w:r>
      <w:r>
        <w:rPr>
          <w:rStyle w:val="FootnoteReference"/>
        </w:rPr>
        <w:footnoteReference w:id="9"/>
      </w:r>
      <w:r>
        <w:t xml:space="preserve">  In FCC Form 601,</w:t>
      </w:r>
      <w:r>
        <w:rPr>
          <w:rStyle w:val="FootnoteReference"/>
        </w:rPr>
        <w:footnoteReference w:id="10"/>
      </w:r>
      <w:r>
        <w:t xml:space="preserve"> applicants are required to answer Question 50, which asks whether “the Applicant or any party to this application, or any party directly or indirectly controlling the Applicant [has] ever been convicted of a felony by any state or federal court?”  Similarly, Question 101 in FCC Form 603</w:t>
      </w:r>
      <w:r>
        <w:rPr>
          <w:rStyle w:val="FootnoteReference"/>
        </w:rPr>
        <w:footnoteReference w:id="11"/>
      </w:r>
      <w:r>
        <w:t xml:space="preserve"> asks whether “the Assignee/Transferee or any party to this application, or any party directly or indirectly controlling the Assignee/Transferee [has] ever been convicted of a felony by any state or federal court?”</w:t>
      </w:r>
    </w:p>
    <w:p w14:paraId="5DAED85C" w14:textId="77777777" w:rsidR="00742222" w:rsidRDefault="00742222" w:rsidP="00742222">
      <w:pPr>
        <w:pStyle w:val="ParaNum"/>
      </w:pPr>
      <w:r>
        <w:t>Siemens is a Delaware corporation.  On December 15, 2008, Siemens AG, the ultimate parent corporation to Siemens, pleaded guilty to felony criminal charges of violating the accounting provisions of the Foreign Corrupt Practices Act (FCPA).  As Siemens AG is the ultimate controlling parent of each Subsidiary, Siemens AG’s violation of the FCPA should have been disclosed by a Subsidiary in each respective Wireless License Application.</w:t>
      </w:r>
    </w:p>
    <w:p w14:paraId="17AF23E1" w14:textId="77777777" w:rsidR="00742222" w:rsidRDefault="00742222" w:rsidP="00742222">
      <w:pPr>
        <w:pStyle w:val="ParaNum"/>
      </w:pPr>
      <w:r w:rsidRPr="00503DDB">
        <w:t>Siemens Medical is a Delaware</w:t>
      </w:r>
      <w:r>
        <w:t xml:space="preserve"> corporation.  On February 8, 2007, Siemens Medical pleaded guilty to a single federal felony charge of obstruction of justice in connection with a 2001 civil litigation.  Siemens Medical is a wholly-owned subsidiary of Siemens Healthcare GmbH, which in turn is a wholly-owned subsidiary of Siemens AG.  Siemens Medical is also the direct parent of Siemens Healthcare Diagnostics Inc. (SHDI).  SHDI is a Subsidiary, and both Siemens AG’s and Siemens Medical’s felony convictions should have been disclosed by SHDI in each of SHDI’s Wireless License Applications.</w:t>
      </w:r>
    </w:p>
    <w:p w14:paraId="35003C24" w14:textId="77777777" w:rsidR="00742222" w:rsidRPr="007C0B39" w:rsidRDefault="00742222" w:rsidP="00742222">
      <w:pPr>
        <w:pStyle w:val="ParaNum"/>
      </w:pPr>
      <w:r>
        <w:t xml:space="preserve">The Subsidiaries filed numerous Wireless License Applications in which they failed to disclose Siemens </w:t>
      </w:r>
      <w:r w:rsidRPr="003E00AB">
        <w:t>AG’</w:t>
      </w:r>
      <w:r>
        <w:t>s December 15, 2008 FCPA violation until the first correct Wireless License Application was filed with the Commission on July 8, 2015.  And in the particular case of SHDI, it also failed to disclose Siemens Medical’s February 8, 2007 guilty plea to the charge of obstruction of justice.</w:t>
      </w:r>
    </w:p>
    <w:p w14:paraId="650FFCE7" w14:textId="77777777" w:rsidR="00742222" w:rsidRPr="007C0B39" w:rsidRDefault="00742222" w:rsidP="00742222">
      <w:pPr>
        <w:pStyle w:val="Heading1"/>
      </w:pPr>
      <w:r w:rsidRPr="007C0B39">
        <w:t>TERMS OF AGREEMENT</w:t>
      </w:r>
    </w:p>
    <w:p w14:paraId="3166233A" w14:textId="77777777" w:rsidR="00742222" w:rsidRPr="007C0B39" w:rsidRDefault="00742222" w:rsidP="00742222">
      <w:pPr>
        <w:pStyle w:val="ParaNum"/>
      </w:pPr>
      <w:r w:rsidRPr="007C0B39">
        <w:rPr>
          <w:b/>
          <w:u w:val="single"/>
        </w:rPr>
        <w:t>Adopting Order</w:t>
      </w:r>
      <w:r w:rsidRPr="007C0B39">
        <w:t>.  The provisions of this Consent Decree shall be incorporated by the Bureau in an Adopting Order.</w:t>
      </w:r>
    </w:p>
    <w:p w14:paraId="366244D5" w14:textId="77777777" w:rsidR="00742222" w:rsidRPr="007C0B39" w:rsidRDefault="00742222" w:rsidP="00742222">
      <w:pPr>
        <w:pStyle w:val="ParaNum"/>
      </w:pPr>
      <w:r w:rsidRPr="007C0B39">
        <w:rPr>
          <w:b/>
          <w:u w:val="single"/>
        </w:rPr>
        <w:t>Jurisdiction</w:t>
      </w:r>
      <w:r w:rsidRPr="007C0B39">
        <w:t xml:space="preserve">.  </w:t>
      </w:r>
      <w:r>
        <w:t>Siemens</w:t>
      </w:r>
      <w:r w:rsidRPr="007C0B39">
        <w:t xml:space="preserve"> </w:t>
      </w:r>
      <w:r>
        <w:t>and</w:t>
      </w:r>
      <w:r w:rsidRPr="00BB4FDA">
        <w:t xml:space="preserve"> </w:t>
      </w:r>
      <w:r>
        <w:t xml:space="preserve">Siemens Medical each </w:t>
      </w:r>
      <w:r w:rsidRPr="007C0B39">
        <w:t xml:space="preserve">agree that the Bureau has jurisdiction over it and the matters contained in this Consent Decree and has the </w:t>
      </w:r>
      <w:r w:rsidRPr="00ED419F">
        <w:t>authority</w:t>
      </w:r>
      <w:r w:rsidRPr="007C0B39">
        <w:t xml:space="preserve"> to enter into and adopt this Consent Decree.</w:t>
      </w:r>
    </w:p>
    <w:p w14:paraId="72F77445" w14:textId="77777777" w:rsidR="00742222" w:rsidRPr="007C0B39" w:rsidRDefault="00742222" w:rsidP="00742222">
      <w:pPr>
        <w:pStyle w:val="ParaNum"/>
      </w:pPr>
      <w:r w:rsidRPr="007C0B39">
        <w:rPr>
          <w:b/>
          <w:u w:val="single"/>
        </w:rPr>
        <w:t>Effective Date; Violations</w:t>
      </w:r>
      <w:r w:rsidRPr="007C0B39">
        <w:t xml:space="preserve">.  The </w:t>
      </w:r>
      <w:r w:rsidRPr="00ED419F">
        <w:t>Parties</w:t>
      </w:r>
      <w:r w:rsidRPr="007C0B39">
        <w:t xml:space="preserve"> agree that this Consent Decree shall become effective on the Effective Date as defined herein.  As of the Effective Date, the Parties agree that this Consent Decree shall have the same force and effect as any other order of the Commission.</w:t>
      </w:r>
    </w:p>
    <w:p w14:paraId="1A34738E" w14:textId="77777777" w:rsidR="00742222" w:rsidRPr="00C566EC" w:rsidRDefault="00742222" w:rsidP="00742222">
      <w:pPr>
        <w:pStyle w:val="ParaNum"/>
      </w:pPr>
      <w:r w:rsidRPr="007C0B39">
        <w:rPr>
          <w:b/>
          <w:u w:val="single"/>
        </w:rPr>
        <w:t>Termination of Investigation</w:t>
      </w:r>
      <w:r w:rsidRPr="007C0B39">
        <w:t xml:space="preserve">.  In express reliance on the covenants and representations in this Consent Decree and to avoid further expenditure of public resources, the Bureau agrees to terminate the Investigation.  In consideration for the termination of the Investigation, </w:t>
      </w:r>
      <w:r>
        <w:t xml:space="preserve">Siemens and Siemens Medical, on behalf each Subsidiary, each </w:t>
      </w:r>
      <w:r w:rsidRPr="007C0B39">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t>Siemens or Siemens Medical</w:t>
      </w:r>
      <w:r w:rsidRPr="007C0B39">
        <w:t xml:space="preserve"> concerning the matters that were the subject of the Investigation.  </w:t>
      </w:r>
      <w:r>
        <w:t>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basic qualifications of Siemens or Siemens Medical to be a Commission licensee or hold Commission licenses or authorizations.</w:t>
      </w:r>
      <w:r>
        <w:rPr>
          <w:rStyle w:val="FootnoteReference"/>
        </w:rPr>
        <w:footnoteReference w:id="12"/>
      </w:r>
    </w:p>
    <w:p w14:paraId="6941C50E" w14:textId="77777777" w:rsidR="00742222" w:rsidRPr="00E50D8D" w:rsidRDefault="00742222" w:rsidP="00742222">
      <w:pPr>
        <w:pStyle w:val="ParaNum"/>
      </w:pPr>
      <w:r w:rsidRPr="007C0B39">
        <w:rPr>
          <w:b/>
          <w:u w:val="single"/>
        </w:rPr>
        <w:t>Admission of Liability</w:t>
      </w:r>
      <w:r w:rsidRPr="007C0B39">
        <w:t xml:space="preserve">.  </w:t>
      </w:r>
      <w:r>
        <w:t>Siemens and Siemens Medical</w:t>
      </w:r>
      <w:r w:rsidRPr="007C0B39">
        <w:t xml:space="preserve"> </w:t>
      </w:r>
      <w:r>
        <w:t xml:space="preserve">each </w:t>
      </w:r>
      <w:r w:rsidRPr="007C0B39">
        <w:t xml:space="preserve">admits for the purpose of this Consent Decree and for Commission civil enforcement purposes, and in express reliance on the provisions of </w:t>
      </w:r>
      <w:r w:rsidRPr="007A106C">
        <w:t>paragraph 10 herein</w:t>
      </w:r>
      <w:r w:rsidRPr="007C0B39">
        <w:t>,</w:t>
      </w:r>
      <w:r>
        <w:t xml:space="preserve"> </w:t>
      </w:r>
      <w:r w:rsidRPr="00E50D8D">
        <w:t xml:space="preserve">that its </w:t>
      </w:r>
      <w:r>
        <w:t xml:space="preserve">Subsidiaries’ failures to disclose the applicable felonies of Siemens AG or </w:t>
      </w:r>
      <w:r w:rsidRPr="003E00AB">
        <w:t>Siemens Medical</w:t>
      </w:r>
      <w:r>
        <w:t xml:space="preserve"> in numerous Wireless License Applications filed between 2015 and 2016</w:t>
      </w:r>
      <w:r w:rsidRPr="00E50D8D">
        <w:t xml:space="preserve"> violated</w:t>
      </w:r>
      <w:r>
        <w:t xml:space="preserve"> Section 1.17 of </w:t>
      </w:r>
      <w:r w:rsidRPr="00E50D8D">
        <w:t>the Commission’s Rules.</w:t>
      </w:r>
    </w:p>
    <w:p w14:paraId="1B31AC50" w14:textId="77777777" w:rsidR="00742222" w:rsidRPr="002D4A35" w:rsidRDefault="00742222" w:rsidP="00790B49">
      <w:pPr>
        <w:pStyle w:val="ParaNum"/>
        <w:widowControl/>
      </w:pPr>
      <w:bookmarkStart w:id="2" w:name="_Ref379202869"/>
      <w:r w:rsidRPr="002D4A35">
        <w:rPr>
          <w:b/>
          <w:u w:val="single"/>
        </w:rPr>
        <w:t>Compliance Officer</w:t>
      </w:r>
      <w:r w:rsidRPr="002D4A35">
        <w:t>.  Within thirty (30) calendar days after the Effective Date, Siemens and Siemens Medical each shall provide the contact information for a senior corporate manager with the requisite corporate and organizational authority who serves as a Compliance Officer and who discharges the duties set forth below.  The person designated as a Compliance Officer shall be responsible for developing, implementing, and administering the Compliance Plan and ensuring that Siemens or Siemens Medical, as the case may be, complies with the terms and conditions of the Compliance Plan and this Consent Decree.   In addition to the general knowledge of the Communications Laws necessary to discharge his or her duties under this Consent Decree, the Compliance Officer shall have specific knowledge of the Wireless License Application Rules prior to assuming his/her duties.</w:t>
      </w:r>
      <w:bookmarkEnd w:id="2"/>
    </w:p>
    <w:p w14:paraId="5BAC4710" w14:textId="77777777" w:rsidR="00742222" w:rsidRPr="002D2BD2" w:rsidRDefault="00742222" w:rsidP="00742222">
      <w:pPr>
        <w:pStyle w:val="ParaNum"/>
        <w:numPr>
          <w:ilvl w:val="0"/>
          <w:numId w:val="0"/>
        </w:numPr>
        <w:tabs>
          <w:tab w:val="num" w:pos="1440"/>
        </w:tabs>
        <w:ind w:left="720"/>
      </w:pPr>
      <w:bookmarkStart w:id="3" w:name="_Ref357521857"/>
      <w:r w:rsidRPr="002D2BD2">
        <w:rPr>
          <w:b/>
          <w:u w:val="single"/>
        </w:rPr>
        <w:t>Compliance Plan</w:t>
      </w:r>
      <w:r w:rsidRPr="002D2BD2">
        <w:t xml:space="preserve">.  For purposes of settling the matters set forth herein, Siemens </w:t>
      </w:r>
      <w:r>
        <w:t xml:space="preserve">and Siemens Medical each </w:t>
      </w:r>
      <w:r w:rsidRPr="002D2BD2">
        <w:t xml:space="preserve">agree that </w:t>
      </w:r>
      <w:r>
        <w:t>they</w:t>
      </w:r>
      <w:r w:rsidRPr="002D2BD2">
        <w:t xml:space="preserve"> shall, within sixty (60) calendar days after the Effective Date, develop and implement a Compliance Plan designed to ensure future compliance with the Communications Laws and with the terms and conditions of this Consent Decree.  With respect to </w:t>
      </w:r>
      <w:r>
        <w:t>W</w:t>
      </w:r>
      <w:r w:rsidRPr="002D2BD2">
        <w:t xml:space="preserve">ireless </w:t>
      </w:r>
      <w:r>
        <w:t>L</w:t>
      </w:r>
      <w:r w:rsidRPr="002D2BD2">
        <w:t xml:space="preserve">icense </w:t>
      </w:r>
      <w:r>
        <w:t>A</w:t>
      </w:r>
      <w:r w:rsidRPr="002D2BD2">
        <w:t>pplication</w:t>
      </w:r>
      <w:r>
        <w:t>s</w:t>
      </w:r>
      <w:r w:rsidRPr="002D2BD2">
        <w:t xml:space="preserve">, Siemens </w:t>
      </w:r>
      <w:r>
        <w:t xml:space="preserve">and Siemens Medical each </w:t>
      </w:r>
      <w:r w:rsidRPr="002D2BD2">
        <w:t xml:space="preserve">will implement, </w:t>
      </w:r>
      <w:r w:rsidRPr="008510A7">
        <w:t>at a minimum, the following procedures:</w:t>
      </w:r>
      <w:bookmarkEnd w:id="3"/>
    </w:p>
    <w:p w14:paraId="7B2F0E05" w14:textId="77777777" w:rsidR="00742222" w:rsidRPr="007C0B39" w:rsidRDefault="00742222" w:rsidP="00742222">
      <w:pPr>
        <w:numPr>
          <w:ilvl w:val="0"/>
          <w:numId w:val="6"/>
        </w:numPr>
        <w:tabs>
          <w:tab w:val="clear" w:pos="1656"/>
        </w:tabs>
        <w:spacing w:after="120"/>
        <w:ind w:left="1886"/>
      </w:pPr>
      <w:r w:rsidRPr="007C0B39">
        <w:rPr>
          <w:b/>
          <w:u w:val="single"/>
        </w:rPr>
        <w:t>Operating Procedures</w:t>
      </w:r>
      <w:r>
        <w:t>.  Within sixty (60)</w:t>
      </w:r>
      <w:r w:rsidRPr="007C0B39">
        <w:t xml:space="preserve"> calendar days after the Effective Date, </w:t>
      </w:r>
      <w:r>
        <w:t xml:space="preserve">Siemens and Siemens Medical </w:t>
      </w:r>
      <w:r w:rsidRPr="007C0B39">
        <w:t xml:space="preserve">shall establish Operating Procedures that all Covered Employees must follow to help ensure </w:t>
      </w:r>
      <w:r>
        <w:t>Siemens</w:t>
      </w:r>
      <w:r w:rsidRPr="007C0B39">
        <w:t>’</w:t>
      </w:r>
      <w:r>
        <w:t>s</w:t>
      </w:r>
      <w:r w:rsidRPr="007C0B39">
        <w:t xml:space="preserve"> compliance with </w:t>
      </w:r>
      <w:r>
        <w:t>Section 1.17 of the Rules</w:t>
      </w:r>
      <w:r w:rsidRPr="007C0B39">
        <w:t xml:space="preserve">.  </w:t>
      </w:r>
      <w:r>
        <w:t>Siemens</w:t>
      </w:r>
      <w:r w:rsidRPr="007C0B39">
        <w:t>’</w:t>
      </w:r>
      <w:r>
        <w:t>s</w:t>
      </w:r>
      <w:r w:rsidRPr="007C0B39">
        <w:t xml:space="preserve"> Operating Procedures shall include </w:t>
      </w:r>
      <w:r w:rsidRPr="00191A00">
        <w:t>internal procedures and policies specifically designed to ensure that Siemens accurately files Wireless License Applications in the future.</w:t>
      </w:r>
      <w:r w:rsidRPr="007C0B39">
        <w:t xml:space="preserve">  </w:t>
      </w:r>
      <w:r>
        <w:t xml:space="preserve">Siemens </w:t>
      </w:r>
      <w:r w:rsidRPr="007C0B39">
        <w:t xml:space="preserve">shall also develop a </w:t>
      </w:r>
      <w:r w:rsidRPr="00191A00">
        <w:t xml:space="preserve">Compliance Checklist that describes the steps that a Covered Employee must follow to ensure compliance with </w:t>
      </w:r>
      <w:r>
        <w:t>Section 1.17 of the Rules</w:t>
      </w:r>
      <w:r w:rsidRPr="00191A00">
        <w:t>.</w:t>
      </w:r>
    </w:p>
    <w:p w14:paraId="5739D485" w14:textId="77777777" w:rsidR="00742222" w:rsidRPr="007C0B39" w:rsidRDefault="00742222" w:rsidP="00742222">
      <w:pPr>
        <w:numPr>
          <w:ilvl w:val="0"/>
          <w:numId w:val="6"/>
        </w:numPr>
        <w:tabs>
          <w:tab w:val="clear" w:pos="1656"/>
        </w:tabs>
        <w:spacing w:after="120"/>
        <w:ind w:left="1886"/>
      </w:pPr>
      <w:r w:rsidRPr="007C0B39">
        <w:rPr>
          <w:b/>
          <w:u w:val="single"/>
        </w:rPr>
        <w:t>Compliance Manual</w:t>
      </w:r>
      <w:r w:rsidRPr="007C0B39">
        <w:t xml:space="preserve">.  Within sixty (60) calendar days after the Effective Date, </w:t>
      </w:r>
      <w:r>
        <w:t xml:space="preserve">Siemens and Siemens Medical shall </w:t>
      </w:r>
      <w:r w:rsidRPr="007C0B39">
        <w:t xml:space="preserve">develop and </w:t>
      </w:r>
      <w:r w:rsidRPr="0035779B">
        <w:t>distribut</w:t>
      </w:r>
      <w:r>
        <w:t>e</w:t>
      </w:r>
      <w:r w:rsidRPr="0035779B">
        <w:t xml:space="preserve"> a Compliance Manual to all Covered Employees.</w:t>
      </w:r>
      <w:r w:rsidRPr="007C0B39">
        <w:t xml:space="preserve">  The Compliance Manual shall explain the </w:t>
      </w:r>
      <w:r>
        <w:t xml:space="preserve">requirements of Section 1.17 of the Rules </w:t>
      </w:r>
      <w:r w:rsidRPr="007C0B39">
        <w:t xml:space="preserve">and set forth the Operating Procedures that Covered Employees shall follow to help ensure compliance </w:t>
      </w:r>
      <w:r>
        <w:t xml:space="preserve">respectively by Siemens and Siemens Medical </w:t>
      </w:r>
      <w:r w:rsidRPr="007C0B39">
        <w:t>with</w:t>
      </w:r>
      <w:r w:rsidRPr="00344343">
        <w:t xml:space="preserve"> </w:t>
      </w:r>
      <w:r>
        <w:t>Section 1.17 of the Rules</w:t>
      </w:r>
      <w:r w:rsidRPr="007C0B39">
        <w:t xml:space="preserve">.  </w:t>
      </w:r>
      <w:r>
        <w:t xml:space="preserve">Siemens and Siemens Medical </w:t>
      </w:r>
      <w:r w:rsidRPr="007C0B39">
        <w:t xml:space="preserve">shall periodically review and revise the Compliance Manual as necessary to ensure that the information set forth therein remains current and accurate.  </w:t>
      </w:r>
      <w:r>
        <w:t xml:space="preserve">Siemens and Siemens Medical </w:t>
      </w:r>
      <w:r w:rsidRPr="007C0B39">
        <w:t>shall distribute any revisions to the Compliance Manual promptly to all Covered Employees.</w:t>
      </w:r>
    </w:p>
    <w:p w14:paraId="609AD226" w14:textId="77777777" w:rsidR="00742222" w:rsidRPr="007C0B39" w:rsidRDefault="00742222" w:rsidP="00742222">
      <w:pPr>
        <w:numPr>
          <w:ilvl w:val="0"/>
          <w:numId w:val="6"/>
        </w:numPr>
        <w:tabs>
          <w:tab w:val="clear" w:pos="1656"/>
        </w:tabs>
        <w:spacing w:after="120"/>
        <w:ind w:left="1886"/>
      </w:pPr>
      <w:r w:rsidRPr="007C0B39">
        <w:rPr>
          <w:b/>
          <w:u w:val="single"/>
        </w:rPr>
        <w:t>Compliance Training Program</w:t>
      </w:r>
      <w:r w:rsidRPr="007C0B39">
        <w:t xml:space="preserve">.  </w:t>
      </w:r>
      <w:r>
        <w:t xml:space="preserve">Siemens and Siemens Medical </w:t>
      </w:r>
      <w:r w:rsidRPr="007C0B39">
        <w:t xml:space="preserve">shall establish and implement a Compliance Training Program on compliance with the </w:t>
      </w:r>
      <w:r>
        <w:t>Section 1.17 of the Rules</w:t>
      </w:r>
      <w:r w:rsidRPr="007C0B39">
        <w:t xml:space="preserve"> and the Operating Procedures.  As part of the Compliance Training Program, Covered Employees shall be </w:t>
      </w:r>
      <w:r w:rsidRPr="00BA6A3F">
        <w:t>advised of Siemens’</w:t>
      </w:r>
      <w:r>
        <w:t>s and Siemens Medical’s</w:t>
      </w:r>
      <w:r w:rsidRPr="00BA6A3F">
        <w:t xml:space="preserve"> obligation to report any noncompliance with Section 1.17 of the Commission’s Rules under </w:t>
      </w:r>
      <w:r w:rsidRPr="00174FA8">
        <w:t>paragraph 13 of</w:t>
      </w:r>
      <w:r w:rsidRPr="00BA6A3F">
        <w:t xml:space="preserve"> this Consent Decree</w:t>
      </w:r>
      <w:r w:rsidRPr="007C0B39">
        <w:t xml:space="preserve"> and shall be instructed on how to disclose noncompliance to the Compliance Officer.  All Covered Employees shall be trained pursuant to the Compliance Training Program within sixty (60) calendar days after the Effective Date, </w:t>
      </w:r>
      <w:r w:rsidRPr="00E35E5D">
        <w:t>except that any person who becomes a Covered Employee at any time after the initial Compliance Training Program shall be trained within sixty (60) calendar days after the date such person becomes a Covered Employee.</w:t>
      </w:r>
      <w:r w:rsidRPr="007C0B39">
        <w:t xml:space="preserve">  </w:t>
      </w:r>
      <w:r>
        <w:t xml:space="preserve">Siemens </w:t>
      </w:r>
      <w:r w:rsidRPr="007C0B39">
        <w:t>shall repeat compliance training on an annual basis, and shall periodically review and revise the Compliance Training Program as necessary to ensure that it remains current and complete and to enhance its effectiveness.</w:t>
      </w:r>
    </w:p>
    <w:p w14:paraId="2E7CE1DC" w14:textId="77777777" w:rsidR="00742222" w:rsidRPr="007C0B39" w:rsidRDefault="00742222" w:rsidP="00742222">
      <w:pPr>
        <w:pStyle w:val="ParaNum"/>
      </w:pPr>
      <w:bookmarkStart w:id="4" w:name="_Ref321323028"/>
      <w:r w:rsidRPr="007C0B39">
        <w:rPr>
          <w:b/>
          <w:u w:val="single"/>
        </w:rPr>
        <w:t>Reporting Noncompliance</w:t>
      </w:r>
      <w:r w:rsidRPr="007C0B39">
        <w:t xml:space="preserve">.  </w:t>
      </w:r>
      <w:r>
        <w:t xml:space="preserve">Siemens and Siemens Medical </w:t>
      </w:r>
      <w:r w:rsidRPr="007C0B39">
        <w:t xml:space="preserve">shall report any noncompliance </w:t>
      </w:r>
      <w:r>
        <w:t>with Section 1.17 of the Rules occurring after the Effective Date</w:t>
      </w:r>
      <w:r w:rsidRPr="007C0B39">
        <w:t xml:space="preserve"> and with the terms and conditions of this Consent Decree within </w:t>
      </w:r>
      <w:r>
        <w:t xml:space="preserve">thirty </w:t>
      </w:r>
      <w:r w:rsidRPr="007C0B39">
        <w:t>(</w:t>
      </w:r>
      <w:r>
        <w:t>30</w:t>
      </w:r>
      <w:r w:rsidRPr="007C0B39">
        <w:t xml:space="preserve">) calendar days after discovery of such noncompliance.  Such reports shall include a detailed explanation of: (i) each instance of noncompliance; (ii) the steps that </w:t>
      </w:r>
      <w:r>
        <w:t xml:space="preserve">Siemens or Siemens Medical, as the case may be, </w:t>
      </w:r>
      <w:r w:rsidRPr="007C0B39">
        <w:t xml:space="preserve">has taken or will take to remedy such noncompliance; (iii) the schedule on which such remedial actions will be taken; and (iv) the steps that the </w:t>
      </w:r>
      <w:r>
        <w:t xml:space="preserve">Siemens or Siemens Medical, as the case may be, </w:t>
      </w:r>
      <w:r w:rsidRPr="007C0B39">
        <w:t xml:space="preserve">has taken or will take to prevent the recurrence of any such noncompliance.  All reports of noncompliance shall be submitted to </w:t>
      </w:r>
      <w:r>
        <w:t>Chief, Investigations and Hearings Division, Enforcement Bureau, Federal Communications Commission, 445 12</w:t>
      </w:r>
      <w:r w:rsidRPr="002478E3">
        <w:rPr>
          <w:vertAlign w:val="superscript"/>
        </w:rPr>
        <w:t>th</w:t>
      </w:r>
      <w:r>
        <w:t xml:space="preserve"> Street, SW, Washington, DC 20554</w:t>
      </w:r>
      <w:r w:rsidRPr="007C0B39">
        <w:t xml:space="preserve">, with a copy submitted electronically to </w:t>
      </w:r>
      <w:r>
        <w:t xml:space="preserve">Jeffrey J. Gee at </w:t>
      </w:r>
      <w:r w:rsidRPr="00883935">
        <w:t>Jeffrey.Gee@fcc.gov</w:t>
      </w:r>
      <w:r>
        <w:t>, and Greg Haledjian at Gregory.Haledjian@fcc.gov</w:t>
      </w:r>
      <w:r w:rsidRPr="007C0B39">
        <w:t>.</w:t>
      </w:r>
      <w:bookmarkEnd w:id="4"/>
    </w:p>
    <w:p w14:paraId="07F17789" w14:textId="77777777" w:rsidR="00742222" w:rsidRPr="007C0B39" w:rsidRDefault="00742222" w:rsidP="00742222">
      <w:pPr>
        <w:pStyle w:val="ParaNum"/>
        <w:rPr>
          <w:caps/>
        </w:rPr>
      </w:pPr>
      <w:bookmarkStart w:id="5" w:name="_Ref379202892"/>
      <w:r w:rsidRPr="007C0B39">
        <w:rPr>
          <w:b/>
          <w:u w:val="single"/>
        </w:rPr>
        <w:t>Compliance Reports</w:t>
      </w:r>
      <w:r w:rsidRPr="007C0B39">
        <w:t xml:space="preserve">.  </w:t>
      </w:r>
      <w:r>
        <w:t xml:space="preserve">Siemens and Siemens Medical </w:t>
      </w:r>
      <w:r w:rsidRPr="007C0B39">
        <w:t>shall file compliance reports with the Commission ninety (90) calendar days after the Effective Date, twelve (12) months after the Effective Date, twenty-four (24) months after the Effective Date, and thirty-six (36) months after the Effective Date.</w:t>
      </w:r>
      <w:bookmarkEnd w:id="5"/>
      <w:r w:rsidRPr="007C0B39">
        <w:t xml:space="preserve">  </w:t>
      </w:r>
    </w:p>
    <w:p w14:paraId="5583889A" w14:textId="77777777" w:rsidR="00742222" w:rsidRPr="007C0B39" w:rsidRDefault="00742222" w:rsidP="00742222">
      <w:pPr>
        <w:numPr>
          <w:ilvl w:val="0"/>
          <w:numId w:val="7"/>
        </w:numPr>
        <w:tabs>
          <w:tab w:val="clear" w:pos="1782"/>
        </w:tabs>
        <w:spacing w:after="120"/>
        <w:ind w:left="1886"/>
      </w:pPr>
      <w:r w:rsidRPr="007C0B39">
        <w:t xml:space="preserve">Each Compliance Report shall include a detailed description of efforts </w:t>
      </w:r>
      <w:r>
        <w:t xml:space="preserve">made by Siemens and Siemens Medical </w:t>
      </w:r>
      <w:r w:rsidRPr="007C0B39">
        <w:t xml:space="preserve">during the relevant period to comply with the terms and conditions of this Consent Decree and </w:t>
      </w:r>
      <w:r>
        <w:t>Section 1.17 of the Rules</w:t>
      </w:r>
      <w:r w:rsidRPr="007C0B39">
        <w:t xml:space="preserve">.  In addition, each Compliance Report shall include a certification by the Compliance Officer, as an agent of and on behalf of </w:t>
      </w:r>
      <w:r>
        <w:t>Siemens or Siemens Medical, as the case may be</w:t>
      </w:r>
      <w:r w:rsidRPr="007C0B39">
        <w:t xml:space="preserve">, stating that the Compliance Officer has personal knowledge that </w:t>
      </w:r>
      <w:r>
        <w:t>Siemens or Siemens Medical</w:t>
      </w:r>
      <w:r w:rsidRPr="007C0B39">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174FA8">
        <w:t>paragraph 13</w:t>
      </w:r>
      <w:r w:rsidRPr="007C0B39">
        <w:rPr>
          <w:b/>
        </w:rPr>
        <w:t xml:space="preserve"> </w:t>
      </w:r>
      <w:r w:rsidRPr="007C0B39">
        <w:t>of this Consent Decree.</w:t>
      </w:r>
    </w:p>
    <w:p w14:paraId="321C60E0" w14:textId="77777777" w:rsidR="00742222" w:rsidRPr="007C0B39" w:rsidRDefault="00742222" w:rsidP="00742222">
      <w:pPr>
        <w:numPr>
          <w:ilvl w:val="0"/>
          <w:numId w:val="7"/>
        </w:numPr>
        <w:tabs>
          <w:tab w:val="clear" w:pos="1782"/>
        </w:tabs>
        <w:spacing w:after="120"/>
        <w:ind w:left="1886"/>
      </w:pPr>
      <w:r w:rsidRPr="007C0B39">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rPr>
        <w:footnoteReference w:id="13"/>
      </w:r>
    </w:p>
    <w:p w14:paraId="05BD3E8E" w14:textId="77777777" w:rsidR="00742222" w:rsidRPr="007C0B39" w:rsidRDefault="00742222" w:rsidP="00742222">
      <w:pPr>
        <w:numPr>
          <w:ilvl w:val="0"/>
          <w:numId w:val="7"/>
        </w:numPr>
        <w:tabs>
          <w:tab w:val="clear" w:pos="1782"/>
        </w:tabs>
        <w:spacing w:after="120"/>
        <w:ind w:left="1886"/>
      </w:pPr>
      <w:r w:rsidRPr="007C0B39">
        <w:t xml:space="preserve">If the Compliance Officer cannot provide the requisite certification, the Compliance Officer, as an agent of and on behalf of </w:t>
      </w:r>
      <w:r>
        <w:t>Siemens or Siemens Medical</w:t>
      </w:r>
      <w:r w:rsidRPr="007C0B39">
        <w:t xml:space="preserve">, shall provide the Commission with a detailed explanation of the reason(s) why and describe fully: (i) each instance of noncompliance; (ii) the steps that </w:t>
      </w:r>
      <w:r>
        <w:t>Siemens</w:t>
      </w:r>
      <w:r w:rsidRPr="007C0B39">
        <w:t xml:space="preserve"> </w:t>
      </w:r>
      <w:r>
        <w:t xml:space="preserve">or Siemens Medical </w:t>
      </w:r>
      <w:r w:rsidRPr="007C0B39">
        <w:t xml:space="preserve">has taken or will take to remedy such noncompliance, including the schedule on which proposed remedial actions will be taken; and (iii) the steps that </w:t>
      </w:r>
      <w:r>
        <w:t>Siemens or Siemens Medical</w:t>
      </w:r>
      <w:r w:rsidRPr="007C0B39">
        <w:t xml:space="preserve"> has taken or will take to prevent the recurrence of any such noncompliance, including the schedule on which such preventive action will be taken.</w:t>
      </w:r>
    </w:p>
    <w:p w14:paraId="48158482" w14:textId="77777777" w:rsidR="00742222" w:rsidRPr="007C0B39" w:rsidRDefault="00742222" w:rsidP="00742222">
      <w:pPr>
        <w:numPr>
          <w:ilvl w:val="0"/>
          <w:numId w:val="7"/>
        </w:numPr>
        <w:tabs>
          <w:tab w:val="clear" w:pos="1782"/>
        </w:tabs>
        <w:spacing w:after="120"/>
        <w:ind w:left="1886" w:hanging="450"/>
      </w:pPr>
      <w:r w:rsidRPr="007C0B39">
        <w:t xml:space="preserve">All Compliance Reports shall be submitted </w:t>
      </w:r>
      <w:r>
        <w:t>Chief, Investigations and Hearings Division, Enforcement Bureau, Federal Communications Commission, 445 12</w:t>
      </w:r>
      <w:r w:rsidRPr="002478E3">
        <w:rPr>
          <w:vertAlign w:val="superscript"/>
        </w:rPr>
        <w:t>th</w:t>
      </w:r>
      <w:r>
        <w:t xml:space="preserve"> Street, SW, Washington, DC 20554</w:t>
      </w:r>
      <w:r w:rsidRPr="007C0B39">
        <w:t xml:space="preserve">, with a copy submitted electronically to </w:t>
      </w:r>
      <w:r>
        <w:t xml:space="preserve">Jeffrey J. Gee at </w:t>
      </w:r>
      <w:r w:rsidRPr="00883935">
        <w:t>Jeffrey.Gee@fcc.gov</w:t>
      </w:r>
      <w:r>
        <w:t>, and Greg Haledjian at Gregory.Haledjian@fcc.gov</w:t>
      </w:r>
      <w:r w:rsidRPr="007C0B39">
        <w:t>.</w:t>
      </w:r>
    </w:p>
    <w:p w14:paraId="7C894E88" w14:textId="77777777" w:rsidR="00742222" w:rsidRPr="007C0B39" w:rsidRDefault="00742222" w:rsidP="00742222">
      <w:pPr>
        <w:pStyle w:val="ParaNum"/>
      </w:pPr>
      <w:r w:rsidRPr="007C0B39">
        <w:rPr>
          <w:b/>
          <w:u w:val="single"/>
        </w:rPr>
        <w:t>Termination Date</w:t>
      </w:r>
      <w:r w:rsidRPr="007C0B39">
        <w:t xml:space="preserve">. </w:t>
      </w:r>
      <w:r w:rsidRPr="007C0B39">
        <w:rPr>
          <w:b/>
        </w:rPr>
        <w:t xml:space="preserve"> </w:t>
      </w:r>
      <w:r w:rsidRPr="007C0B39">
        <w:t xml:space="preserve">Unless stated otherwise, the requirements set forth in paragraphs </w:t>
      </w:r>
      <w:r w:rsidRPr="00174FA8">
        <w:t>12 through 14 of this</w:t>
      </w:r>
      <w:r w:rsidRPr="007C0B39">
        <w:t xml:space="preserve"> Consent Decree shall expire thirty-six (36) months after the Effective Date.</w:t>
      </w:r>
    </w:p>
    <w:p w14:paraId="3A96B968" w14:textId="77777777" w:rsidR="00742222" w:rsidRPr="007C0B39" w:rsidRDefault="00742222" w:rsidP="00742222">
      <w:pPr>
        <w:pStyle w:val="ParaNum"/>
      </w:pPr>
      <w:bookmarkStart w:id="6" w:name="_Ref357521957"/>
      <w:r w:rsidRPr="003A149B">
        <w:rPr>
          <w:b/>
          <w:u w:val="single"/>
        </w:rPr>
        <w:t>Civil Penalty</w:t>
      </w:r>
      <w:r w:rsidRPr="007C0B39">
        <w:t xml:space="preserve">.  </w:t>
      </w:r>
      <w:r>
        <w:t xml:space="preserve">Siemens and Siemens Medical </w:t>
      </w:r>
      <w:r w:rsidRPr="007C0B39">
        <w:t>will pay a civil penalty</w:t>
      </w:r>
      <w:r>
        <w:t>, for which they are jointly and severally liable,</w:t>
      </w:r>
      <w:r w:rsidRPr="007C0B39">
        <w:t xml:space="preserve"> to the United S</w:t>
      </w:r>
      <w:r>
        <w:t xml:space="preserve">tates Treasury in the amount </w:t>
      </w:r>
      <w:r w:rsidRPr="00A46213">
        <w:t xml:space="preserve">of </w:t>
      </w:r>
      <w:r w:rsidRPr="008B7AB7">
        <w:t>$175,000 within</w:t>
      </w:r>
      <w:r w:rsidRPr="003A149B">
        <w:t xml:space="preserve"> thirty (30) calendar days of the Effective Date</w:t>
      </w:r>
      <w:r>
        <w:t xml:space="preserve">.  Siemens and Siemens Medical </w:t>
      </w:r>
      <w:r w:rsidRPr="007C0B39">
        <w:t>shall send electronic notification of payment to</w:t>
      </w:r>
      <w:r>
        <w:t xml:space="preserve"> Jeffrey J. Gee at</w:t>
      </w:r>
      <w:r w:rsidRPr="007C0B39">
        <w:t xml:space="preserve"> </w:t>
      </w:r>
      <w:r w:rsidRPr="00883935">
        <w:t>Jeffrey.Gee@fcc.gov</w:t>
      </w:r>
      <w:r>
        <w:t>, and Greg Haledjian at Gregory.Haledjian@fcc.gov</w:t>
      </w:r>
      <w:r w:rsidRPr="007C0B39">
        <w:t xml:space="preserve"> on the date said payment is made.</w:t>
      </w:r>
      <w:bookmarkEnd w:id="6"/>
      <w:r w:rsidRPr="007C0B39">
        <w:t xml:space="preserve">  </w:t>
      </w:r>
      <w:r w:rsidRPr="003A1649">
        <w:t>The payment must be made by check or similar instrument, wire transfer, or credit card, and must include the Account Number and FRN referenced above.</w:t>
      </w:r>
      <w:r w:rsidRPr="0004267E">
        <w:t xml:space="preserve">  </w:t>
      </w:r>
      <w:r w:rsidRPr="007C0B39">
        <w:t>Regardless of the form of payment, a completed FCC Form 159 (Remittance Advice) must be submitted.</w:t>
      </w:r>
      <w:r>
        <w:rPr>
          <w:rStyle w:val="FootnoteReference"/>
        </w:rPr>
        <w:footnoteReference w:id="14"/>
      </w:r>
      <w:r w:rsidRPr="007C0B39">
        <w:t xml:space="preserve">  When completing the FCC Form 159, enter the</w:t>
      </w:r>
      <w:r>
        <w:t xml:space="preserve"> </w:t>
      </w:r>
      <w:r w:rsidRPr="007C0B39">
        <w:t xml:space="preserve">Account Number in block number 23A (call sign/other ID) and enter the letters “FORF” in block number 24A (payment type code).  Below are additional instructions </w:t>
      </w:r>
      <w:r>
        <w:t>that should be followed based on the form of payment selected</w:t>
      </w:r>
      <w:r w:rsidRPr="007C0B39">
        <w:t>:</w:t>
      </w:r>
    </w:p>
    <w:p w14:paraId="4353AA51" w14:textId="77777777" w:rsidR="00742222" w:rsidRPr="007C0B39" w:rsidRDefault="00742222" w:rsidP="00742222">
      <w:pPr>
        <w:pStyle w:val="ParaNum"/>
        <w:numPr>
          <w:ilvl w:val="0"/>
          <w:numId w:val="9"/>
        </w:numPr>
        <w:rPr>
          <w:rFonts w:eastAsia="MS Mincho"/>
        </w:rPr>
      </w:pPr>
      <w:r w:rsidRPr="007C0B39">
        <w:rPr>
          <w:rFonts w:eastAsia="MS Mincho"/>
        </w:rPr>
        <w:t>Payment by check or money order must be made payable to the order of the Federal Communications Commission.</w:t>
      </w:r>
      <w:r>
        <w:rPr>
          <w:rFonts w:eastAsia="MS Mincho"/>
        </w:rPr>
        <w:t xml:space="preserve"> </w:t>
      </w:r>
      <w:r w:rsidRPr="007C0B39">
        <w:rPr>
          <w:rFonts w:eastAsia="MS Mincho"/>
        </w:rPr>
        <w:t xml:space="preserve"> Such payments</w:t>
      </w:r>
      <w:r>
        <w:rPr>
          <w:rFonts w:eastAsia="MS Mincho"/>
        </w:rPr>
        <w:t xml:space="preserve"> </w:t>
      </w:r>
      <w:r w:rsidRPr="007C0B39">
        <w:rPr>
          <w:rFonts w:eastAsia="MS Mincho"/>
        </w:rPr>
        <w:t>(along with the completed Form 159)</w:t>
      </w:r>
      <w:r>
        <w:rPr>
          <w:rFonts w:eastAsia="MS Mincho"/>
        </w:rPr>
        <w:t xml:space="preserve"> </w:t>
      </w:r>
      <w:r w:rsidRPr="007C0B39">
        <w:rPr>
          <w:rFonts w:eastAsia="MS Mincho"/>
        </w:rPr>
        <w:t>must be mailed to Federal Communications Commission, P.O. Box 979088, St.</w:t>
      </w:r>
      <w:r>
        <w:rPr>
          <w:rFonts w:eastAsia="MS Mincho"/>
        </w:rPr>
        <w:t xml:space="preserve"> </w:t>
      </w:r>
      <w:r w:rsidRPr="007C0B39">
        <w:rPr>
          <w:rFonts w:eastAsia="MS Mincho"/>
        </w:rPr>
        <w:t>Louis, MO 63197-9000, or sent via</w:t>
      </w:r>
      <w:r>
        <w:rPr>
          <w:rFonts w:eastAsia="MS Mincho"/>
        </w:rPr>
        <w:t xml:space="preserve"> </w:t>
      </w:r>
      <w:r w:rsidRPr="007C0B39">
        <w:rPr>
          <w:rFonts w:eastAsia="MS Mincho"/>
        </w:rPr>
        <w:t>overnight mail</w:t>
      </w:r>
      <w:r>
        <w:rPr>
          <w:rFonts w:eastAsia="MS Mincho"/>
        </w:rPr>
        <w:t xml:space="preserve"> </w:t>
      </w:r>
      <w:r w:rsidRPr="007C0B39">
        <w:rPr>
          <w:rFonts w:eastAsia="MS Mincho"/>
        </w:rPr>
        <w:t>to U.S. Bank – Government Lockbox #979088, SL</w:t>
      </w:r>
      <w:r w:rsidRPr="007C0B39">
        <w:rPr>
          <w:rFonts w:eastAsia="MS Mincho"/>
        </w:rPr>
        <w:noBreakHyphen/>
        <w:t>MO</w:t>
      </w:r>
      <w:r w:rsidRPr="007C0B39">
        <w:rPr>
          <w:rFonts w:eastAsia="MS Mincho"/>
        </w:rPr>
        <w:noBreakHyphen/>
        <w:t>C2</w:t>
      </w:r>
      <w:r w:rsidRPr="007C0B39">
        <w:rPr>
          <w:rFonts w:eastAsia="MS Mincho"/>
        </w:rPr>
        <w:noBreakHyphen/>
        <w:t>GL, 1005 Convention Plaza, St. Louis, MO 63101.</w:t>
      </w:r>
    </w:p>
    <w:p w14:paraId="7BB9AF9A" w14:textId="77777777" w:rsidR="00742222" w:rsidRPr="007C0B39" w:rsidRDefault="00742222" w:rsidP="00742222">
      <w:pPr>
        <w:pStyle w:val="ParaNum"/>
        <w:numPr>
          <w:ilvl w:val="0"/>
          <w:numId w:val="9"/>
        </w:numPr>
        <w:rPr>
          <w:rFonts w:eastAsia="MS Mincho"/>
        </w:rPr>
      </w:pPr>
      <w:r w:rsidRPr="007C0B39">
        <w:rPr>
          <w:rFonts w:eastAsia="MS Mincho"/>
        </w:rPr>
        <w:t>Payment by</w:t>
      </w:r>
      <w:r>
        <w:rPr>
          <w:rFonts w:eastAsia="MS Mincho"/>
        </w:rPr>
        <w:t xml:space="preserve"> </w:t>
      </w:r>
      <w:r w:rsidRPr="007C0B39">
        <w:rPr>
          <w:rFonts w:eastAsia="MS Mincho"/>
        </w:rPr>
        <w:t>wire transfer</w:t>
      </w:r>
      <w:r>
        <w:rPr>
          <w:rFonts w:eastAsia="MS Mincho"/>
        </w:rPr>
        <w:t xml:space="preserve"> </w:t>
      </w:r>
      <w:r w:rsidRPr="007C0B39">
        <w:rPr>
          <w:rFonts w:eastAsia="MS Mincho"/>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1D92A068" w14:textId="77777777" w:rsidR="00742222" w:rsidRPr="007C0B39" w:rsidRDefault="00742222" w:rsidP="00742222">
      <w:pPr>
        <w:pStyle w:val="ParaNum"/>
        <w:numPr>
          <w:ilvl w:val="0"/>
          <w:numId w:val="9"/>
        </w:numPr>
        <w:rPr>
          <w:rFonts w:eastAsia="MS Mincho"/>
        </w:rPr>
      </w:pPr>
      <w:r w:rsidRPr="007C0B39">
        <w:rPr>
          <w:rFonts w:eastAsia="MS Mincho"/>
        </w:rPr>
        <w:t>Payment by credit card must be made by providing the required credit card information on FCC Form 159 and signing</w:t>
      </w:r>
      <w:r>
        <w:rPr>
          <w:rFonts w:eastAsia="MS Mincho"/>
        </w:rPr>
        <w:t xml:space="preserve"> </w:t>
      </w:r>
      <w:r w:rsidRPr="007C0B39">
        <w:rPr>
          <w:rFonts w:eastAsia="MS Mincho"/>
        </w:rPr>
        <w:t>and dating</w:t>
      </w:r>
      <w:r>
        <w:rPr>
          <w:rFonts w:eastAsia="MS Mincho"/>
        </w:rPr>
        <w:t xml:space="preserve"> </w:t>
      </w:r>
      <w:r w:rsidRPr="007C0B39">
        <w:rPr>
          <w:rFonts w:eastAsia="MS Mincho"/>
        </w:rPr>
        <w:t>the Form 159 to authorize the credit card payment.  The completed Form 159 must then be mailed to Federal Communications Commission, P.O. Box 979088, St. Louis, MO 63197-9000, or sent via</w:t>
      </w:r>
      <w:r>
        <w:rPr>
          <w:rFonts w:eastAsia="MS Mincho"/>
        </w:rPr>
        <w:t xml:space="preserve"> </w:t>
      </w:r>
      <w:r w:rsidRPr="007C0B39">
        <w:rPr>
          <w:rFonts w:eastAsia="MS Mincho"/>
        </w:rPr>
        <w:t>overnight mail</w:t>
      </w:r>
      <w:r>
        <w:rPr>
          <w:rFonts w:eastAsia="MS Mincho"/>
        </w:rPr>
        <w:t xml:space="preserve"> </w:t>
      </w:r>
      <w:r w:rsidRPr="007C0B39">
        <w:rPr>
          <w:rFonts w:eastAsia="MS Mincho"/>
        </w:rPr>
        <w:t>to U.S. Bank – Government Lockbox #979088, SL-MO-C2-GL, 1005 Convention Plaza, St. Louis, MO 63101.</w:t>
      </w:r>
    </w:p>
    <w:p w14:paraId="1D207A31" w14:textId="77777777" w:rsidR="00742222" w:rsidRPr="007C0B39" w:rsidRDefault="00742222" w:rsidP="00742222">
      <w:pPr>
        <w:spacing w:after="120"/>
        <w:ind w:firstLine="720"/>
        <w:rPr>
          <w:rFonts w:eastAsia="MS Mincho"/>
        </w:rPr>
      </w:pPr>
      <w:r w:rsidRPr="007C0B39">
        <w:rPr>
          <w:rFonts w:eastAsia="MS Mincho"/>
        </w:rPr>
        <w:t>Questions regarding payment procedures should be addressed to the Financial Operations Group Help Desk</w:t>
      </w:r>
      <w:r>
        <w:rPr>
          <w:rFonts w:eastAsia="MS Mincho"/>
        </w:rPr>
        <w:t xml:space="preserve"> </w:t>
      </w:r>
      <w:r w:rsidRPr="007C0B39">
        <w:rPr>
          <w:rFonts w:eastAsia="MS Mincho"/>
        </w:rPr>
        <w:t>by phone,</w:t>
      </w:r>
      <w:r>
        <w:rPr>
          <w:rFonts w:eastAsia="MS Mincho"/>
        </w:rPr>
        <w:t xml:space="preserve"> </w:t>
      </w:r>
      <w:r w:rsidRPr="007C0B39">
        <w:rPr>
          <w:rFonts w:eastAsia="MS Mincho"/>
        </w:rPr>
        <w:t>1-877-480-3201, or by e-mail, ARINQUIRIES@fcc.gov.</w:t>
      </w:r>
    </w:p>
    <w:p w14:paraId="01FC7D6D" w14:textId="77777777" w:rsidR="00742222" w:rsidRPr="007C0B39" w:rsidRDefault="00742222" w:rsidP="00742222">
      <w:pPr>
        <w:pStyle w:val="ParaNum"/>
      </w:pPr>
      <w:r w:rsidRPr="007C0B39">
        <w:rPr>
          <w:b/>
          <w:u w:val="single"/>
        </w:rPr>
        <w:t>Waivers</w:t>
      </w:r>
      <w:r w:rsidRPr="007C0B39">
        <w:t xml:space="preserve">.  As of the Effective Date, </w:t>
      </w:r>
      <w:r>
        <w:t xml:space="preserve">Siemens and Siemens Medical each </w:t>
      </w:r>
      <w:r w:rsidRPr="007C0B39">
        <w:t xml:space="preserve">waives any and all rights it may have to seek administrative or judicial reconsideration, review, appeal or stay, or to otherwise challenge or contest the validity of this Consent Decree and the Adopting Order.  </w:t>
      </w:r>
      <w:r>
        <w:t xml:space="preserve">Siemens and Siemens Medical </w:t>
      </w:r>
      <w:r w:rsidRPr="007C0B39">
        <w:t xml:space="preserve">shall retain the right to challenge Commission interpretation of the Consent Decree or any terms contained herein.  If </w:t>
      </w:r>
      <w:r>
        <w:t>any</w:t>
      </w:r>
      <w:r w:rsidRPr="007C0B39">
        <w:t xml:space="preserve"> Party (or the United States on behalf of the Commission) brings a judicial action to enforce the terms of the Consent Decree or the Adopting Order, neither </w:t>
      </w:r>
      <w:r>
        <w:t>Siemens, Siemens Medical,</w:t>
      </w:r>
      <w:r w:rsidRPr="007C0B39">
        <w:t xml:space="preserve"> nor the Commission shall contest the validity of the Consent Decree or the Adopting Order, and </w:t>
      </w:r>
      <w:r>
        <w:t xml:space="preserve">Siemens and Siemens Medical </w:t>
      </w:r>
      <w:r w:rsidRPr="007C0B39">
        <w:t xml:space="preserve">shall waive any statutory right to a trial </w:t>
      </w:r>
      <w:r w:rsidRPr="007C0B39">
        <w:rPr>
          <w:i/>
        </w:rPr>
        <w:t>de novo</w:t>
      </w:r>
      <w:r w:rsidRPr="007C0B39">
        <w:t xml:space="preserve">.  </w:t>
      </w:r>
      <w:r>
        <w:t xml:space="preserve">Siemens and Siemens Medical each </w:t>
      </w:r>
      <w:r w:rsidRPr="007C0B39">
        <w:t>hereby agrees to waive any claims it may otherwise have under the Equal Access to Justice Act</w:t>
      </w:r>
      <w:r>
        <w:rPr>
          <w:rStyle w:val="FootnoteReference"/>
        </w:rPr>
        <w:footnoteReference w:id="15"/>
      </w:r>
      <w:r w:rsidRPr="007C0B39">
        <w:t xml:space="preserve"> relating to the matters addressed in this Consent Decree.</w:t>
      </w:r>
    </w:p>
    <w:p w14:paraId="4E6466FC" w14:textId="77777777" w:rsidR="00742222" w:rsidRPr="007C0B39" w:rsidRDefault="00742222" w:rsidP="00742222">
      <w:pPr>
        <w:pStyle w:val="ParaNum"/>
      </w:pPr>
      <w:r w:rsidRPr="007C0B39">
        <w:rPr>
          <w:b/>
          <w:u w:val="single"/>
        </w:rPr>
        <w:t>Severability</w:t>
      </w:r>
      <w:r w:rsidRPr="007C0B39">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7CCFA7B7" w14:textId="77777777" w:rsidR="00742222" w:rsidRPr="007C0B39" w:rsidRDefault="00742222" w:rsidP="00742222">
      <w:pPr>
        <w:pStyle w:val="ParaNum"/>
      </w:pPr>
      <w:r w:rsidRPr="007C0B39">
        <w:rPr>
          <w:b/>
          <w:u w:val="single"/>
        </w:rPr>
        <w:t>Invalidity</w:t>
      </w:r>
      <w:r w:rsidRPr="007C0B39">
        <w:t>.  In the event that this Consent Decree in its entirety is rendered invalid by any court of competent jurisdiction, it shall become null and void and may not be used in any manner in any legal proceeding.</w:t>
      </w:r>
    </w:p>
    <w:p w14:paraId="456203FA" w14:textId="77777777" w:rsidR="00742222" w:rsidRPr="007C0B39" w:rsidRDefault="00742222" w:rsidP="00790B49">
      <w:pPr>
        <w:pStyle w:val="ParaNum"/>
        <w:widowControl/>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Siemens</w:t>
      </w:r>
      <w:r w:rsidRPr="007C0B39">
        <w:t xml:space="preserve"> </w:t>
      </w:r>
      <w:r>
        <w:t xml:space="preserve">and Siemens Medical </w:t>
      </w:r>
      <w:r w:rsidRPr="007C0B39">
        <w:t>do not expressly consent) that provision will be superseded by such Rule or Order.</w:t>
      </w:r>
    </w:p>
    <w:p w14:paraId="5C3F6842" w14:textId="77777777" w:rsidR="00742222" w:rsidRPr="007C0B39" w:rsidRDefault="00742222" w:rsidP="00790B49">
      <w:pPr>
        <w:pStyle w:val="ParaNum"/>
        <w:widowControl/>
      </w:pPr>
      <w:r w:rsidRPr="007C0B39">
        <w:rPr>
          <w:b/>
          <w:u w:val="single"/>
        </w:rPr>
        <w:t>Successors and Assigns</w:t>
      </w:r>
      <w:r w:rsidRPr="007C0B39">
        <w:t xml:space="preserve">.  </w:t>
      </w:r>
      <w:r>
        <w:t xml:space="preserve">Siemens and Siemens Medical each </w:t>
      </w:r>
      <w:r w:rsidRPr="007C0B39">
        <w:t>agrees that the provisions of this Consent Decree shall be binding on its successors, assigns, and transferees.</w:t>
      </w:r>
    </w:p>
    <w:p w14:paraId="078F8F09" w14:textId="77777777" w:rsidR="00742222" w:rsidRPr="007C0B39" w:rsidRDefault="00742222" w:rsidP="00742222">
      <w:pPr>
        <w:pStyle w:val="ParaNum"/>
      </w:pPr>
      <w:r w:rsidRPr="007C0B39">
        <w:rPr>
          <w:b/>
          <w:u w:val="single"/>
        </w:rPr>
        <w:t>Final Settlement</w:t>
      </w:r>
      <w:r w:rsidRPr="007C0B39">
        <w:t>.  The Parties agree and acknowledge that this Consent Decree shall constitute a final settlement between the Parties with respect to the Investigation</w:t>
      </w:r>
      <w:r>
        <w:t>.</w:t>
      </w:r>
    </w:p>
    <w:p w14:paraId="296F04B1" w14:textId="77777777" w:rsidR="00742222" w:rsidRPr="007C0B39" w:rsidRDefault="00742222" w:rsidP="00742222">
      <w:pPr>
        <w:pStyle w:val="ParaNum"/>
      </w:pPr>
      <w:r w:rsidRPr="007C0B39">
        <w:rPr>
          <w:b/>
          <w:u w:val="single"/>
        </w:rPr>
        <w:t>Modifications</w:t>
      </w:r>
      <w:r w:rsidRPr="007C0B39">
        <w:t>.  This Consent Decree cannot be modified without the advance written consent of both Parties.</w:t>
      </w:r>
    </w:p>
    <w:p w14:paraId="2313CB86" w14:textId="77777777" w:rsidR="00742222" w:rsidRPr="007C0B39" w:rsidRDefault="00742222" w:rsidP="00742222">
      <w:pPr>
        <w:pStyle w:val="ParaNum"/>
        <w:widowControl/>
      </w:pPr>
      <w:r w:rsidRPr="007C0B39">
        <w:rPr>
          <w:b/>
          <w:u w:val="single"/>
        </w:rPr>
        <w:t>Paragraph Headings</w:t>
      </w:r>
      <w:r w:rsidRPr="007C0B39">
        <w:t>.  The headings of the paragraphs in this Consent Decree are inserted for convenience only and are not intended to affect the meaning or interpretation of this Consent Decree.</w:t>
      </w:r>
    </w:p>
    <w:p w14:paraId="4973A99F" w14:textId="77777777" w:rsidR="00742222" w:rsidRPr="007C0B39" w:rsidRDefault="00742222" w:rsidP="00742222">
      <w:pPr>
        <w:pStyle w:val="ParaNum"/>
      </w:pPr>
      <w:r w:rsidRPr="007C0B39">
        <w:rPr>
          <w:b/>
          <w:u w:val="single"/>
        </w:rPr>
        <w:t>Authorized Representative</w:t>
      </w:r>
      <w:r w:rsidRPr="007C0B39">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753F1FB6" w14:textId="77777777" w:rsidR="00742222" w:rsidRPr="007C0B39" w:rsidRDefault="00742222" w:rsidP="00742222">
      <w:pPr>
        <w:pStyle w:val="ParaNum"/>
      </w:pPr>
      <w:r w:rsidRPr="007C0B39">
        <w:rPr>
          <w:b/>
          <w:u w:val="single"/>
        </w:rPr>
        <w:t>Counterparts</w:t>
      </w:r>
      <w:r w:rsidRPr="007C0B39">
        <w:t>.  This Consent Decree may be signed in counterpart (including electronically or by facsimile).  Each counterpart, when executed and delivered, shall be an original, and all of the counterparts together shall constitute one and the same fully executed instrument.</w:t>
      </w:r>
    </w:p>
    <w:p w14:paraId="11B078FD" w14:textId="77777777" w:rsidR="00742222" w:rsidRDefault="00742222" w:rsidP="00742222">
      <w:pPr>
        <w:keepNext/>
        <w:keepLines/>
      </w:pPr>
    </w:p>
    <w:p w14:paraId="3A1E3CBB" w14:textId="77777777" w:rsidR="00742222" w:rsidRPr="007C0B39" w:rsidRDefault="00742222" w:rsidP="00742222">
      <w:pPr>
        <w:keepNext/>
        <w:keepLines/>
      </w:pPr>
    </w:p>
    <w:p w14:paraId="350C9BF7" w14:textId="77777777" w:rsidR="00742222" w:rsidRPr="000B032C" w:rsidRDefault="00742222" w:rsidP="00742222">
      <w:pPr>
        <w:keepNext/>
        <w:keepLines/>
        <w:rPr>
          <w:lang w:val="fr-FR"/>
        </w:rPr>
      </w:pPr>
      <w:r w:rsidRPr="000B032C">
        <w:rPr>
          <w:lang w:val="fr-FR"/>
        </w:rPr>
        <w:t>________________________________</w:t>
      </w:r>
      <w:r>
        <w:rPr>
          <w:lang w:val="fr-FR"/>
        </w:rPr>
        <w:tab/>
      </w:r>
      <w:r>
        <w:rPr>
          <w:lang w:val="fr-FR"/>
        </w:rPr>
        <w:tab/>
      </w:r>
      <w:r>
        <w:rPr>
          <w:lang w:val="fr-FR"/>
        </w:rPr>
        <w:tab/>
      </w:r>
      <w:r w:rsidRPr="000B032C">
        <w:rPr>
          <w:lang w:val="fr-FR"/>
        </w:rPr>
        <w:t>________________________________</w:t>
      </w:r>
    </w:p>
    <w:p w14:paraId="3FC817E4" w14:textId="77777777" w:rsidR="00742222" w:rsidRPr="000B032C" w:rsidRDefault="00742222" w:rsidP="00742222">
      <w:pPr>
        <w:keepNext/>
        <w:keepLines/>
        <w:rPr>
          <w:lang w:val="fr-FR"/>
        </w:rPr>
      </w:pPr>
      <w:r w:rsidRPr="000B032C">
        <w:rPr>
          <w:lang w:val="fr-FR"/>
        </w:rPr>
        <w:t>Travis LeBlanc</w:t>
      </w:r>
      <w:r>
        <w:rPr>
          <w:lang w:val="fr-FR"/>
        </w:rPr>
        <w:tab/>
      </w:r>
      <w:r>
        <w:rPr>
          <w:lang w:val="fr-FR"/>
        </w:rPr>
        <w:tab/>
      </w:r>
      <w:r>
        <w:rPr>
          <w:lang w:val="fr-FR"/>
        </w:rPr>
        <w:tab/>
      </w:r>
      <w:r>
        <w:rPr>
          <w:lang w:val="fr-FR"/>
        </w:rPr>
        <w:tab/>
      </w:r>
      <w:r>
        <w:rPr>
          <w:lang w:val="fr-FR"/>
        </w:rPr>
        <w:tab/>
      </w:r>
      <w:r>
        <w:rPr>
          <w:lang w:val="fr-FR"/>
        </w:rPr>
        <w:tab/>
        <w:t>Date</w:t>
      </w:r>
    </w:p>
    <w:p w14:paraId="7A495267" w14:textId="77777777" w:rsidR="00742222" w:rsidRPr="000B032C" w:rsidRDefault="00742222" w:rsidP="00742222">
      <w:pPr>
        <w:keepNext/>
        <w:keepLines/>
        <w:rPr>
          <w:lang w:val="fr-FR"/>
        </w:rPr>
      </w:pPr>
      <w:r w:rsidRPr="000B032C">
        <w:rPr>
          <w:lang w:val="fr-FR"/>
        </w:rPr>
        <w:t>Chief</w:t>
      </w:r>
    </w:p>
    <w:p w14:paraId="69EB2BAE" w14:textId="77777777" w:rsidR="00742222" w:rsidRPr="000B032C" w:rsidRDefault="00742222" w:rsidP="00742222">
      <w:pPr>
        <w:keepNext/>
        <w:keepLines/>
        <w:rPr>
          <w:lang w:val="fr-FR"/>
        </w:rPr>
      </w:pPr>
      <w:r w:rsidRPr="000B032C">
        <w:rPr>
          <w:lang w:val="fr-FR"/>
        </w:rPr>
        <w:t>Enforcement Bureau</w:t>
      </w:r>
    </w:p>
    <w:p w14:paraId="7DF7B28F" w14:textId="77777777" w:rsidR="00742222" w:rsidRDefault="00742222" w:rsidP="00742222">
      <w:pPr>
        <w:keepNext/>
        <w:keepLines/>
        <w:rPr>
          <w:lang w:val="fr-FR"/>
        </w:rPr>
      </w:pPr>
    </w:p>
    <w:p w14:paraId="228A1DEC" w14:textId="77777777" w:rsidR="00742222" w:rsidRDefault="00742222" w:rsidP="00742222">
      <w:pPr>
        <w:keepNext/>
        <w:keepLines/>
        <w:rPr>
          <w:lang w:val="fr-FR"/>
        </w:rPr>
      </w:pPr>
    </w:p>
    <w:p w14:paraId="27AAB7E2" w14:textId="77777777" w:rsidR="00742222" w:rsidRDefault="00742222" w:rsidP="00742222">
      <w:pPr>
        <w:keepLines/>
        <w:rPr>
          <w:lang w:val="de-DE"/>
        </w:rPr>
      </w:pPr>
    </w:p>
    <w:p w14:paraId="5B5D2813" w14:textId="77777777" w:rsidR="00742222" w:rsidRPr="000B032C" w:rsidRDefault="00742222" w:rsidP="00742222">
      <w:pPr>
        <w:keepLines/>
        <w:rPr>
          <w:lang w:val="de-DE"/>
        </w:rPr>
      </w:pPr>
      <w:r w:rsidRPr="000B032C">
        <w:rPr>
          <w:lang w:val="de-DE"/>
        </w:rPr>
        <w:t>________________________________</w:t>
      </w:r>
      <w:r>
        <w:rPr>
          <w:lang w:val="de-DE"/>
        </w:rPr>
        <w:tab/>
      </w:r>
      <w:r>
        <w:rPr>
          <w:lang w:val="de-DE"/>
        </w:rPr>
        <w:tab/>
      </w:r>
      <w:r>
        <w:rPr>
          <w:lang w:val="de-DE"/>
        </w:rPr>
        <w:tab/>
      </w:r>
      <w:r w:rsidRPr="000B032C">
        <w:rPr>
          <w:lang w:val="de-DE"/>
        </w:rPr>
        <w:t>________________________________</w:t>
      </w:r>
    </w:p>
    <w:p w14:paraId="1FD74BFA" w14:textId="77777777" w:rsidR="00742222" w:rsidRPr="000B032C" w:rsidRDefault="00742222" w:rsidP="00742222">
      <w:pPr>
        <w:keepLines/>
        <w:rPr>
          <w:lang w:val="de-DE"/>
        </w:rPr>
      </w:pPr>
      <w:r>
        <w:rPr>
          <w:lang w:val="de-DE"/>
        </w:rPr>
        <w:t>Eric Spiegel</w:t>
      </w:r>
      <w:r>
        <w:rPr>
          <w:lang w:val="de-DE"/>
        </w:rPr>
        <w:tab/>
      </w:r>
      <w:r>
        <w:rPr>
          <w:lang w:val="de-DE"/>
        </w:rPr>
        <w:tab/>
      </w:r>
      <w:r>
        <w:rPr>
          <w:lang w:val="de-DE"/>
        </w:rPr>
        <w:tab/>
      </w:r>
      <w:r>
        <w:rPr>
          <w:lang w:val="de-DE"/>
        </w:rPr>
        <w:tab/>
      </w:r>
      <w:r>
        <w:rPr>
          <w:lang w:val="de-DE"/>
        </w:rPr>
        <w:tab/>
      </w:r>
      <w:r>
        <w:rPr>
          <w:lang w:val="de-DE"/>
        </w:rPr>
        <w:tab/>
        <w:t>Date</w:t>
      </w:r>
    </w:p>
    <w:p w14:paraId="218A7EF4" w14:textId="77777777" w:rsidR="00742222" w:rsidRPr="000B032C" w:rsidRDefault="00742222" w:rsidP="00742222">
      <w:pPr>
        <w:keepLines/>
        <w:rPr>
          <w:lang w:val="de-DE"/>
        </w:rPr>
      </w:pPr>
      <w:r>
        <w:rPr>
          <w:lang w:val="de-DE"/>
        </w:rPr>
        <w:t>President and Chief Executive Officer</w:t>
      </w:r>
    </w:p>
    <w:p w14:paraId="593514E8" w14:textId="77777777" w:rsidR="00742222" w:rsidRDefault="00742222" w:rsidP="00742222">
      <w:pPr>
        <w:keepLines/>
        <w:rPr>
          <w:lang w:val="de-DE"/>
        </w:rPr>
      </w:pPr>
      <w:r w:rsidRPr="000B032C">
        <w:rPr>
          <w:lang w:val="de-DE"/>
        </w:rPr>
        <w:t xml:space="preserve">Siemens </w:t>
      </w:r>
      <w:r>
        <w:rPr>
          <w:lang w:val="de-DE"/>
        </w:rPr>
        <w:t>Corporation</w:t>
      </w:r>
    </w:p>
    <w:p w14:paraId="646FDFF2" w14:textId="77777777" w:rsidR="00742222" w:rsidRDefault="00742222" w:rsidP="00742222">
      <w:pPr>
        <w:keepLines/>
        <w:rPr>
          <w:lang w:val="de-DE"/>
        </w:rPr>
      </w:pPr>
    </w:p>
    <w:p w14:paraId="32EF34AF" w14:textId="77777777" w:rsidR="00742222" w:rsidRDefault="00742222" w:rsidP="00742222">
      <w:pPr>
        <w:keepLines/>
        <w:rPr>
          <w:lang w:val="de-DE"/>
        </w:rPr>
      </w:pPr>
    </w:p>
    <w:p w14:paraId="1DC4FB63" w14:textId="77777777" w:rsidR="00742222" w:rsidRDefault="00742222" w:rsidP="00742222">
      <w:pPr>
        <w:keepLines/>
        <w:rPr>
          <w:lang w:val="de-DE"/>
        </w:rPr>
      </w:pPr>
    </w:p>
    <w:p w14:paraId="28ECC854" w14:textId="77777777" w:rsidR="00742222" w:rsidRPr="000B032C" w:rsidRDefault="00742222" w:rsidP="00742222">
      <w:pPr>
        <w:keepLines/>
        <w:rPr>
          <w:lang w:val="de-DE"/>
        </w:rPr>
      </w:pPr>
      <w:r w:rsidRPr="000B032C">
        <w:rPr>
          <w:lang w:val="de-DE"/>
        </w:rPr>
        <w:t>________________________________</w:t>
      </w:r>
      <w:r>
        <w:rPr>
          <w:lang w:val="de-DE"/>
        </w:rPr>
        <w:tab/>
      </w:r>
      <w:r>
        <w:rPr>
          <w:lang w:val="de-DE"/>
        </w:rPr>
        <w:tab/>
      </w:r>
      <w:r>
        <w:rPr>
          <w:lang w:val="de-DE"/>
        </w:rPr>
        <w:tab/>
      </w:r>
      <w:r w:rsidRPr="000B032C">
        <w:rPr>
          <w:lang w:val="de-DE"/>
        </w:rPr>
        <w:t>________________________________</w:t>
      </w:r>
    </w:p>
    <w:p w14:paraId="1ECDFD4F" w14:textId="77777777" w:rsidR="00742222" w:rsidRPr="000B032C" w:rsidRDefault="00742222" w:rsidP="00742222">
      <w:pPr>
        <w:keepLines/>
        <w:rPr>
          <w:lang w:val="de-DE"/>
        </w:rPr>
      </w:pPr>
      <w:r>
        <w:rPr>
          <w:lang w:val="de-DE"/>
        </w:rPr>
        <w:t>Klaus Stegemann</w:t>
      </w:r>
      <w:r>
        <w:rPr>
          <w:lang w:val="de-DE"/>
        </w:rPr>
        <w:tab/>
      </w:r>
      <w:r>
        <w:rPr>
          <w:lang w:val="de-DE"/>
        </w:rPr>
        <w:tab/>
      </w:r>
      <w:r>
        <w:rPr>
          <w:lang w:val="de-DE"/>
        </w:rPr>
        <w:tab/>
      </w:r>
      <w:r>
        <w:rPr>
          <w:lang w:val="de-DE"/>
        </w:rPr>
        <w:tab/>
      </w:r>
      <w:r>
        <w:rPr>
          <w:lang w:val="de-DE"/>
        </w:rPr>
        <w:tab/>
        <w:t>Date</w:t>
      </w:r>
    </w:p>
    <w:p w14:paraId="5F7B7B6A" w14:textId="77777777" w:rsidR="00742222" w:rsidRPr="000B032C" w:rsidRDefault="00742222" w:rsidP="00742222">
      <w:pPr>
        <w:keepLines/>
        <w:rPr>
          <w:lang w:val="de-DE"/>
        </w:rPr>
      </w:pPr>
      <w:r>
        <w:rPr>
          <w:lang w:val="de-DE"/>
        </w:rPr>
        <w:t>Executive Vice President and Chief Financial Officer</w:t>
      </w:r>
    </w:p>
    <w:p w14:paraId="1F3A88CC" w14:textId="77777777" w:rsidR="00742222" w:rsidRPr="000B032C" w:rsidRDefault="00742222" w:rsidP="00742222">
      <w:pPr>
        <w:keepLines/>
        <w:rPr>
          <w:lang w:val="de-DE"/>
        </w:rPr>
      </w:pPr>
      <w:r w:rsidRPr="000B032C">
        <w:rPr>
          <w:lang w:val="de-DE"/>
        </w:rPr>
        <w:t xml:space="preserve">Siemens </w:t>
      </w:r>
      <w:r>
        <w:rPr>
          <w:lang w:val="de-DE"/>
        </w:rPr>
        <w:t>Corporation</w:t>
      </w:r>
    </w:p>
    <w:p w14:paraId="239EB42E" w14:textId="77777777" w:rsidR="00742222" w:rsidRDefault="00742222" w:rsidP="00742222">
      <w:pPr>
        <w:keepLines/>
        <w:rPr>
          <w:lang w:val="de-DE"/>
        </w:rPr>
      </w:pPr>
    </w:p>
    <w:p w14:paraId="1A7319C9" w14:textId="77777777" w:rsidR="00742222" w:rsidRDefault="00742222" w:rsidP="00742222">
      <w:pPr>
        <w:keepLines/>
        <w:rPr>
          <w:lang w:val="de-DE"/>
        </w:rPr>
      </w:pPr>
    </w:p>
    <w:p w14:paraId="4CB0FC06" w14:textId="77777777" w:rsidR="00742222" w:rsidRDefault="00742222" w:rsidP="00742222">
      <w:pPr>
        <w:keepLines/>
        <w:rPr>
          <w:lang w:val="de-DE"/>
        </w:rPr>
      </w:pPr>
    </w:p>
    <w:p w14:paraId="3CC16160" w14:textId="77777777" w:rsidR="00742222" w:rsidRPr="00E35E5D" w:rsidRDefault="00742222" w:rsidP="00742222">
      <w:pPr>
        <w:keepLines/>
        <w:rPr>
          <w:lang w:val="de-DE"/>
        </w:rPr>
      </w:pPr>
      <w:r w:rsidRPr="00E35E5D">
        <w:rPr>
          <w:lang w:val="de-DE"/>
        </w:rPr>
        <w:t>________________________________</w:t>
      </w:r>
      <w:r>
        <w:rPr>
          <w:lang w:val="de-DE"/>
        </w:rPr>
        <w:tab/>
      </w:r>
      <w:r>
        <w:rPr>
          <w:lang w:val="de-DE"/>
        </w:rPr>
        <w:tab/>
      </w:r>
      <w:r>
        <w:rPr>
          <w:lang w:val="de-DE"/>
        </w:rPr>
        <w:tab/>
      </w:r>
      <w:r w:rsidRPr="000B032C">
        <w:rPr>
          <w:lang w:val="de-DE"/>
        </w:rPr>
        <w:t>________________________________</w:t>
      </w:r>
    </w:p>
    <w:p w14:paraId="61C168A1" w14:textId="77777777" w:rsidR="00742222" w:rsidRPr="00843B69" w:rsidRDefault="00742222" w:rsidP="00742222">
      <w:pPr>
        <w:rPr>
          <w:snapToGrid/>
          <w:kern w:val="0"/>
        </w:rPr>
      </w:pPr>
      <w:r>
        <w:t>David Pacitti</w:t>
      </w:r>
      <w:r>
        <w:rPr>
          <w:lang w:val="de-DE"/>
        </w:rPr>
        <w:tab/>
      </w:r>
      <w:r>
        <w:rPr>
          <w:lang w:val="de-DE"/>
        </w:rPr>
        <w:tab/>
      </w:r>
      <w:r>
        <w:rPr>
          <w:lang w:val="de-DE"/>
        </w:rPr>
        <w:tab/>
      </w:r>
      <w:r>
        <w:rPr>
          <w:lang w:val="de-DE"/>
        </w:rPr>
        <w:tab/>
      </w:r>
      <w:r>
        <w:rPr>
          <w:lang w:val="de-DE"/>
        </w:rPr>
        <w:tab/>
      </w:r>
      <w:r>
        <w:rPr>
          <w:lang w:val="de-DE"/>
        </w:rPr>
        <w:tab/>
        <w:t>Date</w:t>
      </w:r>
    </w:p>
    <w:p w14:paraId="53D7D0A3" w14:textId="77777777" w:rsidR="00742222" w:rsidRPr="00E35E5D" w:rsidRDefault="00742222" w:rsidP="00742222">
      <w:pPr>
        <w:keepLines/>
        <w:rPr>
          <w:lang w:val="de-DE"/>
        </w:rPr>
      </w:pPr>
      <w:r>
        <w:rPr>
          <w:lang w:val="de-DE"/>
        </w:rPr>
        <w:t>President and Chief Executive Officer</w:t>
      </w:r>
    </w:p>
    <w:p w14:paraId="196BE97D" w14:textId="77777777" w:rsidR="00742222" w:rsidRPr="006B7E09" w:rsidRDefault="00742222" w:rsidP="00742222">
      <w:pPr>
        <w:keepLines/>
      </w:pPr>
      <w:r w:rsidRPr="00E35E5D">
        <w:t>Siemens</w:t>
      </w:r>
      <w:r>
        <w:t xml:space="preserve"> Medical Solutions USA, Inc.</w:t>
      </w:r>
    </w:p>
    <w:p w14:paraId="5BE925F1" w14:textId="77777777" w:rsidR="00742222" w:rsidRDefault="00742222" w:rsidP="00742222">
      <w:pPr>
        <w:keepLines/>
      </w:pPr>
    </w:p>
    <w:p w14:paraId="1A617DF9" w14:textId="77777777" w:rsidR="00742222" w:rsidRDefault="00742222" w:rsidP="00742222">
      <w:pPr>
        <w:keepLines/>
      </w:pPr>
    </w:p>
    <w:p w14:paraId="292A70C1" w14:textId="77777777" w:rsidR="00742222" w:rsidRPr="006B7E09" w:rsidRDefault="00742222" w:rsidP="00742222">
      <w:pPr>
        <w:keepLines/>
      </w:pPr>
    </w:p>
    <w:p w14:paraId="5C3477E6" w14:textId="77777777" w:rsidR="00742222" w:rsidRPr="00BD5B8B" w:rsidRDefault="00742222" w:rsidP="00742222">
      <w:pPr>
        <w:keepLines/>
      </w:pPr>
      <w:r w:rsidRPr="00E35E5D">
        <w:rPr>
          <w:lang w:val="de-DE"/>
        </w:rPr>
        <w:t>________________________________</w:t>
      </w:r>
      <w:r>
        <w:rPr>
          <w:lang w:val="de-DE"/>
        </w:rPr>
        <w:tab/>
      </w:r>
      <w:r>
        <w:rPr>
          <w:lang w:val="de-DE"/>
        </w:rPr>
        <w:tab/>
      </w:r>
      <w:r>
        <w:rPr>
          <w:lang w:val="de-DE"/>
        </w:rPr>
        <w:tab/>
      </w:r>
      <w:r w:rsidRPr="007C0B39">
        <w:t>________________________________</w:t>
      </w:r>
    </w:p>
    <w:p w14:paraId="63E89FF3" w14:textId="77777777" w:rsidR="00742222" w:rsidRPr="00E35E5D" w:rsidRDefault="00742222" w:rsidP="00742222">
      <w:pPr>
        <w:keepLines/>
        <w:rPr>
          <w:lang w:val="de-DE"/>
        </w:rPr>
      </w:pPr>
      <w:r>
        <w:rPr>
          <w:lang w:val="de-DE"/>
        </w:rPr>
        <w:t>Ann Custin</w:t>
      </w:r>
      <w:r>
        <w:rPr>
          <w:lang w:val="de-DE"/>
        </w:rPr>
        <w:tab/>
      </w:r>
      <w:r>
        <w:rPr>
          <w:lang w:val="de-DE"/>
        </w:rPr>
        <w:tab/>
      </w:r>
      <w:r>
        <w:rPr>
          <w:lang w:val="de-DE"/>
        </w:rPr>
        <w:tab/>
      </w:r>
      <w:r>
        <w:rPr>
          <w:lang w:val="de-DE"/>
        </w:rPr>
        <w:tab/>
      </w:r>
      <w:r>
        <w:rPr>
          <w:lang w:val="de-DE"/>
        </w:rPr>
        <w:tab/>
      </w:r>
      <w:r>
        <w:rPr>
          <w:lang w:val="de-DE"/>
        </w:rPr>
        <w:tab/>
        <w:t>Date</w:t>
      </w:r>
    </w:p>
    <w:p w14:paraId="6E4D0E9B" w14:textId="77777777" w:rsidR="00742222" w:rsidRPr="00E35E5D" w:rsidRDefault="00742222" w:rsidP="00742222">
      <w:pPr>
        <w:keepLines/>
        <w:rPr>
          <w:lang w:val="de-DE"/>
        </w:rPr>
      </w:pPr>
      <w:r>
        <w:rPr>
          <w:lang w:val="de-DE"/>
        </w:rPr>
        <w:t>Executive Vice President and Treasurer</w:t>
      </w:r>
    </w:p>
    <w:p w14:paraId="1D364EA4" w14:textId="77777777" w:rsidR="00AA1657" w:rsidRPr="002C00E8" w:rsidRDefault="00742222" w:rsidP="00790B49">
      <w:pPr>
        <w:keepLines/>
      </w:pPr>
      <w:r w:rsidRPr="00E35E5D">
        <w:t>Siemens</w:t>
      </w:r>
      <w:r>
        <w:t xml:space="preserve"> Medical Solutions USA, Inc.</w:t>
      </w:r>
    </w:p>
    <w:sectPr w:rsidR="00AA1657" w:rsidRPr="002C00E8" w:rsidSect="00790B49">
      <w:headerReference w:type="default" r:id="rId14"/>
      <w:footerReference w:type="default" r:id="rId15"/>
      <w:headerReference w:type="first" r:id="rId16"/>
      <w:footnotePr>
        <w:numRestart w:val="eachSect"/>
      </w:footnotePr>
      <w:pgSz w:w="12240" w:h="15840"/>
      <w:pgMar w:top="1267"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D262" w14:textId="77777777" w:rsidR="00F5180D" w:rsidRDefault="00F5180D">
      <w:pPr>
        <w:spacing w:line="20" w:lineRule="exact"/>
      </w:pPr>
    </w:p>
  </w:endnote>
  <w:endnote w:type="continuationSeparator" w:id="0">
    <w:p w14:paraId="64982038" w14:textId="77777777" w:rsidR="00F5180D" w:rsidRDefault="00F5180D">
      <w:r>
        <w:t xml:space="preserve"> </w:t>
      </w:r>
    </w:p>
  </w:endnote>
  <w:endnote w:type="continuationNotice" w:id="1">
    <w:p w14:paraId="486BD091" w14:textId="77777777" w:rsidR="00F5180D" w:rsidRDefault="00F518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F721" w14:textId="77777777" w:rsidR="00A86FD2" w:rsidRDefault="00A86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047B9238" w14:textId="77777777" w:rsidR="00153AAA" w:rsidRDefault="00453A9E" w:rsidP="00453A9E">
        <w:pPr>
          <w:pStyle w:val="Footer"/>
          <w:jc w:val="center"/>
        </w:pPr>
        <w:r>
          <w:fldChar w:fldCharType="begin"/>
        </w:r>
        <w:r>
          <w:instrText xml:space="preserve"> PAGE   \* MERGEFORMAT </w:instrText>
        </w:r>
        <w:r>
          <w:fldChar w:fldCharType="separate"/>
        </w:r>
        <w:r w:rsidR="00A86FD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A215" w14:textId="77777777" w:rsidR="009E51C5" w:rsidRDefault="009E51C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69250"/>
      <w:docPartObj>
        <w:docPartGallery w:val="Page Numbers (Bottom of Page)"/>
        <w:docPartUnique/>
      </w:docPartObj>
    </w:sdtPr>
    <w:sdtEndPr>
      <w:rPr>
        <w:noProof/>
      </w:rPr>
    </w:sdtEndPr>
    <w:sdtContent>
      <w:p w14:paraId="578EF6F6" w14:textId="77777777" w:rsidR="00153AAA" w:rsidRDefault="00C21EA6" w:rsidP="00453A9E">
        <w:pPr>
          <w:pStyle w:val="Footer"/>
          <w:jc w:val="center"/>
        </w:pPr>
        <w:r>
          <w:fldChar w:fldCharType="begin"/>
        </w:r>
        <w:r>
          <w:instrText xml:space="preserve"> PAGE   \* MERGEFORMAT </w:instrText>
        </w:r>
        <w:r>
          <w:fldChar w:fldCharType="separate"/>
        </w:r>
        <w:r w:rsidR="00E51238">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A6A5" w14:textId="77777777" w:rsidR="00F5180D" w:rsidRDefault="00F5180D">
      <w:r>
        <w:separator/>
      </w:r>
    </w:p>
  </w:footnote>
  <w:footnote w:type="continuationSeparator" w:id="0">
    <w:p w14:paraId="613524DF" w14:textId="77777777" w:rsidR="00F5180D" w:rsidRDefault="00F5180D" w:rsidP="00C721AC">
      <w:pPr>
        <w:spacing w:before="120"/>
        <w:rPr>
          <w:sz w:val="20"/>
        </w:rPr>
      </w:pPr>
      <w:r>
        <w:rPr>
          <w:sz w:val="20"/>
        </w:rPr>
        <w:t xml:space="preserve">(Continued from previous page)  </w:t>
      </w:r>
      <w:r>
        <w:rPr>
          <w:sz w:val="20"/>
        </w:rPr>
        <w:separator/>
      </w:r>
    </w:p>
  </w:footnote>
  <w:footnote w:type="continuationNotice" w:id="1">
    <w:p w14:paraId="4313D85C" w14:textId="77777777" w:rsidR="00F5180D" w:rsidRDefault="00F5180D" w:rsidP="00C721AC">
      <w:pPr>
        <w:jc w:val="right"/>
        <w:rPr>
          <w:sz w:val="20"/>
        </w:rPr>
      </w:pPr>
      <w:r>
        <w:rPr>
          <w:sz w:val="20"/>
        </w:rPr>
        <w:t>(continued….)</w:t>
      </w:r>
    </w:p>
  </w:footnote>
  <w:footnote w:id="2">
    <w:p w14:paraId="0F17181F" w14:textId="77777777" w:rsidR="003B4976" w:rsidRDefault="003B4976" w:rsidP="003B4976">
      <w:pPr>
        <w:pStyle w:val="FootnoteText"/>
      </w:pPr>
      <w:r>
        <w:rPr>
          <w:rStyle w:val="FootnoteReference"/>
        </w:rPr>
        <w:footnoteRef/>
      </w:r>
      <w:r>
        <w:t xml:space="preserve"> 47 U.S.C. §</w:t>
      </w:r>
      <w:r w:rsidR="005508FC">
        <w:t>§</w:t>
      </w:r>
      <w:r>
        <w:t xml:space="preserve"> </w:t>
      </w:r>
      <w:r w:rsidR="005508FC">
        <w:t xml:space="preserve">154, </w:t>
      </w:r>
      <w:r>
        <w:t>30</w:t>
      </w:r>
      <w:r w:rsidR="005508FC">
        <w:t>8</w:t>
      </w:r>
      <w:r>
        <w:t>.</w:t>
      </w:r>
    </w:p>
  </w:footnote>
  <w:footnote w:id="3">
    <w:p w14:paraId="04050F78" w14:textId="77777777" w:rsidR="003B4976" w:rsidRDefault="003B4976" w:rsidP="003B4976">
      <w:pPr>
        <w:pStyle w:val="FootnoteText"/>
      </w:pPr>
      <w:r>
        <w:rPr>
          <w:rStyle w:val="FootnoteReference"/>
        </w:rPr>
        <w:footnoteRef/>
      </w:r>
      <w:r w:rsidR="007B7E7F">
        <w:t xml:space="preserve"> 47 C.F.R. </w:t>
      </w:r>
      <w:r w:rsidR="00E50D8D" w:rsidRPr="00E50D8D">
        <w:t>§</w:t>
      </w:r>
      <w:r>
        <w:t xml:space="preserve"> 1.</w:t>
      </w:r>
      <w:r w:rsidR="005508FC">
        <w:t>17</w:t>
      </w:r>
      <w:r>
        <w:t>.</w:t>
      </w:r>
    </w:p>
  </w:footnote>
  <w:footnote w:id="4">
    <w:p w14:paraId="512F1688" w14:textId="77777777" w:rsidR="003B4976" w:rsidRPr="00A36B3E" w:rsidRDefault="003B4976" w:rsidP="003B4976">
      <w:pPr>
        <w:pStyle w:val="FootnoteText"/>
      </w:pPr>
      <w:r>
        <w:rPr>
          <w:rStyle w:val="FootnoteReference"/>
        </w:rPr>
        <w:footnoteRef/>
      </w:r>
      <w:r>
        <w:t xml:space="preserve"> </w:t>
      </w:r>
      <w:r>
        <w:rPr>
          <w:i/>
        </w:rPr>
        <w:t xml:space="preserve">See </w:t>
      </w:r>
      <w:r>
        <w:t xml:space="preserve">47 C.F.R. </w:t>
      </w:r>
      <w:r w:rsidRPr="007E734D">
        <w:t>§</w:t>
      </w:r>
      <w:r>
        <w:t xml:space="preserve"> 1.93(b).</w:t>
      </w:r>
    </w:p>
  </w:footnote>
  <w:footnote w:id="5">
    <w:p w14:paraId="16803221" w14:textId="77777777" w:rsidR="003B4976" w:rsidRDefault="003B4976" w:rsidP="003B4976">
      <w:pPr>
        <w:pStyle w:val="FootnoteText"/>
      </w:pPr>
      <w:r>
        <w:rPr>
          <w:rStyle w:val="FootnoteReference"/>
        </w:rPr>
        <w:footnoteRef/>
      </w:r>
      <w:r>
        <w:t xml:space="preserve"> 47 U.S.C. § 154(i).</w:t>
      </w:r>
    </w:p>
  </w:footnote>
  <w:footnote w:id="6">
    <w:p w14:paraId="4F0FE3D8" w14:textId="77777777" w:rsidR="003B4976" w:rsidRDefault="003B4976" w:rsidP="003B4976">
      <w:pPr>
        <w:pStyle w:val="FootnoteText"/>
      </w:pPr>
      <w:r>
        <w:rPr>
          <w:rStyle w:val="FootnoteReference"/>
          <w:bCs/>
        </w:rPr>
        <w:footnoteRef/>
      </w:r>
      <w:r>
        <w:t xml:space="preserve"> 47 C.F.R. §§ 0.111, 0.311.</w:t>
      </w:r>
    </w:p>
  </w:footnote>
  <w:footnote w:id="7">
    <w:p w14:paraId="2FA4B6BA" w14:textId="77777777" w:rsidR="00742222" w:rsidRDefault="00742222" w:rsidP="00742222">
      <w:pPr>
        <w:pStyle w:val="FootnoteText"/>
      </w:pPr>
      <w:r>
        <w:rPr>
          <w:rStyle w:val="FootnoteReference"/>
        </w:rPr>
        <w:footnoteRef/>
      </w:r>
      <w:r>
        <w:t xml:space="preserve"> Response to Letter of Inquiry from Matthew A. Brill, Counsel to Siemens Energy, Inc., to Marlene H. Dortch, Secretary, Federal Communications Commission at 6 (April 14, 2016) (on file in EB-IHD-16-</w:t>
      </w:r>
      <w:r>
        <w:rPr>
          <w:color w:val="000000" w:themeColor="text1"/>
          <w:spacing w:val="-2"/>
        </w:rPr>
        <w:t>00012037</w:t>
      </w:r>
      <w:r>
        <w:t>) (LOI Response).</w:t>
      </w:r>
    </w:p>
  </w:footnote>
  <w:footnote w:id="8">
    <w:p w14:paraId="5D02CE91" w14:textId="77777777" w:rsidR="00742222" w:rsidRPr="00B07159" w:rsidRDefault="00742222" w:rsidP="00742222">
      <w:pPr>
        <w:pStyle w:val="FootnoteText"/>
        <w:rPr>
          <w:lang w:val="fr-FR"/>
        </w:rPr>
      </w:pPr>
      <w:r>
        <w:rPr>
          <w:rStyle w:val="FootnoteReference"/>
        </w:rPr>
        <w:footnoteRef/>
      </w:r>
      <w:r w:rsidRPr="00B07159">
        <w:rPr>
          <w:lang w:val="fr-FR"/>
        </w:rPr>
        <w:t xml:space="preserve"> 47 U.S.C. § 151 </w:t>
      </w:r>
      <w:r w:rsidRPr="00B07159">
        <w:rPr>
          <w:i/>
          <w:lang w:val="fr-FR"/>
        </w:rPr>
        <w:t>et seq.</w:t>
      </w:r>
    </w:p>
  </w:footnote>
  <w:footnote w:id="9">
    <w:p w14:paraId="4FBB7814" w14:textId="77777777" w:rsidR="00742222" w:rsidRPr="00B07159" w:rsidRDefault="00742222" w:rsidP="00742222">
      <w:pPr>
        <w:pStyle w:val="FootnoteText"/>
        <w:rPr>
          <w:lang w:val="fr-FR"/>
        </w:rPr>
      </w:pPr>
      <w:r>
        <w:rPr>
          <w:rStyle w:val="FootnoteReference"/>
        </w:rPr>
        <w:footnoteRef/>
      </w:r>
      <w:r w:rsidRPr="00B07159">
        <w:rPr>
          <w:lang w:val="fr-FR"/>
        </w:rPr>
        <w:t xml:space="preserve"> 47 C.F.R. § 1.17(a)(2).</w:t>
      </w:r>
    </w:p>
  </w:footnote>
  <w:footnote w:id="10">
    <w:p w14:paraId="65FA6437" w14:textId="77777777" w:rsidR="00742222" w:rsidRDefault="00742222" w:rsidP="00742222">
      <w:pPr>
        <w:pStyle w:val="FootnoteText"/>
      </w:pPr>
      <w:r>
        <w:rPr>
          <w:rStyle w:val="FootnoteReference"/>
        </w:rPr>
        <w:footnoteRef/>
      </w:r>
      <w:r>
        <w:t xml:space="preserve"> </w:t>
      </w:r>
      <w:r w:rsidRPr="00273CF6">
        <w:rPr>
          <w:i/>
        </w:rPr>
        <w:t xml:space="preserve">FCC Application for Radio Service Authorization: Wireless Telecommunications Bureau, Public Safety </w:t>
      </w:r>
      <w:r>
        <w:rPr>
          <w:i/>
        </w:rPr>
        <w:t xml:space="preserve">and Homeland Security </w:t>
      </w:r>
      <w:r w:rsidRPr="00273CF6">
        <w:rPr>
          <w:i/>
        </w:rPr>
        <w:t>Bureau</w:t>
      </w:r>
      <w:r>
        <w:t xml:space="preserve">, FCC Form 601 (2016). </w:t>
      </w:r>
    </w:p>
  </w:footnote>
  <w:footnote w:id="11">
    <w:p w14:paraId="51E380B9" w14:textId="77777777" w:rsidR="00742222" w:rsidRDefault="00742222" w:rsidP="00742222">
      <w:pPr>
        <w:pStyle w:val="FootnoteText"/>
      </w:pPr>
      <w:r>
        <w:rPr>
          <w:rStyle w:val="FootnoteReference"/>
        </w:rPr>
        <w:footnoteRef/>
      </w:r>
      <w:r>
        <w:t xml:space="preserve"> </w:t>
      </w:r>
      <w:r w:rsidRPr="00273CF6">
        <w:rPr>
          <w:i/>
        </w:rPr>
        <w:t xml:space="preserve">FCC Application for </w:t>
      </w:r>
      <w:r>
        <w:rPr>
          <w:i/>
        </w:rPr>
        <w:t xml:space="preserve">Assignments of </w:t>
      </w:r>
      <w:r w:rsidRPr="00273CF6">
        <w:rPr>
          <w:i/>
        </w:rPr>
        <w:t>Authorization</w:t>
      </w:r>
      <w:r>
        <w:rPr>
          <w:i/>
        </w:rPr>
        <w:t xml:space="preserve"> or Transfer of Control</w:t>
      </w:r>
      <w:r w:rsidRPr="00273CF6">
        <w:rPr>
          <w:i/>
        </w:rPr>
        <w:t>: Wir</w:t>
      </w:r>
      <w:r>
        <w:rPr>
          <w:i/>
        </w:rPr>
        <w:t>eless Telecommunications Bureau and</w:t>
      </w:r>
      <w:r w:rsidRPr="00273CF6">
        <w:rPr>
          <w:i/>
        </w:rPr>
        <w:t xml:space="preserve"> Public Safet</w:t>
      </w:r>
      <w:r>
        <w:rPr>
          <w:i/>
        </w:rPr>
        <w:t xml:space="preserve">y Homeland Security </w:t>
      </w:r>
      <w:r w:rsidRPr="00273CF6">
        <w:rPr>
          <w:i/>
        </w:rPr>
        <w:t>Bureau</w:t>
      </w:r>
      <w:r>
        <w:t>, FCC Form 603 (2016).</w:t>
      </w:r>
    </w:p>
  </w:footnote>
  <w:footnote w:id="12">
    <w:p w14:paraId="1FCE24E2" w14:textId="77777777" w:rsidR="00742222" w:rsidRDefault="00742222" w:rsidP="00742222">
      <w:pPr>
        <w:pStyle w:val="FootnoteText"/>
      </w:pPr>
      <w:r>
        <w:rPr>
          <w:rStyle w:val="FootnoteReference"/>
        </w:rPr>
        <w:footnoteRef/>
      </w:r>
      <w:r>
        <w:t xml:space="preserve"> </w:t>
      </w:r>
      <w:r w:rsidRPr="00C566EC">
        <w:rPr>
          <w:i/>
        </w:rPr>
        <w:t>See</w:t>
      </w:r>
      <w:r>
        <w:t xml:space="preserve"> 47 CFR 1.93(b).</w:t>
      </w:r>
    </w:p>
  </w:footnote>
  <w:footnote w:id="13">
    <w:p w14:paraId="4269A640" w14:textId="77777777" w:rsidR="00742222" w:rsidRDefault="00742222" w:rsidP="00742222">
      <w:pPr>
        <w:pStyle w:val="FootnoteText"/>
      </w:pPr>
      <w:r w:rsidRPr="00A07FCB">
        <w:rPr>
          <w:rStyle w:val="FootnoteReference"/>
        </w:rPr>
        <w:footnoteRef/>
      </w:r>
      <w:r w:rsidRPr="00A07FCB">
        <w:t xml:space="preserve"> 47 CFR § 1.16.</w:t>
      </w:r>
    </w:p>
  </w:footnote>
  <w:footnote w:id="14">
    <w:p w14:paraId="6A1BCF45" w14:textId="77777777" w:rsidR="00742222" w:rsidRPr="00042447" w:rsidRDefault="00742222" w:rsidP="00742222">
      <w:pPr>
        <w:pStyle w:val="FootnoteText"/>
      </w:pPr>
      <w:r w:rsidRPr="00A07FCB">
        <w:rPr>
          <w:rStyle w:val="FootnoteReference"/>
        </w:rPr>
        <w:footnoteRef/>
      </w:r>
      <w:r w:rsidRPr="003F6349">
        <w:t xml:space="preserve"> </w:t>
      </w:r>
      <w:r w:rsidRPr="00A07FCB">
        <w:rPr>
          <w:rFonts w:eastAsia="MS Mincho"/>
        </w:rPr>
        <w:t>An FCC Form 159</w:t>
      </w:r>
      <w:r>
        <w:rPr>
          <w:rFonts w:eastAsia="MS Mincho"/>
        </w:rPr>
        <w:t xml:space="preserve"> </w:t>
      </w:r>
      <w:r w:rsidRPr="00A07FCB">
        <w:rPr>
          <w:rFonts w:eastAsia="MS Mincho"/>
        </w:rPr>
        <w:t>and</w:t>
      </w:r>
      <w:r>
        <w:rPr>
          <w:rFonts w:eastAsia="MS Mincho"/>
        </w:rPr>
        <w:t xml:space="preserve"> d</w:t>
      </w:r>
      <w:r w:rsidRPr="00A07FCB">
        <w:rPr>
          <w:rFonts w:eastAsia="MS Mincho"/>
        </w:rPr>
        <w:t>etailed instructions</w:t>
      </w:r>
      <w:r>
        <w:rPr>
          <w:rFonts w:eastAsia="MS Mincho"/>
        </w:rPr>
        <w:t xml:space="preserve"> </w:t>
      </w:r>
      <w:r w:rsidRPr="00A07FCB">
        <w:rPr>
          <w:rFonts w:eastAsia="MS Mincho"/>
        </w:rPr>
        <w:t>for completing the form may be obtained at http://www.fcc.gov/Forms/Form159/159.pdf.</w:t>
      </w:r>
    </w:p>
  </w:footnote>
  <w:footnote w:id="15">
    <w:p w14:paraId="47EB8B18" w14:textId="77777777" w:rsidR="00742222" w:rsidRDefault="00742222" w:rsidP="00742222">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DDBCC" w14:textId="77777777" w:rsidR="00A86FD2" w:rsidRDefault="00A86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D931" w14:textId="77777777" w:rsidR="00153AAA" w:rsidRDefault="00153AAA" w:rsidP="00153AAA">
    <w:pPr>
      <w:pStyle w:val="Header"/>
      <w:rPr>
        <w:b w:val="0"/>
      </w:rPr>
    </w:pPr>
    <w:r w:rsidRPr="00843A5F">
      <w:rPr>
        <w:noProof/>
        <w:snapToGrid/>
      </w:rPr>
      <mc:AlternateContent>
        <mc:Choice Requires="wps">
          <w:drawing>
            <wp:anchor distT="0" distB="0" distL="114300" distR="114300" simplePos="0" relativeHeight="251661312" behindDoc="1" locked="0" layoutInCell="0" allowOverlap="1" wp14:anchorId="490F3111" wp14:editId="66DA2EBE">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6F303"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267D9D">
      <w:rPr>
        <w:spacing w:val="-2"/>
      </w:rPr>
      <w:t>16-977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FE6D" w14:textId="77777777" w:rsidR="00153AAA" w:rsidRDefault="00153AAA" w:rsidP="00153AAA">
    <w:pPr>
      <w:pStyle w:val="Header"/>
      <w:rPr>
        <w:b w:val="0"/>
      </w:rPr>
    </w:pPr>
    <w:r w:rsidRPr="00843A5F">
      <w:rPr>
        <w:noProof/>
        <w:snapToGrid/>
      </w:rPr>
      <mc:AlternateContent>
        <mc:Choice Requires="wps">
          <w:drawing>
            <wp:anchor distT="0" distB="0" distL="114300" distR="114300" simplePos="0" relativeHeight="251659264" behindDoc="1" locked="0" layoutInCell="0" allowOverlap="1" wp14:anchorId="5B40197F" wp14:editId="451EFB3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F0C3E9"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D66953" w:rsidRPr="002755D1">
      <w:rPr>
        <w:spacing w:val="-2"/>
      </w:rPr>
      <w:t xml:space="preserve">DA </w:t>
    </w:r>
    <w:r w:rsidR="00F93ABC">
      <w:rPr>
        <w:spacing w:val="-2"/>
      </w:rPr>
      <w:t>16</w:t>
    </w:r>
    <w:r w:rsidR="00B9681A">
      <w:rPr>
        <w:spacing w:val="-2"/>
      </w:rPr>
      <w:t>-977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7BFC" w14:textId="77777777" w:rsidR="00153AAA" w:rsidRDefault="00C21EA6" w:rsidP="00153AAA">
    <w:pPr>
      <w:pStyle w:val="Header"/>
      <w:rPr>
        <w:b w:val="0"/>
      </w:rPr>
    </w:pPr>
    <w:r w:rsidRPr="00843A5F">
      <w:rPr>
        <w:noProof/>
      </w:rPr>
      <mc:AlternateContent>
        <mc:Choice Requires="wps">
          <w:drawing>
            <wp:anchor distT="0" distB="0" distL="114300" distR="114300" simplePos="0" relativeHeight="251664384" behindDoc="1" locked="0" layoutInCell="0" allowOverlap="1" wp14:anchorId="50997F1F" wp14:editId="2BAE9CEF">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3DB1CA" id="Rectangle 2"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" o:allowincell="f" fillcolor="black" stroked="f" strokeweight=".05pt">
              <w10:wrap anchorx="margin"/>
            </v:rect>
          </w:pict>
        </mc:Fallback>
      </mc:AlternateContent>
    </w:r>
    <w:r w:rsidRPr="00843A5F">
      <w:tab/>
      <w:t>Federal Communications Commission</w:t>
    </w:r>
    <w:r w:rsidRPr="00843A5F">
      <w:tab/>
    </w:r>
    <w:r>
      <w:rPr>
        <w:spacing w:val="-2"/>
      </w:rPr>
      <w:t>DA 16-977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1C568" w14:textId="77777777" w:rsidR="00E35E5D" w:rsidRDefault="00856153" w:rsidP="007C4242">
    <w:pPr>
      <w:pStyle w:val="Header"/>
    </w:pPr>
  </w:p>
  <w:p w14:paraId="6E8EF2AE" w14:textId="77777777" w:rsidR="00153AAA" w:rsidRDefault="00C21EA6" w:rsidP="00153AAA">
    <w:pPr>
      <w:pStyle w:val="Header"/>
      <w:rPr>
        <w:b w:val="0"/>
      </w:rPr>
    </w:pPr>
    <w:r w:rsidRPr="00843A5F">
      <w:rPr>
        <w:noProof/>
      </w:rPr>
      <mc:AlternateContent>
        <mc:Choice Requires="wps">
          <w:drawing>
            <wp:anchor distT="0" distB="0" distL="114300" distR="114300" simplePos="0" relativeHeight="251663360" behindDoc="1" locked="0" layoutInCell="0" allowOverlap="1" wp14:anchorId="64C73A0A" wp14:editId="4A0A7AD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06B401"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16-977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2">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9"/>
  </w:num>
  <w:num w:numId="2">
    <w:abstractNumId w:val="6"/>
  </w:num>
  <w:num w:numId="3">
    <w:abstractNumId w:val="11"/>
  </w:num>
  <w:num w:numId="4">
    <w:abstractNumId w:val="10"/>
  </w:num>
  <w:num w:numId="5">
    <w:abstractNumId w:val="2"/>
  </w:num>
  <w:num w:numId="6">
    <w:abstractNumId w:val="12"/>
  </w:num>
  <w:num w:numId="7">
    <w:abstractNumId w:val="1"/>
  </w:num>
  <w:num w:numId="8">
    <w:abstractNumId w:val="9"/>
    <w:lvlOverride w:ilvl="0">
      <w:startOverride w:val="1"/>
    </w:lvlOverride>
  </w:num>
  <w:num w:numId="9">
    <w:abstractNumId w:val="7"/>
  </w:num>
  <w:num w:numId="10">
    <w:abstractNumId w:val="4"/>
  </w:num>
  <w:num w:numId="11">
    <w:abstractNumId w:val="8"/>
  </w:num>
  <w:num w:numId="12">
    <w:abstractNumId w:val="5"/>
  </w:num>
  <w:num w:numId="13">
    <w:abstractNumId w:val="0"/>
  </w:num>
  <w:num w:numId="14">
    <w:abstractNumId w:val="3"/>
  </w:num>
  <w:num w:numId="15">
    <w:abstractNumId w:val="9"/>
    <w:lvlOverride w:ilvl="0">
      <w:startOverride w:val="4"/>
    </w:lvlOverride>
  </w:num>
  <w:num w:numId="16">
    <w:abstractNumId w:val="9"/>
    <w:lvlOverride w:ilvl="0">
      <w:startOverride w:val="22"/>
    </w:lvlOverride>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26C"/>
    <w:rsid w:val="00001CB4"/>
    <w:rsid w:val="00014484"/>
    <w:rsid w:val="000177E3"/>
    <w:rsid w:val="000216AD"/>
    <w:rsid w:val="00024902"/>
    <w:rsid w:val="000251D3"/>
    <w:rsid w:val="000262C0"/>
    <w:rsid w:val="00026D97"/>
    <w:rsid w:val="00036039"/>
    <w:rsid w:val="00036B37"/>
    <w:rsid w:val="00037F90"/>
    <w:rsid w:val="00040BB5"/>
    <w:rsid w:val="0004154A"/>
    <w:rsid w:val="0004267E"/>
    <w:rsid w:val="000441BD"/>
    <w:rsid w:val="000514F1"/>
    <w:rsid w:val="00051558"/>
    <w:rsid w:val="000567B9"/>
    <w:rsid w:val="00060A2F"/>
    <w:rsid w:val="00061A57"/>
    <w:rsid w:val="00064ADC"/>
    <w:rsid w:val="000668DA"/>
    <w:rsid w:val="0007059D"/>
    <w:rsid w:val="000728FF"/>
    <w:rsid w:val="00073450"/>
    <w:rsid w:val="00073561"/>
    <w:rsid w:val="00075906"/>
    <w:rsid w:val="00076C13"/>
    <w:rsid w:val="00076DF2"/>
    <w:rsid w:val="0008718F"/>
    <w:rsid w:val="000875BF"/>
    <w:rsid w:val="00090201"/>
    <w:rsid w:val="00090E63"/>
    <w:rsid w:val="00095B21"/>
    <w:rsid w:val="00096D8C"/>
    <w:rsid w:val="000971AC"/>
    <w:rsid w:val="000A053B"/>
    <w:rsid w:val="000A5F07"/>
    <w:rsid w:val="000B00E8"/>
    <w:rsid w:val="000B17A6"/>
    <w:rsid w:val="000B35AB"/>
    <w:rsid w:val="000B622D"/>
    <w:rsid w:val="000C0B65"/>
    <w:rsid w:val="000D2211"/>
    <w:rsid w:val="000D5798"/>
    <w:rsid w:val="000E05FE"/>
    <w:rsid w:val="000E3D42"/>
    <w:rsid w:val="000E655A"/>
    <w:rsid w:val="000E6874"/>
    <w:rsid w:val="000F47C2"/>
    <w:rsid w:val="001011D9"/>
    <w:rsid w:val="00103526"/>
    <w:rsid w:val="00106592"/>
    <w:rsid w:val="0011427B"/>
    <w:rsid w:val="0011659D"/>
    <w:rsid w:val="00122296"/>
    <w:rsid w:val="0012234C"/>
    <w:rsid w:val="00122BD5"/>
    <w:rsid w:val="00126CA2"/>
    <w:rsid w:val="001278CC"/>
    <w:rsid w:val="001314FC"/>
    <w:rsid w:val="0013249B"/>
    <w:rsid w:val="00133F79"/>
    <w:rsid w:val="001438DA"/>
    <w:rsid w:val="00146280"/>
    <w:rsid w:val="00146953"/>
    <w:rsid w:val="0015122B"/>
    <w:rsid w:val="0015224A"/>
    <w:rsid w:val="00153AAA"/>
    <w:rsid w:val="00154477"/>
    <w:rsid w:val="00155C0B"/>
    <w:rsid w:val="001566B0"/>
    <w:rsid w:val="00161D89"/>
    <w:rsid w:val="001705BE"/>
    <w:rsid w:val="00176594"/>
    <w:rsid w:val="00180998"/>
    <w:rsid w:val="00182304"/>
    <w:rsid w:val="00186182"/>
    <w:rsid w:val="00190C82"/>
    <w:rsid w:val="0019214A"/>
    <w:rsid w:val="001933D7"/>
    <w:rsid w:val="00194A66"/>
    <w:rsid w:val="001A13DA"/>
    <w:rsid w:val="001A5288"/>
    <w:rsid w:val="001B2424"/>
    <w:rsid w:val="001B74D4"/>
    <w:rsid w:val="001C1346"/>
    <w:rsid w:val="001C4926"/>
    <w:rsid w:val="001C71E0"/>
    <w:rsid w:val="001D10A4"/>
    <w:rsid w:val="001D37A4"/>
    <w:rsid w:val="001D41E6"/>
    <w:rsid w:val="001D4CD4"/>
    <w:rsid w:val="001D6BCF"/>
    <w:rsid w:val="001E01CA"/>
    <w:rsid w:val="001F2D3B"/>
    <w:rsid w:val="001F79D9"/>
    <w:rsid w:val="001F7CED"/>
    <w:rsid w:val="00207E47"/>
    <w:rsid w:val="00220A10"/>
    <w:rsid w:val="00224894"/>
    <w:rsid w:val="0022669B"/>
    <w:rsid w:val="00241EBA"/>
    <w:rsid w:val="002436B5"/>
    <w:rsid w:val="00244029"/>
    <w:rsid w:val="00246786"/>
    <w:rsid w:val="002478E3"/>
    <w:rsid w:val="00251151"/>
    <w:rsid w:val="00262C95"/>
    <w:rsid w:val="00263706"/>
    <w:rsid w:val="00267D9D"/>
    <w:rsid w:val="00270EFB"/>
    <w:rsid w:val="00273CF6"/>
    <w:rsid w:val="002755D1"/>
    <w:rsid w:val="00275CF5"/>
    <w:rsid w:val="00276774"/>
    <w:rsid w:val="00276A71"/>
    <w:rsid w:val="0028301F"/>
    <w:rsid w:val="00285017"/>
    <w:rsid w:val="00286347"/>
    <w:rsid w:val="00291D68"/>
    <w:rsid w:val="002A2D2E"/>
    <w:rsid w:val="002A474D"/>
    <w:rsid w:val="002B1765"/>
    <w:rsid w:val="002B5AA5"/>
    <w:rsid w:val="002C00E8"/>
    <w:rsid w:val="002C14B4"/>
    <w:rsid w:val="002C1AC5"/>
    <w:rsid w:val="002C1DDB"/>
    <w:rsid w:val="002C3014"/>
    <w:rsid w:val="002C56AB"/>
    <w:rsid w:val="002C770A"/>
    <w:rsid w:val="002D2BD2"/>
    <w:rsid w:val="002E46B8"/>
    <w:rsid w:val="002E4E09"/>
    <w:rsid w:val="002E679B"/>
    <w:rsid w:val="002F0A22"/>
    <w:rsid w:val="002F3F96"/>
    <w:rsid w:val="002F7012"/>
    <w:rsid w:val="003010FA"/>
    <w:rsid w:val="003027C5"/>
    <w:rsid w:val="00302835"/>
    <w:rsid w:val="00302AC4"/>
    <w:rsid w:val="00302C38"/>
    <w:rsid w:val="00321553"/>
    <w:rsid w:val="00325613"/>
    <w:rsid w:val="00327FAD"/>
    <w:rsid w:val="003329C5"/>
    <w:rsid w:val="00340066"/>
    <w:rsid w:val="00343749"/>
    <w:rsid w:val="00344C16"/>
    <w:rsid w:val="003533DC"/>
    <w:rsid w:val="00363873"/>
    <w:rsid w:val="003639E4"/>
    <w:rsid w:val="0036569A"/>
    <w:rsid w:val="003660ED"/>
    <w:rsid w:val="00375E8E"/>
    <w:rsid w:val="0038620A"/>
    <w:rsid w:val="00386F22"/>
    <w:rsid w:val="003909A2"/>
    <w:rsid w:val="00394828"/>
    <w:rsid w:val="003A149B"/>
    <w:rsid w:val="003A1B68"/>
    <w:rsid w:val="003A6489"/>
    <w:rsid w:val="003B0550"/>
    <w:rsid w:val="003B23E6"/>
    <w:rsid w:val="003B4047"/>
    <w:rsid w:val="003B4976"/>
    <w:rsid w:val="003B59AC"/>
    <w:rsid w:val="003B6554"/>
    <w:rsid w:val="003B694F"/>
    <w:rsid w:val="003B7014"/>
    <w:rsid w:val="003C4A20"/>
    <w:rsid w:val="003C4BCC"/>
    <w:rsid w:val="003D7A7D"/>
    <w:rsid w:val="003E3475"/>
    <w:rsid w:val="003F171C"/>
    <w:rsid w:val="003F5CF7"/>
    <w:rsid w:val="00411366"/>
    <w:rsid w:val="00412FC5"/>
    <w:rsid w:val="004158D0"/>
    <w:rsid w:val="00422276"/>
    <w:rsid w:val="004242F1"/>
    <w:rsid w:val="00425BC9"/>
    <w:rsid w:val="00426D94"/>
    <w:rsid w:val="004305E9"/>
    <w:rsid w:val="00433968"/>
    <w:rsid w:val="00440A39"/>
    <w:rsid w:val="0044203A"/>
    <w:rsid w:val="004448A0"/>
    <w:rsid w:val="00445A00"/>
    <w:rsid w:val="00451B0F"/>
    <w:rsid w:val="00453A9E"/>
    <w:rsid w:val="004620CB"/>
    <w:rsid w:val="004676BE"/>
    <w:rsid w:val="00474905"/>
    <w:rsid w:val="00485C9F"/>
    <w:rsid w:val="0048675F"/>
    <w:rsid w:val="00486AAF"/>
    <w:rsid w:val="00487DA4"/>
    <w:rsid w:val="004A179F"/>
    <w:rsid w:val="004A4081"/>
    <w:rsid w:val="004A5FBA"/>
    <w:rsid w:val="004A7F18"/>
    <w:rsid w:val="004B2D6A"/>
    <w:rsid w:val="004B6565"/>
    <w:rsid w:val="004C10C0"/>
    <w:rsid w:val="004C2165"/>
    <w:rsid w:val="004C2EE3"/>
    <w:rsid w:val="004C303F"/>
    <w:rsid w:val="004C5546"/>
    <w:rsid w:val="004D7F92"/>
    <w:rsid w:val="004E4A22"/>
    <w:rsid w:val="004E4F32"/>
    <w:rsid w:val="004E5ED4"/>
    <w:rsid w:val="00503098"/>
    <w:rsid w:val="00511968"/>
    <w:rsid w:val="0051761D"/>
    <w:rsid w:val="0052112B"/>
    <w:rsid w:val="005218ED"/>
    <w:rsid w:val="005219BC"/>
    <w:rsid w:val="0055035F"/>
    <w:rsid w:val="005508FC"/>
    <w:rsid w:val="00552E46"/>
    <w:rsid w:val="00554498"/>
    <w:rsid w:val="00555C8A"/>
    <w:rsid w:val="0055614C"/>
    <w:rsid w:val="00560DA5"/>
    <w:rsid w:val="00562DFF"/>
    <w:rsid w:val="00565042"/>
    <w:rsid w:val="00565782"/>
    <w:rsid w:val="00566E9B"/>
    <w:rsid w:val="005675C2"/>
    <w:rsid w:val="00572F28"/>
    <w:rsid w:val="00576F02"/>
    <w:rsid w:val="00582BA0"/>
    <w:rsid w:val="00587CDC"/>
    <w:rsid w:val="005902EF"/>
    <w:rsid w:val="00593EAD"/>
    <w:rsid w:val="005974A6"/>
    <w:rsid w:val="005A31ED"/>
    <w:rsid w:val="005A5FC7"/>
    <w:rsid w:val="005B0A9B"/>
    <w:rsid w:val="005B4F0E"/>
    <w:rsid w:val="005B7EE5"/>
    <w:rsid w:val="005D2C62"/>
    <w:rsid w:val="005D5341"/>
    <w:rsid w:val="005E10F1"/>
    <w:rsid w:val="005E14C2"/>
    <w:rsid w:val="005E6193"/>
    <w:rsid w:val="005E6205"/>
    <w:rsid w:val="00602B63"/>
    <w:rsid w:val="00605F22"/>
    <w:rsid w:val="0060622A"/>
    <w:rsid w:val="00607BA5"/>
    <w:rsid w:val="00610208"/>
    <w:rsid w:val="0061180A"/>
    <w:rsid w:val="006146FA"/>
    <w:rsid w:val="00623967"/>
    <w:rsid w:val="00626EB6"/>
    <w:rsid w:val="006351A6"/>
    <w:rsid w:val="006459B1"/>
    <w:rsid w:val="00646C36"/>
    <w:rsid w:val="006501C6"/>
    <w:rsid w:val="00652649"/>
    <w:rsid w:val="0065270B"/>
    <w:rsid w:val="006534CA"/>
    <w:rsid w:val="00655D03"/>
    <w:rsid w:val="00660044"/>
    <w:rsid w:val="00665547"/>
    <w:rsid w:val="00683388"/>
    <w:rsid w:val="00683B2D"/>
    <w:rsid w:val="00683F1F"/>
    <w:rsid w:val="00683F84"/>
    <w:rsid w:val="006918C5"/>
    <w:rsid w:val="00691CEC"/>
    <w:rsid w:val="0069341E"/>
    <w:rsid w:val="006A0CCD"/>
    <w:rsid w:val="006A16B3"/>
    <w:rsid w:val="006A551D"/>
    <w:rsid w:val="006A6A81"/>
    <w:rsid w:val="006B3C40"/>
    <w:rsid w:val="006B7EFA"/>
    <w:rsid w:val="006C216B"/>
    <w:rsid w:val="006C3459"/>
    <w:rsid w:val="006C4218"/>
    <w:rsid w:val="006C5C0B"/>
    <w:rsid w:val="006D133D"/>
    <w:rsid w:val="006E01AF"/>
    <w:rsid w:val="006E207C"/>
    <w:rsid w:val="006E4498"/>
    <w:rsid w:val="006E4E12"/>
    <w:rsid w:val="006E6329"/>
    <w:rsid w:val="006E71A8"/>
    <w:rsid w:val="006E7680"/>
    <w:rsid w:val="006F2F40"/>
    <w:rsid w:val="006F4623"/>
    <w:rsid w:val="006F7147"/>
    <w:rsid w:val="006F7393"/>
    <w:rsid w:val="0070112A"/>
    <w:rsid w:val="0070224F"/>
    <w:rsid w:val="00703BD1"/>
    <w:rsid w:val="00710CC1"/>
    <w:rsid w:val="007115F7"/>
    <w:rsid w:val="007122FB"/>
    <w:rsid w:val="00712B39"/>
    <w:rsid w:val="00712FE9"/>
    <w:rsid w:val="00717025"/>
    <w:rsid w:val="0071791F"/>
    <w:rsid w:val="00717CE4"/>
    <w:rsid w:val="00726537"/>
    <w:rsid w:val="00730021"/>
    <w:rsid w:val="00732166"/>
    <w:rsid w:val="00732411"/>
    <w:rsid w:val="00740CE7"/>
    <w:rsid w:val="00742222"/>
    <w:rsid w:val="00750032"/>
    <w:rsid w:val="007563C6"/>
    <w:rsid w:val="00764AE3"/>
    <w:rsid w:val="00770B53"/>
    <w:rsid w:val="007767DC"/>
    <w:rsid w:val="0077779F"/>
    <w:rsid w:val="0078084A"/>
    <w:rsid w:val="00782F47"/>
    <w:rsid w:val="00785689"/>
    <w:rsid w:val="0078789C"/>
    <w:rsid w:val="00790B49"/>
    <w:rsid w:val="0079553B"/>
    <w:rsid w:val="0079754B"/>
    <w:rsid w:val="007A0CE5"/>
    <w:rsid w:val="007A1E6D"/>
    <w:rsid w:val="007A541A"/>
    <w:rsid w:val="007B0D37"/>
    <w:rsid w:val="007B0E95"/>
    <w:rsid w:val="007B0EB2"/>
    <w:rsid w:val="007B5620"/>
    <w:rsid w:val="007B7E7F"/>
    <w:rsid w:val="007C0B2B"/>
    <w:rsid w:val="007C0B39"/>
    <w:rsid w:val="007C4242"/>
    <w:rsid w:val="007C473D"/>
    <w:rsid w:val="007C688C"/>
    <w:rsid w:val="007D08FD"/>
    <w:rsid w:val="007D1242"/>
    <w:rsid w:val="007D19A5"/>
    <w:rsid w:val="007D2615"/>
    <w:rsid w:val="007D7BED"/>
    <w:rsid w:val="007E0BAA"/>
    <w:rsid w:val="007E2EBD"/>
    <w:rsid w:val="007E473A"/>
    <w:rsid w:val="007E4E3E"/>
    <w:rsid w:val="007F12EE"/>
    <w:rsid w:val="007F2132"/>
    <w:rsid w:val="007F2168"/>
    <w:rsid w:val="007F51C1"/>
    <w:rsid w:val="007F62A1"/>
    <w:rsid w:val="007F766D"/>
    <w:rsid w:val="00805BF5"/>
    <w:rsid w:val="00806024"/>
    <w:rsid w:val="008062B4"/>
    <w:rsid w:val="0080718C"/>
    <w:rsid w:val="00807F43"/>
    <w:rsid w:val="00810B6F"/>
    <w:rsid w:val="008155A1"/>
    <w:rsid w:val="00816683"/>
    <w:rsid w:val="00822CE0"/>
    <w:rsid w:val="008257A7"/>
    <w:rsid w:val="00830A41"/>
    <w:rsid w:val="00832DE8"/>
    <w:rsid w:val="008335CC"/>
    <w:rsid w:val="0083587E"/>
    <w:rsid w:val="00835B1C"/>
    <w:rsid w:val="00841AB1"/>
    <w:rsid w:val="00842EF2"/>
    <w:rsid w:val="00843A5F"/>
    <w:rsid w:val="00847343"/>
    <w:rsid w:val="008477AE"/>
    <w:rsid w:val="00852593"/>
    <w:rsid w:val="00856153"/>
    <w:rsid w:val="00875830"/>
    <w:rsid w:val="0088258F"/>
    <w:rsid w:val="00883524"/>
    <w:rsid w:val="00883935"/>
    <w:rsid w:val="0088462C"/>
    <w:rsid w:val="008A1C76"/>
    <w:rsid w:val="008A2AD9"/>
    <w:rsid w:val="008A3BFE"/>
    <w:rsid w:val="008A3C0B"/>
    <w:rsid w:val="008A41A6"/>
    <w:rsid w:val="008A6B11"/>
    <w:rsid w:val="008A7975"/>
    <w:rsid w:val="008A7AD7"/>
    <w:rsid w:val="008B628C"/>
    <w:rsid w:val="008B7AB7"/>
    <w:rsid w:val="008C68F1"/>
    <w:rsid w:val="008D3C3F"/>
    <w:rsid w:val="008D6611"/>
    <w:rsid w:val="008D671D"/>
    <w:rsid w:val="008D79FA"/>
    <w:rsid w:val="008E3790"/>
    <w:rsid w:val="008E5A04"/>
    <w:rsid w:val="008F2DBF"/>
    <w:rsid w:val="009004C3"/>
    <w:rsid w:val="00901E3F"/>
    <w:rsid w:val="00902DEB"/>
    <w:rsid w:val="009068C2"/>
    <w:rsid w:val="00913231"/>
    <w:rsid w:val="009150AB"/>
    <w:rsid w:val="00921803"/>
    <w:rsid w:val="0092566D"/>
    <w:rsid w:val="00925C65"/>
    <w:rsid w:val="00926503"/>
    <w:rsid w:val="00926FC4"/>
    <w:rsid w:val="009279FD"/>
    <w:rsid w:val="00927B1B"/>
    <w:rsid w:val="0093006C"/>
    <w:rsid w:val="009341CC"/>
    <w:rsid w:val="00936B23"/>
    <w:rsid w:val="009456F0"/>
    <w:rsid w:val="009476B1"/>
    <w:rsid w:val="00963F3F"/>
    <w:rsid w:val="009666F9"/>
    <w:rsid w:val="0096758E"/>
    <w:rsid w:val="00971733"/>
    <w:rsid w:val="009726D8"/>
    <w:rsid w:val="00980648"/>
    <w:rsid w:val="00982541"/>
    <w:rsid w:val="009850EA"/>
    <w:rsid w:val="00992CFF"/>
    <w:rsid w:val="00993743"/>
    <w:rsid w:val="009A17A5"/>
    <w:rsid w:val="009A7681"/>
    <w:rsid w:val="009B31C8"/>
    <w:rsid w:val="009C46DE"/>
    <w:rsid w:val="009C4AF2"/>
    <w:rsid w:val="009C6071"/>
    <w:rsid w:val="009C6343"/>
    <w:rsid w:val="009D7FB5"/>
    <w:rsid w:val="009E1DE8"/>
    <w:rsid w:val="009E2673"/>
    <w:rsid w:val="009E51C5"/>
    <w:rsid w:val="009F6045"/>
    <w:rsid w:val="009F7503"/>
    <w:rsid w:val="009F76DB"/>
    <w:rsid w:val="00A13790"/>
    <w:rsid w:val="00A13EEC"/>
    <w:rsid w:val="00A17DF1"/>
    <w:rsid w:val="00A21A4C"/>
    <w:rsid w:val="00A314C4"/>
    <w:rsid w:val="00A32744"/>
    <w:rsid w:val="00A32C3B"/>
    <w:rsid w:val="00A3482B"/>
    <w:rsid w:val="00A34BAD"/>
    <w:rsid w:val="00A36CAC"/>
    <w:rsid w:val="00A448E7"/>
    <w:rsid w:val="00A45B71"/>
    <w:rsid w:val="00A45F4F"/>
    <w:rsid w:val="00A46213"/>
    <w:rsid w:val="00A46D29"/>
    <w:rsid w:val="00A475EF"/>
    <w:rsid w:val="00A51F7B"/>
    <w:rsid w:val="00A547F8"/>
    <w:rsid w:val="00A54FD5"/>
    <w:rsid w:val="00A5613E"/>
    <w:rsid w:val="00A600A9"/>
    <w:rsid w:val="00A6098C"/>
    <w:rsid w:val="00A60AB9"/>
    <w:rsid w:val="00A6489D"/>
    <w:rsid w:val="00A66B78"/>
    <w:rsid w:val="00A71A2B"/>
    <w:rsid w:val="00A72213"/>
    <w:rsid w:val="00A7278B"/>
    <w:rsid w:val="00A72A36"/>
    <w:rsid w:val="00A8149F"/>
    <w:rsid w:val="00A86FD2"/>
    <w:rsid w:val="00A87885"/>
    <w:rsid w:val="00A94A60"/>
    <w:rsid w:val="00AA03A6"/>
    <w:rsid w:val="00AA1657"/>
    <w:rsid w:val="00AA1A67"/>
    <w:rsid w:val="00AA501C"/>
    <w:rsid w:val="00AA55B7"/>
    <w:rsid w:val="00AA5B9E"/>
    <w:rsid w:val="00AB2407"/>
    <w:rsid w:val="00AB43B3"/>
    <w:rsid w:val="00AB53DF"/>
    <w:rsid w:val="00AB6ADC"/>
    <w:rsid w:val="00AC4BE8"/>
    <w:rsid w:val="00AC67DE"/>
    <w:rsid w:val="00AC6A49"/>
    <w:rsid w:val="00AC7395"/>
    <w:rsid w:val="00AC7DEE"/>
    <w:rsid w:val="00AD0401"/>
    <w:rsid w:val="00AD0488"/>
    <w:rsid w:val="00AD552D"/>
    <w:rsid w:val="00AD6D76"/>
    <w:rsid w:val="00AE01C2"/>
    <w:rsid w:val="00AE24D5"/>
    <w:rsid w:val="00B0044E"/>
    <w:rsid w:val="00B0096F"/>
    <w:rsid w:val="00B023FF"/>
    <w:rsid w:val="00B067FE"/>
    <w:rsid w:val="00B07974"/>
    <w:rsid w:val="00B07E5C"/>
    <w:rsid w:val="00B1444F"/>
    <w:rsid w:val="00B213CA"/>
    <w:rsid w:val="00B237EE"/>
    <w:rsid w:val="00B2646D"/>
    <w:rsid w:val="00B26748"/>
    <w:rsid w:val="00B27225"/>
    <w:rsid w:val="00B40089"/>
    <w:rsid w:val="00B43FC1"/>
    <w:rsid w:val="00B4634E"/>
    <w:rsid w:val="00B51B28"/>
    <w:rsid w:val="00B709FD"/>
    <w:rsid w:val="00B7146B"/>
    <w:rsid w:val="00B73A30"/>
    <w:rsid w:val="00B76F47"/>
    <w:rsid w:val="00B810D1"/>
    <w:rsid w:val="00B811F7"/>
    <w:rsid w:val="00B8387C"/>
    <w:rsid w:val="00B905A7"/>
    <w:rsid w:val="00B919D8"/>
    <w:rsid w:val="00B93CD1"/>
    <w:rsid w:val="00B94251"/>
    <w:rsid w:val="00B9681A"/>
    <w:rsid w:val="00BA5DC6"/>
    <w:rsid w:val="00BA6196"/>
    <w:rsid w:val="00BB440F"/>
    <w:rsid w:val="00BB6BDD"/>
    <w:rsid w:val="00BB6F24"/>
    <w:rsid w:val="00BC67CB"/>
    <w:rsid w:val="00BC6D8C"/>
    <w:rsid w:val="00BC7821"/>
    <w:rsid w:val="00BD08D2"/>
    <w:rsid w:val="00BD4EBC"/>
    <w:rsid w:val="00BD5BA2"/>
    <w:rsid w:val="00BD5BEC"/>
    <w:rsid w:val="00BD68D8"/>
    <w:rsid w:val="00BD779B"/>
    <w:rsid w:val="00BE103C"/>
    <w:rsid w:val="00BE11F5"/>
    <w:rsid w:val="00BE7E75"/>
    <w:rsid w:val="00BF5002"/>
    <w:rsid w:val="00BF684A"/>
    <w:rsid w:val="00C014DA"/>
    <w:rsid w:val="00C01E1F"/>
    <w:rsid w:val="00C04651"/>
    <w:rsid w:val="00C21EA6"/>
    <w:rsid w:val="00C236AC"/>
    <w:rsid w:val="00C277CC"/>
    <w:rsid w:val="00C27BF9"/>
    <w:rsid w:val="00C30640"/>
    <w:rsid w:val="00C34006"/>
    <w:rsid w:val="00C353B8"/>
    <w:rsid w:val="00C3652C"/>
    <w:rsid w:val="00C4206C"/>
    <w:rsid w:val="00C426B1"/>
    <w:rsid w:val="00C43E4A"/>
    <w:rsid w:val="00C566EC"/>
    <w:rsid w:val="00C575BD"/>
    <w:rsid w:val="00C6383F"/>
    <w:rsid w:val="00C66160"/>
    <w:rsid w:val="00C7140C"/>
    <w:rsid w:val="00C720C2"/>
    <w:rsid w:val="00C721AC"/>
    <w:rsid w:val="00C83A10"/>
    <w:rsid w:val="00C841D5"/>
    <w:rsid w:val="00C907ED"/>
    <w:rsid w:val="00C90D6A"/>
    <w:rsid w:val="00C92B9C"/>
    <w:rsid w:val="00CA247E"/>
    <w:rsid w:val="00CB508B"/>
    <w:rsid w:val="00CC72B6"/>
    <w:rsid w:val="00CD0C4C"/>
    <w:rsid w:val="00CD3870"/>
    <w:rsid w:val="00CE68FE"/>
    <w:rsid w:val="00CE79A0"/>
    <w:rsid w:val="00CE7D37"/>
    <w:rsid w:val="00CF1B2D"/>
    <w:rsid w:val="00CF1C86"/>
    <w:rsid w:val="00CF45E7"/>
    <w:rsid w:val="00D0218D"/>
    <w:rsid w:val="00D05BB9"/>
    <w:rsid w:val="00D23136"/>
    <w:rsid w:val="00D24CB0"/>
    <w:rsid w:val="00D25D9C"/>
    <w:rsid w:val="00D25FB5"/>
    <w:rsid w:val="00D27981"/>
    <w:rsid w:val="00D341FE"/>
    <w:rsid w:val="00D3707A"/>
    <w:rsid w:val="00D4074A"/>
    <w:rsid w:val="00D44223"/>
    <w:rsid w:val="00D4452F"/>
    <w:rsid w:val="00D45A54"/>
    <w:rsid w:val="00D503BA"/>
    <w:rsid w:val="00D560CD"/>
    <w:rsid w:val="00D56A4B"/>
    <w:rsid w:val="00D612FE"/>
    <w:rsid w:val="00D627A6"/>
    <w:rsid w:val="00D64013"/>
    <w:rsid w:val="00D65117"/>
    <w:rsid w:val="00D66953"/>
    <w:rsid w:val="00D80103"/>
    <w:rsid w:val="00D83696"/>
    <w:rsid w:val="00D84F78"/>
    <w:rsid w:val="00D8780E"/>
    <w:rsid w:val="00D9021A"/>
    <w:rsid w:val="00D9258F"/>
    <w:rsid w:val="00D95BF5"/>
    <w:rsid w:val="00DA1426"/>
    <w:rsid w:val="00DA176A"/>
    <w:rsid w:val="00DA2529"/>
    <w:rsid w:val="00DB0955"/>
    <w:rsid w:val="00DB0C03"/>
    <w:rsid w:val="00DB1194"/>
    <w:rsid w:val="00DB130A"/>
    <w:rsid w:val="00DB178E"/>
    <w:rsid w:val="00DB2EBB"/>
    <w:rsid w:val="00DC10A1"/>
    <w:rsid w:val="00DC2111"/>
    <w:rsid w:val="00DC655F"/>
    <w:rsid w:val="00DD0B59"/>
    <w:rsid w:val="00DD1F61"/>
    <w:rsid w:val="00DD4456"/>
    <w:rsid w:val="00DD74DD"/>
    <w:rsid w:val="00DD7EBD"/>
    <w:rsid w:val="00DF2595"/>
    <w:rsid w:val="00DF62B6"/>
    <w:rsid w:val="00DF747E"/>
    <w:rsid w:val="00E0195B"/>
    <w:rsid w:val="00E01E06"/>
    <w:rsid w:val="00E02214"/>
    <w:rsid w:val="00E02D1D"/>
    <w:rsid w:val="00E03587"/>
    <w:rsid w:val="00E067E9"/>
    <w:rsid w:val="00E07225"/>
    <w:rsid w:val="00E1090A"/>
    <w:rsid w:val="00E137B1"/>
    <w:rsid w:val="00E1401A"/>
    <w:rsid w:val="00E22653"/>
    <w:rsid w:val="00E227A4"/>
    <w:rsid w:val="00E24E9F"/>
    <w:rsid w:val="00E3009C"/>
    <w:rsid w:val="00E32B72"/>
    <w:rsid w:val="00E40F40"/>
    <w:rsid w:val="00E41FE9"/>
    <w:rsid w:val="00E42BE5"/>
    <w:rsid w:val="00E43C74"/>
    <w:rsid w:val="00E4501C"/>
    <w:rsid w:val="00E50D8D"/>
    <w:rsid w:val="00E51238"/>
    <w:rsid w:val="00E5409F"/>
    <w:rsid w:val="00E55D00"/>
    <w:rsid w:val="00E5745E"/>
    <w:rsid w:val="00E66F37"/>
    <w:rsid w:val="00E8027E"/>
    <w:rsid w:val="00E861B3"/>
    <w:rsid w:val="00E8630A"/>
    <w:rsid w:val="00E92B53"/>
    <w:rsid w:val="00E96239"/>
    <w:rsid w:val="00EA12C6"/>
    <w:rsid w:val="00EA6F95"/>
    <w:rsid w:val="00EB16DC"/>
    <w:rsid w:val="00EB20A8"/>
    <w:rsid w:val="00ED081D"/>
    <w:rsid w:val="00ED419F"/>
    <w:rsid w:val="00ED70A0"/>
    <w:rsid w:val="00EE1291"/>
    <w:rsid w:val="00EE6488"/>
    <w:rsid w:val="00EF1B1B"/>
    <w:rsid w:val="00EF30D3"/>
    <w:rsid w:val="00EF48C2"/>
    <w:rsid w:val="00EF5FE2"/>
    <w:rsid w:val="00F021FA"/>
    <w:rsid w:val="00F02B8E"/>
    <w:rsid w:val="00F06FF9"/>
    <w:rsid w:val="00F071DB"/>
    <w:rsid w:val="00F12316"/>
    <w:rsid w:val="00F14CA6"/>
    <w:rsid w:val="00F16CFE"/>
    <w:rsid w:val="00F21F87"/>
    <w:rsid w:val="00F22FBF"/>
    <w:rsid w:val="00F23B6A"/>
    <w:rsid w:val="00F26373"/>
    <w:rsid w:val="00F26C20"/>
    <w:rsid w:val="00F32845"/>
    <w:rsid w:val="00F35F8D"/>
    <w:rsid w:val="00F4446E"/>
    <w:rsid w:val="00F46CEB"/>
    <w:rsid w:val="00F5180D"/>
    <w:rsid w:val="00F56A65"/>
    <w:rsid w:val="00F57F22"/>
    <w:rsid w:val="00F60217"/>
    <w:rsid w:val="00F629DB"/>
    <w:rsid w:val="00F62E97"/>
    <w:rsid w:val="00F64209"/>
    <w:rsid w:val="00F660CB"/>
    <w:rsid w:val="00F7063C"/>
    <w:rsid w:val="00F764C3"/>
    <w:rsid w:val="00F8143D"/>
    <w:rsid w:val="00F8503B"/>
    <w:rsid w:val="00F8748A"/>
    <w:rsid w:val="00F93ABC"/>
    <w:rsid w:val="00F93BF5"/>
    <w:rsid w:val="00FA06F2"/>
    <w:rsid w:val="00FA57C1"/>
    <w:rsid w:val="00FA5B59"/>
    <w:rsid w:val="00FA74E9"/>
    <w:rsid w:val="00FB3458"/>
    <w:rsid w:val="00FB39CB"/>
    <w:rsid w:val="00FB4615"/>
    <w:rsid w:val="00FB654A"/>
    <w:rsid w:val="00FB68A5"/>
    <w:rsid w:val="00FC2DDF"/>
    <w:rsid w:val="00FD0E89"/>
    <w:rsid w:val="00FD0F9C"/>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18F3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53"/>
    <w:pPr>
      <w:widowControl w:val="0"/>
    </w:pPr>
    <w:rPr>
      <w:snapToGrid w:val="0"/>
      <w:kern w:val="28"/>
      <w:sz w:val="22"/>
    </w:rPr>
  </w:style>
  <w:style w:type="paragraph" w:styleId="Heading1">
    <w:name w:val="heading 1"/>
    <w:basedOn w:val="Normal"/>
    <w:next w:val="ParaNum"/>
    <w:link w:val="Heading1Char"/>
    <w:qFormat/>
    <w:rsid w:val="0085615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56153"/>
    <w:pPr>
      <w:keepNext/>
      <w:numPr>
        <w:ilvl w:val="1"/>
        <w:numId w:val="2"/>
      </w:numPr>
      <w:spacing w:after="120"/>
      <w:outlineLvl w:val="1"/>
    </w:pPr>
    <w:rPr>
      <w:b/>
    </w:rPr>
  </w:style>
  <w:style w:type="paragraph" w:styleId="Heading3">
    <w:name w:val="heading 3"/>
    <w:basedOn w:val="Normal"/>
    <w:next w:val="ParaNum"/>
    <w:qFormat/>
    <w:rsid w:val="00856153"/>
    <w:pPr>
      <w:keepNext/>
      <w:numPr>
        <w:ilvl w:val="2"/>
        <w:numId w:val="2"/>
      </w:numPr>
      <w:tabs>
        <w:tab w:val="left" w:pos="2160"/>
      </w:tabs>
      <w:spacing w:after="120"/>
      <w:outlineLvl w:val="2"/>
    </w:pPr>
    <w:rPr>
      <w:b/>
    </w:rPr>
  </w:style>
  <w:style w:type="paragraph" w:styleId="Heading4">
    <w:name w:val="heading 4"/>
    <w:basedOn w:val="Normal"/>
    <w:next w:val="ParaNum"/>
    <w:qFormat/>
    <w:rsid w:val="00856153"/>
    <w:pPr>
      <w:keepNext/>
      <w:numPr>
        <w:ilvl w:val="3"/>
        <w:numId w:val="2"/>
      </w:numPr>
      <w:tabs>
        <w:tab w:val="left" w:pos="2880"/>
      </w:tabs>
      <w:spacing w:after="120"/>
      <w:outlineLvl w:val="3"/>
    </w:pPr>
    <w:rPr>
      <w:b/>
    </w:rPr>
  </w:style>
  <w:style w:type="paragraph" w:styleId="Heading5">
    <w:name w:val="heading 5"/>
    <w:basedOn w:val="Normal"/>
    <w:next w:val="ParaNum"/>
    <w:qFormat/>
    <w:rsid w:val="00856153"/>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56153"/>
    <w:pPr>
      <w:numPr>
        <w:ilvl w:val="5"/>
        <w:numId w:val="2"/>
      </w:numPr>
      <w:tabs>
        <w:tab w:val="left" w:pos="4320"/>
      </w:tabs>
      <w:spacing w:after="120"/>
      <w:outlineLvl w:val="5"/>
    </w:pPr>
    <w:rPr>
      <w:b/>
    </w:rPr>
  </w:style>
  <w:style w:type="paragraph" w:styleId="Heading7">
    <w:name w:val="heading 7"/>
    <w:basedOn w:val="Normal"/>
    <w:next w:val="ParaNum"/>
    <w:qFormat/>
    <w:rsid w:val="00856153"/>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5615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5615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61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153"/>
  </w:style>
  <w:style w:type="paragraph" w:customStyle="1" w:styleId="ParaNum">
    <w:name w:val="ParaNum"/>
    <w:basedOn w:val="Normal"/>
    <w:link w:val="ParaNumChar"/>
    <w:rsid w:val="00856153"/>
    <w:pPr>
      <w:numPr>
        <w:numId w:val="1"/>
      </w:numPr>
      <w:tabs>
        <w:tab w:val="clear" w:pos="1080"/>
        <w:tab w:val="num" w:pos="1440"/>
      </w:tabs>
      <w:spacing w:after="120"/>
    </w:pPr>
  </w:style>
  <w:style w:type="paragraph" w:styleId="EndnoteText">
    <w:name w:val="endnote text"/>
    <w:basedOn w:val="Normal"/>
    <w:semiHidden/>
    <w:rsid w:val="00856153"/>
    <w:rPr>
      <w:sz w:val="20"/>
    </w:rPr>
  </w:style>
  <w:style w:type="character" w:styleId="EndnoteReference">
    <w:name w:val="endnote reference"/>
    <w:semiHidden/>
    <w:rsid w:val="00856153"/>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856153"/>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856153"/>
    <w:rPr>
      <w:rFonts w:ascii="Times New Roman" w:hAnsi="Times New Roman"/>
      <w:dstrike w:val="0"/>
      <w:color w:val="auto"/>
      <w:sz w:val="20"/>
      <w:vertAlign w:val="superscript"/>
    </w:rPr>
  </w:style>
  <w:style w:type="paragraph" w:styleId="TOC1">
    <w:name w:val="toc 1"/>
    <w:basedOn w:val="Normal"/>
    <w:next w:val="Normal"/>
    <w:semiHidden/>
    <w:rsid w:val="008561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6153"/>
    <w:pPr>
      <w:tabs>
        <w:tab w:val="left" w:pos="720"/>
        <w:tab w:val="right" w:leader="dot" w:pos="9360"/>
      </w:tabs>
      <w:suppressAutoHyphens/>
      <w:ind w:left="720" w:right="720" w:hanging="360"/>
    </w:pPr>
    <w:rPr>
      <w:noProof/>
    </w:rPr>
  </w:style>
  <w:style w:type="paragraph" w:styleId="TOC3">
    <w:name w:val="toc 3"/>
    <w:basedOn w:val="Normal"/>
    <w:next w:val="Normal"/>
    <w:semiHidden/>
    <w:rsid w:val="008561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61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61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61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61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61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61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6153"/>
    <w:pPr>
      <w:tabs>
        <w:tab w:val="right" w:pos="9360"/>
      </w:tabs>
      <w:suppressAutoHyphens/>
    </w:pPr>
  </w:style>
  <w:style w:type="character" w:customStyle="1" w:styleId="EquationCaption">
    <w:name w:val="_Equation Caption"/>
    <w:rsid w:val="00856153"/>
  </w:style>
  <w:style w:type="paragraph" w:styleId="Header">
    <w:name w:val="header"/>
    <w:basedOn w:val="Normal"/>
    <w:link w:val="HeaderChar"/>
    <w:autoRedefine/>
    <w:rsid w:val="00856153"/>
    <w:pPr>
      <w:tabs>
        <w:tab w:val="center" w:pos="4680"/>
        <w:tab w:val="right" w:pos="9360"/>
      </w:tabs>
    </w:pPr>
    <w:rPr>
      <w:b/>
    </w:rPr>
  </w:style>
  <w:style w:type="paragraph" w:styleId="Footer">
    <w:name w:val="footer"/>
    <w:basedOn w:val="Normal"/>
    <w:link w:val="FooterChar"/>
    <w:rsid w:val="00856153"/>
    <w:pPr>
      <w:tabs>
        <w:tab w:val="center" w:pos="4320"/>
        <w:tab w:val="right" w:pos="8640"/>
      </w:tabs>
    </w:pPr>
  </w:style>
  <w:style w:type="character" w:styleId="PageNumber">
    <w:name w:val="page number"/>
    <w:basedOn w:val="DefaultParagraphFont"/>
    <w:rsid w:val="00856153"/>
  </w:style>
  <w:style w:type="paragraph" w:styleId="BlockText">
    <w:name w:val="Block Text"/>
    <w:basedOn w:val="Normal"/>
    <w:rsid w:val="00856153"/>
    <w:pPr>
      <w:spacing w:after="240"/>
      <w:ind w:left="1440" w:right="1440"/>
    </w:pPr>
  </w:style>
  <w:style w:type="paragraph" w:customStyle="1" w:styleId="Paratitle">
    <w:name w:val="Para title"/>
    <w:basedOn w:val="Normal"/>
    <w:rsid w:val="00856153"/>
    <w:pPr>
      <w:tabs>
        <w:tab w:val="center" w:pos="9270"/>
      </w:tabs>
      <w:spacing w:after="240"/>
    </w:pPr>
    <w:rPr>
      <w:spacing w:val="-2"/>
    </w:rPr>
  </w:style>
  <w:style w:type="paragraph" w:customStyle="1" w:styleId="Bullet">
    <w:name w:val="Bullet"/>
    <w:basedOn w:val="Normal"/>
    <w:rsid w:val="00856153"/>
    <w:pPr>
      <w:tabs>
        <w:tab w:val="left" w:pos="2160"/>
      </w:tabs>
      <w:spacing w:after="220"/>
      <w:ind w:left="2160" w:hanging="720"/>
    </w:pPr>
  </w:style>
  <w:style w:type="paragraph" w:customStyle="1" w:styleId="TableFormat">
    <w:name w:val="TableFormat"/>
    <w:basedOn w:val="Bullet"/>
    <w:rsid w:val="00856153"/>
    <w:pPr>
      <w:tabs>
        <w:tab w:val="clear" w:pos="2160"/>
        <w:tab w:val="left" w:pos="5040"/>
      </w:tabs>
      <w:ind w:left="5040" w:hanging="3600"/>
    </w:pPr>
  </w:style>
  <w:style w:type="paragraph" w:customStyle="1" w:styleId="TOCTitle">
    <w:name w:val="TOC Title"/>
    <w:basedOn w:val="Normal"/>
    <w:rsid w:val="008561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6153"/>
    <w:pPr>
      <w:jc w:val="center"/>
    </w:pPr>
    <w:rPr>
      <w:rFonts w:ascii="Times New Roman Bold" w:hAnsi="Times New Roman Bold"/>
      <w:b/>
      <w:bCs/>
      <w:caps/>
      <w:szCs w:val="22"/>
    </w:rPr>
  </w:style>
  <w:style w:type="character" w:styleId="Hyperlink">
    <w:name w:val="Hyperlink"/>
    <w:rsid w:val="00856153"/>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MediumGrid21">
    <w:name w:val="Medium Grid 21"/>
    <w:uiPriority w:val="99"/>
    <w:qFormat/>
    <w:rsid w:val="003B49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53"/>
    <w:pPr>
      <w:widowControl w:val="0"/>
    </w:pPr>
    <w:rPr>
      <w:snapToGrid w:val="0"/>
      <w:kern w:val="28"/>
      <w:sz w:val="22"/>
    </w:rPr>
  </w:style>
  <w:style w:type="paragraph" w:styleId="Heading1">
    <w:name w:val="heading 1"/>
    <w:basedOn w:val="Normal"/>
    <w:next w:val="ParaNum"/>
    <w:link w:val="Heading1Char"/>
    <w:qFormat/>
    <w:rsid w:val="0085615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56153"/>
    <w:pPr>
      <w:keepNext/>
      <w:numPr>
        <w:ilvl w:val="1"/>
        <w:numId w:val="2"/>
      </w:numPr>
      <w:spacing w:after="120"/>
      <w:outlineLvl w:val="1"/>
    </w:pPr>
    <w:rPr>
      <w:b/>
    </w:rPr>
  </w:style>
  <w:style w:type="paragraph" w:styleId="Heading3">
    <w:name w:val="heading 3"/>
    <w:basedOn w:val="Normal"/>
    <w:next w:val="ParaNum"/>
    <w:qFormat/>
    <w:rsid w:val="00856153"/>
    <w:pPr>
      <w:keepNext/>
      <w:numPr>
        <w:ilvl w:val="2"/>
        <w:numId w:val="2"/>
      </w:numPr>
      <w:tabs>
        <w:tab w:val="left" w:pos="2160"/>
      </w:tabs>
      <w:spacing w:after="120"/>
      <w:outlineLvl w:val="2"/>
    </w:pPr>
    <w:rPr>
      <w:b/>
    </w:rPr>
  </w:style>
  <w:style w:type="paragraph" w:styleId="Heading4">
    <w:name w:val="heading 4"/>
    <w:basedOn w:val="Normal"/>
    <w:next w:val="ParaNum"/>
    <w:qFormat/>
    <w:rsid w:val="00856153"/>
    <w:pPr>
      <w:keepNext/>
      <w:numPr>
        <w:ilvl w:val="3"/>
        <w:numId w:val="2"/>
      </w:numPr>
      <w:tabs>
        <w:tab w:val="left" w:pos="2880"/>
      </w:tabs>
      <w:spacing w:after="120"/>
      <w:outlineLvl w:val="3"/>
    </w:pPr>
    <w:rPr>
      <w:b/>
    </w:rPr>
  </w:style>
  <w:style w:type="paragraph" w:styleId="Heading5">
    <w:name w:val="heading 5"/>
    <w:basedOn w:val="Normal"/>
    <w:next w:val="ParaNum"/>
    <w:qFormat/>
    <w:rsid w:val="00856153"/>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56153"/>
    <w:pPr>
      <w:numPr>
        <w:ilvl w:val="5"/>
        <w:numId w:val="2"/>
      </w:numPr>
      <w:tabs>
        <w:tab w:val="left" w:pos="4320"/>
      </w:tabs>
      <w:spacing w:after="120"/>
      <w:outlineLvl w:val="5"/>
    </w:pPr>
    <w:rPr>
      <w:b/>
    </w:rPr>
  </w:style>
  <w:style w:type="paragraph" w:styleId="Heading7">
    <w:name w:val="heading 7"/>
    <w:basedOn w:val="Normal"/>
    <w:next w:val="ParaNum"/>
    <w:qFormat/>
    <w:rsid w:val="00856153"/>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5615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5615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61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153"/>
  </w:style>
  <w:style w:type="paragraph" w:customStyle="1" w:styleId="ParaNum">
    <w:name w:val="ParaNum"/>
    <w:basedOn w:val="Normal"/>
    <w:link w:val="ParaNumChar"/>
    <w:rsid w:val="00856153"/>
    <w:pPr>
      <w:numPr>
        <w:numId w:val="1"/>
      </w:numPr>
      <w:tabs>
        <w:tab w:val="clear" w:pos="1080"/>
        <w:tab w:val="num" w:pos="1440"/>
      </w:tabs>
      <w:spacing w:after="120"/>
    </w:pPr>
  </w:style>
  <w:style w:type="paragraph" w:styleId="EndnoteText">
    <w:name w:val="endnote text"/>
    <w:basedOn w:val="Normal"/>
    <w:semiHidden/>
    <w:rsid w:val="00856153"/>
    <w:rPr>
      <w:sz w:val="20"/>
    </w:rPr>
  </w:style>
  <w:style w:type="character" w:styleId="EndnoteReference">
    <w:name w:val="endnote reference"/>
    <w:semiHidden/>
    <w:rsid w:val="00856153"/>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856153"/>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856153"/>
    <w:rPr>
      <w:rFonts w:ascii="Times New Roman" w:hAnsi="Times New Roman"/>
      <w:dstrike w:val="0"/>
      <w:color w:val="auto"/>
      <w:sz w:val="20"/>
      <w:vertAlign w:val="superscript"/>
    </w:rPr>
  </w:style>
  <w:style w:type="paragraph" w:styleId="TOC1">
    <w:name w:val="toc 1"/>
    <w:basedOn w:val="Normal"/>
    <w:next w:val="Normal"/>
    <w:semiHidden/>
    <w:rsid w:val="008561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6153"/>
    <w:pPr>
      <w:tabs>
        <w:tab w:val="left" w:pos="720"/>
        <w:tab w:val="right" w:leader="dot" w:pos="9360"/>
      </w:tabs>
      <w:suppressAutoHyphens/>
      <w:ind w:left="720" w:right="720" w:hanging="360"/>
    </w:pPr>
    <w:rPr>
      <w:noProof/>
    </w:rPr>
  </w:style>
  <w:style w:type="paragraph" w:styleId="TOC3">
    <w:name w:val="toc 3"/>
    <w:basedOn w:val="Normal"/>
    <w:next w:val="Normal"/>
    <w:semiHidden/>
    <w:rsid w:val="008561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61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61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61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61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61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61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6153"/>
    <w:pPr>
      <w:tabs>
        <w:tab w:val="right" w:pos="9360"/>
      </w:tabs>
      <w:suppressAutoHyphens/>
    </w:pPr>
  </w:style>
  <w:style w:type="character" w:customStyle="1" w:styleId="EquationCaption">
    <w:name w:val="_Equation Caption"/>
    <w:rsid w:val="00856153"/>
  </w:style>
  <w:style w:type="paragraph" w:styleId="Header">
    <w:name w:val="header"/>
    <w:basedOn w:val="Normal"/>
    <w:link w:val="HeaderChar"/>
    <w:autoRedefine/>
    <w:rsid w:val="00856153"/>
    <w:pPr>
      <w:tabs>
        <w:tab w:val="center" w:pos="4680"/>
        <w:tab w:val="right" w:pos="9360"/>
      </w:tabs>
    </w:pPr>
    <w:rPr>
      <w:b/>
    </w:rPr>
  </w:style>
  <w:style w:type="paragraph" w:styleId="Footer">
    <w:name w:val="footer"/>
    <w:basedOn w:val="Normal"/>
    <w:link w:val="FooterChar"/>
    <w:rsid w:val="00856153"/>
    <w:pPr>
      <w:tabs>
        <w:tab w:val="center" w:pos="4320"/>
        <w:tab w:val="right" w:pos="8640"/>
      </w:tabs>
    </w:pPr>
  </w:style>
  <w:style w:type="character" w:styleId="PageNumber">
    <w:name w:val="page number"/>
    <w:basedOn w:val="DefaultParagraphFont"/>
    <w:rsid w:val="00856153"/>
  </w:style>
  <w:style w:type="paragraph" w:styleId="BlockText">
    <w:name w:val="Block Text"/>
    <w:basedOn w:val="Normal"/>
    <w:rsid w:val="00856153"/>
    <w:pPr>
      <w:spacing w:after="240"/>
      <w:ind w:left="1440" w:right="1440"/>
    </w:pPr>
  </w:style>
  <w:style w:type="paragraph" w:customStyle="1" w:styleId="Paratitle">
    <w:name w:val="Para title"/>
    <w:basedOn w:val="Normal"/>
    <w:rsid w:val="00856153"/>
    <w:pPr>
      <w:tabs>
        <w:tab w:val="center" w:pos="9270"/>
      </w:tabs>
      <w:spacing w:after="240"/>
    </w:pPr>
    <w:rPr>
      <w:spacing w:val="-2"/>
    </w:rPr>
  </w:style>
  <w:style w:type="paragraph" w:customStyle="1" w:styleId="Bullet">
    <w:name w:val="Bullet"/>
    <w:basedOn w:val="Normal"/>
    <w:rsid w:val="00856153"/>
    <w:pPr>
      <w:tabs>
        <w:tab w:val="left" w:pos="2160"/>
      </w:tabs>
      <w:spacing w:after="220"/>
      <w:ind w:left="2160" w:hanging="720"/>
    </w:pPr>
  </w:style>
  <w:style w:type="paragraph" w:customStyle="1" w:styleId="TableFormat">
    <w:name w:val="TableFormat"/>
    <w:basedOn w:val="Bullet"/>
    <w:rsid w:val="00856153"/>
    <w:pPr>
      <w:tabs>
        <w:tab w:val="clear" w:pos="2160"/>
        <w:tab w:val="left" w:pos="5040"/>
      </w:tabs>
      <w:ind w:left="5040" w:hanging="3600"/>
    </w:pPr>
  </w:style>
  <w:style w:type="paragraph" w:customStyle="1" w:styleId="TOCTitle">
    <w:name w:val="TOC Title"/>
    <w:basedOn w:val="Normal"/>
    <w:rsid w:val="008561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6153"/>
    <w:pPr>
      <w:jc w:val="center"/>
    </w:pPr>
    <w:rPr>
      <w:rFonts w:ascii="Times New Roman Bold" w:hAnsi="Times New Roman Bold"/>
      <w:b/>
      <w:bCs/>
      <w:caps/>
      <w:szCs w:val="22"/>
    </w:rPr>
  </w:style>
  <w:style w:type="character" w:styleId="Hyperlink">
    <w:name w:val="Hyperlink"/>
    <w:rsid w:val="00856153"/>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MediumGrid21">
    <w:name w:val="Medium Grid 21"/>
    <w:uiPriority w:val="99"/>
    <w:qFormat/>
    <w:rsid w:val="003B4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4085</Words>
  <Characters>23189</Characters>
  <Application>Microsoft Office Word</Application>
  <DocSecurity>0</DocSecurity>
  <Lines>414</Lines>
  <Paragraphs>126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27279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2016-09-19T19:30:00Z</cp:lastPrinted>
  <dcterms:created xsi:type="dcterms:W3CDTF">2016-09-22T16:06:00Z</dcterms:created>
  <dcterms:modified xsi:type="dcterms:W3CDTF">2016-09-22T16:06:00Z</dcterms:modified>
  <cp:category> </cp:category>
  <cp:contentStatus> </cp:contentStatus>
</cp:coreProperties>
</file>