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54852" w14:textId="77777777" w:rsidR="00B05C3D" w:rsidRDefault="00B05C3D" w:rsidP="00D47505">
      <w:pPr>
        <w:jc w:val="right"/>
        <w:rPr>
          <w:b/>
          <w:sz w:val="24"/>
        </w:rPr>
      </w:pPr>
      <w:bookmarkStart w:id="0" w:name="_GoBack"/>
      <w:bookmarkEnd w:id="0"/>
    </w:p>
    <w:p w14:paraId="11043740" w14:textId="5B83CCE9" w:rsidR="00D47505" w:rsidRPr="00B05C3D" w:rsidRDefault="00B05C3D" w:rsidP="00D47505">
      <w:pPr>
        <w:jc w:val="right"/>
        <w:rPr>
          <w:b/>
          <w:szCs w:val="22"/>
        </w:rPr>
      </w:pPr>
      <w:r w:rsidRPr="00B05C3D">
        <w:rPr>
          <w:b/>
          <w:szCs w:val="22"/>
        </w:rPr>
        <w:t>DA 16-</w:t>
      </w:r>
      <w:r w:rsidR="00BA6D23">
        <w:rPr>
          <w:b/>
          <w:szCs w:val="22"/>
        </w:rPr>
        <w:t>979</w:t>
      </w:r>
    </w:p>
    <w:p w14:paraId="69C85456" w14:textId="1F32E8A0" w:rsidR="00D47505" w:rsidRPr="00B05C3D" w:rsidRDefault="00B338A9" w:rsidP="00D47505">
      <w:pPr>
        <w:spacing w:before="60"/>
        <w:jc w:val="right"/>
        <w:rPr>
          <w:b/>
          <w:szCs w:val="22"/>
        </w:rPr>
      </w:pPr>
      <w:r w:rsidRPr="00B05C3D">
        <w:rPr>
          <w:b/>
          <w:szCs w:val="22"/>
        </w:rPr>
        <w:t xml:space="preserve">Released:  </w:t>
      </w:r>
      <w:r w:rsidR="0016260D">
        <w:rPr>
          <w:b/>
          <w:szCs w:val="22"/>
        </w:rPr>
        <w:t>August 26</w:t>
      </w:r>
      <w:r w:rsidR="00B05C3D" w:rsidRPr="00B05C3D">
        <w:rPr>
          <w:b/>
          <w:szCs w:val="22"/>
        </w:rPr>
        <w:t>, 2016</w:t>
      </w:r>
    </w:p>
    <w:p w14:paraId="45584906" w14:textId="77777777" w:rsidR="00D47505" w:rsidRPr="00B05C3D" w:rsidRDefault="00D47505" w:rsidP="00D47505">
      <w:pPr>
        <w:jc w:val="right"/>
        <w:rPr>
          <w:szCs w:val="22"/>
        </w:rPr>
      </w:pPr>
    </w:p>
    <w:p w14:paraId="66F64697" w14:textId="77777777" w:rsidR="00D47505" w:rsidRDefault="00B05C3D" w:rsidP="00B05C3D">
      <w:pPr>
        <w:jc w:val="center"/>
        <w:rPr>
          <w:b/>
          <w:color w:val="000000"/>
          <w:szCs w:val="22"/>
        </w:rPr>
      </w:pPr>
      <w:r w:rsidRPr="00B05C3D">
        <w:rPr>
          <w:b/>
          <w:color w:val="000000"/>
          <w:szCs w:val="22"/>
        </w:rPr>
        <w:t>WIRELINE COMPETITION BUREAU PROVIDES A FILING WINDOW PERIOD SCHEDULE FOR FUNDING REQUESTS UNDER THE TELECOMMUNICATIONS PROGRAM AND THE HEALTHCARE CONNECT FUND</w:t>
      </w:r>
    </w:p>
    <w:p w14:paraId="10FEFFC7" w14:textId="77777777" w:rsidR="00B05C3D" w:rsidRPr="00B05C3D" w:rsidRDefault="00B05C3D" w:rsidP="00B05C3D">
      <w:pPr>
        <w:jc w:val="center"/>
        <w:rPr>
          <w:rFonts w:ascii="Times New Roman Bold" w:hAnsi="Times New Roman Bold"/>
          <w:b/>
          <w:caps/>
          <w:szCs w:val="22"/>
        </w:rPr>
      </w:pPr>
    </w:p>
    <w:p w14:paraId="21A71E81" w14:textId="77777777" w:rsidR="00B05C3D" w:rsidRPr="00B05C3D" w:rsidRDefault="00B05C3D" w:rsidP="00B05C3D">
      <w:pPr>
        <w:jc w:val="center"/>
        <w:rPr>
          <w:b/>
          <w:szCs w:val="22"/>
        </w:rPr>
      </w:pPr>
      <w:r w:rsidRPr="00B05C3D">
        <w:rPr>
          <w:b/>
          <w:szCs w:val="22"/>
        </w:rPr>
        <w:t>WC Docket No. 02-60</w:t>
      </w:r>
    </w:p>
    <w:p w14:paraId="234A10F5" w14:textId="77777777" w:rsidR="00D47505" w:rsidRPr="00A330A4" w:rsidRDefault="00D47505" w:rsidP="00D47505">
      <w:pPr>
        <w:jc w:val="center"/>
        <w:rPr>
          <w:b/>
          <w:szCs w:val="22"/>
        </w:rPr>
      </w:pPr>
    </w:p>
    <w:p w14:paraId="6B795587" w14:textId="7C14137C" w:rsidR="00B05C3D" w:rsidRDefault="001978A3" w:rsidP="00B05C3D">
      <w:pPr>
        <w:spacing w:after="120"/>
        <w:ind w:firstLine="720"/>
      </w:pPr>
      <w:r>
        <w:t>W</w:t>
      </w:r>
      <w:r w:rsidR="000C5A73">
        <w:t xml:space="preserve">e hereby </w:t>
      </w:r>
      <w:r w:rsidR="009567E2">
        <w:t>provide</w:t>
      </w:r>
      <w:r w:rsidR="000C5A73">
        <w:t xml:space="preserve"> a filing window period schedule for</w:t>
      </w:r>
      <w:r w:rsidR="009567E2">
        <w:t xml:space="preserve"> </w:t>
      </w:r>
      <w:r w:rsidR="000C5A73">
        <w:t>funding requests for the Federal Communications Commission’s (Commission) Rural Health Care (RHC) Program, which facilitates healthcare delivery in rural America.</w:t>
      </w:r>
      <w:r w:rsidR="000C5A73">
        <w:rPr>
          <w:rStyle w:val="FootnoteReference"/>
        </w:rPr>
        <w:footnoteReference w:id="2"/>
      </w:r>
      <w:r w:rsidR="000C5A73">
        <w:t xml:space="preserve">  Recognizing the growing interest in the RHC program, we also</w:t>
      </w:r>
      <w:r w:rsidR="00B05C3D">
        <w:t xml:space="preserve"> remind the public of </w:t>
      </w:r>
      <w:r w:rsidR="000C5A73">
        <w:t xml:space="preserve">the </w:t>
      </w:r>
      <w:r w:rsidR="00D4239C">
        <w:t xml:space="preserve">Commission’s </w:t>
      </w:r>
      <w:r w:rsidR="000C5A73">
        <w:t>existing rules for</w:t>
      </w:r>
      <w:r w:rsidR="00B05C3D">
        <w:t xml:space="preserve"> situations when requested RHC Program funding begins to near, or exceed</w:t>
      </w:r>
      <w:r w:rsidR="00D4239C">
        <w:t>s</w:t>
      </w:r>
      <w:r w:rsidR="00B05C3D">
        <w:t>, the RHC Program’s $400 million cap.</w:t>
      </w:r>
      <w:r w:rsidR="00B05C3D">
        <w:rPr>
          <w:rStyle w:val="FootnoteReference"/>
        </w:rPr>
        <w:footnoteReference w:id="3"/>
      </w:r>
      <w:r w:rsidR="00B05C3D">
        <w:t xml:space="preserve">    </w:t>
      </w:r>
    </w:p>
    <w:p w14:paraId="28D303AC" w14:textId="3FBA2932" w:rsidR="000C5A73" w:rsidRDefault="00B05C3D" w:rsidP="00B05C3D">
      <w:pPr>
        <w:spacing w:after="120"/>
        <w:ind w:firstLine="720"/>
      </w:pPr>
      <w:r w:rsidRPr="00624EAB">
        <w:rPr>
          <w:i/>
          <w:u w:val="single"/>
        </w:rPr>
        <w:t>Background on the RHC Program</w:t>
      </w:r>
      <w:r>
        <w:t xml:space="preserve">.  </w:t>
      </w:r>
      <w:r w:rsidR="000C5A73">
        <w:t>In</w:t>
      </w:r>
      <w:r w:rsidRPr="00C11982">
        <w:t xml:space="preserve"> the Telecommunications Act of 1996 (1996 Act),</w:t>
      </w:r>
      <w:r w:rsidRPr="00C11982">
        <w:rPr>
          <w:vertAlign w:val="superscript"/>
        </w:rPr>
        <w:footnoteReference w:id="4"/>
      </w:r>
      <w:r w:rsidRPr="00C11982">
        <w:t xml:space="preserve"> Congress recognized the value of providing rural health</w:t>
      </w:r>
      <w:r>
        <w:t xml:space="preserve"> </w:t>
      </w:r>
      <w:r w:rsidRPr="00C11982">
        <w:t>care providers (HCPs) with “an affordable rate for the services necessary for the provision of telemedicine and instruction relating to such services.”</w:t>
      </w:r>
      <w:r w:rsidRPr="00C11982">
        <w:rPr>
          <w:vertAlign w:val="superscript"/>
        </w:rPr>
        <w:footnoteReference w:id="5"/>
      </w:r>
      <w:r w:rsidRPr="00C11982">
        <w:t xml:space="preserve">  Based on this legislative mandate, in 1997, the Commission established the RHC Program.</w:t>
      </w:r>
      <w:r w:rsidRPr="00C11982">
        <w:rPr>
          <w:sz w:val="20"/>
          <w:vertAlign w:val="superscript"/>
        </w:rPr>
        <w:footnoteReference w:id="6"/>
      </w:r>
      <w:r w:rsidRPr="00C11982">
        <w:t xml:space="preserve">  </w:t>
      </w:r>
      <w:r w:rsidR="000C5A73">
        <w:t>T</w:t>
      </w:r>
      <w:r w:rsidR="00980454">
        <w:t xml:space="preserve">he Commission </w:t>
      </w:r>
      <w:r w:rsidR="009567E2">
        <w:t xml:space="preserve">also adopted </w:t>
      </w:r>
      <w:r w:rsidR="000C5A73">
        <w:t>rule</w:t>
      </w:r>
      <w:r w:rsidR="009567E2">
        <w:t xml:space="preserve">s </w:t>
      </w:r>
      <w:r w:rsidR="000C5A73">
        <w:t xml:space="preserve">permitting </w:t>
      </w:r>
      <w:r w:rsidR="00980454">
        <w:t xml:space="preserve">the establishment of filing window periods to enable the distribution of limited </w:t>
      </w:r>
      <w:r w:rsidR="000C5A73">
        <w:t xml:space="preserve">RHC </w:t>
      </w:r>
      <w:r w:rsidR="00980454">
        <w:t>funds in a manner that was both equitable and administratively manageable.</w:t>
      </w:r>
      <w:r w:rsidR="00980454">
        <w:rPr>
          <w:rStyle w:val="FootnoteReference"/>
        </w:rPr>
        <w:footnoteReference w:id="7"/>
      </w:r>
      <w:r w:rsidR="00980454">
        <w:t xml:space="preserve"> </w:t>
      </w:r>
      <w:r w:rsidRPr="00C11982">
        <w:t>From 1997 onward, the Commission has sought to make the benefits of the RHC Program accessible to as many rural HCPs as possible</w:t>
      </w:r>
      <w:r w:rsidR="00D4239C">
        <w:t>,</w:t>
      </w:r>
      <w:r w:rsidRPr="00C11982">
        <w:t xml:space="preserve"> </w:t>
      </w:r>
      <w:r w:rsidR="001978A3">
        <w:t>facilitating the provision of</w:t>
      </w:r>
      <w:r w:rsidRPr="00C11982">
        <w:t xml:space="preserve"> essential healthcare services to families and individuals living and working in rural and remote parts of the country.</w:t>
      </w:r>
      <w:r w:rsidRPr="00C11982">
        <w:rPr>
          <w:sz w:val="20"/>
          <w:vertAlign w:val="superscript"/>
        </w:rPr>
        <w:footnoteReference w:id="8"/>
      </w:r>
      <w:r>
        <w:t xml:space="preserve">  </w:t>
      </w:r>
    </w:p>
    <w:p w14:paraId="4240990D" w14:textId="53A1635A" w:rsidR="00B05C3D" w:rsidRDefault="00B05C3D" w:rsidP="0017589D">
      <w:pPr>
        <w:widowControl/>
        <w:spacing w:after="120"/>
        <w:ind w:firstLine="720"/>
      </w:pPr>
      <w:r>
        <w:lastRenderedPageBreak/>
        <w:t>As noted above, t</w:t>
      </w:r>
      <w:r w:rsidRPr="00C11982">
        <w:t xml:space="preserve">he RHC Program operates with an annual cap of $400 million for </w:t>
      </w:r>
      <w:r>
        <w:t>eligible HCPs,</w:t>
      </w:r>
      <w:r w:rsidRPr="00C11982">
        <w:rPr>
          <w:sz w:val="20"/>
          <w:vertAlign w:val="superscript"/>
        </w:rPr>
        <w:footnoteReference w:id="9"/>
      </w:r>
      <w:r>
        <w:t xml:space="preserve"> </w:t>
      </w:r>
      <w:r w:rsidRPr="00477876">
        <w:rPr>
          <w:szCs w:val="22"/>
        </w:rPr>
        <w:t xml:space="preserve">of which up to $150 million per funding year </w:t>
      </w:r>
      <w:r>
        <w:rPr>
          <w:szCs w:val="22"/>
        </w:rPr>
        <w:t xml:space="preserve">is </w:t>
      </w:r>
      <w:r w:rsidRPr="00477876">
        <w:rPr>
          <w:szCs w:val="22"/>
        </w:rPr>
        <w:t>available to support upfront</w:t>
      </w:r>
      <w:r>
        <w:rPr>
          <w:szCs w:val="22"/>
        </w:rPr>
        <w:t xml:space="preserve"> </w:t>
      </w:r>
      <w:r w:rsidRPr="00477876">
        <w:rPr>
          <w:szCs w:val="22"/>
        </w:rPr>
        <w:t>payments and multi-year commitments u</w:t>
      </w:r>
      <w:r>
        <w:rPr>
          <w:szCs w:val="22"/>
        </w:rPr>
        <w:t>nder the HCF Program</w:t>
      </w:r>
      <w:r w:rsidRPr="00477876">
        <w:rPr>
          <w:szCs w:val="22"/>
        </w:rPr>
        <w:t>.</w:t>
      </w:r>
      <w:r w:rsidRPr="00477876">
        <w:rPr>
          <w:rStyle w:val="FootnoteReference"/>
          <w:sz w:val="22"/>
          <w:szCs w:val="22"/>
        </w:rPr>
        <w:footnoteReference w:id="10"/>
      </w:r>
      <w:r>
        <w:rPr>
          <w:szCs w:val="22"/>
        </w:rPr>
        <w:t xml:space="preserve">  </w:t>
      </w:r>
      <w:r w:rsidRPr="00C11982">
        <w:t>In</w:t>
      </w:r>
      <w:r>
        <w:t xml:space="preserve"> </w:t>
      </w:r>
      <w:r w:rsidRPr="00C11982">
        <w:t xml:space="preserve">1998, the first funding year for the </w:t>
      </w:r>
      <w:r>
        <w:t>RHC P</w:t>
      </w:r>
      <w:r w:rsidRPr="00C11982">
        <w:t>rogram, $3.375</w:t>
      </w:r>
      <w:r>
        <w:t xml:space="preserve"> </w:t>
      </w:r>
      <w:r w:rsidRPr="00C902AE">
        <w:t>million was disbursed.</w:t>
      </w:r>
      <w:r w:rsidRPr="00C902AE">
        <w:rPr>
          <w:sz w:val="20"/>
          <w:vertAlign w:val="superscript"/>
        </w:rPr>
        <w:footnoteReference w:id="11"/>
      </w:r>
      <w:r w:rsidRPr="00C902AE">
        <w:t xml:space="preserve">  Since that time, demand for support under the RHC Program has grown steadily and requests for support in funding year 2015, which ended on June 30, 2016, we</w:t>
      </w:r>
      <w:r>
        <w:t xml:space="preserve">re at a historic high of </w:t>
      </w:r>
      <w:r w:rsidRPr="00C902AE">
        <w:t>$377.64 million.</w:t>
      </w:r>
      <w:r w:rsidRPr="00C902AE">
        <w:rPr>
          <w:sz w:val="20"/>
          <w:vertAlign w:val="superscript"/>
        </w:rPr>
        <w:footnoteReference w:id="12"/>
      </w:r>
      <w:r w:rsidRPr="00C11982">
        <w:t xml:space="preserve">  </w:t>
      </w:r>
    </w:p>
    <w:p w14:paraId="3AE5D655" w14:textId="57B9073C" w:rsidR="00B05C3D" w:rsidRPr="00B733A0" w:rsidRDefault="000C5A73" w:rsidP="00BE248F">
      <w:pPr>
        <w:spacing w:after="120"/>
        <w:ind w:firstLine="720"/>
      </w:pPr>
      <w:r>
        <w:t>With these funds, t</w:t>
      </w:r>
      <w:r w:rsidR="00B05C3D">
        <w:t>he RHC Program has supported and facilitated many vital healthcare services</w:t>
      </w:r>
      <w:r w:rsidR="009567E2">
        <w:t xml:space="preserve">. </w:t>
      </w:r>
      <w:r w:rsidR="00B05C3D">
        <w:t>At a time when rural Americans make up nearly 25 percent of the nation’s population, but only 10 percent of the nation’s physicians practice in rural America,</w:t>
      </w:r>
      <w:r w:rsidR="00B05C3D">
        <w:rPr>
          <w:rStyle w:val="FootnoteReference"/>
        </w:rPr>
        <w:footnoteReference w:id="13"/>
      </w:r>
      <w:r w:rsidR="00B05C3D">
        <w:t xml:space="preserve"> the growth in the RHC Program </w:t>
      </w:r>
      <w:r>
        <w:t xml:space="preserve">translates into </w:t>
      </w:r>
      <w:r w:rsidR="00B05C3D">
        <w:t>greater access to medical care</w:t>
      </w:r>
      <w:r w:rsidR="00F26188">
        <w:t xml:space="preserve"> across the country</w:t>
      </w:r>
      <w:r w:rsidR="00B05C3D">
        <w:t>.</w:t>
      </w:r>
      <w:r w:rsidR="00B05C3D">
        <w:tab/>
      </w:r>
    </w:p>
    <w:p w14:paraId="1E5C50E6" w14:textId="19007B8A" w:rsidR="000C5A73" w:rsidRDefault="00B05C3D" w:rsidP="00B05C3D">
      <w:pPr>
        <w:pStyle w:val="ParaNum0"/>
        <w:widowControl/>
        <w:numPr>
          <w:ilvl w:val="0"/>
          <w:numId w:val="0"/>
        </w:numPr>
        <w:tabs>
          <w:tab w:val="left" w:pos="720"/>
        </w:tabs>
        <w:rPr>
          <w:szCs w:val="22"/>
        </w:rPr>
      </w:pPr>
      <w:r>
        <w:rPr>
          <w:color w:val="212121"/>
          <w:szCs w:val="22"/>
        </w:rPr>
        <w:tab/>
      </w:r>
      <w:r w:rsidRPr="00624EAB">
        <w:rPr>
          <w:i/>
          <w:color w:val="212121"/>
          <w:szCs w:val="22"/>
          <w:u w:val="single"/>
        </w:rPr>
        <w:t>Current Implementation of the “First-Come, First-Served” Rule</w:t>
      </w:r>
      <w:r w:rsidR="002878C5">
        <w:rPr>
          <w:i/>
          <w:color w:val="212121"/>
          <w:szCs w:val="22"/>
          <w:u w:val="single"/>
        </w:rPr>
        <w:t xml:space="preserve"> After Initial Filing Window Period</w:t>
      </w:r>
      <w:r>
        <w:rPr>
          <w:i/>
          <w:color w:val="212121"/>
          <w:szCs w:val="22"/>
        </w:rPr>
        <w:t xml:space="preserve">.  </w:t>
      </w:r>
      <w:r w:rsidRPr="006B18A2">
        <w:rPr>
          <w:color w:val="212121"/>
          <w:szCs w:val="22"/>
        </w:rPr>
        <w:t xml:space="preserve">The </w:t>
      </w:r>
      <w:r>
        <w:rPr>
          <w:color w:val="212121"/>
          <w:szCs w:val="22"/>
        </w:rPr>
        <w:t>RHC Program funding year begins on July 1 of each calendar year.</w:t>
      </w:r>
      <w:r>
        <w:rPr>
          <w:rStyle w:val="FootnoteReference"/>
          <w:szCs w:val="22"/>
        </w:rPr>
        <w:footnoteReference w:id="14"/>
      </w:r>
      <w:r>
        <w:rPr>
          <w:color w:val="212121"/>
          <w:szCs w:val="22"/>
        </w:rPr>
        <w:t xml:space="preserve">  </w:t>
      </w:r>
      <w:r w:rsidR="000C5A73">
        <w:rPr>
          <w:color w:val="212121"/>
          <w:szCs w:val="22"/>
        </w:rPr>
        <w:t xml:space="preserve">Prior </w:t>
      </w:r>
      <w:r>
        <w:rPr>
          <w:color w:val="212121"/>
          <w:szCs w:val="22"/>
        </w:rPr>
        <w:t xml:space="preserve">to the beginning of each funding year, </w:t>
      </w:r>
      <w:r>
        <w:t xml:space="preserve">USAC implements an initial funding request filing window period that treats all HCPs filing </w:t>
      </w:r>
      <w:r>
        <w:rPr>
          <w:szCs w:val="22"/>
        </w:rPr>
        <w:t xml:space="preserve">within this filing window </w:t>
      </w:r>
      <w:r w:rsidR="008D0A23">
        <w:rPr>
          <w:szCs w:val="22"/>
        </w:rPr>
        <w:t xml:space="preserve">period </w:t>
      </w:r>
      <w:r w:rsidRPr="00D87974">
        <w:rPr>
          <w:szCs w:val="22"/>
        </w:rPr>
        <w:t>as if their applications were simultaneously received.</w:t>
      </w:r>
      <w:r w:rsidRPr="00D87974">
        <w:rPr>
          <w:rStyle w:val="FootnoteReference"/>
          <w:sz w:val="22"/>
          <w:szCs w:val="22"/>
        </w:rPr>
        <w:footnoteReference w:id="15"/>
      </w:r>
      <w:r>
        <w:rPr>
          <w:szCs w:val="22"/>
        </w:rPr>
        <w:t xml:space="preserve">  After the end of </w:t>
      </w:r>
      <w:r w:rsidR="000C5A73">
        <w:rPr>
          <w:szCs w:val="22"/>
        </w:rPr>
        <w:t>that</w:t>
      </w:r>
      <w:r>
        <w:rPr>
          <w:szCs w:val="22"/>
        </w:rPr>
        <w:t xml:space="preserve"> filing window period</w:t>
      </w:r>
      <w:r w:rsidRPr="00D87974">
        <w:rPr>
          <w:szCs w:val="22"/>
        </w:rPr>
        <w:t>,</w:t>
      </w:r>
      <w:r>
        <w:rPr>
          <w:szCs w:val="22"/>
        </w:rPr>
        <w:t xml:space="preserve"> USAC continues to </w:t>
      </w:r>
      <w:r w:rsidRPr="00D87974">
        <w:rPr>
          <w:szCs w:val="22"/>
        </w:rPr>
        <w:t>accept</w:t>
      </w:r>
      <w:r>
        <w:rPr>
          <w:szCs w:val="22"/>
        </w:rPr>
        <w:t xml:space="preserve"> funding requests </w:t>
      </w:r>
      <w:r w:rsidRPr="00D87974">
        <w:rPr>
          <w:szCs w:val="22"/>
        </w:rPr>
        <w:t>on a rolling basis until the end of the funding year (June 30 of the following calendar year)</w:t>
      </w:r>
      <w:r>
        <w:rPr>
          <w:szCs w:val="22"/>
        </w:rPr>
        <w:t xml:space="preserve"> and, following its review of the requests, makes funding commitments to eligible participants for eligible services on a “first-come, first-served” basis</w:t>
      </w:r>
      <w:r w:rsidRPr="00D87974">
        <w:rPr>
          <w:szCs w:val="22"/>
        </w:rPr>
        <w:t>.</w:t>
      </w:r>
      <w:r w:rsidRPr="00D87974">
        <w:rPr>
          <w:rStyle w:val="FootnoteReference"/>
          <w:sz w:val="22"/>
          <w:szCs w:val="22"/>
        </w:rPr>
        <w:footnoteReference w:id="16"/>
      </w:r>
      <w:r>
        <w:rPr>
          <w:szCs w:val="22"/>
        </w:rPr>
        <w:t xml:space="preserve">   </w:t>
      </w:r>
    </w:p>
    <w:p w14:paraId="56984F1C" w14:textId="22D77609" w:rsidR="00B05C3D" w:rsidRDefault="000C5A73" w:rsidP="00B05C3D">
      <w:pPr>
        <w:pStyle w:val="ParaNum0"/>
        <w:widowControl/>
        <w:numPr>
          <w:ilvl w:val="0"/>
          <w:numId w:val="0"/>
        </w:numPr>
        <w:tabs>
          <w:tab w:val="left" w:pos="720"/>
        </w:tabs>
        <w:rPr>
          <w:szCs w:val="22"/>
        </w:rPr>
      </w:pPr>
      <w:r>
        <w:rPr>
          <w:szCs w:val="22"/>
        </w:rPr>
        <w:lastRenderedPageBreak/>
        <w:tab/>
        <w:t xml:space="preserve">Under </w:t>
      </w:r>
      <w:r w:rsidR="00B05C3D">
        <w:rPr>
          <w:szCs w:val="22"/>
        </w:rPr>
        <w:t>the Commission’s rules, i</w:t>
      </w:r>
      <w:r w:rsidR="00B05C3D" w:rsidRPr="008E13FA">
        <w:rPr>
          <w:szCs w:val="22"/>
        </w:rPr>
        <w:t>f requests submitted during an established filing window period exceed the RHC Program’s $400 million cap, USAC must</w:t>
      </w:r>
      <w:r w:rsidR="00B05C3D">
        <w:rPr>
          <w:szCs w:val="22"/>
        </w:rPr>
        <w:t xml:space="preserve"> </w:t>
      </w:r>
      <w:r w:rsidR="00B05C3D" w:rsidRPr="008E13FA">
        <w:rPr>
          <w:szCs w:val="22"/>
        </w:rPr>
        <w:t>apply a pro-rata reduction in support to all those requests received during the filing window period.</w:t>
      </w:r>
      <w:r w:rsidR="00B05C3D" w:rsidRPr="008E13FA">
        <w:rPr>
          <w:szCs w:val="22"/>
          <w:vertAlign w:val="superscript"/>
        </w:rPr>
        <w:footnoteReference w:id="17"/>
      </w:r>
      <w:r w:rsidR="00B05C3D" w:rsidRPr="008E13FA">
        <w:rPr>
          <w:szCs w:val="22"/>
        </w:rPr>
        <w:t xml:space="preserve">  </w:t>
      </w:r>
      <w:r w:rsidR="0061374E">
        <w:rPr>
          <w:szCs w:val="22"/>
        </w:rPr>
        <w:t xml:space="preserve">Likewise, funding requests filed after the initial filing window period (but prior to the earlier of the end of the funding year, or the date on which the $400 million cap is reached) are handled on a “first-come, first-served” basis.  </w:t>
      </w:r>
      <w:r w:rsidR="00B05C3D" w:rsidRPr="008E13FA">
        <w:rPr>
          <w:szCs w:val="22"/>
        </w:rPr>
        <w:t xml:space="preserve">Because RHC Program demand has never reached the cap, USAC has not had to pro-rate support </w:t>
      </w:r>
      <w:r w:rsidR="00480FD1">
        <w:rPr>
          <w:szCs w:val="22"/>
        </w:rPr>
        <w:t xml:space="preserve">for requests received during the single filing window period, </w:t>
      </w:r>
      <w:r w:rsidR="00B05C3D" w:rsidRPr="008E13FA">
        <w:rPr>
          <w:szCs w:val="22"/>
        </w:rPr>
        <w:t xml:space="preserve">and </w:t>
      </w:r>
      <w:r w:rsidR="00480FD1">
        <w:rPr>
          <w:szCs w:val="22"/>
        </w:rPr>
        <w:t xml:space="preserve">it </w:t>
      </w:r>
      <w:r w:rsidR="00B05C3D" w:rsidRPr="008E13FA">
        <w:rPr>
          <w:szCs w:val="22"/>
        </w:rPr>
        <w:t xml:space="preserve">has accepted funding requests for the Telecommunications and Health Care Connect Fund Programs until the last day of the funding year. </w:t>
      </w:r>
      <w:r w:rsidR="00B05C3D" w:rsidRPr="00D87974">
        <w:rPr>
          <w:szCs w:val="22"/>
        </w:rPr>
        <w:t xml:space="preserve"> </w:t>
      </w:r>
      <w:r w:rsidR="00B05C3D">
        <w:rPr>
          <w:szCs w:val="22"/>
        </w:rPr>
        <w:t xml:space="preserve"> </w:t>
      </w:r>
    </w:p>
    <w:p w14:paraId="2C1FD0EC" w14:textId="370283C9" w:rsidR="00D4239C" w:rsidRDefault="00B05C3D" w:rsidP="00C700FD">
      <w:pPr>
        <w:pStyle w:val="ParaNum0"/>
        <w:widowControl/>
        <w:numPr>
          <w:ilvl w:val="0"/>
          <w:numId w:val="0"/>
        </w:numPr>
        <w:tabs>
          <w:tab w:val="left" w:pos="720"/>
        </w:tabs>
        <w:rPr>
          <w:szCs w:val="22"/>
        </w:rPr>
      </w:pPr>
      <w:r>
        <w:rPr>
          <w:szCs w:val="22"/>
        </w:rPr>
        <w:tab/>
      </w:r>
      <w:r w:rsidRPr="00624EAB">
        <w:rPr>
          <w:i/>
          <w:szCs w:val="22"/>
          <w:u w:val="single"/>
        </w:rPr>
        <w:t>Multiple Filing Window Periods</w:t>
      </w:r>
      <w:r>
        <w:rPr>
          <w:szCs w:val="22"/>
        </w:rPr>
        <w:t xml:space="preserve">.  </w:t>
      </w:r>
      <w:r w:rsidR="00D4239C">
        <w:rPr>
          <w:szCs w:val="22"/>
        </w:rPr>
        <w:t>I</w:t>
      </w:r>
      <w:r w:rsidR="00D4239C" w:rsidRPr="006B18A2">
        <w:rPr>
          <w:szCs w:val="22"/>
        </w:rPr>
        <w:t>n</w:t>
      </w:r>
      <w:r w:rsidR="00D4239C" w:rsidRPr="007B1B46">
        <w:rPr>
          <w:szCs w:val="22"/>
        </w:rPr>
        <w:t xml:space="preserve"> light </w:t>
      </w:r>
      <w:r w:rsidR="00D4239C" w:rsidRPr="00A90454">
        <w:rPr>
          <w:szCs w:val="22"/>
        </w:rPr>
        <w:t xml:space="preserve">of RHC Program growth and the potential </w:t>
      </w:r>
      <w:r w:rsidR="00D4239C">
        <w:rPr>
          <w:szCs w:val="22"/>
        </w:rPr>
        <w:t xml:space="preserve">for </w:t>
      </w:r>
      <w:r w:rsidR="00D4239C" w:rsidRPr="00A90454">
        <w:rPr>
          <w:szCs w:val="22"/>
        </w:rPr>
        <w:t xml:space="preserve">funding year 2016 </w:t>
      </w:r>
      <w:r w:rsidR="00D4239C">
        <w:rPr>
          <w:szCs w:val="22"/>
        </w:rPr>
        <w:t>demand to</w:t>
      </w:r>
      <w:r w:rsidR="00D4239C" w:rsidRPr="00A90454">
        <w:rPr>
          <w:szCs w:val="22"/>
        </w:rPr>
        <w:t xml:space="preserve"> exceed the $400 million cap before the end of the funding year on June 30, 2017, we </w:t>
      </w:r>
      <w:r w:rsidR="00D4239C">
        <w:rPr>
          <w:szCs w:val="22"/>
        </w:rPr>
        <w:t>direct USAC to follow the</w:t>
      </w:r>
      <w:r w:rsidR="00D4239C" w:rsidRPr="00A90454">
        <w:rPr>
          <w:szCs w:val="22"/>
        </w:rPr>
        <w:t xml:space="preserve"> filing window period</w:t>
      </w:r>
      <w:r w:rsidR="00D4239C">
        <w:rPr>
          <w:szCs w:val="22"/>
        </w:rPr>
        <w:t xml:space="preserve"> schedule described below</w:t>
      </w:r>
      <w:r w:rsidR="00D4239C" w:rsidRPr="00A90454">
        <w:rPr>
          <w:szCs w:val="22"/>
        </w:rPr>
        <w:t>, based on the Commission’s current rules for RHC Program support.</w:t>
      </w:r>
      <w:r w:rsidR="00D4239C">
        <w:rPr>
          <w:rStyle w:val="FootnoteReference"/>
          <w:szCs w:val="22"/>
        </w:rPr>
        <w:footnoteReference w:id="18"/>
      </w:r>
      <w:r w:rsidR="00D4239C">
        <w:rPr>
          <w:szCs w:val="22"/>
        </w:rPr>
        <w:t xml:space="preserve">  Establishing this schedule and affording</w:t>
      </w:r>
      <w:r>
        <w:rPr>
          <w:szCs w:val="22"/>
        </w:rPr>
        <w:t xml:space="preserve"> USAC </w:t>
      </w:r>
      <w:r w:rsidR="00D4239C">
        <w:rPr>
          <w:szCs w:val="22"/>
        </w:rPr>
        <w:t xml:space="preserve">the </w:t>
      </w:r>
      <w:r>
        <w:rPr>
          <w:szCs w:val="22"/>
        </w:rPr>
        <w:t xml:space="preserve">discretion to establish </w:t>
      </w:r>
      <w:r w:rsidRPr="007B1B46">
        <w:rPr>
          <w:szCs w:val="22"/>
        </w:rPr>
        <w:t>multiple filing win</w:t>
      </w:r>
      <w:r>
        <w:rPr>
          <w:szCs w:val="22"/>
        </w:rPr>
        <w:t xml:space="preserve">dow periods </w:t>
      </w:r>
      <w:r w:rsidR="00D4239C">
        <w:rPr>
          <w:szCs w:val="22"/>
        </w:rPr>
        <w:t xml:space="preserve">going forward </w:t>
      </w:r>
      <w:r w:rsidRPr="007B1B46">
        <w:rPr>
          <w:szCs w:val="22"/>
        </w:rPr>
        <w:t xml:space="preserve">furthers </w:t>
      </w:r>
      <w:r>
        <w:rPr>
          <w:szCs w:val="22"/>
        </w:rPr>
        <w:t>the Commission’s goals of supporting healthcare delivery in as many parts of rural America as possible.</w:t>
      </w:r>
      <w:r>
        <w:rPr>
          <w:rStyle w:val="FootnoteReference"/>
        </w:rPr>
        <w:footnoteReference w:id="19"/>
      </w:r>
      <w:r>
        <w:rPr>
          <w:szCs w:val="22"/>
        </w:rPr>
        <w:t xml:space="preserve">  </w:t>
      </w:r>
    </w:p>
    <w:p w14:paraId="5B9EA8DA" w14:textId="2D19453C" w:rsidR="00B05C3D" w:rsidRPr="00B733A0" w:rsidRDefault="00F26188" w:rsidP="009567E2">
      <w:pPr>
        <w:pStyle w:val="ParaNum0"/>
        <w:widowControl/>
        <w:numPr>
          <w:ilvl w:val="0"/>
          <w:numId w:val="0"/>
        </w:numPr>
        <w:tabs>
          <w:tab w:val="left" w:pos="720"/>
        </w:tabs>
        <w:rPr>
          <w:szCs w:val="22"/>
        </w:rPr>
      </w:pPr>
      <w:r>
        <w:tab/>
      </w:r>
      <w:r w:rsidR="00B05C3D" w:rsidRPr="00C72626">
        <w:t>While this approach does no</w:t>
      </w:r>
      <w:r w:rsidR="00B05C3D">
        <w:t>t affect</w:t>
      </w:r>
      <w:r w:rsidR="00B05C3D" w:rsidRPr="00C72626">
        <w:t xml:space="preserve"> the $400 million cap, it provides a greater opportunity for </w:t>
      </w:r>
      <w:r w:rsidR="00B05C3D">
        <w:t xml:space="preserve">HCPs filing within a filing window period </w:t>
      </w:r>
      <w:r w:rsidR="00B05C3D" w:rsidRPr="00C72626">
        <w:t xml:space="preserve">to get some support, rather than none at all, even at the point where demand exceeds the cap.  </w:t>
      </w:r>
      <w:r w:rsidR="00B05C3D" w:rsidRPr="007B1B46">
        <w:t>By establishing multiple filing window</w:t>
      </w:r>
      <w:r w:rsidR="00B05C3D">
        <w:t xml:space="preserve"> period</w:t>
      </w:r>
      <w:r w:rsidR="00B05C3D" w:rsidRPr="007B1B46">
        <w:t>s</w:t>
      </w:r>
      <w:r w:rsidR="00B05C3D">
        <w:t>, we also provide a mechanism for USAC to more efficiently administer the program and process requests while providing an incentive for applicants to timely submit their applications for support.</w:t>
      </w:r>
      <w:r w:rsidR="00B05C3D">
        <w:rPr>
          <w:szCs w:val="22"/>
        </w:rPr>
        <w:t xml:space="preserve">  </w:t>
      </w:r>
      <w:r w:rsidR="00D4239C">
        <w:rPr>
          <w:szCs w:val="22"/>
        </w:rPr>
        <w:t>Absent such filing window</w:t>
      </w:r>
      <w:r w:rsidR="009260F4">
        <w:rPr>
          <w:szCs w:val="22"/>
        </w:rPr>
        <w:t xml:space="preserve"> period</w:t>
      </w:r>
      <w:r w:rsidR="00D4239C">
        <w:rPr>
          <w:szCs w:val="22"/>
        </w:rPr>
        <w:t>s, all RHC funding requests would be subject to the “first-come, first-served” rule and, should the $400 million cap be met, subsequently filed HCP requests would be cut off from RHC Program funding.  Such a flash cut may be particularly difficult</w:t>
      </w:r>
      <w:r w:rsidR="00C700FD">
        <w:rPr>
          <w:szCs w:val="22"/>
        </w:rPr>
        <w:t xml:space="preserve"> for </w:t>
      </w:r>
      <w:r w:rsidR="00D4239C">
        <w:rPr>
          <w:szCs w:val="22"/>
        </w:rPr>
        <w:t xml:space="preserve">those RHC participants who have relied on RHC Program funds for many years. </w:t>
      </w:r>
      <w:r w:rsidR="00B05C3D">
        <w:rPr>
          <w:szCs w:val="22"/>
        </w:rPr>
        <w:t xml:space="preserve">Thus, we </w:t>
      </w:r>
      <w:r w:rsidR="00C700FD">
        <w:rPr>
          <w:szCs w:val="22"/>
        </w:rPr>
        <w:t>set forth the</w:t>
      </w:r>
      <w:r w:rsidR="00B05C3D">
        <w:rPr>
          <w:szCs w:val="22"/>
        </w:rPr>
        <w:t xml:space="preserve"> filing window period </w:t>
      </w:r>
      <w:r w:rsidR="00C700FD">
        <w:rPr>
          <w:szCs w:val="22"/>
        </w:rPr>
        <w:t xml:space="preserve">schedule below </w:t>
      </w:r>
      <w:r w:rsidR="00C85F06">
        <w:rPr>
          <w:szCs w:val="22"/>
        </w:rPr>
        <w:t xml:space="preserve">to facilitate the distribution of future funding </w:t>
      </w:r>
      <w:r w:rsidR="00B05C3D">
        <w:rPr>
          <w:szCs w:val="22"/>
        </w:rPr>
        <w:t xml:space="preserve">in an equitable and administratively manageable manner. </w:t>
      </w:r>
    </w:p>
    <w:p w14:paraId="70C09918" w14:textId="77777777" w:rsidR="00C700FD" w:rsidRDefault="00B05C3D" w:rsidP="00B05C3D">
      <w:pPr>
        <w:widowControl/>
        <w:autoSpaceDE w:val="0"/>
        <w:autoSpaceDN w:val="0"/>
        <w:adjustRightInd w:val="0"/>
        <w:spacing w:after="120"/>
        <w:ind w:firstLine="720"/>
      </w:pPr>
      <w:r w:rsidRPr="00624EAB">
        <w:rPr>
          <w:i/>
        </w:rPr>
        <w:t>Funding Year 2016 Filing Window</w:t>
      </w:r>
      <w:r w:rsidRPr="00DA6654">
        <w:rPr>
          <w:i/>
        </w:rPr>
        <w:t xml:space="preserve"> Period </w:t>
      </w:r>
      <w:r w:rsidRPr="00624EAB">
        <w:rPr>
          <w:i/>
        </w:rPr>
        <w:t xml:space="preserve">Schedule.  </w:t>
      </w:r>
      <w:r w:rsidRPr="00A90454">
        <w:t xml:space="preserve">For funding year 2016, USAC’s initial filing window period </w:t>
      </w:r>
      <w:r>
        <w:t xml:space="preserve">opened on March 1, 2016, and </w:t>
      </w:r>
      <w:r w:rsidRPr="00A90454">
        <w:t>closed on June 1, 2016</w:t>
      </w:r>
      <w:r>
        <w:t>.  P</w:t>
      </w:r>
      <w:r w:rsidRPr="00A90454">
        <w:t xml:space="preserve">articipants requested </w:t>
      </w:r>
      <w:r w:rsidRPr="00C85237">
        <w:t>$</w:t>
      </w:r>
      <w:r w:rsidRPr="00A90454">
        <w:t>35.5 million in support</w:t>
      </w:r>
      <w:r>
        <w:t xml:space="preserve"> during that time period</w:t>
      </w:r>
      <w:r w:rsidRPr="00A90454">
        <w:t>.</w:t>
      </w:r>
      <w:r w:rsidRPr="00A90454">
        <w:rPr>
          <w:rStyle w:val="FootnoteReference"/>
        </w:rPr>
        <w:footnoteReference w:id="20"/>
      </w:r>
      <w:r w:rsidRPr="00A90454">
        <w:t xml:space="preserve">  </w:t>
      </w:r>
      <w:r>
        <w:t>From June 1, 2016 through today, the RHC Program has operated on a “first-come, first-served basis” per the Commission’s rules.</w:t>
      </w:r>
      <w:r>
        <w:rPr>
          <w:rStyle w:val="FootnoteReference"/>
        </w:rPr>
        <w:footnoteReference w:id="21"/>
      </w:r>
      <w:r>
        <w:t xml:space="preserve">  </w:t>
      </w:r>
    </w:p>
    <w:p w14:paraId="27BE2F1F" w14:textId="419B2471" w:rsidR="00C700FD" w:rsidRDefault="00B05C3D" w:rsidP="00B05C3D">
      <w:pPr>
        <w:widowControl/>
        <w:autoSpaceDE w:val="0"/>
        <w:autoSpaceDN w:val="0"/>
        <w:adjustRightInd w:val="0"/>
        <w:spacing w:after="120"/>
        <w:ind w:firstLine="720"/>
      </w:pPr>
      <w:r>
        <w:t xml:space="preserve">Moving forward for </w:t>
      </w:r>
      <w:r w:rsidRPr="00A90454">
        <w:t xml:space="preserve">funding year 2016, </w:t>
      </w:r>
      <w:r>
        <w:t>we direct USAC to open a second filing window period starting on September 1, 2016 through November 30, 2016.  From December 1, 2016 through January 31, 2017, USAC will not accept funding request forms (i.e., applicants will be prevented from submitting FCC Forms 462 and 466), but will continue to accept all other forms.  USAC will also continue to process all application forms, including funding request forms filed during or before the second filing window</w:t>
      </w:r>
      <w:r w:rsidR="009260F4">
        <w:t xml:space="preserve"> period</w:t>
      </w:r>
      <w:r>
        <w:t xml:space="preserve">. </w:t>
      </w:r>
      <w:r w:rsidR="009260F4">
        <w:t xml:space="preserve"> </w:t>
      </w:r>
      <w:r>
        <w:t>USAC will estimate demand and, prior to the close of the second filing window</w:t>
      </w:r>
      <w:r w:rsidR="009260F4">
        <w:t xml:space="preserve"> period</w:t>
      </w:r>
      <w:r>
        <w:t xml:space="preserve">, determine whether to open an additional filing window period. </w:t>
      </w:r>
    </w:p>
    <w:p w14:paraId="46228669" w14:textId="5E986599" w:rsidR="00B05C3D" w:rsidRDefault="00B05C3D" w:rsidP="00B05C3D">
      <w:pPr>
        <w:widowControl/>
        <w:autoSpaceDE w:val="0"/>
        <w:autoSpaceDN w:val="0"/>
        <w:adjustRightInd w:val="0"/>
        <w:spacing w:after="120"/>
        <w:ind w:firstLine="720"/>
      </w:pPr>
      <w:r>
        <w:t xml:space="preserve">Based on historic demand trends, we currently anticipate that USAC will be able to open this third filing window period.  Thus, assuming demand does not exceed the cap during the second filing window period, we direct USAC to open a third filing window period from February 1, 2017 through April 30, 2017.  For the remainder of funding year 2016, USAC will determine, based on demand and available funding, whether to open additional filing window periods and the duration of such </w:t>
      </w:r>
      <w:r w:rsidR="00BF03CF">
        <w:t xml:space="preserve">filing </w:t>
      </w:r>
      <w:r>
        <w:t>window</w:t>
      </w:r>
      <w:r w:rsidR="00BF03CF">
        <w:t xml:space="preserve"> period</w:t>
      </w:r>
      <w:r>
        <w:t xml:space="preserve">s.  </w:t>
      </w:r>
      <w:r w:rsidRPr="00C73798">
        <w:t xml:space="preserve">To the extent that USAC </w:t>
      </w:r>
      <w:r>
        <w:t xml:space="preserve">opens additional </w:t>
      </w:r>
      <w:r w:rsidRPr="00C73798">
        <w:t>filing window period</w:t>
      </w:r>
      <w:r>
        <w:t>s</w:t>
      </w:r>
      <w:r w:rsidR="007C5347">
        <w:t>, it shall provide</w:t>
      </w:r>
      <w:r w:rsidR="00C700FD">
        <w:t xml:space="preserve"> </w:t>
      </w:r>
      <w:r w:rsidRPr="00C73798">
        <w:t>notice and include either in that notice or soon thereafter the amount of remaining available funding.</w:t>
      </w:r>
    </w:p>
    <w:tbl>
      <w:tblPr>
        <w:tblW w:w="6570" w:type="dxa"/>
        <w:tblInd w:w="1520" w:type="dxa"/>
        <w:tblCellMar>
          <w:left w:w="0" w:type="dxa"/>
          <w:right w:w="0" w:type="dxa"/>
        </w:tblCellMar>
        <w:tblLook w:val="04A0" w:firstRow="1" w:lastRow="0" w:firstColumn="1" w:lastColumn="0" w:noHBand="0" w:noVBand="1"/>
      </w:tblPr>
      <w:tblGrid>
        <w:gridCol w:w="2340"/>
        <w:gridCol w:w="1719"/>
        <w:gridCol w:w="261"/>
        <w:gridCol w:w="2250"/>
      </w:tblGrid>
      <w:tr w:rsidR="00B05C3D" w:rsidRPr="00AD489C" w14:paraId="3D53EE58" w14:textId="77777777" w:rsidTr="00220B21">
        <w:trPr>
          <w:trHeight w:val="300"/>
        </w:trPr>
        <w:tc>
          <w:tcPr>
            <w:tcW w:w="6570"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58B554B" w14:textId="77777777" w:rsidR="00B05C3D" w:rsidRPr="00AD489C" w:rsidRDefault="00B05C3D" w:rsidP="00220B21">
            <w:pPr>
              <w:widowControl/>
              <w:autoSpaceDE w:val="0"/>
              <w:autoSpaceDN w:val="0"/>
              <w:adjustRightInd w:val="0"/>
              <w:ind w:firstLine="720"/>
              <w:jc w:val="center"/>
              <w:rPr>
                <w:b/>
              </w:rPr>
            </w:pPr>
            <w:r w:rsidRPr="00624EAB">
              <w:rPr>
                <w:b/>
              </w:rPr>
              <w:t>Funding Year 2016 Filing Window Period Schedule</w:t>
            </w:r>
          </w:p>
        </w:tc>
      </w:tr>
      <w:tr w:rsidR="00B05C3D" w:rsidRPr="00AD489C" w14:paraId="3AC554B1" w14:textId="77777777" w:rsidTr="00220B21">
        <w:trPr>
          <w:trHeight w:val="300"/>
        </w:trPr>
        <w:tc>
          <w:tcPr>
            <w:tcW w:w="234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7EB867A" w14:textId="77777777" w:rsidR="00B05C3D" w:rsidRPr="00AD489C" w:rsidRDefault="00B05C3D" w:rsidP="00220B21">
            <w:pPr>
              <w:widowControl/>
              <w:autoSpaceDE w:val="0"/>
              <w:autoSpaceDN w:val="0"/>
              <w:adjustRightInd w:val="0"/>
              <w:jc w:val="center"/>
              <w:rPr>
                <w:b/>
              </w:rPr>
            </w:pPr>
            <w:r w:rsidRPr="00AD489C">
              <w:rPr>
                <w:b/>
              </w:rPr>
              <w:t>Filing Window Period</w:t>
            </w:r>
          </w:p>
        </w:tc>
        <w:tc>
          <w:tcPr>
            <w:tcW w:w="1980" w:type="dxa"/>
            <w:gridSpan w:val="2"/>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192CE5D" w14:textId="77777777" w:rsidR="00B05C3D" w:rsidRPr="00AD489C" w:rsidRDefault="00B05C3D" w:rsidP="00220B21">
            <w:pPr>
              <w:widowControl/>
              <w:autoSpaceDE w:val="0"/>
              <w:autoSpaceDN w:val="0"/>
              <w:adjustRightInd w:val="0"/>
              <w:rPr>
                <w:b/>
              </w:rPr>
            </w:pPr>
            <w:r w:rsidRPr="00AD489C">
              <w:rPr>
                <w:b/>
              </w:rPr>
              <w:t>Filing Window Period Open Date</w:t>
            </w:r>
          </w:p>
        </w:tc>
        <w:tc>
          <w:tcPr>
            <w:tcW w:w="225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780389AB" w14:textId="77777777" w:rsidR="00B05C3D" w:rsidRPr="00AD489C" w:rsidRDefault="00B05C3D" w:rsidP="00220B21">
            <w:pPr>
              <w:widowControl/>
              <w:autoSpaceDE w:val="0"/>
              <w:autoSpaceDN w:val="0"/>
              <w:adjustRightInd w:val="0"/>
              <w:jc w:val="center"/>
              <w:rPr>
                <w:b/>
              </w:rPr>
            </w:pPr>
            <w:r w:rsidRPr="00AD489C">
              <w:rPr>
                <w:b/>
              </w:rPr>
              <w:t>Filing Window Period Close Date</w:t>
            </w:r>
          </w:p>
        </w:tc>
      </w:tr>
      <w:tr w:rsidR="00B05C3D" w:rsidRPr="00AD489C" w14:paraId="62DA37F8" w14:textId="77777777" w:rsidTr="00220B21">
        <w:trPr>
          <w:trHeight w:val="300"/>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4EDB26" w14:textId="77777777" w:rsidR="00B05C3D" w:rsidRPr="00AD489C" w:rsidRDefault="00B05C3D" w:rsidP="00220B21">
            <w:pPr>
              <w:widowControl/>
              <w:autoSpaceDE w:val="0"/>
              <w:autoSpaceDN w:val="0"/>
              <w:adjustRightInd w:val="0"/>
              <w:ind w:firstLine="720"/>
            </w:pPr>
            <w:r w:rsidRPr="00AD489C">
              <w:t>1</w:t>
            </w:r>
          </w:p>
        </w:tc>
        <w:tc>
          <w:tcPr>
            <w:tcW w:w="19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3A1A45" w14:textId="77777777" w:rsidR="00B05C3D" w:rsidRPr="00AD489C" w:rsidRDefault="00B05C3D" w:rsidP="00220B21">
            <w:pPr>
              <w:widowControl/>
              <w:autoSpaceDE w:val="0"/>
              <w:autoSpaceDN w:val="0"/>
              <w:adjustRightInd w:val="0"/>
              <w:ind w:firstLine="720"/>
            </w:pPr>
            <w:r w:rsidRPr="00AD489C">
              <w:t>3/1/2016</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0E9E44" w14:textId="77777777" w:rsidR="00B05C3D" w:rsidRPr="00AD489C" w:rsidRDefault="00B05C3D" w:rsidP="00220B21">
            <w:pPr>
              <w:widowControl/>
              <w:autoSpaceDE w:val="0"/>
              <w:autoSpaceDN w:val="0"/>
              <w:adjustRightInd w:val="0"/>
              <w:ind w:firstLine="720"/>
            </w:pPr>
            <w:r w:rsidRPr="00AD489C">
              <w:t>6/1/2016</w:t>
            </w:r>
          </w:p>
        </w:tc>
      </w:tr>
      <w:tr w:rsidR="00B05C3D" w:rsidRPr="00AD489C" w14:paraId="48E7EE05" w14:textId="77777777" w:rsidTr="00220B21">
        <w:trPr>
          <w:trHeight w:val="300"/>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A217CF" w14:textId="77777777" w:rsidR="00B05C3D" w:rsidRPr="00AD489C" w:rsidRDefault="00B05C3D" w:rsidP="00220B21">
            <w:pPr>
              <w:widowControl/>
              <w:autoSpaceDE w:val="0"/>
              <w:autoSpaceDN w:val="0"/>
              <w:adjustRightInd w:val="0"/>
              <w:ind w:firstLine="720"/>
            </w:pPr>
            <w:r w:rsidRPr="00AD489C">
              <w:t>2</w:t>
            </w:r>
          </w:p>
        </w:tc>
        <w:tc>
          <w:tcPr>
            <w:tcW w:w="1980"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785490" w14:textId="77777777" w:rsidR="00B05C3D" w:rsidRPr="00AD489C" w:rsidRDefault="00B05C3D" w:rsidP="00220B21">
            <w:pPr>
              <w:widowControl/>
              <w:autoSpaceDE w:val="0"/>
              <w:autoSpaceDN w:val="0"/>
              <w:adjustRightInd w:val="0"/>
              <w:ind w:firstLine="720"/>
            </w:pPr>
            <w:r w:rsidRPr="00AD489C">
              <w:t>9/1/2016</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50F585" w14:textId="77777777" w:rsidR="00B05C3D" w:rsidRPr="00AD489C" w:rsidRDefault="00B05C3D" w:rsidP="00220B21">
            <w:pPr>
              <w:widowControl/>
              <w:autoSpaceDE w:val="0"/>
              <w:autoSpaceDN w:val="0"/>
              <w:adjustRightInd w:val="0"/>
              <w:ind w:firstLine="720"/>
            </w:pPr>
            <w:r w:rsidRPr="00AD489C">
              <w:t>11/30/2016</w:t>
            </w:r>
          </w:p>
        </w:tc>
      </w:tr>
      <w:tr w:rsidR="00B05C3D" w:rsidRPr="00AD489C" w14:paraId="7F82675A" w14:textId="77777777" w:rsidTr="00220B21">
        <w:trPr>
          <w:trHeight w:val="300"/>
        </w:trPr>
        <w:tc>
          <w:tcPr>
            <w:tcW w:w="6570"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A315A7" w14:textId="77777777" w:rsidR="00B05C3D" w:rsidRPr="00AD489C" w:rsidRDefault="00B05C3D" w:rsidP="00220B21">
            <w:pPr>
              <w:widowControl/>
              <w:autoSpaceDE w:val="0"/>
              <w:autoSpaceDN w:val="0"/>
              <w:adjustRightInd w:val="0"/>
              <w:ind w:firstLine="720"/>
            </w:pPr>
            <w:r w:rsidRPr="00AD489C">
              <w:t>No funding requests accepted from 12/1/2016 - 1/31/2017</w:t>
            </w:r>
          </w:p>
        </w:tc>
      </w:tr>
      <w:tr w:rsidR="00B05C3D" w:rsidRPr="00AD489C" w14:paraId="423C25F1" w14:textId="77777777" w:rsidTr="00220B21">
        <w:trPr>
          <w:trHeight w:val="300"/>
        </w:trPr>
        <w:tc>
          <w:tcPr>
            <w:tcW w:w="2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C3F708" w14:textId="77777777" w:rsidR="00B05C3D" w:rsidRPr="00AD489C" w:rsidRDefault="00B05C3D" w:rsidP="00220B21">
            <w:pPr>
              <w:widowControl/>
              <w:autoSpaceDE w:val="0"/>
              <w:autoSpaceDN w:val="0"/>
              <w:adjustRightInd w:val="0"/>
              <w:ind w:firstLine="720"/>
            </w:pPr>
            <w:r w:rsidRPr="00AD489C">
              <w:t>3</w:t>
            </w:r>
          </w:p>
        </w:tc>
        <w:tc>
          <w:tcPr>
            <w:tcW w:w="17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E8DA2E" w14:textId="77777777" w:rsidR="00B05C3D" w:rsidRPr="00AD489C" w:rsidRDefault="00B05C3D" w:rsidP="00220B21">
            <w:pPr>
              <w:widowControl/>
              <w:autoSpaceDE w:val="0"/>
              <w:autoSpaceDN w:val="0"/>
              <w:adjustRightInd w:val="0"/>
              <w:ind w:firstLine="720"/>
            </w:pPr>
            <w:r w:rsidRPr="00AD489C">
              <w:t>2/1/2017</w:t>
            </w:r>
          </w:p>
        </w:tc>
        <w:tc>
          <w:tcPr>
            <w:tcW w:w="2511"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06DC3F" w14:textId="77777777" w:rsidR="00B05C3D" w:rsidRPr="00AD489C" w:rsidRDefault="00B05C3D" w:rsidP="00220B21">
            <w:pPr>
              <w:widowControl/>
              <w:autoSpaceDE w:val="0"/>
              <w:autoSpaceDN w:val="0"/>
              <w:adjustRightInd w:val="0"/>
              <w:ind w:firstLine="720"/>
            </w:pPr>
            <w:r w:rsidRPr="00AD489C">
              <w:t>4/30/2017</w:t>
            </w:r>
          </w:p>
        </w:tc>
      </w:tr>
      <w:tr w:rsidR="00B05C3D" w:rsidRPr="00AD489C" w14:paraId="44AC2F68" w14:textId="77777777" w:rsidTr="00220B21">
        <w:trPr>
          <w:trHeight w:val="300"/>
        </w:trPr>
        <w:tc>
          <w:tcPr>
            <w:tcW w:w="657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8886C37" w14:textId="77777777" w:rsidR="00B05C3D" w:rsidRPr="00AD489C" w:rsidRDefault="00B05C3D" w:rsidP="00220B21">
            <w:pPr>
              <w:widowControl/>
              <w:autoSpaceDE w:val="0"/>
              <w:autoSpaceDN w:val="0"/>
              <w:adjustRightInd w:val="0"/>
              <w:ind w:hanging="18"/>
            </w:pPr>
            <w:r w:rsidRPr="00AD489C">
              <w:t>Subsequent filing window periods may be opened at USAC’s discretion</w:t>
            </w:r>
          </w:p>
        </w:tc>
      </w:tr>
    </w:tbl>
    <w:p w14:paraId="1CA36FD1" w14:textId="1558063A" w:rsidR="00B05C3D" w:rsidRDefault="00B05C3D" w:rsidP="00B05C3D">
      <w:pPr>
        <w:widowControl/>
        <w:autoSpaceDE w:val="0"/>
        <w:autoSpaceDN w:val="0"/>
        <w:adjustRightInd w:val="0"/>
        <w:spacing w:before="120" w:after="120"/>
        <w:ind w:firstLine="720"/>
      </w:pPr>
      <w:r>
        <w:t>There are several reasons for implementing the filing window period schedule described above for funding year 2016, which includes a time period where no funding request forms will be accepted.  First, recent legislation has modified section 254 of the 1996 Act to add a new eligible entity (skilled nursing facilities or SNFs) to the list of health care providers who may receive funding under the RHC Program.</w:t>
      </w:r>
      <w:r w:rsidRPr="0064731E">
        <w:rPr>
          <w:sz w:val="20"/>
          <w:vertAlign w:val="superscript"/>
        </w:rPr>
        <w:t xml:space="preserve"> </w:t>
      </w:r>
      <w:r w:rsidRPr="0064731E">
        <w:rPr>
          <w:vertAlign w:val="superscript"/>
        </w:rPr>
        <w:footnoteReference w:id="22"/>
      </w:r>
      <w:r>
        <w:t xml:space="preserve">  In addition to extending the current requirements of the RHC Program forms, the current RHC Program forms must now also be revised to account for the addition of the SNFs to the RHC Program in compliance with the Paperwork Reduction Act requirements.</w:t>
      </w:r>
      <w:r>
        <w:rPr>
          <w:rStyle w:val="FootnoteReference"/>
        </w:rPr>
        <w:footnoteReference w:id="23"/>
      </w:r>
      <w:r>
        <w:t xml:space="preserve">  These revised forms will be available on USAC’s portal starting on January 1, 2017.   Establishing a new filing window period from February 1, 2017 to April 30, 2017 will thus give the SNFs an opportunity to participate in the RHC Program for funding year 2016 should they choose to do so.</w:t>
      </w:r>
      <w:r w:rsidRPr="0064731E">
        <w:rPr>
          <w:vertAlign w:val="superscript"/>
        </w:rPr>
        <w:footnoteReference w:id="24"/>
      </w:r>
      <w:r>
        <w:t xml:space="preserve">  Second, in addition to accommodating the SNFs, establishing a time period during which no funding request forms can be filed will help everyone involved in the RHC application process to adjust to this new approach of multiple filing window periods.  For those RHC Program participants who are accustomed to filing later in the funding year, an opportunity to organize their paperwork and meet the timeframe of the third filing window pe</w:t>
      </w:r>
      <w:r w:rsidR="00C51DE9">
        <w:t xml:space="preserve">riod will be helpful.  Finally, </w:t>
      </w:r>
      <w:r>
        <w:t xml:space="preserve">a time period when no funding request forms are accepted will also give USAC an opportunity to assess whether any changes need to be made to the system before opening the third filing window period to better serve the needs of RHC Program participants.         </w:t>
      </w:r>
    </w:p>
    <w:p w14:paraId="45055FE5" w14:textId="77777777" w:rsidR="00B05C3D" w:rsidRDefault="00B05C3D" w:rsidP="00B05C3D">
      <w:pPr>
        <w:widowControl/>
        <w:autoSpaceDE w:val="0"/>
        <w:autoSpaceDN w:val="0"/>
        <w:adjustRightInd w:val="0"/>
        <w:spacing w:after="120"/>
        <w:ind w:firstLine="720"/>
        <w:rPr>
          <w:b/>
          <w:u w:val="single"/>
        </w:rPr>
      </w:pPr>
      <w:r w:rsidRPr="00DC50D1">
        <w:rPr>
          <w:i/>
        </w:rPr>
        <w:t>Funding Year 201</w:t>
      </w:r>
      <w:r>
        <w:rPr>
          <w:i/>
        </w:rPr>
        <w:t>7</w:t>
      </w:r>
      <w:r w:rsidRPr="00DC50D1">
        <w:rPr>
          <w:i/>
        </w:rPr>
        <w:t xml:space="preserve"> </w:t>
      </w:r>
      <w:r>
        <w:rPr>
          <w:i/>
        </w:rPr>
        <w:t xml:space="preserve">and Beyond </w:t>
      </w:r>
      <w:r w:rsidRPr="00DC50D1">
        <w:rPr>
          <w:i/>
        </w:rPr>
        <w:t>Filing Window</w:t>
      </w:r>
      <w:r w:rsidRPr="00DA6654">
        <w:rPr>
          <w:i/>
        </w:rPr>
        <w:t xml:space="preserve"> Period </w:t>
      </w:r>
      <w:r w:rsidRPr="00DC50D1">
        <w:rPr>
          <w:i/>
        </w:rPr>
        <w:t xml:space="preserve">Schedule.  </w:t>
      </w:r>
      <w:r>
        <w:t>For funding year 2017 and beyond, we permit USAC to establish multiple filing window periods.</w:t>
      </w:r>
      <w:r>
        <w:rPr>
          <w:rStyle w:val="FootnoteReference"/>
        </w:rPr>
        <w:footnoteReference w:id="25"/>
      </w:r>
      <w:r>
        <w:t xml:space="preserve">  The first filing window period will open on February 1, 2017, and close on April 30, 2017 prior to the beginning of the funding year.  USAC will determine the timing, duration, and administrative requirements associated with all subsequent filing window periods for funding year 2017 and beyond.  </w:t>
      </w:r>
    </w:p>
    <w:tbl>
      <w:tblPr>
        <w:tblW w:w="7200" w:type="dxa"/>
        <w:tblInd w:w="1160" w:type="dxa"/>
        <w:tblCellMar>
          <w:left w:w="0" w:type="dxa"/>
          <w:right w:w="0" w:type="dxa"/>
        </w:tblCellMar>
        <w:tblLook w:val="04A0" w:firstRow="1" w:lastRow="0" w:firstColumn="1" w:lastColumn="0" w:noHBand="0" w:noVBand="1"/>
      </w:tblPr>
      <w:tblGrid>
        <w:gridCol w:w="2700"/>
        <w:gridCol w:w="2250"/>
        <w:gridCol w:w="2250"/>
      </w:tblGrid>
      <w:tr w:rsidR="00B05C3D" w:rsidRPr="00B7773D" w14:paraId="04A55DD1" w14:textId="77777777" w:rsidTr="00220B21">
        <w:trPr>
          <w:trHeight w:val="300"/>
        </w:trPr>
        <w:tc>
          <w:tcPr>
            <w:tcW w:w="7200"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A3CAC27" w14:textId="77777777" w:rsidR="00B05C3D" w:rsidRPr="00DA6654" w:rsidRDefault="00B05C3D" w:rsidP="00220B21">
            <w:pPr>
              <w:widowControl/>
              <w:jc w:val="center"/>
              <w:rPr>
                <w:rFonts w:eastAsia="Calibri"/>
                <w:b/>
                <w:snapToGrid/>
                <w:color w:val="000000"/>
                <w:kern w:val="0"/>
                <w:szCs w:val="22"/>
              </w:rPr>
            </w:pPr>
            <w:r w:rsidRPr="00624EAB">
              <w:rPr>
                <w:b/>
              </w:rPr>
              <w:t>Funding Year 2017 and Beyond Filing Window Period Schedule</w:t>
            </w:r>
          </w:p>
        </w:tc>
      </w:tr>
      <w:tr w:rsidR="00B05C3D" w:rsidRPr="00B7773D" w14:paraId="5A16B9F4" w14:textId="77777777" w:rsidTr="00220B21">
        <w:trPr>
          <w:trHeight w:val="300"/>
        </w:trPr>
        <w:tc>
          <w:tcPr>
            <w:tcW w:w="27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570CC1F6" w14:textId="77777777" w:rsidR="00B05C3D" w:rsidRPr="00B7773D" w:rsidRDefault="00B05C3D" w:rsidP="00220B21">
            <w:pPr>
              <w:widowControl/>
              <w:rPr>
                <w:rFonts w:eastAsia="Calibri"/>
                <w:b/>
                <w:snapToGrid/>
                <w:color w:val="000000"/>
                <w:kern w:val="0"/>
                <w:szCs w:val="22"/>
              </w:rPr>
            </w:pPr>
            <w:r w:rsidRPr="001C20B4">
              <w:rPr>
                <w:rFonts w:eastAsia="Calibri"/>
                <w:b/>
                <w:snapToGrid/>
                <w:color w:val="000000"/>
                <w:kern w:val="0"/>
                <w:szCs w:val="22"/>
              </w:rPr>
              <w:t xml:space="preserve">Filing </w:t>
            </w:r>
            <w:r w:rsidRPr="00B7773D">
              <w:rPr>
                <w:rFonts w:eastAsia="Calibri"/>
                <w:b/>
                <w:snapToGrid/>
                <w:color w:val="000000"/>
                <w:kern w:val="0"/>
                <w:szCs w:val="22"/>
              </w:rPr>
              <w:t>Window</w:t>
            </w:r>
            <w:r w:rsidRPr="001C20B4">
              <w:rPr>
                <w:rFonts w:eastAsia="Calibri"/>
                <w:b/>
                <w:snapToGrid/>
                <w:color w:val="000000"/>
                <w:kern w:val="0"/>
                <w:szCs w:val="22"/>
              </w:rPr>
              <w:t xml:space="preserve"> </w:t>
            </w:r>
            <w:r>
              <w:rPr>
                <w:rFonts w:eastAsia="Calibri"/>
                <w:b/>
                <w:snapToGrid/>
                <w:color w:val="000000"/>
                <w:kern w:val="0"/>
                <w:szCs w:val="22"/>
              </w:rPr>
              <w:t>Period</w:t>
            </w:r>
          </w:p>
        </w:tc>
        <w:tc>
          <w:tcPr>
            <w:tcW w:w="225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1F79EC8F" w14:textId="77777777" w:rsidR="00B05C3D" w:rsidRPr="00B7773D" w:rsidRDefault="00B05C3D" w:rsidP="00220B21">
            <w:pPr>
              <w:widowControl/>
              <w:rPr>
                <w:rFonts w:eastAsia="Calibri"/>
                <w:b/>
                <w:snapToGrid/>
                <w:color w:val="000000"/>
                <w:kern w:val="0"/>
                <w:szCs w:val="22"/>
              </w:rPr>
            </w:pPr>
            <w:r w:rsidRPr="001C20B4">
              <w:rPr>
                <w:rFonts w:eastAsia="Calibri"/>
                <w:b/>
                <w:snapToGrid/>
                <w:color w:val="000000"/>
                <w:kern w:val="0"/>
                <w:szCs w:val="22"/>
              </w:rPr>
              <w:t xml:space="preserve">Filing Window </w:t>
            </w:r>
            <w:r>
              <w:rPr>
                <w:rFonts w:eastAsia="Calibri"/>
                <w:b/>
                <w:snapToGrid/>
                <w:color w:val="000000"/>
                <w:kern w:val="0"/>
                <w:szCs w:val="22"/>
              </w:rPr>
              <w:t xml:space="preserve">Period </w:t>
            </w:r>
            <w:r w:rsidRPr="00B7773D">
              <w:rPr>
                <w:rFonts w:eastAsia="Calibri"/>
                <w:b/>
                <w:snapToGrid/>
                <w:color w:val="000000"/>
                <w:kern w:val="0"/>
                <w:szCs w:val="22"/>
              </w:rPr>
              <w:t>Open Date</w:t>
            </w:r>
          </w:p>
        </w:tc>
        <w:tc>
          <w:tcPr>
            <w:tcW w:w="225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2374FCE6" w14:textId="77777777" w:rsidR="00B05C3D" w:rsidRPr="00B7773D" w:rsidRDefault="00B05C3D" w:rsidP="00220B21">
            <w:pPr>
              <w:widowControl/>
              <w:rPr>
                <w:rFonts w:eastAsia="Calibri"/>
                <w:b/>
                <w:snapToGrid/>
                <w:color w:val="000000"/>
                <w:kern w:val="0"/>
                <w:szCs w:val="22"/>
              </w:rPr>
            </w:pPr>
            <w:r w:rsidRPr="001C20B4">
              <w:rPr>
                <w:rFonts w:eastAsia="Calibri"/>
                <w:b/>
                <w:snapToGrid/>
                <w:color w:val="000000"/>
                <w:kern w:val="0"/>
                <w:szCs w:val="22"/>
              </w:rPr>
              <w:t xml:space="preserve">Filing Window </w:t>
            </w:r>
            <w:r>
              <w:rPr>
                <w:rFonts w:eastAsia="Calibri"/>
                <w:b/>
                <w:snapToGrid/>
                <w:color w:val="000000"/>
                <w:kern w:val="0"/>
                <w:szCs w:val="22"/>
              </w:rPr>
              <w:t xml:space="preserve">Period </w:t>
            </w:r>
            <w:r w:rsidRPr="001C20B4">
              <w:rPr>
                <w:rFonts w:eastAsia="Calibri"/>
                <w:b/>
                <w:snapToGrid/>
                <w:color w:val="000000"/>
                <w:kern w:val="0"/>
                <w:szCs w:val="22"/>
              </w:rPr>
              <w:t>C</w:t>
            </w:r>
            <w:r w:rsidRPr="00B7773D">
              <w:rPr>
                <w:rFonts w:eastAsia="Calibri"/>
                <w:b/>
                <w:snapToGrid/>
                <w:color w:val="000000"/>
                <w:kern w:val="0"/>
                <w:szCs w:val="22"/>
              </w:rPr>
              <w:t>lose Date</w:t>
            </w:r>
          </w:p>
        </w:tc>
      </w:tr>
      <w:tr w:rsidR="00B05C3D" w:rsidRPr="00B7773D" w14:paraId="69D178C3" w14:textId="77777777" w:rsidTr="00220B21">
        <w:trPr>
          <w:trHeight w:val="300"/>
        </w:trPr>
        <w:tc>
          <w:tcPr>
            <w:tcW w:w="2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E89A89" w14:textId="77777777" w:rsidR="00B05C3D" w:rsidRPr="00B7773D" w:rsidRDefault="00B05C3D" w:rsidP="00220B21">
            <w:pPr>
              <w:widowControl/>
              <w:jc w:val="center"/>
              <w:rPr>
                <w:rFonts w:eastAsia="Calibri"/>
                <w:snapToGrid/>
                <w:color w:val="000000"/>
                <w:kern w:val="0"/>
                <w:szCs w:val="22"/>
              </w:rPr>
            </w:pPr>
            <w:r w:rsidRPr="00B7773D">
              <w:rPr>
                <w:rFonts w:eastAsia="Calibri"/>
                <w:snapToGrid/>
                <w:color w:val="000000"/>
                <w:kern w:val="0"/>
                <w:szCs w:val="22"/>
              </w:rPr>
              <w:t>1</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7D4BE4" w14:textId="77777777" w:rsidR="00B05C3D" w:rsidRPr="00B7773D" w:rsidRDefault="00B05C3D" w:rsidP="00220B21">
            <w:pPr>
              <w:widowControl/>
              <w:jc w:val="center"/>
              <w:rPr>
                <w:rFonts w:eastAsia="Calibri"/>
                <w:snapToGrid/>
                <w:color w:val="000000"/>
                <w:kern w:val="0"/>
                <w:szCs w:val="22"/>
              </w:rPr>
            </w:pPr>
            <w:r>
              <w:rPr>
                <w:rFonts w:eastAsia="Calibri"/>
                <w:snapToGrid/>
                <w:color w:val="000000"/>
                <w:kern w:val="0"/>
                <w:szCs w:val="22"/>
              </w:rPr>
              <w:t>2</w:t>
            </w:r>
            <w:r w:rsidRPr="00B7773D">
              <w:rPr>
                <w:rFonts w:eastAsia="Calibri"/>
                <w:snapToGrid/>
                <w:color w:val="000000"/>
                <w:kern w:val="0"/>
                <w:szCs w:val="22"/>
              </w:rPr>
              <w:t>/1</w:t>
            </w:r>
            <w:r>
              <w:rPr>
                <w:rFonts w:eastAsia="Calibri"/>
                <w:snapToGrid/>
                <w:color w:val="000000"/>
                <w:kern w:val="0"/>
                <w:szCs w:val="22"/>
              </w:rPr>
              <w:t>/2017</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D546AB" w14:textId="77777777" w:rsidR="00B05C3D" w:rsidRDefault="00B05C3D" w:rsidP="00220B21">
            <w:pPr>
              <w:widowControl/>
              <w:jc w:val="center"/>
              <w:rPr>
                <w:rFonts w:eastAsia="Calibri"/>
                <w:snapToGrid/>
                <w:color w:val="000000"/>
                <w:kern w:val="0"/>
                <w:szCs w:val="22"/>
              </w:rPr>
            </w:pPr>
          </w:p>
          <w:p w14:paraId="7804C39E" w14:textId="77777777" w:rsidR="00B05C3D" w:rsidRPr="00B7773D" w:rsidRDefault="00B05C3D" w:rsidP="00220B21">
            <w:pPr>
              <w:widowControl/>
              <w:jc w:val="center"/>
              <w:rPr>
                <w:rFonts w:eastAsia="Calibri"/>
                <w:snapToGrid/>
                <w:color w:val="000000"/>
                <w:kern w:val="0"/>
                <w:szCs w:val="22"/>
              </w:rPr>
            </w:pPr>
            <w:r>
              <w:rPr>
                <w:rFonts w:eastAsia="Calibri"/>
                <w:snapToGrid/>
                <w:color w:val="000000"/>
                <w:kern w:val="0"/>
                <w:szCs w:val="22"/>
              </w:rPr>
              <w:t>4/30/2017</w:t>
            </w:r>
          </w:p>
        </w:tc>
      </w:tr>
      <w:tr w:rsidR="00B05C3D" w14:paraId="7BAEE0EE" w14:textId="77777777" w:rsidTr="00220B21">
        <w:trPr>
          <w:trHeight w:val="300"/>
        </w:trPr>
        <w:tc>
          <w:tcPr>
            <w:tcW w:w="7200" w:type="dxa"/>
            <w:gridSpan w:val="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412AE21" w14:textId="77777777" w:rsidR="00B05C3D" w:rsidRDefault="00B05C3D" w:rsidP="00220B21">
            <w:pPr>
              <w:widowControl/>
              <w:jc w:val="center"/>
              <w:rPr>
                <w:rFonts w:eastAsia="Calibri"/>
                <w:snapToGrid/>
                <w:color w:val="000000"/>
                <w:kern w:val="0"/>
                <w:szCs w:val="22"/>
              </w:rPr>
            </w:pPr>
            <w:r>
              <w:rPr>
                <w:rFonts w:eastAsia="Calibri"/>
                <w:snapToGrid/>
                <w:color w:val="000000"/>
                <w:kern w:val="0"/>
                <w:szCs w:val="22"/>
              </w:rPr>
              <w:t>Subsequent filing window periods may be opened at USAC’s discretion</w:t>
            </w:r>
          </w:p>
        </w:tc>
      </w:tr>
    </w:tbl>
    <w:p w14:paraId="7EF80C75" w14:textId="1220D1CE" w:rsidR="00B05C3D" w:rsidRDefault="007C5347" w:rsidP="00B05C3D">
      <w:pPr>
        <w:widowControl/>
        <w:autoSpaceDE w:val="0"/>
        <w:autoSpaceDN w:val="0"/>
        <w:adjustRightInd w:val="0"/>
        <w:spacing w:before="120" w:after="120"/>
        <w:ind w:firstLine="720"/>
        <w:rPr>
          <w:szCs w:val="22"/>
          <w:u w:val="single"/>
        </w:rPr>
      </w:pPr>
      <w:r>
        <w:rPr>
          <w:szCs w:val="22"/>
        </w:rPr>
        <w:t xml:space="preserve">USAC shall provide notice about subsequent filing window periods for funding year 2017, based on its assessment of </w:t>
      </w:r>
      <w:r w:rsidR="00B05C3D" w:rsidRPr="00AE2E6F">
        <w:rPr>
          <w:szCs w:val="22"/>
        </w:rPr>
        <w:t xml:space="preserve">the total funding requested </w:t>
      </w:r>
      <w:r>
        <w:rPr>
          <w:szCs w:val="22"/>
        </w:rPr>
        <w:t xml:space="preserve">in a given filing window period and the amount of available funding still remaining. </w:t>
      </w:r>
    </w:p>
    <w:p w14:paraId="0D02EA67" w14:textId="3FE822B2" w:rsidR="00B05C3D" w:rsidRDefault="00B05C3D" w:rsidP="00B05C3D">
      <w:pPr>
        <w:widowControl/>
        <w:autoSpaceDE w:val="0"/>
        <w:autoSpaceDN w:val="0"/>
        <w:adjustRightInd w:val="0"/>
        <w:spacing w:after="120"/>
        <w:ind w:firstLine="720"/>
        <w:rPr>
          <w:color w:val="212121"/>
          <w:szCs w:val="22"/>
        </w:rPr>
      </w:pPr>
      <w:r w:rsidRPr="00624EAB">
        <w:rPr>
          <w:i/>
          <w:szCs w:val="22"/>
          <w:u w:val="single"/>
        </w:rPr>
        <w:t>Pro-Rat</w:t>
      </w:r>
      <w:r w:rsidR="00C700FD">
        <w:rPr>
          <w:i/>
          <w:szCs w:val="22"/>
          <w:u w:val="single"/>
        </w:rPr>
        <w:t>a</w:t>
      </w:r>
      <w:r w:rsidRPr="00624EAB">
        <w:rPr>
          <w:i/>
          <w:szCs w:val="22"/>
          <w:u w:val="single"/>
        </w:rPr>
        <w:t xml:space="preserve"> Process</w:t>
      </w:r>
      <w:r>
        <w:rPr>
          <w:i/>
          <w:szCs w:val="22"/>
        </w:rPr>
        <w:t xml:space="preserve">.  </w:t>
      </w:r>
      <w:r>
        <w:rPr>
          <w:szCs w:val="22"/>
        </w:rPr>
        <w:t xml:space="preserve">For each discrete filing window period, if </w:t>
      </w:r>
      <w:r w:rsidRPr="00616A7B">
        <w:rPr>
          <w:szCs w:val="22"/>
        </w:rPr>
        <w:t xml:space="preserve">the total </w:t>
      </w:r>
      <w:r>
        <w:rPr>
          <w:szCs w:val="22"/>
        </w:rPr>
        <w:t xml:space="preserve">demand </w:t>
      </w:r>
      <w:r w:rsidRPr="00616A7B">
        <w:rPr>
          <w:szCs w:val="22"/>
        </w:rPr>
        <w:t xml:space="preserve">exceeds the total </w:t>
      </w:r>
      <w:r>
        <w:rPr>
          <w:szCs w:val="22"/>
        </w:rPr>
        <w:t xml:space="preserve">remaining </w:t>
      </w:r>
      <w:r w:rsidRPr="00616A7B">
        <w:rPr>
          <w:szCs w:val="22"/>
        </w:rPr>
        <w:t>funding available for the funding year, USAC shall</w:t>
      </w:r>
      <w:r>
        <w:rPr>
          <w:szCs w:val="22"/>
        </w:rPr>
        <w:t>, in accordance with the Commission’s rules</w:t>
      </w:r>
      <w:r w:rsidRPr="00616A7B">
        <w:rPr>
          <w:szCs w:val="22"/>
        </w:rPr>
        <w:t xml:space="preserve">: (1) divide the total funds available </w:t>
      </w:r>
      <w:r>
        <w:rPr>
          <w:szCs w:val="22"/>
        </w:rPr>
        <w:t xml:space="preserve">for the funding year </w:t>
      </w:r>
      <w:r w:rsidRPr="00616A7B">
        <w:rPr>
          <w:szCs w:val="22"/>
        </w:rPr>
        <w:t xml:space="preserve">by the total amount of support </w:t>
      </w:r>
      <w:r>
        <w:rPr>
          <w:szCs w:val="22"/>
        </w:rPr>
        <w:t>requested</w:t>
      </w:r>
      <w:r>
        <w:rPr>
          <w:color w:val="212121"/>
          <w:szCs w:val="22"/>
        </w:rPr>
        <w:t xml:space="preserve"> during that </w:t>
      </w:r>
      <w:r>
        <w:rPr>
          <w:szCs w:val="22"/>
        </w:rPr>
        <w:t>filing window period</w:t>
      </w:r>
      <w:r w:rsidRPr="00D87974">
        <w:rPr>
          <w:color w:val="212121"/>
          <w:szCs w:val="22"/>
        </w:rPr>
        <w:t xml:space="preserve"> to produce a pro-rata factor; (2) multiply the pro-rata factor by the total amount of support requested by each applicant that has</w:t>
      </w:r>
      <w:r w:rsidRPr="00216F9F">
        <w:rPr>
          <w:color w:val="212121"/>
          <w:szCs w:val="22"/>
        </w:rPr>
        <w:t xml:space="preserve"> filed during the </w:t>
      </w:r>
      <w:r>
        <w:rPr>
          <w:color w:val="212121"/>
          <w:szCs w:val="22"/>
        </w:rPr>
        <w:t xml:space="preserve">specific filing window period; (3) and </w:t>
      </w:r>
      <w:r w:rsidRPr="00216F9F">
        <w:rPr>
          <w:color w:val="212121"/>
          <w:szCs w:val="22"/>
        </w:rPr>
        <w:t xml:space="preserve">commit funds to each </w:t>
      </w:r>
      <w:r>
        <w:rPr>
          <w:color w:val="212121"/>
          <w:szCs w:val="22"/>
        </w:rPr>
        <w:t xml:space="preserve">eligible </w:t>
      </w:r>
      <w:r w:rsidRPr="00216F9F">
        <w:rPr>
          <w:color w:val="212121"/>
          <w:szCs w:val="22"/>
        </w:rPr>
        <w:t xml:space="preserve">applicant </w:t>
      </w:r>
      <w:r>
        <w:rPr>
          <w:color w:val="212121"/>
          <w:szCs w:val="22"/>
        </w:rPr>
        <w:t xml:space="preserve">that has filed during the specific filing window period </w:t>
      </w:r>
      <w:r w:rsidRPr="00216F9F">
        <w:rPr>
          <w:color w:val="212121"/>
          <w:szCs w:val="22"/>
        </w:rPr>
        <w:t>consistent with this calculation.</w:t>
      </w:r>
      <w:r>
        <w:rPr>
          <w:rStyle w:val="FootnoteReference"/>
          <w:szCs w:val="22"/>
        </w:rPr>
        <w:footnoteReference w:id="26"/>
      </w:r>
      <w:r w:rsidRPr="00216F9F">
        <w:rPr>
          <w:color w:val="212121"/>
          <w:szCs w:val="22"/>
        </w:rPr>
        <w:t xml:space="preserve"> For example, if at the close of </w:t>
      </w:r>
      <w:r>
        <w:rPr>
          <w:color w:val="212121"/>
          <w:szCs w:val="22"/>
        </w:rPr>
        <w:t xml:space="preserve">a </w:t>
      </w:r>
      <w:r w:rsidRPr="00216F9F">
        <w:rPr>
          <w:color w:val="212121"/>
          <w:szCs w:val="22"/>
        </w:rPr>
        <w:t xml:space="preserve">filing window </w:t>
      </w:r>
      <w:r>
        <w:rPr>
          <w:color w:val="212121"/>
          <w:szCs w:val="22"/>
        </w:rPr>
        <w:t xml:space="preserve">period </w:t>
      </w:r>
      <w:r w:rsidRPr="00216F9F">
        <w:rPr>
          <w:color w:val="212121"/>
          <w:szCs w:val="22"/>
        </w:rPr>
        <w:t>$125 million has been requested</w:t>
      </w:r>
      <w:r>
        <w:rPr>
          <w:color w:val="212121"/>
          <w:szCs w:val="22"/>
        </w:rPr>
        <w:t xml:space="preserve"> and there is $100 million remaining in RHC Program support, USAC will </w:t>
      </w:r>
      <w:r w:rsidRPr="00216F9F">
        <w:rPr>
          <w:color w:val="212121"/>
          <w:szCs w:val="22"/>
        </w:rPr>
        <w:t>calculate the pro-rata factor by dividing $100 million by $125 million to produce a factor of four-fifths (.8).</w:t>
      </w:r>
      <w:r>
        <w:rPr>
          <w:rStyle w:val="FootnoteReference"/>
          <w:szCs w:val="22"/>
        </w:rPr>
        <w:footnoteReference w:id="27"/>
      </w:r>
      <w:r w:rsidRPr="00216F9F">
        <w:rPr>
          <w:color w:val="212121"/>
          <w:szCs w:val="22"/>
        </w:rPr>
        <w:t xml:space="preserve"> </w:t>
      </w:r>
      <w:r>
        <w:rPr>
          <w:color w:val="212121"/>
          <w:szCs w:val="22"/>
        </w:rPr>
        <w:t xml:space="preserve">USAC </w:t>
      </w:r>
      <w:r w:rsidRPr="00216F9F">
        <w:rPr>
          <w:color w:val="212121"/>
          <w:szCs w:val="22"/>
        </w:rPr>
        <w:t>w</w:t>
      </w:r>
      <w:r>
        <w:rPr>
          <w:color w:val="212121"/>
          <w:szCs w:val="22"/>
        </w:rPr>
        <w:t xml:space="preserve">ill </w:t>
      </w:r>
      <w:r w:rsidRPr="00216F9F">
        <w:rPr>
          <w:color w:val="212121"/>
          <w:szCs w:val="22"/>
        </w:rPr>
        <w:t xml:space="preserve">then multiply the total dollar amount requested by each applicant </w:t>
      </w:r>
      <w:r>
        <w:rPr>
          <w:color w:val="212121"/>
          <w:szCs w:val="22"/>
        </w:rPr>
        <w:t xml:space="preserve">that filed during the specific filing window period by .8 and </w:t>
      </w:r>
      <w:r w:rsidRPr="00216F9F">
        <w:rPr>
          <w:color w:val="212121"/>
          <w:szCs w:val="22"/>
        </w:rPr>
        <w:t>commit such reduced dollar amount to each applicant.</w:t>
      </w:r>
      <w:r>
        <w:rPr>
          <w:rStyle w:val="FootnoteReference"/>
          <w:szCs w:val="22"/>
        </w:rPr>
        <w:footnoteReference w:id="28"/>
      </w:r>
    </w:p>
    <w:p w14:paraId="43E73BAC" w14:textId="77777777" w:rsidR="00B05C3D" w:rsidRDefault="00B05C3D" w:rsidP="00B05C3D">
      <w:pPr>
        <w:pStyle w:val="Paranum"/>
        <w:widowControl/>
        <w:numPr>
          <w:ilvl w:val="0"/>
          <w:numId w:val="0"/>
        </w:numPr>
        <w:spacing w:after="120"/>
        <w:ind w:firstLine="720"/>
        <w:jc w:val="left"/>
        <w:rPr>
          <w:szCs w:val="22"/>
        </w:rPr>
      </w:pPr>
      <w:r>
        <w:rPr>
          <w:szCs w:val="22"/>
        </w:rPr>
        <w:t xml:space="preserve">Given our determination to apply the </w:t>
      </w:r>
      <w:r w:rsidRPr="00A90454">
        <w:rPr>
          <w:szCs w:val="22"/>
        </w:rPr>
        <w:t>filing window period</w:t>
      </w:r>
      <w:r>
        <w:rPr>
          <w:szCs w:val="22"/>
        </w:rPr>
        <w:t xml:space="preserve"> schedule described above going forward, we emphasize the importance of ensuring that all RHC Program forms are complete at the time of submission and that applicants not delay their submissions.  We ask that applicants pay particular attention to their funding request forms (i.e., FCC Forms 462 and 466) and ensure these are submitted with </w:t>
      </w:r>
      <w:r w:rsidRPr="003F3EA5">
        <w:rPr>
          <w:i/>
          <w:szCs w:val="22"/>
        </w:rPr>
        <w:t xml:space="preserve">all </w:t>
      </w:r>
      <w:r>
        <w:rPr>
          <w:szCs w:val="22"/>
        </w:rPr>
        <w:t>supporting documentation, during a filing window period</w:t>
      </w:r>
      <w:r w:rsidRPr="00281B81">
        <w:rPr>
          <w:szCs w:val="22"/>
        </w:rPr>
        <w:t>.</w:t>
      </w:r>
      <w:r>
        <w:rPr>
          <w:rStyle w:val="FootnoteReference"/>
          <w:szCs w:val="22"/>
        </w:rPr>
        <w:footnoteReference w:id="29"/>
      </w:r>
    </w:p>
    <w:p w14:paraId="18E90F8D" w14:textId="0777918C" w:rsidR="00B05C3D" w:rsidRDefault="00B05C3D" w:rsidP="00B05C3D">
      <w:pPr>
        <w:pStyle w:val="Paranum"/>
        <w:widowControl/>
        <w:numPr>
          <w:ilvl w:val="0"/>
          <w:numId w:val="0"/>
        </w:numPr>
        <w:spacing w:after="0"/>
        <w:ind w:firstLine="720"/>
        <w:jc w:val="left"/>
      </w:pPr>
      <w:r>
        <w:t>For additional information, contact Radhika Karmarkar (</w:t>
      </w:r>
      <w:hyperlink r:id="rId8" w:history="1">
        <w:r w:rsidRPr="007B58ED">
          <w:rPr>
            <w:rStyle w:val="Hyperlink"/>
          </w:rPr>
          <w:t>Radhika.Karmarkar@fcc.gov</w:t>
        </w:r>
      </w:hyperlink>
      <w:r>
        <w:t>) of the Wireline Competition Bureau, Telecommunications Access Policy Division, at (202) 418-7400.</w:t>
      </w:r>
    </w:p>
    <w:p w14:paraId="40065470" w14:textId="77777777" w:rsidR="00B05C3D" w:rsidRDefault="00B05C3D" w:rsidP="00B05C3D">
      <w:pPr>
        <w:jc w:val="center"/>
        <w:rPr>
          <w:b/>
          <w:szCs w:val="24"/>
        </w:rPr>
      </w:pPr>
    </w:p>
    <w:p w14:paraId="4DE219B7" w14:textId="77777777" w:rsidR="00B05C3D" w:rsidRDefault="00B05C3D" w:rsidP="00B05C3D">
      <w:pPr>
        <w:jc w:val="center"/>
        <w:rPr>
          <w:b/>
          <w:sz w:val="24"/>
        </w:rPr>
      </w:pPr>
      <w:r>
        <w:rPr>
          <w:b/>
          <w:szCs w:val="24"/>
        </w:rPr>
        <w:t>– FCC –</w:t>
      </w:r>
    </w:p>
    <w:p w14:paraId="760150D4" w14:textId="77777777" w:rsidR="00B05C3D" w:rsidRDefault="00B05C3D" w:rsidP="00B05C3D">
      <w:pPr>
        <w:jc w:val="center"/>
        <w:rPr>
          <w:sz w:val="24"/>
        </w:rPr>
      </w:pPr>
    </w:p>
    <w:p w14:paraId="2B86BC91" w14:textId="77777777" w:rsidR="00B05C3D" w:rsidRDefault="00B05C3D" w:rsidP="00D47505">
      <w:pPr>
        <w:jc w:val="center"/>
        <w:rPr>
          <w:b/>
          <w:sz w:val="24"/>
        </w:rPr>
      </w:pPr>
    </w:p>
    <w:p w14:paraId="6AFCE1B6" w14:textId="77777777" w:rsidR="00D47505" w:rsidRDefault="00D47505" w:rsidP="00D47505">
      <w:pPr>
        <w:jc w:val="center"/>
        <w:rPr>
          <w:sz w:val="24"/>
        </w:rPr>
      </w:pPr>
    </w:p>
    <w:p w14:paraId="026BF78F"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C2C38" w14:textId="77777777" w:rsidR="0063720F" w:rsidRDefault="0063720F">
      <w:pPr>
        <w:spacing w:line="20" w:lineRule="exact"/>
      </w:pPr>
    </w:p>
  </w:endnote>
  <w:endnote w:type="continuationSeparator" w:id="0">
    <w:p w14:paraId="32EA8C3C" w14:textId="77777777" w:rsidR="0063720F" w:rsidRDefault="0063720F">
      <w:r>
        <w:t xml:space="preserve"> </w:t>
      </w:r>
    </w:p>
  </w:endnote>
  <w:endnote w:type="continuationNotice" w:id="1">
    <w:p w14:paraId="4485A84A" w14:textId="77777777" w:rsidR="0063720F" w:rsidRDefault="0063720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3467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7827AA0" w14:textId="77777777" w:rsidR="00D25FB5" w:rsidRDefault="00D25FB5">
    <w:pPr>
      <w:pStyle w:val="Footer"/>
    </w:pPr>
  </w:p>
  <w:p w14:paraId="53A72597"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1A55A"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B642B5">
      <w:rPr>
        <w:noProof/>
      </w:rPr>
      <w:t>2</w:t>
    </w:r>
    <w:r>
      <w:fldChar w:fldCharType="end"/>
    </w:r>
  </w:p>
  <w:p w14:paraId="5C316069"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F9AB"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91B80" w14:textId="77777777" w:rsidR="0063720F" w:rsidRDefault="0063720F">
      <w:r>
        <w:separator/>
      </w:r>
    </w:p>
  </w:footnote>
  <w:footnote w:type="continuationSeparator" w:id="0">
    <w:p w14:paraId="4731B423" w14:textId="77777777" w:rsidR="0063720F" w:rsidRDefault="0063720F" w:rsidP="00C721AC">
      <w:pPr>
        <w:spacing w:before="120"/>
        <w:rPr>
          <w:sz w:val="20"/>
        </w:rPr>
      </w:pPr>
      <w:r>
        <w:rPr>
          <w:sz w:val="20"/>
        </w:rPr>
        <w:t xml:space="preserve">(Continued from previous page)  </w:t>
      </w:r>
      <w:r>
        <w:rPr>
          <w:sz w:val="20"/>
        </w:rPr>
        <w:separator/>
      </w:r>
    </w:p>
  </w:footnote>
  <w:footnote w:type="continuationNotice" w:id="1">
    <w:p w14:paraId="052C19E2" w14:textId="77777777" w:rsidR="0063720F" w:rsidRDefault="0063720F" w:rsidP="00C721AC">
      <w:pPr>
        <w:jc w:val="right"/>
        <w:rPr>
          <w:sz w:val="20"/>
        </w:rPr>
      </w:pPr>
      <w:r>
        <w:rPr>
          <w:sz w:val="20"/>
        </w:rPr>
        <w:t>(continued….)</w:t>
      </w:r>
    </w:p>
  </w:footnote>
  <w:footnote w:id="2">
    <w:p w14:paraId="50209C3C" w14:textId="77777777" w:rsidR="000C5A73" w:rsidRDefault="000C5A73" w:rsidP="000C5A73">
      <w:pPr>
        <w:pStyle w:val="FootnoteText"/>
      </w:pPr>
      <w:r>
        <w:rPr>
          <w:rStyle w:val="FootnoteReference"/>
        </w:rPr>
        <w:footnoteRef/>
      </w:r>
      <w:r>
        <w:t xml:space="preserve"> The RHC Program currently includes the Telecommunications Program, which </w:t>
      </w:r>
      <w:r w:rsidRPr="007720F6">
        <w:t xml:space="preserve">provides </w:t>
      </w:r>
      <w:r>
        <w:t xml:space="preserve">support for </w:t>
      </w:r>
      <w:r w:rsidRPr="007720F6">
        <w:t>tel</w:t>
      </w:r>
      <w:r>
        <w:t>ecommunications services,</w:t>
      </w:r>
      <w:r w:rsidRPr="007720F6">
        <w:t xml:space="preserve"> </w:t>
      </w:r>
      <w:r>
        <w:t>and the Healthcare Connect Fund (HCF) Program, which provides</w:t>
      </w:r>
      <w:r w:rsidRPr="007720F6">
        <w:t xml:space="preserve"> </w:t>
      </w:r>
      <w:r>
        <w:t>support for broadband connectivity</w:t>
      </w:r>
      <w:r w:rsidRPr="0090592E">
        <w:t>.</w:t>
      </w:r>
    </w:p>
  </w:footnote>
  <w:footnote w:id="3">
    <w:p w14:paraId="0EE1EB9E" w14:textId="77777777" w:rsidR="00B05C3D" w:rsidRDefault="00B05C3D" w:rsidP="00B05C3D">
      <w:pPr>
        <w:pStyle w:val="FootnoteText"/>
      </w:pPr>
      <w:r>
        <w:rPr>
          <w:rStyle w:val="FootnoteReference"/>
        </w:rPr>
        <w:footnoteRef/>
      </w:r>
      <w:r>
        <w:t xml:space="preserve"> </w:t>
      </w:r>
      <w:r>
        <w:rPr>
          <w:i/>
        </w:rPr>
        <w:t>See</w:t>
      </w:r>
      <w:r>
        <w:t xml:space="preserve"> </w:t>
      </w:r>
      <w:r w:rsidRPr="00383A29">
        <w:t>47 CFR § 54.675</w:t>
      </w:r>
      <w:r>
        <w:t>(f).</w:t>
      </w:r>
    </w:p>
  </w:footnote>
  <w:footnote w:id="4">
    <w:p w14:paraId="2CB983B8" w14:textId="77777777" w:rsidR="00B05C3D" w:rsidRDefault="00B05C3D" w:rsidP="00B05C3D">
      <w:pPr>
        <w:pStyle w:val="FootnoteText"/>
      </w:pPr>
      <w:r>
        <w:rPr>
          <w:rStyle w:val="FootnoteReference"/>
        </w:rPr>
        <w:footnoteRef/>
      </w:r>
      <w:r>
        <w:t xml:space="preserve"> Telecommunications Act of 1996, Pub. L. No. 104-104, 110 Stat. 56 (1996).  The 1996 Act amended the Communications Act of 1934 (Communications Act or Act). </w:t>
      </w:r>
    </w:p>
  </w:footnote>
  <w:footnote w:id="5">
    <w:p w14:paraId="63FF05C7" w14:textId="77777777" w:rsidR="00B05C3D" w:rsidRPr="00E25307" w:rsidRDefault="00B05C3D" w:rsidP="00B05C3D">
      <w:pPr>
        <w:pStyle w:val="FootnoteText"/>
      </w:pPr>
      <w:r>
        <w:rPr>
          <w:rStyle w:val="FootnoteReference"/>
        </w:rPr>
        <w:footnoteRef/>
      </w:r>
      <w:r>
        <w:t xml:space="preserve"> S. </w:t>
      </w:r>
      <w:r w:rsidRPr="00E25307">
        <w:t xml:space="preserve">Conf. Rep. No. 104-230 at 133 (1996); </w:t>
      </w:r>
      <w:r w:rsidRPr="00E25307">
        <w:rPr>
          <w:i/>
        </w:rPr>
        <w:t>see also</w:t>
      </w:r>
      <w:r w:rsidRPr="00E25307">
        <w:t xml:space="preserve"> 47 U.S.C. § 254(b)(3), (h)(1)(A). </w:t>
      </w:r>
    </w:p>
  </w:footnote>
  <w:footnote w:id="6">
    <w:p w14:paraId="498D9EA0" w14:textId="77777777" w:rsidR="00B05C3D" w:rsidRPr="00E25307" w:rsidRDefault="00B05C3D" w:rsidP="00B05C3D">
      <w:pPr>
        <w:pStyle w:val="FootnoteText"/>
      </w:pPr>
      <w:r w:rsidRPr="00E25307">
        <w:rPr>
          <w:rStyle w:val="FootnoteReference"/>
        </w:rPr>
        <w:footnoteRef/>
      </w:r>
      <w:r w:rsidRPr="00E25307">
        <w:t xml:space="preserve"> </w:t>
      </w:r>
      <w:r w:rsidRPr="00E25307">
        <w:rPr>
          <w:i/>
        </w:rPr>
        <w:t xml:space="preserve">See </w:t>
      </w:r>
      <w:r w:rsidRPr="00E25307">
        <w:rPr>
          <w:i/>
          <w:iCs/>
        </w:rPr>
        <w:t>Federal-State Joint Board on Universal Service</w:t>
      </w:r>
      <w:r w:rsidRPr="00E25307">
        <w:rPr>
          <w:rFonts w:eastAsia="TimesNewRoman"/>
        </w:rPr>
        <w:t>, CC Docket No. 96-45, Report and Order, 12 FCC Rcd 8776 (1997) (</w:t>
      </w:r>
      <w:r w:rsidRPr="00E25307">
        <w:rPr>
          <w:i/>
          <w:iCs/>
        </w:rPr>
        <w:t>Universal Service First Report and Order</w:t>
      </w:r>
      <w:r w:rsidRPr="00E25307">
        <w:rPr>
          <w:rFonts w:eastAsia="TimesNewRoman"/>
        </w:rPr>
        <w:t>) (subsequent history omitted).</w:t>
      </w:r>
    </w:p>
  </w:footnote>
  <w:footnote w:id="7">
    <w:p w14:paraId="590B3937" w14:textId="77777777" w:rsidR="00980454" w:rsidRDefault="00980454" w:rsidP="00980454">
      <w:pPr>
        <w:pStyle w:val="FootnoteText"/>
      </w:pPr>
      <w:r>
        <w:rPr>
          <w:rStyle w:val="FootnoteReference"/>
        </w:rPr>
        <w:footnoteRef/>
      </w:r>
      <w:r>
        <w:t xml:space="preserve"> </w:t>
      </w:r>
      <w:r w:rsidRPr="008C60AA">
        <w:rPr>
          <w:i/>
        </w:rPr>
        <w:t xml:space="preserve">See </w:t>
      </w:r>
      <w:r w:rsidRPr="004A31EA">
        <w:rPr>
          <w:i/>
        </w:rPr>
        <w:t>Federal-State Joint Board on Universal Service</w:t>
      </w:r>
      <w:r w:rsidRPr="004A31EA">
        <w:t>,</w:t>
      </w:r>
      <w:r w:rsidRPr="004A31EA">
        <w:rPr>
          <w:i/>
        </w:rPr>
        <w:t xml:space="preserve"> </w:t>
      </w:r>
      <w:r w:rsidRPr="004A31EA">
        <w:t>CC Docket No. 96-45, Third Report and Order, 12 FCC</w:t>
      </w:r>
      <w:r>
        <w:t xml:space="preserve"> Rcd 22485 </w:t>
      </w:r>
      <w:r w:rsidRPr="004D6030">
        <w:t>(199</w:t>
      </w:r>
      <w:r>
        <w:t>7) (</w:t>
      </w:r>
      <w:r w:rsidRPr="008C60AA">
        <w:rPr>
          <w:i/>
        </w:rPr>
        <w:t>Third Report and Order</w:t>
      </w:r>
      <w:r>
        <w:t>).</w:t>
      </w:r>
    </w:p>
  </w:footnote>
  <w:footnote w:id="8">
    <w:p w14:paraId="1E9ECBB3" w14:textId="77777777" w:rsidR="00B05C3D" w:rsidRPr="00E25307" w:rsidRDefault="00B05C3D" w:rsidP="00B05C3D">
      <w:pPr>
        <w:pStyle w:val="Default"/>
        <w:spacing w:after="120"/>
        <w:rPr>
          <w:rFonts w:ascii="Times New Roman" w:hAnsi="Times New Roman" w:cs="Times New Roman"/>
          <w:sz w:val="20"/>
          <w:szCs w:val="20"/>
        </w:rPr>
      </w:pPr>
      <w:r w:rsidRPr="00E25307">
        <w:rPr>
          <w:rStyle w:val="FootnoteReference"/>
          <w:rFonts w:cs="Times New Roman"/>
          <w:szCs w:val="20"/>
        </w:rPr>
        <w:footnoteRef/>
      </w:r>
      <w:r w:rsidRPr="00E25307">
        <w:rPr>
          <w:rFonts w:ascii="Times New Roman" w:hAnsi="Times New Roman" w:cs="Times New Roman"/>
          <w:sz w:val="20"/>
          <w:szCs w:val="20"/>
        </w:rPr>
        <w:t xml:space="preserve"> </w:t>
      </w:r>
      <w:r w:rsidRPr="00E25307">
        <w:rPr>
          <w:rFonts w:ascii="Times New Roman" w:hAnsi="Times New Roman" w:cs="Times New Roman"/>
          <w:i/>
          <w:sz w:val="20"/>
          <w:szCs w:val="20"/>
        </w:rPr>
        <w:t>See, e.g</w:t>
      </w:r>
      <w:r w:rsidRPr="00E25307">
        <w:rPr>
          <w:rFonts w:ascii="Times New Roman" w:hAnsi="Times New Roman" w:cs="Times New Roman"/>
          <w:sz w:val="20"/>
          <w:szCs w:val="20"/>
        </w:rPr>
        <w:t xml:space="preserve">., </w:t>
      </w:r>
      <w:r w:rsidRPr="00E25307">
        <w:rPr>
          <w:rFonts w:ascii="Times New Roman" w:hAnsi="Times New Roman" w:cs="Times New Roman"/>
          <w:i/>
          <w:sz w:val="20"/>
          <w:szCs w:val="20"/>
        </w:rPr>
        <w:t>Rural Health Care Support Mechanism</w:t>
      </w:r>
      <w:r w:rsidRPr="00E25307">
        <w:rPr>
          <w:rFonts w:ascii="Times New Roman" w:hAnsi="Times New Roman" w:cs="Times New Roman"/>
          <w:sz w:val="20"/>
          <w:szCs w:val="20"/>
        </w:rPr>
        <w:t xml:space="preserve">, WC Docket No. 02-60, Second Report and Order, Order on Reconsideration, and Further Notice of Proposed Rulemaking, </w:t>
      </w:r>
      <w:r>
        <w:rPr>
          <w:rFonts w:ascii="Times New Roman" w:hAnsi="Times New Roman" w:cs="Times New Roman"/>
          <w:sz w:val="20"/>
          <w:szCs w:val="20"/>
        </w:rPr>
        <w:t>19 FCC Rcd 24580 (2004)</w:t>
      </w:r>
      <w:r w:rsidRPr="00E25307">
        <w:rPr>
          <w:rFonts w:ascii="Times New Roman" w:hAnsi="Times New Roman" w:cs="Times New Roman"/>
          <w:sz w:val="20"/>
          <w:szCs w:val="20"/>
        </w:rPr>
        <w:t xml:space="preserve">; </w:t>
      </w:r>
      <w:r w:rsidRPr="00E25307">
        <w:rPr>
          <w:rFonts w:ascii="Times New Roman" w:hAnsi="Times New Roman" w:cs="Times New Roman"/>
          <w:i/>
          <w:sz w:val="20"/>
          <w:szCs w:val="20"/>
        </w:rPr>
        <w:t>Rural Health Care Support Mechanism</w:t>
      </w:r>
      <w:r w:rsidRPr="00E25307">
        <w:rPr>
          <w:rFonts w:ascii="Times New Roman" w:hAnsi="Times New Roman" w:cs="Times New Roman"/>
          <w:sz w:val="20"/>
          <w:szCs w:val="20"/>
        </w:rPr>
        <w:t xml:space="preserve">, WC Docket No. 02-60, </w:t>
      </w:r>
      <w:r w:rsidRPr="00E25307">
        <w:rPr>
          <w:rFonts w:ascii="Times New Roman" w:hAnsi="Times New Roman" w:cs="Times New Roman"/>
          <w:bCs/>
          <w:sz w:val="20"/>
          <w:szCs w:val="20"/>
        </w:rPr>
        <w:t>Order</w:t>
      </w:r>
      <w:r>
        <w:rPr>
          <w:rFonts w:ascii="Times New Roman" w:hAnsi="Times New Roman" w:cs="Times New Roman"/>
          <w:bCs/>
          <w:sz w:val="20"/>
          <w:szCs w:val="20"/>
        </w:rPr>
        <w:t xml:space="preserve">, </w:t>
      </w:r>
      <w:r w:rsidRPr="00E25307">
        <w:rPr>
          <w:rFonts w:ascii="Times New Roman" w:hAnsi="Times New Roman" w:cs="Times New Roman"/>
          <w:sz w:val="20"/>
          <w:szCs w:val="20"/>
        </w:rPr>
        <w:t>21 FCC Rcd 111</w:t>
      </w:r>
      <w:r>
        <w:rPr>
          <w:rFonts w:ascii="Times New Roman" w:hAnsi="Times New Roman" w:cs="Times New Roman"/>
          <w:sz w:val="20"/>
          <w:szCs w:val="20"/>
        </w:rPr>
        <w:t>11 (2006)</w:t>
      </w:r>
      <w:r w:rsidRPr="00E25307">
        <w:rPr>
          <w:rFonts w:ascii="Times New Roman" w:hAnsi="Times New Roman" w:cs="Times New Roman"/>
          <w:sz w:val="20"/>
          <w:szCs w:val="20"/>
        </w:rPr>
        <w:t>;</w:t>
      </w:r>
      <w:r>
        <w:rPr>
          <w:rFonts w:ascii="Times New Roman" w:hAnsi="Times New Roman" w:cs="Times New Roman"/>
          <w:sz w:val="20"/>
          <w:szCs w:val="20"/>
        </w:rPr>
        <w:t xml:space="preserve"> </w:t>
      </w:r>
      <w:r w:rsidRPr="00E25307">
        <w:rPr>
          <w:rFonts w:ascii="Times New Roman" w:hAnsi="Times New Roman" w:cs="Times New Roman"/>
          <w:i/>
          <w:sz w:val="20"/>
          <w:szCs w:val="20"/>
        </w:rPr>
        <w:t>Rural Health Care Support Mechanism</w:t>
      </w:r>
      <w:r w:rsidRPr="00E25307">
        <w:rPr>
          <w:rFonts w:ascii="Times New Roman" w:hAnsi="Times New Roman" w:cs="Times New Roman"/>
          <w:sz w:val="20"/>
          <w:szCs w:val="20"/>
        </w:rPr>
        <w:t xml:space="preserve">, WC Docket No. 02-60, Report and Order, 27 FCC Rcd </w:t>
      </w:r>
      <w:r>
        <w:rPr>
          <w:rFonts w:ascii="Times New Roman" w:hAnsi="Times New Roman" w:cs="Times New Roman"/>
          <w:sz w:val="20"/>
          <w:szCs w:val="20"/>
        </w:rPr>
        <w:t xml:space="preserve">16678 </w:t>
      </w:r>
      <w:r w:rsidRPr="00E25307">
        <w:rPr>
          <w:rFonts w:ascii="Times New Roman" w:hAnsi="Times New Roman" w:cs="Times New Roman"/>
          <w:sz w:val="20"/>
          <w:szCs w:val="20"/>
        </w:rPr>
        <w:t>(2012) (</w:t>
      </w:r>
      <w:r w:rsidRPr="00E25307">
        <w:rPr>
          <w:rFonts w:ascii="Times New Roman" w:hAnsi="Times New Roman" w:cs="Times New Roman"/>
          <w:i/>
          <w:sz w:val="20"/>
          <w:szCs w:val="20"/>
        </w:rPr>
        <w:t>Healthcare Connect Fund Order</w:t>
      </w:r>
      <w:r w:rsidRPr="00E25307">
        <w:rPr>
          <w:rFonts w:ascii="Times New Roman" w:hAnsi="Times New Roman" w:cs="Times New Roman"/>
          <w:sz w:val="20"/>
          <w:szCs w:val="20"/>
        </w:rPr>
        <w:t>).</w:t>
      </w:r>
    </w:p>
  </w:footnote>
  <w:footnote w:id="9">
    <w:p w14:paraId="4CF947E6" w14:textId="46DC290F" w:rsidR="00B05C3D" w:rsidRDefault="00B05C3D" w:rsidP="00B05C3D">
      <w:pPr>
        <w:pStyle w:val="FootnoteText"/>
      </w:pPr>
      <w:r w:rsidRPr="00E25307">
        <w:rPr>
          <w:rStyle w:val="FootnoteReference"/>
        </w:rPr>
        <w:footnoteRef/>
      </w:r>
      <w:r w:rsidRPr="00E25307">
        <w:t xml:space="preserve"> </w:t>
      </w:r>
      <w:r w:rsidRPr="00E25307">
        <w:rPr>
          <w:rFonts w:eastAsia="TimesNewRoman"/>
        </w:rPr>
        <w:t xml:space="preserve">47 </w:t>
      </w:r>
      <w:r w:rsidRPr="00E25307">
        <w:t xml:space="preserve">CFR § 54.675(a).  The $400 </w:t>
      </w:r>
      <w:r w:rsidRPr="00E25307">
        <w:rPr>
          <w:bCs/>
        </w:rPr>
        <w:t>million</w:t>
      </w:r>
      <w:r w:rsidRPr="00E25307">
        <w:t xml:space="preserve"> annual cap applies to funding commitments. </w:t>
      </w:r>
      <w:r w:rsidRPr="00E25307">
        <w:rPr>
          <w:i/>
          <w:iCs/>
        </w:rPr>
        <w:t>See Universal Service First Report and Order</w:t>
      </w:r>
      <w:r w:rsidRPr="00E25307">
        <w:rPr>
          <w:iCs/>
        </w:rPr>
        <w:t xml:space="preserve"> at</w:t>
      </w:r>
      <w:hyperlink r:id="rId1" w:anchor="co_pp_sp_4493_9143" w:history="1">
        <w:r w:rsidRPr="00E25307">
          <w:t xml:space="preserve"> 9143-44,</w:t>
        </w:r>
      </w:hyperlink>
      <w:r w:rsidRPr="00E25307">
        <w:t xml:space="preserve"> paras. 710-713.</w:t>
      </w:r>
    </w:p>
  </w:footnote>
  <w:footnote w:id="10">
    <w:p w14:paraId="12483366" w14:textId="77777777" w:rsidR="00B05C3D" w:rsidRPr="0042352F" w:rsidRDefault="00B05C3D" w:rsidP="00B05C3D">
      <w:pPr>
        <w:widowControl/>
        <w:autoSpaceDE w:val="0"/>
        <w:autoSpaceDN w:val="0"/>
        <w:adjustRightInd w:val="0"/>
        <w:spacing w:after="120"/>
        <w:rPr>
          <w:snapToGrid/>
          <w:kern w:val="0"/>
          <w:sz w:val="20"/>
        </w:rPr>
      </w:pPr>
      <w:r w:rsidRPr="0042352F">
        <w:rPr>
          <w:rStyle w:val="FootnoteReference"/>
        </w:rPr>
        <w:footnoteRef/>
      </w:r>
      <w:r w:rsidRPr="0042352F">
        <w:rPr>
          <w:sz w:val="20"/>
        </w:rPr>
        <w:t xml:space="preserve"> </w:t>
      </w:r>
      <w:r w:rsidRPr="0042352F">
        <w:rPr>
          <w:i/>
          <w:sz w:val="20"/>
        </w:rPr>
        <w:t xml:space="preserve">See </w:t>
      </w:r>
      <w:r>
        <w:rPr>
          <w:i/>
          <w:sz w:val="20"/>
        </w:rPr>
        <w:t>Healthcare Connect Fund Order</w:t>
      </w:r>
      <w:r>
        <w:rPr>
          <w:sz w:val="20"/>
        </w:rPr>
        <w:t xml:space="preserve"> at </w:t>
      </w:r>
      <w:r w:rsidRPr="0042352F">
        <w:rPr>
          <w:sz w:val="20"/>
        </w:rPr>
        <w:t xml:space="preserve">16764-65, para. 190; </w:t>
      </w:r>
      <w:r w:rsidRPr="0042352F">
        <w:rPr>
          <w:rFonts w:eastAsia="TimesNewRoman"/>
          <w:snapToGrid/>
          <w:kern w:val="0"/>
          <w:sz w:val="20"/>
        </w:rPr>
        <w:t xml:space="preserve">47 </w:t>
      </w:r>
      <w:r w:rsidRPr="0042352F">
        <w:rPr>
          <w:sz w:val="20"/>
        </w:rPr>
        <w:t>CFR § 54.675(a).</w:t>
      </w:r>
    </w:p>
  </w:footnote>
  <w:footnote w:id="11">
    <w:p w14:paraId="76E898A8" w14:textId="595E7C7B" w:rsidR="00B05C3D" w:rsidRDefault="00B05C3D" w:rsidP="00B05C3D">
      <w:pPr>
        <w:pStyle w:val="FootnoteText"/>
      </w:pPr>
      <w:r>
        <w:rPr>
          <w:rStyle w:val="FootnoteReference"/>
        </w:rPr>
        <w:footnoteRef/>
      </w:r>
      <w:r>
        <w:t xml:space="preserve"> </w:t>
      </w:r>
      <w:r w:rsidRPr="003367AF">
        <w:rPr>
          <w:i/>
        </w:rPr>
        <w:t>See</w:t>
      </w:r>
      <w:r w:rsidRPr="005315B3">
        <w:t xml:space="preserve"> Universal Servi</w:t>
      </w:r>
      <w:r>
        <w:t xml:space="preserve">ce Monitoring Report, </w:t>
      </w:r>
      <w:r w:rsidRPr="005315B3">
        <w:t xml:space="preserve">CC Docket No. 98-202, </w:t>
      </w:r>
      <w:r>
        <w:t xml:space="preserve">at </w:t>
      </w:r>
      <w:r w:rsidRPr="005315B3">
        <w:t>Table 2.21</w:t>
      </w:r>
      <w:r>
        <w:t xml:space="preserve"> (rel. Dec. 29, 2011)</w:t>
      </w:r>
      <w:r w:rsidRPr="005315B3">
        <w:t xml:space="preserve">, </w:t>
      </w:r>
      <w:hyperlink r:id="rId2" w:history="1">
        <w:r w:rsidRPr="00B95946">
          <w:rPr>
            <w:rStyle w:val="Hyperlink"/>
          </w:rPr>
          <w:t>https://transition.fcc.gov/wcb/iatd/monitor.html</w:t>
        </w:r>
      </w:hyperlink>
      <w:r>
        <w:t xml:space="preserve"> (</w:t>
      </w:r>
      <w:r w:rsidR="005514E8">
        <w:t>last visited Aug. 24</w:t>
      </w:r>
      <w:r>
        <w:t>, 2016</w:t>
      </w:r>
      <w:r w:rsidRPr="005315B3">
        <w:t>)</w:t>
      </w:r>
      <w:r>
        <w:t xml:space="preserve">. </w:t>
      </w:r>
    </w:p>
  </w:footnote>
  <w:footnote w:id="12">
    <w:p w14:paraId="5435659B" w14:textId="0DC3966D" w:rsidR="00B05C3D" w:rsidRDefault="00B05C3D" w:rsidP="00B05C3D">
      <w:pPr>
        <w:pStyle w:val="FootnoteText"/>
      </w:pPr>
      <w:r>
        <w:rPr>
          <w:rStyle w:val="FootnoteReference"/>
        </w:rPr>
        <w:footnoteRef/>
      </w:r>
      <w:r>
        <w:t xml:space="preserve"> </w:t>
      </w:r>
      <w:r w:rsidRPr="00BC2933">
        <w:rPr>
          <w:i/>
        </w:rPr>
        <w:t xml:space="preserve">See </w:t>
      </w:r>
      <w:r w:rsidRPr="00BC2933">
        <w:t xml:space="preserve">USAC, Rural Health Care, Healthcare Connect Fund Program, Funding Information, </w:t>
      </w:r>
      <w:hyperlink r:id="rId3" w:history="1">
        <w:r w:rsidRPr="0042371E">
          <w:rPr>
            <w:rStyle w:val="Hyperlink"/>
          </w:rPr>
          <w:t>http://usac.org/rhc/healthcare-connect/funding-information/default.aspx</w:t>
        </w:r>
      </w:hyperlink>
      <w:r w:rsidRPr="0042371E">
        <w:t xml:space="preserve"> (last visited Aug. </w:t>
      </w:r>
      <w:r w:rsidR="0016260D" w:rsidRPr="0016260D">
        <w:t>26</w:t>
      </w:r>
      <w:r w:rsidR="00A141AA" w:rsidRPr="0016260D">
        <w:t>, 2016</w:t>
      </w:r>
      <w:r>
        <w:t xml:space="preserve">). </w:t>
      </w:r>
      <w:r>
        <w:rPr>
          <w:color w:val="212121"/>
          <w:szCs w:val="22"/>
        </w:rPr>
        <w:t xml:space="preserve">The RHC Program funding year begins on July 1 of each calendar year through June 30 of the subsequent calendar year. </w:t>
      </w:r>
      <w:r w:rsidRPr="0042352F">
        <w:rPr>
          <w:i/>
        </w:rPr>
        <w:t xml:space="preserve">See </w:t>
      </w:r>
      <w:r>
        <w:t>47 CFR § 54.675(b</w:t>
      </w:r>
      <w:r w:rsidRPr="0042352F">
        <w:t>).</w:t>
      </w:r>
      <w:r>
        <w:t xml:space="preserve">  Funding year 2015 began on July 1, 2015 and ended on June 30, 2016. </w:t>
      </w:r>
      <w:r w:rsidRPr="0042352F">
        <w:rPr>
          <w:i/>
        </w:rPr>
        <w:t xml:space="preserve">See </w:t>
      </w:r>
      <w:r>
        <w:t>47 CFR § 54.675(c</w:t>
      </w:r>
      <w:r w:rsidRPr="0042352F">
        <w:t>)</w:t>
      </w:r>
      <w:r>
        <w:t>(4)</w:t>
      </w:r>
      <w:r w:rsidRPr="0042352F">
        <w:t>.</w:t>
      </w:r>
    </w:p>
  </w:footnote>
  <w:footnote w:id="13">
    <w:p w14:paraId="1F87DFD3" w14:textId="48AEFB1C" w:rsidR="00B05C3D" w:rsidRPr="00921E91" w:rsidRDefault="00B05C3D" w:rsidP="00B05C3D">
      <w:pPr>
        <w:pStyle w:val="FootnoteText"/>
        <w:rPr>
          <w:b/>
        </w:rPr>
      </w:pPr>
      <w:r>
        <w:rPr>
          <w:rStyle w:val="FootnoteReference"/>
        </w:rPr>
        <w:footnoteRef/>
      </w:r>
      <w:r>
        <w:rPr>
          <w:i/>
          <w:iCs/>
        </w:rPr>
        <w:t xml:space="preserve"> </w:t>
      </w:r>
      <w:r w:rsidRPr="00A023B8">
        <w:rPr>
          <w:i/>
          <w:iCs/>
        </w:rPr>
        <w:t xml:space="preserve">See </w:t>
      </w:r>
      <w:r>
        <w:rPr>
          <w:iCs/>
        </w:rPr>
        <w:t>Southwest Rural Health Research Center School of Rural Public Health</w:t>
      </w:r>
      <w:r>
        <w:t xml:space="preserve">, The Texas A&amp;M University System Health Science Center, </w:t>
      </w:r>
      <w:r w:rsidRPr="006C7BFE">
        <w:rPr>
          <w:i/>
        </w:rPr>
        <w:t>Rural Healthy People 2010: A Companion Document to Healthy People 2010</w:t>
      </w:r>
      <w:r w:rsidRPr="00A023B8">
        <w:t xml:space="preserve">, </w:t>
      </w:r>
      <w:r>
        <w:t xml:space="preserve">Volume 1, at </w:t>
      </w:r>
      <w:r w:rsidRPr="00A023B8">
        <w:t>45</w:t>
      </w:r>
      <w:r>
        <w:t>-46</w:t>
      </w:r>
      <w:r w:rsidRPr="00A023B8">
        <w:t xml:space="preserve">, </w:t>
      </w:r>
      <w:hyperlink r:id="rId4" w:history="1">
        <w:r w:rsidRPr="00B95946">
          <w:rPr>
            <w:rStyle w:val="Hyperlink"/>
          </w:rPr>
          <w:t>https://sph.tamhsc.edu/srhrc/docs/rhp-2010-volume1.pdf</w:t>
        </w:r>
      </w:hyperlink>
      <w:r w:rsidR="005514E8">
        <w:t xml:space="preserve"> (last visited Aug. 24</w:t>
      </w:r>
      <w:r>
        <w:t xml:space="preserve">, 2016). </w:t>
      </w:r>
    </w:p>
  </w:footnote>
  <w:footnote w:id="14">
    <w:p w14:paraId="3AA26670" w14:textId="77777777" w:rsidR="00B05C3D" w:rsidRDefault="00B05C3D" w:rsidP="00B05C3D">
      <w:pPr>
        <w:pStyle w:val="FootnoteText"/>
      </w:pPr>
      <w:r>
        <w:rPr>
          <w:rStyle w:val="FootnoteReference"/>
        </w:rPr>
        <w:footnoteRef/>
      </w:r>
      <w:r>
        <w:t xml:space="preserve"> </w:t>
      </w:r>
      <w:r w:rsidRPr="0042352F">
        <w:rPr>
          <w:i/>
        </w:rPr>
        <w:t xml:space="preserve">See </w:t>
      </w:r>
      <w:r>
        <w:t>47 CFR § 54.675(b</w:t>
      </w:r>
      <w:r w:rsidRPr="0042352F">
        <w:t>).</w:t>
      </w:r>
    </w:p>
  </w:footnote>
  <w:footnote w:id="15">
    <w:p w14:paraId="7DEA0C15" w14:textId="5D25DF4F" w:rsidR="00B05C3D" w:rsidRPr="00D35859" w:rsidRDefault="00B05C3D" w:rsidP="00B05C3D">
      <w:pPr>
        <w:pStyle w:val="FootnoteText"/>
      </w:pPr>
      <w:r w:rsidRPr="00D35859">
        <w:rPr>
          <w:rStyle w:val="FootnoteReference"/>
        </w:rPr>
        <w:footnoteRef/>
      </w:r>
      <w:r w:rsidRPr="00D35859">
        <w:t xml:space="preserve"> </w:t>
      </w:r>
      <w:r w:rsidR="009567E2" w:rsidRPr="002B7922">
        <w:rPr>
          <w:i/>
        </w:rPr>
        <w:t xml:space="preserve">See </w:t>
      </w:r>
      <w:r w:rsidR="009567E2" w:rsidRPr="00E25307">
        <w:rPr>
          <w:i/>
        </w:rPr>
        <w:t>Healthcare Connect Fund Order</w:t>
      </w:r>
      <w:r w:rsidR="009567E2">
        <w:t xml:space="preserve"> at 16795-96, paras. 275-6</w:t>
      </w:r>
      <w:r w:rsidR="005514E8">
        <w:t>;</w:t>
      </w:r>
      <w:r w:rsidRPr="00D35859">
        <w:rPr>
          <w:i/>
        </w:rPr>
        <w:t xml:space="preserve"> </w:t>
      </w:r>
      <w:r>
        <w:t xml:space="preserve">47 CFR § 54.675(c)(2), FCC Form 462 Instructions, Rural Health Care Universal Service, Healthcare Connect Fund, Funding Request Form, OMB 3060-0804, at 2 (FCC Form 462 Instructions); FCC Form 466 Instructions, Rural Health Care Universal Service Mechanism, OMB 3060-0804, at 1 (July 2014) (FCC Form 466 Instructions).  The initial filing window period for both the Telecommunications and the HCF Programs for funding years 2015 and 2016 runs from March 1 through June 1 of the calendar year.  </w:t>
      </w:r>
      <w:r w:rsidRPr="00B71AB4">
        <w:rPr>
          <w:i/>
        </w:rPr>
        <w:t>See</w:t>
      </w:r>
      <w:r>
        <w:t xml:space="preserve"> USAC, Rural Health Care Program, Trainings and Outreach, Newsletter, RHC Circuit – First Quarter 2015,   </w:t>
      </w:r>
      <w:hyperlink r:id="rId5" w:history="1">
        <w:r w:rsidRPr="009C55FA">
          <w:rPr>
            <w:rStyle w:val="Hyperlink"/>
          </w:rPr>
          <w:t>http://www.usac.org/rhc/telecommunications/outreach/newsletters/2015/q1.aspx</w:t>
        </w:r>
      </w:hyperlink>
      <w:r w:rsidR="005514E8">
        <w:t xml:space="preserve"> (last visited Aug. 24</w:t>
      </w:r>
      <w:r>
        <w:t xml:space="preserve">, 2016) (Telecommunications Program FY 2015 Filing Calendar); USAC, Rural Health Care Program, Trainings and Outreach, Newsletter, RHC Circuit – First Quarter 2015, </w:t>
      </w:r>
      <w:hyperlink r:id="rId6" w:history="1">
        <w:r w:rsidRPr="009C55FA">
          <w:rPr>
            <w:rStyle w:val="Hyperlink"/>
          </w:rPr>
          <w:t>http://www.usac.org/_res/documents/rhc/pdf/hcf/RHC-Snail-FY2015-HCF-Program.pdf</w:t>
        </w:r>
      </w:hyperlink>
      <w:r w:rsidR="005514E8">
        <w:t xml:space="preserve"> (last visited Aug. 24</w:t>
      </w:r>
      <w:r>
        <w:t xml:space="preserve">, 2016) (HCF Program FY 2015 Filing Calendar).  For example, the initial funding request filing window period for funding year 2015 started on March 1, 2015 and ended on June 1, 2015.  </w:t>
      </w:r>
      <w:r w:rsidRPr="004D715E">
        <w:rPr>
          <w:i/>
        </w:rPr>
        <w:t xml:space="preserve">See </w:t>
      </w:r>
      <w:r>
        <w:t>Telecommunications Program FY 2015 Filing Calendar; HCF Program FY 2015 Filing Calendar.</w:t>
      </w:r>
    </w:p>
  </w:footnote>
  <w:footnote w:id="16">
    <w:p w14:paraId="16DE82E2" w14:textId="40688495" w:rsidR="00B05C3D" w:rsidRDefault="00B05C3D" w:rsidP="00B05C3D">
      <w:pPr>
        <w:pStyle w:val="FootnoteText"/>
      </w:pPr>
      <w:r>
        <w:rPr>
          <w:rStyle w:val="FootnoteReference"/>
        </w:rPr>
        <w:footnoteRef/>
      </w:r>
      <w:r>
        <w:t xml:space="preserve"> </w:t>
      </w:r>
      <w:r w:rsidRPr="00B71AB4">
        <w:rPr>
          <w:i/>
        </w:rPr>
        <w:t>See</w:t>
      </w:r>
      <w:r>
        <w:t xml:space="preserve"> Telecommunications Program FY 2015 Filing Calendar; HCF Program FY 2015 Filing Calendar; FCC Form 462 Instructions at 2; FCC Form 466 Instructions at 1;</w:t>
      </w:r>
      <w:r w:rsidRPr="00FA28F7">
        <w:t xml:space="preserve"> </w:t>
      </w:r>
      <w:r>
        <w:t>47 CFR § 54.675(c</w:t>
      </w:r>
      <w:r w:rsidRPr="0042352F">
        <w:t>)</w:t>
      </w:r>
      <w:r>
        <w:t>(1).</w:t>
      </w:r>
      <w:r w:rsidR="000C5A73" w:rsidRPr="000C5A73">
        <w:rPr>
          <w:color w:val="212121"/>
          <w:szCs w:val="22"/>
        </w:rPr>
        <w:t xml:space="preserve"> </w:t>
      </w:r>
      <w:r w:rsidR="005514E8">
        <w:rPr>
          <w:color w:val="212121"/>
          <w:szCs w:val="22"/>
        </w:rPr>
        <w:t xml:space="preserve"> </w:t>
      </w:r>
      <w:r w:rsidR="000C5A73">
        <w:rPr>
          <w:color w:val="212121"/>
          <w:szCs w:val="22"/>
        </w:rPr>
        <w:t>In addition, every month throughout the funding year, USAC publishes the current level of funding requests and commitments so participants are able to determine the amount of funding left under the program cap.</w:t>
      </w:r>
      <w:r w:rsidR="000C5A73" w:rsidRPr="000C5A73">
        <w:rPr>
          <w:i/>
        </w:rPr>
        <w:t xml:space="preserve"> </w:t>
      </w:r>
      <w:r w:rsidR="000C5A73" w:rsidRPr="00952DF4">
        <w:rPr>
          <w:i/>
        </w:rPr>
        <w:t>See</w:t>
      </w:r>
      <w:r w:rsidR="000C5A73">
        <w:t xml:space="preserve"> USAC, Rural Health Care Program, Healthcare Connect Fund, Funding Information, </w:t>
      </w:r>
      <w:hyperlink r:id="rId7" w:history="1">
        <w:r w:rsidR="000C5A73" w:rsidRPr="005417B6">
          <w:rPr>
            <w:rStyle w:val="Hyperlink"/>
          </w:rPr>
          <w:t>http://www.usac.org/rhc/healthcare-connect/funding-information/default.aspx</w:t>
        </w:r>
      </w:hyperlink>
      <w:r w:rsidR="005514E8">
        <w:t xml:space="preserve"> (last visited Aug</w:t>
      </w:r>
      <w:r w:rsidR="005514E8" w:rsidRPr="0016260D">
        <w:t xml:space="preserve">. </w:t>
      </w:r>
      <w:r w:rsidR="0016260D" w:rsidRPr="0016260D">
        <w:t>26</w:t>
      </w:r>
      <w:r w:rsidR="000C5A73" w:rsidRPr="0016260D">
        <w:t>, 2016</w:t>
      </w:r>
      <w:r w:rsidR="000C5A73">
        <w:t>); USAC, Rural Health Care Program, Telecommunications Program, Funding Information,</w:t>
      </w:r>
      <w:r w:rsidR="000C5A73" w:rsidRPr="00797925">
        <w:t xml:space="preserve"> </w:t>
      </w:r>
      <w:hyperlink r:id="rId8" w:history="1">
        <w:r w:rsidR="000C5A73" w:rsidRPr="005417B6">
          <w:rPr>
            <w:rStyle w:val="Hyperlink"/>
          </w:rPr>
          <w:t>http://www.usac.org/rhc/telecommunications/funding-information/default.aspx</w:t>
        </w:r>
      </w:hyperlink>
      <w:r w:rsidR="005514E8">
        <w:t xml:space="preserve"> (last visited Aug</w:t>
      </w:r>
      <w:r w:rsidR="005514E8" w:rsidRPr="0016260D">
        <w:t xml:space="preserve">. </w:t>
      </w:r>
      <w:r w:rsidR="0016260D" w:rsidRPr="0016260D">
        <w:t>26</w:t>
      </w:r>
      <w:r w:rsidR="000C5A73" w:rsidRPr="0016260D">
        <w:t>,</w:t>
      </w:r>
      <w:r w:rsidR="000C5A73">
        <w:t xml:space="preserve"> 2016); </w:t>
      </w:r>
      <w:r w:rsidR="000C5A73" w:rsidRPr="00E25307">
        <w:rPr>
          <w:i/>
        </w:rPr>
        <w:t>Healthcare Connect Fund Order</w:t>
      </w:r>
      <w:r w:rsidR="000C5A73">
        <w:t xml:space="preserve"> at 16795-96, para. 275.</w:t>
      </w:r>
    </w:p>
  </w:footnote>
  <w:footnote w:id="17">
    <w:p w14:paraId="1F2A6874" w14:textId="77777777" w:rsidR="00B05C3D" w:rsidRPr="00086DAC" w:rsidRDefault="00B05C3D" w:rsidP="00B05C3D">
      <w:pPr>
        <w:pStyle w:val="FootnoteText"/>
        <w:rPr>
          <w:i/>
        </w:rPr>
      </w:pPr>
      <w:r>
        <w:rPr>
          <w:rStyle w:val="FootnoteReference"/>
        </w:rPr>
        <w:footnoteRef/>
      </w:r>
      <w:r>
        <w:t xml:space="preserve"> </w:t>
      </w:r>
      <w:r w:rsidRPr="00D35859">
        <w:rPr>
          <w:i/>
        </w:rPr>
        <w:t>Se</w:t>
      </w:r>
      <w:r w:rsidRPr="00086DAC">
        <w:rPr>
          <w:i/>
        </w:rPr>
        <w:t xml:space="preserve">e </w:t>
      </w:r>
      <w:r w:rsidRPr="00656BAC">
        <w:t>47 CFR § 54.675(f).</w:t>
      </w:r>
    </w:p>
  </w:footnote>
  <w:footnote w:id="18">
    <w:p w14:paraId="38F5F97E" w14:textId="77777777" w:rsidR="00D4239C" w:rsidRDefault="00D4239C" w:rsidP="00D4239C">
      <w:pPr>
        <w:pStyle w:val="FootnoteText"/>
      </w:pPr>
      <w:r>
        <w:rPr>
          <w:rStyle w:val="FootnoteReference"/>
        </w:rPr>
        <w:footnoteRef/>
      </w:r>
      <w:r>
        <w:t xml:space="preserve"> </w:t>
      </w:r>
      <w:r w:rsidRPr="00D35859">
        <w:rPr>
          <w:i/>
        </w:rPr>
        <w:t>Se</w:t>
      </w:r>
      <w:r w:rsidRPr="00086DAC">
        <w:rPr>
          <w:i/>
        </w:rPr>
        <w:t xml:space="preserve">e </w:t>
      </w:r>
      <w:r>
        <w:t>47 CFR §§ 54.675(c</w:t>
      </w:r>
      <w:r w:rsidRPr="00656BAC">
        <w:t>)</w:t>
      </w:r>
      <w:r>
        <w:t>(2), (f)</w:t>
      </w:r>
      <w:r w:rsidRPr="00656BAC">
        <w:t>.</w:t>
      </w:r>
    </w:p>
  </w:footnote>
  <w:footnote w:id="19">
    <w:p w14:paraId="40B11341" w14:textId="2AFD1AFE" w:rsidR="00B05C3D" w:rsidRPr="00616A7B" w:rsidRDefault="00B05C3D" w:rsidP="00B05C3D">
      <w:pPr>
        <w:pStyle w:val="FootnoteText"/>
      </w:pPr>
      <w:r w:rsidRPr="004A31EA">
        <w:rPr>
          <w:rStyle w:val="FootnoteReference"/>
        </w:rPr>
        <w:footnoteRef/>
      </w:r>
      <w:r w:rsidRPr="004A31EA">
        <w:rPr>
          <w:i/>
        </w:rPr>
        <w:t xml:space="preserve"> See </w:t>
      </w:r>
      <w:r w:rsidRPr="004A31EA">
        <w:t xml:space="preserve">47 U.S.C. § </w:t>
      </w:r>
      <w:r w:rsidRPr="004A31EA">
        <w:rPr>
          <w:rFonts w:cstheme="minorHAnsi"/>
        </w:rPr>
        <w:t xml:space="preserve">254(h)(2)(A), (h)(1)(A); </w:t>
      </w:r>
      <w:r w:rsidRPr="00846C6F">
        <w:rPr>
          <w:i/>
        </w:rPr>
        <w:t>Third Report and Order</w:t>
      </w:r>
      <w:r>
        <w:t xml:space="preserve"> at 22488-89, para. 6 (delegating authority to the Wireline Competition Bureau, formerly the Common Carrier Bureau, to interpret the Commission’s rules as necessary to ensure that support for services provided to rural health care providers operates to further the Commission’s universal service goals). </w:t>
      </w:r>
    </w:p>
  </w:footnote>
  <w:footnote w:id="20">
    <w:p w14:paraId="643C8B1D" w14:textId="49C669C6" w:rsidR="00B05C3D" w:rsidRDefault="00B05C3D" w:rsidP="00B05C3D">
      <w:pPr>
        <w:pStyle w:val="FootnoteText"/>
      </w:pPr>
      <w:r>
        <w:rPr>
          <w:rStyle w:val="FootnoteReference"/>
        </w:rPr>
        <w:footnoteRef/>
      </w:r>
      <w:r>
        <w:t xml:space="preserve"> The initial funding request filing window period for funding year 2016 was from March 1, 2016 through June 1, 2016. USAC, Rural Health Care Program, Trainings and Outreach, Newsletter, RHC Circuit – First Quarter 2016, </w:t>
      </w:r>
      <w:hyperlink r:id="rId9" w:history="1">
        <w:r w:rsidRPr="00B71C71">
          <w:rPr>
            <w:rStyle w:val="Hyperlink"/>
          </w:rPr>
          <w:t>http://www.usac.org/rhc/telecommunications/outreach/newsletters/2016/q1.aspx</w:t>
        </w:r>
      </w:hyperlink>
      <w:r w:rsidR="0066178D">
        <w:t xml:space="preserve"> (last visited Aug. 24</w:t>
      </w:r>
      <w:r>
        <w:t>, 2016) (FY 2016 Filing Calendar).</w:t>
      </w:r>
    </w:p>
  </w:footnote>
  <w:footnote w:id="21">
    <w:p w14:paraId="01B1C3F6" w14:textId="77777777" w:rsidR="00B05C3D" w:rsidRDefault="00B05C3D" w:rsidP="00B05C3D">
      <w:pPr>
        <w:pStyle w:val="FootnoteText"/>
      </w:pPr>
      <w:r>
        <w:rPr>
          <w:rStyle w:val="FootnoteReference"/>
        </w:rPr>
        <w:footnoteRef/>
      </w:r>
      <w:r>
        <w:t xml:space="preserve"> </w:t>
      </w:r>
      <w:r w:rsidRPr="00161268">
        <w:rPr>
          <w:i/>
        </w:rPr>
        <w:t xml:space="preserve">See </w:t>
      </w:r>
      <w:r w:rsidRPr="00161268">
        <w:t>47 CFR § 54.675(c)</w:t>
      </w:r>
      <w:r>
        <w:t>(1)</w:t>
      </w:r>
      <w:r w:rsidRPr="00161268">
        <w:t>.</w:t>
      </w:r>
    </w:p>
  </w:footnote>
  <w:footnote w:id="22">
    <w:p w14:paraId="1BB7617A" w14:textId="77777777" w:rsidR="00B05C3D" w:rsidRDefault="00B05C3D" w:rsidP="00B05C3D">
      <w:pPr>
        <w:pStyle w:val="FootnoteText"/>
      </w:pPr>
      <w:r>
        <w:rPr>
          <w:rStyle w:val="FootnoteReference"/>
        </w:rPr>
        <w:footnoteRef/>
      </w:r>
      <w:r>
        <w:t xml:space="preserve"> </w:t>
      </w:r>
      <w:r w:rsidRPr="00F8444F">
        <w:rPr>
          <w:i/>
        </w:rPr>
        <w:t>See</w:t>
      </w:r>
      <w:r>
        <w:t xml:space="preserve"> Frank R. Lautenberg Chemical Safety for the 21</w:t>
      </w:r>
      <w:r w:rsidRPr="00F8444F">
        <w:rPr>
          <w:vertAlign w:val="superscript"/>
        </w:rPr>
        <w:t>st</w:t>
      </w:r>
      <w:r>
        <w:t xml:space="preserve"> Century Act,</w:t>
      </w:r>
      <w:r w:rsidRPr="007D7F91">
        <w:t xml:space="preserve"> </w:t>
      </w:r>
      <w:r>
        <w:t xml:space="preserve">Title II – Rural Healthcare Connectivity, Pub. L. No. 114-182 (2016) (noting that the subsection, Title II, Rural Healthcare Connectivity, shall apply 180 days after the enactment of the Act). The President signed this legislation into law on June 22, 2016.  </w:t>
      </w:r>
    </w:p>
  </w:footnote>
  <w:footnote w:id="23">
    <w:p w14:paraId="65234622" w14:textId="77777777" w:rsidR="00B05C3D" w:rsidRDefault="00B05C3D" w:rsidP="00B05C3D">
      <w:pPr>
        <w:pStyle w:val="FootnoteText"/>
      </w:pPr>
      <w:r>
        <w:rPr>
          <w:rStyle w:val="FootnoteReference"/>
        </w:rPr>
        <w:footnoteRef/>
      </w:r>
      <w:r>
        <w:t xml:space="preserve"> </w:t>
      </w:r>
      <w:r w:rsidRPr="003F06FB">
        <w:rPr>
          <w:i/>
        </w:rPr>
        <w:t>See also</w:t>
      </w:r>
      <w:r>
        <w:t xml:space="preserve"> 81 Fed. Reg. 47389 (rel. </w:t>
      </w:r>
      <w:r w:rsidRPr="0067531A">
        <w:t>July 21, 2016</w:t>
      </w:r>
      <w:r>
        <w:t xml:space="preserve">) (seeking </w:t>
      </w:r>
      <w:r w:rsidRPr="003F06FB">
        <w:t xml:space="preserve">Office of </w:t>
      </w:r>
      <w:r>
        <w:t xml:space="preserve">Management and Budget </w:t>
      </w:r>
      <w:r w:rsidRPr="003F06FB">
        <w:t>approval</w:t>
      </w:r>
      <w:r>
        <w:t xml:space="preserve"> to revise the RHC FCC Forms </w:t>
      </w:r>
      <w:r w:rsidRPr="003F06FB">
        <w:t xml:space="preserve">pursuant to 44 U.S.C. 3507 of the Paperwork </w:t>
      </w:r>
      <w:r>
        <w:t>Reduction Act of 1995).</w:t>
      </w:r>
      <w:r w:rsidDel="00B30A50">
        <w:t xml:space="preserve"> </w:t>
      </w:r>
    </w:p>
  </w:footnote>
  <w:footnote w:id="24">
    <w:p w14:paraId="15467BC4" w14:textId="77777777" w:rsidR="00B05C3D" w:rsidRDefault="00B05C3D" w:rsidP="00B05C3D">
      <w:pPr>
        <w:pStyle w:val="FootnoteText"/>
      </w:pPr>
      <w:r>
        <w:rPr>
          <w:rStyle w:val="FootnoteReference"/>
        </w:rPr>
        <w:footnoteRef/>
      </w:r>
      <w:r>
        <w:t xml:space="preserve"> </w:t>
      </w:r>
      <w:r w:rsidRPr="0042352F">
        <w:rPr>
          <w:i/>
        </w:rPr>
        <w:t xml:space="preserve">See </w:t>
      </w:r>
      <w:r w:rsidRPr="0042352F">
        <w:t>47 CFR § 54.6</w:t>
      </w:r>
      <w:r>
        <w:t>42 (competitive bidding requirements and exemptions).</w:t>
      </w:r>
    </w:p>
  </w:footnote>
  <w:footnote w:id="25">
    <w:p w14:paraId="4C06D9E1" w14:textId="77777777" w:rsidR="00B05C3D" w:rsidRDefault="00B05C3D" w:rsidP="00B05C3D">
      <w:pPr>
        <w:pStyle w:val="FootnoteText"/>
      </w:pPr>
      <w:r>
        <w:rPr>
          <w:rStyle w:val="FootnoteReference"/>
        </w:rPr>
        <w:footnoteRef/>
      </w:r>
      <w:r>
        <w:t xml:space="preserve"> </w:t>
      </w:r>
      <w:r w:rsidRPr="0042352F">
        <w:rPr>
          <w:i/>
        </w:rPr>
        <w:t xml:space="preserve">See </w:t>
      </w:r>
      <w:r w:rsidRPr="0042352F">
        <w:t>47 CFR § 54.675(</w:t>
      </w:r>
      <w:r>
        <w:t>c</w:t>
      </w:r>
      <w:r w:rsidRPr="0042352F">
        <w:t>)</w:t>
      </w:r>
      <w:r>
        <w:t>(2)</w:t>
      </w:r>
      <w:r w:rsidRPr="0042352F">
        <w:t>.</w:t>
      </w:r>
    </w:p>
  </w:footnote>
  <w:footnote w:id="26">
    <w:p w14:paraId="3DE1781C" w14:textId="77777777" w:rsidR="00B05C3D" w:rsidRDefault="00B05C3D" w:rsidP="00B05C3D">
      <w:pPr>
        <w:pStyle w:val="FootnoteText"/>
      </w:pPr>
      <w:r>
        <w:rPr>
          <w:rStyle w:val="FootnoteReference"/>
        </w:rPr>
        <w:footnoteRef/>
      </w:r>
      <w:r>
        <w:t xml:space="preserve"> </w:t>
      </w:r>
      <w:r w:rsidRPr="00D35859">
        <w:rPr>
          <w:i/>
        </w:rPr>
        <w:t>Federal-State Joint Board on Universal Service</w:t>
      </w:r>
      <w:r w:rsidRPr="00D35859">
        <w:t>, CC Docket No. 96-45, Fifth Order on Reconsideration and Fourt</w:t>
      </w:r>
      <w:r>
        <w:t xml:space="preserve">h Report and Order, 13 FCC Rcd </w:t>
      </w:r>
      <w:r w:rsidRPr="00D35859">
        <w:t>14915, 14941, para. 41 (1998)</w:t>
      </w:r>
      <w:r>
        <w:t xml:space="preserve"> (</w:t>
      </w:r>
      <w:r w:rsidRPr="003B2C0E">
        <w:rPr>
          <w:i/>
        </w:rPr>
        <w:t>RHC</w:t>
      </w:r>
      <w:r>
        <w:t xml:space="preserve"> </w:t>
      </w:r>
      <w:r w:rsidRPr="003B2C0E">
        <w:rPr>
          <w:i/>
        </w:rPr>
        <w:t>Fifth Order on Reconsideration and Fourth Report and Order</w:t>
      </w:r>
      <w:r>
        <w:t xml:space="preserve">); </w:t>
      </w:r>
      <w:r w:rsidRPr="00656BAC">
        <w:t xml:space="preserve">47 CFR </w:t>
      </w:r>
      <w:r w:rsidRPr="000966F0">
        <w:t>§</w:t>
      </w:r>
      <w:r w:rsidRPr="00656BAC">
        <w:t xml:space="preserve"> 54.675(f).</w:t>
      </w:r>
    </w:p>
  </w:footnote>
  <w:footnote w:id="27">
    <w:p w14:paraId="0DC9AF2E" w14:textId="77777777" w:rsidR="00B05C3D" w:rsidRDefault="00B05C3D" w:rsidP="00B05C3D">
      <w:pPr>
        <w:pStyle w:val="FootnoteText"/>
      </w:pPr>
      <w:r>
        <w:rPr>
          <w:rStyle w:val="FootnoteReference"/>
        </w:rPr>
        <w:footnoteRef/>
      </w:r>
      <w:r>
        <w:t xml:space="preserve"> </w:t>
      </w:r>
      <w:r w:rsidRPr="003B2C0E">
        <w:rPr>
          <w:i/>
        </w:rPr>
        <w:t>RHC Fifth Order on Reconsideration and Fourth Report and Order</w:t>
      </w:r>
      <w:r>
        <w:t xml:space="preserve"> at </w:t>
      </w:r>
      <w:r w:rsidRPr="00D35859">
        <w:t>14941, para. 41</w:t>
      </w:r>
      <w:r>
        <w:t>.</w:t>
      </w:r>
    </w:p>
  </w:footnote>
  <w:footnote w:id="28">
    <w:p w14:paraId="0D52257F" w14:textId="77777777" w:rsidR="00B05C3D" w:rsidRDefault="00B05C3D" w:rsidP="00B05C3D">
      <w:pPr>
        <w:pStyle w:val="FootnoteText"/>
      </w:pPr>
      <w:r>
        <w:rPr>
          <w:rStyle w:val="FootnoteReference"/>
        </w:rPr>
        <w:footnoteRef/>
      </w:r>
      <w:r>
        <w:t xml:space="preserve"> </w:t>
      </w:r>
      <w:r w:rsidRPr="00F64C75">
        <w:rPr>
          <w:i/>
        </w:rPr>
        <w:t>Id.</w:t>
      </w:r>
      <w:r>
        <w:t xml:space="preserve"> Any funding declined by an applicant is included in the total available funding for any consecutive subsequent filing window period. </w:t>
      </w:r>
    </w:p>
  </w:footnote>
  <w:footnote w:id="29">
    <w:p w14:paraId="23752BF1" w14:textId="77777777" w:rsidR="00B05C3D" w:rsidRPr="004A31EA" w:rsidRDefault="00B05C3D" w:rsidP="00B05C3D">
      <w:pPr>
        <w:pStyle w:val="FootnoteText"/>
      </w:pPr>
      <w:r w:rsidRPr="004A31EA">
        <w:rPr>
          <w:rStyle w:val="FootnoteReference"/>
        </w:rPr>
        <w:footnoteRef/>
      </w:r>
      <w:r w:rsidRPr="004A31EA">
        <w:t xml:space="preserve"> </w:t>
      </w:r>
      <w:r w:rsidRPr="004A31EA">
        <w:rPr>
          <w:i/>
        </w:rPr>
        <w:t>See</w:t>
      </w:r>
      <w:r w:rsidRPr="004A31EA">
        <w:t xml:space="preserve"> </w:t>
      </w:r>
      <w:r w:rsidRPr="004A31EA">
        <w:rPr>
          <w:i/>
        </w:rPr>
        <w:t xml:space="preserve">Rural Health Care </w:t>
      </w:r>
      <w:r w:rsidRPr="00F2482E">
        <w:rPr>
          <w:i/>
        </w:rPr>
        <w:t>Support Mechanism</w:t>
      </w:r>
      <w:r w:rsidRPr="00F2482E">
        <w:t xml:space="preserve">, WC Docket No. 02-60, Order, 30 FCC Rcd 230, 231, para. 3 (WCB 2015) (finding that allowing applicants to submit supporting documentation after the funding year or inadequate supporting documentation compromises the efficiency and effectiveness of the RHC </w:t>
      </w:r>
      <w:r>
        <w:t>P</w:t>
      </w:r>
      <w:r w:rsidRPr="00F2482E">
        <w:t>rogram).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09D7" w14:textId="77777777" w:rsidR="00B279A2" w:rsidRDefault="00B27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D492F" w14:textId="77777777" w:rsidR="00B279A2" w:rsidRDefault="00B27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E3024"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3E5A15E" wp14:editId="2B6C8890">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DC421" w14:textId="77777777" w:rsidR="00D47505" w:rsidRDefault="00D47505" w:rsidP="00D47505">
                          <w:pPr>
                            <w:rPr>
                              <w:rFonts w:ascii="Arial" w:hAnsi="Arial"/>
                              <w:b/>
                            </w:rPr>
                          </w:pPr>
                          <w:r>
                            <w:rPr>
                              <w:rFonts w:ascii="Arial" w:hAnsi="Arial"/>
                              <w:b/>
                            </w:rPr>
                            <w:t>Federal Communications Commission</w:t>
                          </w:r>
                        </w:p>
                        <w:p w14:paraId="1609F0D8"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669538E"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DBFC7FD" wp14:editId="4168204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4BE9ACAB"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52AB4F3C" wp14:editId="110B8BEA">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AA00E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3033EB1" wp14:editId="2E88C5FF">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5A323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B4434FA" w14:textId="6F498502"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642B5">
                            <w:rPr>
                              <w:rFonts w:ascii="Arial" w:hAnsi="Arial"/>
                              <w:b/>
                              <w:sz w:val="16"/>
                            </w:rPr>
                            <w:instrText>HYPERLINK "https://www.fcc.gov/"</w:instrText>
                          </w:r>
                          <w:r w:rsidR="00B642B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42B136FB"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C5A3230"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3B4434FA" w14:textId="6F498502"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642B5">
                      <w:rPr>
                        <w:rFonts w:ascii="Arial" w:hAnsi="Arial"/>
                        <w:b/>
                        <w:sz w:val="16"/>
                      </w:rPr>
                      <w:instrText>HYPERLINK "https://www.fcc.gov/"</w:instrText>
                    </w:r>
                    <w:r w:rsidR="00B642B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42B136FB"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1">
    <w:nsid w:val="01026A6C"/>
    <w:multiLevelType w:val="hybridMultilevel"/>
    <w:tmpl w:val="E76E1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3"/>
  </w:num>
  <w:num w:numId="2">
    <w:abstractNumId w:val="8"/>
  </w:num>
  <w:num w:numId="3">
    <w:abstractNumId w:val="5"/>
  </w:num>
  <w:num w:numId="4">
    <w:abstractNumId w:val="6"/>
  </w:num>
  <w:num w:numId="5">
    <w:abstractNumId w:val="4"/>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3D"/>
    <w:rsid w:val="00036039"/>
    <w:rsid w:val="00037F90"/>
    <w:rsid w:val="0004552F"/>
    <w:rsid w:val="000875BF"/>
    <w:rsid w:val="00096D8C"/>
    <w:rsid w:val="000C0B65"/>
    <w:rsid w:val="000C5A73"/>
    <w:rsid w:val="000E05FE"/>
    <w:rsid w:val="000E3D42"/>
    <w:rsid w:val="00122BD5"/>
    <w:rsid w:val="00133F79"/>
    <w:rsid w:val="0016260D"/>
    <w:rsid w:val="0017589D"/>
    <w:rsid w:val="00194A66"/>
    <w:rsid w:val="00196E49"/>
    <w:rsid w:val="001978A3"/>
    <w:rsid w:val="001D6BCF"/>
    <w:rsid w:val="001E01CA"/>
    <w:rsid w:val="0021048F"/>
    <w:rsid w:val="00230605"/>
    <w:rsid w:val="00275CF5"/>
    <w:rsid w:val="0028301F"/>
    <w:rsid w:val="00285017"/>
    <w:rsid w:val="002878C5"/>
    <w:rsid w:val="002A2D2E"/>
    <w:rsid w:val="002C00E8"/>
    <w:rsid w:val="00304E92"/>
    <w:rsid w:val="00343749"/>
    <w:rsid w:val="003660ED"/>
    <w:rsid w:val="003B0550"/>
    <w:rsid w:val="003B694F"/>
    <w:rsid w:val="003F11D3"/>
    <w:rsid w:val="003F171C"/>
    <w:rsid w:val="00412FC5"/>
    <w:rsid w:val="00422276"/>
    <w:rsid w:val="0042371E"/>
    <w:rsid w:val="004242F1"/>
    <w:rsid w:val="00445A00"/>
    <w:rsid w:val="00451B0F"/>
    <w:rsid w:val="00480FD1"/>
    <w:rsid w:val="004957D3"/>
    <w:rsid w:val="004C2EE3"/>
    <w:rsid w:val="004E4A22"/>
    <w:rsid w:val="00511968"/>
    <w:rsid w:val="005514E8"/>
    <w:rsid w:val="0055614C"/>
    <w:rsid w:val="005E14C2"/>
    <w:rsid w:val="00607BA5"/>
    <w:rsid w:val="0061180A"/>
    <w:rsid w:val="0061374E"/>
    <w:rsid w:val="00620177"/>
    <w:rsid w:val="00626EB6"/>
    <w:rsid w:val="0063720F"/>
    <w:rsid w:val="00655D03"/>
    <w:rsid w:val="0066178D"/>
    <w:rsid w:val="00683388"/>
    <w:rsid w:val="00683F84"/>
    <w:rsid w:val="006A1F49"/>
    <w:rsid w:val="006A6A81"/>
    <w:rsid w:val="006B1456"/>
    <w:rsid w:val="006F7393"/>
    <w:rsid w:val="0070224F"/>
    <w:rsid w:val="007115F7"/>
    <w:rsid w:val="00785689"/>
    <w:rsid w:val="0079754B"/>
    <w:rsid w:val="007A1E6D"/>
    <w:rsid w:val="007B0EB2"/>
    <w:rsid w:val="007C5347"/>
    <w:rsid w:val="007F413A"/>
    <w:rsid w:val="00810B6F"/>
    <w:rsid w:val="0082275D"/>
    <w:rsid w:val="00822CE0"/>
    <w:rsid w:val="00823A95"/>
    <w:rsid w:val="00841AB1"/>
    <w:rsid w:val="008C68F1"/>
    <w:rsid w:val="008D0A23"/>
    <w:rsid w:val="008E64D2"/>
    <w:rsid w:val="00921803"/>
    <w:rsid w:val="009260F4"/>
    <w:rsid w:val="00926503"/>
    <w:rsid w:val="009567E2"/>
    <w:rsid w:val="009726D8"/>
    <w:rsid w:val="00980454"/>
    <w:rsid w:val="009B5582"/>
    <w:rsid w:val="009F76DB"/>
    <w:rsid w:val="00A141AA"/>
    <w:rsid w:val="00A32C3B"/>
    <w:rsid w:val="00A330A4"/>
    <w:rsid w:val="00A45F4F"/>
    <w:rsid w:val="00A600A9"/>
    <w:rsid w:val="00A85508"/>
    <w:rsid w:val="00AA55B7"/>
    <w:rsid w:val="00AA5B9E"/>
    <w:rsid w:val="00AB2407"/>
    <w:rsid w:val="00AB53DF"/>
    <w:rsid w:val="00AC424B"/>
    <w:rsid w:val="00AF46DC"/>
    <w:rsid w:val="00B05C3D"/>
    <w:rsid w:val="00B07E5C"/>
    <w:rsid w:val="00B20363"/>
    <w:rsid w:val="00B279A2"/>
    <w:rsid w:val="00B338A9"/>
    <w:rsid w:val="00B642B5"/>
    <w:rsid w:val="00B679AB"/>
    <w:rsid w:val="00B76DB8"/>
    <w:rsid w:val="00B811F7"/>
    <w:rsid w:val="00BA5DC6"/>
    <w:rsid w:val="00BA6196"/>
    <w:rsid w:val="00BA6D23"/>
    <w:rsid w:val="00BC6D8C"/>
    <w:rsid w:val="00BE248F"/>
    <w:rsid w:val="00BF03CF"/>
    <w:rsid w:val="00C34006"/>
    <w:rsid w:val="00C426B1"/>
    <w:rsid w:val="00C51DE9"/>
    <w:rsid w:val="00C66160"/>
    <w:rsid w:val="00C700FD"/>
    <w:rsid w:val="00C721AC"/>
    <w:rsid w:val="00C85F06"/>
    <w:rsid w:val="00C90D6A"/>
    <w:rsid w:val="00CA247E"/>
    <w:rsid w:val="00CC72B6"/>
    <w:rsid w:val="00CC776F"/>
    <w:rsid w:val="00D0218D"/>
    <w:rsid w:val="00D25FB5"/>
    <w:rsid w:val="00D4239C"/>
    <w:rsid w:val="00D44223"/>
    <w:rsid w:val="00D47505"/>
    <w:rsid w:val="00DA2529"/>
    <w:rsid w:val="00DA66BF"/>
    <w:rsid w:val="00DB130A"/>
    <w:rsid w:val="00DB2EBB"/>
    <w:rsid w:val="00DC10A1"/>
    <w:rsid w:val="00DC655F"/>
    <w:rsid w:val="00DD0B59"/>
    <w:rsid w:val="00DD7EBD"/>
    <w:rsid w:val="00DE4C8D"/>
    <w:rsid w:val="00DF0810"/>
    <w:rsid w:val="00DF62B6"/>
    <w:rsid w:val="00E07225"/>
    <w:rsid w:val="00E5409F"/>
    <w:rsid w:val="00E56B6E"/>
    <w:rsid w:val="00EB4ACC"/>
    <w:rsid w:val="00EE6488"/>
    <w:rsid w:val="00F021FA"/>
    <w:rsid w:val="00F26188"/>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D0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2"/>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B05C3D"/>
  </w:style>
  <w:style w:type="paragraph" w:customStyle="1" w:styleId="Paranum">
    <w:name w:val="Paranum"/>
    <w:basedOn w:val="Normal"/>
    <w:uiPriority w:val="99"/>
    <w:rsid w:val="00B05C3D"/>
    <w:pPr>
      <w:numPr>
        <w:numId w:val="8"/>
      </w:numPr>
      <w:spacing w:after="220"/>
      <w:jc w:val="both"/>
    </w:pPr>
    <w:rPr>
      <w:snapToGrid/>
      <w:kern w:val="0"/>
    </w:rPr>
  </w:style>
  <w:style w:type="character" w:customStyle="1" w:styleId="ParaNumChar2">
    <w:name w:val="ParaNum Char2"/>
    <w:link w:val="ParaNum0"/>
    <w:uiPriority w:val="99"/>
    <w:locked/>
    <w:rsid w:val="00B05C3D"/>
    <w:rPr>
      <w:snapToGrid w:val="0"/>
      <w:kern w:val="28"/>
      <w:sz w:val="22"/>
    </w:rPr>
  </w:style>
  <w:style w:type="paragraph" w:styleId="ListParagraph">
    <w:name w:val="List Paragraph"/>
    <w:basedOn w:val="Normal"/>
    <w:uiPriority w:val="34"/>
    <w:qFormat/>
    <w:rsid w:val="00B05C3D"/>
    <w:pPr>
      <w:ind w:left="720"/>
      <w:contextualSpacing/>
    </w:pPr>
  </w:style>
  <w:style w:type="paragraph" w:customStyle="1" w:styleId="Default">
    <w:name w:val="Default"/>
    <w:rsid w:val="00B05C3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D4239C"/>
    <w:rPr>
      <w:sz w:val="16"/>
      <w:szCs w:val="16"/>
    </w:rPr>
  </w:style>
  <w:style w:type="paragraph" w:styleId="CommentText">
    <w:name w:val="annotation text"/>
    <w:basedOn w:val="Normal"/>
    <w:link w:val="CommentTextChar"/>
    <w:rsid w:val="00D4239C"/>
    <w:rPr>
      <w:sz w:val="20"/>
    </w:rPr>
  </w:style>
  <w:style w:type="character" w:customStyle="1" w:styleId="CommentTextChar">
    <w:name w:val="Comment Text Char"/>
    <w:basedOn w:val="DefaultParagraphFont"/>
    <w:link w:val="CommentText"/>
    <w:rsid w:val="00D4239C"/>
    <w:rPr>
      <w:snapToGrid w:val="0"/>
      <w:kern w:val="28"/>
    </w:rPr>
  </w:style>
  <w:style w:type="paragraph" w:styleId="CommentSubject">
    <w:name w:val="annotation subject"/>
    <w:basedOn w:val="CommentText"/>
    <w:next w:val="CommentText"/>
    <w:link w:val="CommentSubjectChar"/>
    <w:rsid w:val="00D4239C"/>
    <w:rPr>
      <w:b/>
      <w:bCs/>
    </w:rPr>
  </w:style>
  <w:style w:type="character" w:customStyle="1" w:styleId="CommentSubjectChar">
    <w:name w:val="Comment Subject Char"/>
    <w:basedOn w:val="CommentTextChar"/>
    <w:link w:val="CommentSubject"/>
    <w:rsid w:val="00D4239C"/>
    <w:rPr>
      <w:b/>
      <w:bCs/>
      <w:snapToGrid w:val="0"/>
      <w:kern w:val="28"/>
    </w:rPr>
  </w:style>
  <w:style w:type="character" w:styleId="FollowedHyperlink">
    <w:name w:val="FollowedHyperlink"/>
    <w:basedOn w:val="DefaultParagraphFont"/>
    <w:rsid w:val="008D0A2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2"/>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B05C3D"/>
  </w:style>
  <w:style w:type="paragraph" w:customStyle="1" w:styleId="Paranum">
    <w:name w:val="Paranum"/>
    <w:basedOn w:val="Normal"/>
    <w:uiPriority w:val="99"/>
    <w:rsid w:val="00B05C3D"/>
    <w:pPr>
      <w:numPr>
        <w:numId w:val="8"/>
      </w:numPr>
      <w:spacing w:after="220"/>
      <w:jc w:val="both"/>
    </w:pPr>
    <w:rPr>
      <w:snapToGrid/>
      <w:kern w:val="0"/>
    </w:rPr>
  </w:style>
  <w:style w:type="character" w:customStyle="1" w:styleId="ParaNumChar2">
    <w:name w:val="ParaNum Char2"/>
    <w:link w:val="ParaNum0"/>
    <w:uiPriority w:val="99"/>
    <w:locked/>
    <w:rsid w:val="00B05C3D"/>
    <w:rPr>
      <w:snapToGrid w:val="0"/>
      <w:kern w:val="28"/>
      <w:sz w:val="22"/>
    </w:rPr>
  </w:style>
  <w:style w:type="paragraph" w:styleId="ListParagraph">
    <w:name w:val="List Paragraph"/>
    <w:basedOn w:val="Normal"/>
    <w:uiPriority w:val="34"/>
    <w:qFormat/>
    <w:rsid w:val="00B05C3D"/>
    <w:pPr>
      <w:ind w:left="720"/>
      <w:contextualSpacing/>
    </w:pPr>
  </w:style>
  <w:style w:type="paragraph" w:customStyle="1" w:styleId="Default">
    <w:name w:val="Default"/>
    <w:rsid w:val="00B05C3D"/>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D4239C"/>
    <w:rPr>
      <w:sz w:val="16"/>
      <w:szCs w:val="16"/>
    </w:rPr>
  </w:style>
  <w:style w:type="paragraph" w:styleId="CommentText">
    <w:name w:val="annotation text"/>
    <w:basedOn w:val="Normal"/>
    <w:link w:val="CommentTextChar"/>
    <w:rsid w:val="00D4239C"/>
    <w:rPr>
      <w:sz w:val="20"/>
    </w:rPr>
  </w:style>
  <w:style w:type="character" w:customStyle="1" w:styleId="CommentTextChar">
    <w:name w:val="Comment Text Char"/>
    <w:basedOn w:val="DefaultParagraphFont"/>
    <w:link w:val="CommentText"/>
    <w:rsid w:val="00D4239C"/>
    <w:rPr>
      <w:snapToGrid w:val="0"/>
      <w:kern w:val="28"/>
    </w:rPr>
  </w:style>
  <w:style w:type="paragraph" w:styleId="CommentSubject">
    <w:name w:val="annotation subject"/>
    <w:basedOn w:val="CommentText"/>
    <w:next w:val="CommentText"/>
    <w:link w:val="CommentSubjectChar"/>
    <w:rsid w:val="00D4239C"/>
    <w:rPr>
      <w:b/>
      <w:bCs/>
    </w:rPr>
  </w:style>
  <w:style w:type="character" w:customStyle="1" w:styleId="CommentSubjectChar">
    <w:name w:val="Comment Subject Char"/>
    <w:basedOn w:val="CommentTextChar"/>
    <w:link w:val="CommentSubject"/>
    <w:rsid w:val="00D4239C"/>
    <w:rPr>
      <w:b/>
      <w:bCs/>
      <w:snapToGrid w:val="0"/>
      <w:kern w:val="28"/>
    </w:rPr>
  </w:style>
  <w:style w:type="character" w:styleId="FollowedHyperlink">
    <w:name w:val="FollowedHyperlink"/>
    <w:basedOn w:val="DefaultParagraphFont"/>
    <w:rsid w:val="008D0A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dhika.Karmarkar@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usac.org/rhc/telecommunications/funding-information/default.aspx" TargetMode="External"/><Relationship Id="rId3" Type="http://schemas.openxmlformats.org/officeDocument/2006/relationships/hyperlink" Target="http://usac.org/rhc/healthcare-connect/funding-information/default.aspx" TargetMode="External"/><Relationship Id="rId7" Type="http://schemas.openxmlformats.org/officeDocument/2006/relationships/hyperlink" Target="http://www.usac.org/rhc/healthcare-connect/funding-information/default.aspx" TargetMode="External"/><Relationship Id="rId2" Type="http://schemas.openxmlformats.org/officeDocument/2006/relationships/hyperlink" Target="https://transition.fcc.gov/wcb/iatd/monitor.html" TargetMode="External"/><Relationship Id="rId1" Type="http://schemas.openxmlformats.org/officeDocument/2006/relationships/hyperlink" Target="https://1.next.westlaw.com/Link/Document/FullText?findType=Y&amp;serNum=1997261843&amp;pubNum=4493&amp;originatingDoc=I95b9616951de11e287a9c52cdddac4f7&amp;refType=CA&amp;fi=co_pp_sp_4493_9143&amp;originationContext=document&amp;transitionType=DocumentItem&amp;contextData=(sc.DocLink)" TargetMode="External"/><Relationship Id="rId6" Type="http://schemas.openxmlformats.org/officeDocument/2006/relationships/hyperlink" Target="http://www.usac.org/_res/documents/rhc/pdf/hcf/RHC-Snail-FY2015-HCF-Program.pdf" TargetMode="External"/><Relationship Id="rId5" Type="http://schemas.openxmlformats.org/officeDocument/2006/relationships/hyperlink" Target="http://www.usac.org/rhc/telecommunications/outreach/newsletters/2015/q1.aspx" TargetMode="External"/><Relationship Id="rId4" Type="http://schemas.openxmlformats.org/officeDocument/2006/relationships/hyperlink" Target="https://sph.tamhsc.edu/srhrc/docs/rhp-2010-volume1.pdf" TargetMode="External"/><Relationship Id="rId9" Type="http://schemas.openxmlformats.org/officeDocument/2006/relationships/hyperlink" Target="http://www.usac.org/rhc/telecommunications/outreach/newsletters/2016/q1.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1872</Words>
  <Characters>9967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11873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2016-08-24T12:42:00Z</cp:lastPrinted>
  <dcterms:created xsi:type="dcterms:W3CDTF">2016-08-26T17:31:00Z</dcterms:created>
  <dcterms:modified xsi:type="dcterms:W3CDTF">2016-08-26T17:31:00Z</dcterms:modified>
  <cp:category> </cp:category>
  <cp:contentStatus> </cp:contentStatus>
</cp:coreProperties>
</file>